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olor w:val="000000"/>
        </w:rPr>
      </w:pPr>
      <w:bookmarkStart w:id="0" w:name="_Toc531600007"/>
      <w:bookmarkStart w:id="1" w:name="_Toc32151"/>
      <w:bookmarkStart w:id="2" w:name="_Toc183682338"/>
      <w:bookmarkStart w:id="3" w:name="_Toc217446030"/>
      <w:r>
        <w:rPr>
          <w:rFonts w:hint="eastAsia"/>
          <w:color w:val="000000"/>
        </w:rPr>
        <w:drawing>
          <wp:inline distT="0" distB="0" distL="114300" distR="114300">
            <wp:extent cx="4876165" cy="2511425"/>
            <wp:effectExtent l="0" t="0" r="635" b="3175"/>
            <wp:docPr id="2" name="图片 1" descr="1584933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4933448(1)"/>
                    <pic:cNvPicPr>
                      <a:picLocks noChangeAspect="1"/>
                    </pic:cNvPicPr>
                  </pic:nvPicPr>
                  <pic:blipFill>
                    <a:blip r:embed="rId12"/>
                    <a:stretch>
                      <a:fillRect/>
                    </a:stretch>
                  </pic:blipFill>
                  <pic:spPr>
                    <a:xfrm>
                      <a:off x="0" y="0"/>
                      <a:ext cx="4876165" cy="2511425"/>
                    </a:xfrm>
                    <a:prstGeom prst="rect">
                      <a:avLst/>
                    </a:prstGeom>
                    <a:noFill/>
                    <a:ln>
                      <a:noFill/>
                    </a:ln>
                  </pic:spPr>
                </pic:pic>
              </a:graphicData>
            </a:graphic>
          </wp:inline>
        </w:drawing>
      </w:r>
    </w:p>
    <w:p>
      <w:pPr>
        <w:spacing w:line="360" w:lineRule="auto"/>
        <w:jc w:val="center"/>
        <w:rPr>
          <w:rFonts w:hint="eastAsia" w:ascii="宋体" w:hAnsi="宋体" w:eastAsia="宋体" w:cs="宋体"/>
          <w:b/>
          <w:bCs w:val="0"/>
          <w:color w:val="auto"/>
          <w:kern w:val="0"/>
          <w:sz w:val="72"/>
          <w:szCs w:val="72"/>
          <w:highlight w:val="none"/>
        </w:rPr>
      </w:pPr>
    </w:p>
    <w:p>
      <w:pPr>
        <w:spacing w:line="360" w:lineRule="auto"/>
        <w:jc w:val="center"/>
        <w:rPr>
          <w:rFonts w:hint="eastAsia" w:ascii="宋体" w:hAnsi="宋体" w:eastAsia="宋体" w:cs="宋体"/>
          <w:b/>
          <w:bCs w:val="0"/>
          <w:color w:val="auto"/>
          <w:kern w:val="0"/>
          <w:sz w:val="72"/>
          <w:szCs w:val="72"/>
          <w:highlight w:val="none"/>
        </w:rPr>
      </w:pPr>
      <w:r>
        <w:rPr>
          <w:rFonts w:hint="eastAsia" w:ascii="宋体" w:hAnsi="宋体" w:eastAsia="宋体" w:cs="宋体"/>
          <w:b/>
          <w:bCs w:val="0"/>
          <w:color w:val="auto"/>
          <w:kern w:val="0"/>
          <w:sz w:val="72"/>
          <w:szCs w:val="72"/>
          <w:highlight w:val="none"/>
        </w:rPr>
        <w:t>公开招标文件</w:t>
      </w:r>
    </w:p>
    <w:p>
      <w:pPr>
        <w:pStyle w:val="2"/>
        <w:ind w:left="0" w:leftChars="0" w:firstLine="0" w:firstLineChars="0"/>
        <w:jc w:val="center"/>
        <w:rPr>
          <w:rFonts w:hint="eastAsia" w:ascii="宋体" w:hAnsi="宋体" w:eastAsia="宋体" w:cs="宋体"/>
          <w:b/>
          <w:bCs w:val="0"/>
          <w:color w:val="auto"/>
          <w:kern w:val="0"/>
          <w:sz w:val="36"/>
          <w:szCs w:val="36"/>
          <w:highlight w:val="none"/>
        </w:rPr>
      </w:pPr>
      <w:r>
        <w:rPr>
          <w:rFonts w:hint="eastAsia" w:ascii="宋体" w:hAnsi="宋体" w:eastAsia="宋体" w:cs="宋体"/>
          <w:b/>
          <w:bCs/>
          <w:color w:val="auto"/>
          <w:spacing w:val="40"/>
          <w:sz w:val="36"/>
          <w:szCs w:val="36"/>
          <w:highlight w:val="none"/>
          <w:lang w:val="en-US" w:eastAsia="zh-CN"/>
        </w:rPr>
        <w:t>A标段</w:t>
      </w:r>
    </w:p>
    <w:p>
      <w:pPr>
        <w:spacing w:line="360" w:lineRule="auto"/>
        <w:jc w:val="both"/>
        <w:rPr>
          <w:rFonts w:hint="eastAsia" w:ascii="宋体" w:hAnsi="宋体" w:eastAsia="宋体" w:cs="宋体"/>
          <w:color w:val="auto"/>
          <w:highlight w:val="none"/>
        </w:rPr>
      </w:pPr>
      <w:r>
        <w:rPr>
          <w:rFonts w:hint="eastAsia" w:ascii="宋体" w:hAnsi="宋体" w:eastAsia="宋体" w:cs="宋体"/>
          <w:b/>
          <w:color w:val="auto"/>
          <w:sz w:val="72"/>
          <w:szCs w:val="72"/>
          <w:highlight w:val="none"/>
        </w:rPr>
        <w:t xml:space="preserve">                                                                                                                                                                                                                                                                                                                                                                                                                                                                                                    </w:t>
      </w:r>
    </w:p>
    <w:p>
      <w:pPr>
        <w:pStyle w:val="24"/>
        <w:ind w:firstLine="1444" w:firstLineChars="400"/>
        <w:rPr>
          <w:rFonts w:hint="eastAsia" w:ascii="宋体" w:hAnsi="宋体" w:eastAsia="宋体" w:cs="宋体"/>
          <w:b/>
          <w:bCs/>
          <w:color w:val="auto"/>
          <w:spacing w:val="40"/>
          <w:sz w:val="28"/>
          <w:szCs w:val="28"/>
          <w:highlight w:val="none"/>
        </w:rPr>
      </w:pPr>
    </w:p>
    <w:p>
      <w:pPr>
        <w:pStyle w:val="24"/>
        <w:ind w:firstLine="1444" w:firstLineChars="400"/>
        <w:rPr>
          <w:rFonts w:hint="eastAsia" w:ascii="宋体" w:hAnsi="宋体" w:eastAsia="宋体" w:cs="宋体"/>
          <w:b/>
          <w:bCs/>
          <w:color w:val="auto"/>
          <w:spacing w:val="40"/>
          <w:sz w:val="28"/>
          <w:szCs w:val="28"/>
          <w:highlight w:val="none"/>
          <w:lang w:eastAsia="zh-CN"/>
        </w:rPr>
      </w:pPr>
      <w:r>
        <w:rPr>
          <w:rFonts w:hint="eastAsia" w:ascii="宋体" w:hAnsi="宋体" w:eastAsia="宋体" w:cs="宋体"/>
          <w:b/>
          <w:bCs/>
          <w:color w:val="auto"/>
          <w:spacing w:val="40"/>
          <w:sz w:val="28"/>
          <w:szCs w:val="28"/>
          <w:highlight w:val="none"/>
        </w:rPr>
        <w:t>项目名称：</w:t>
      </w:r>
      <w:r>
        <w:rPr>
          <w:rFonts w:hint="eastAsia" w:ascii="宋体" w:hAnsi="宋体" w:eastAsia="宋体" w:cs="宋体"/>
          <w:b/>
          <w:bCs/>
          <w:color w:val="auto"/>
          <w:spacing w:val="40"/>
          <w:sz w:val="28"/>
          <w:szCs w:val="28"/>
          <w:highlight w:val="none"/>
          <w:lang w:eastAsia="zh-CN"/>
        </w:rPr>
        <w:t>忻城县生活垃圾清运及处理工作</w:t>
      </w:r>
    </w:p>
    <w:p>
      <w:pPr>
        <w:pStyle w:val="24"/>
        <w:ind w:firstLine="3250" w:firstLineChars="900"/>
        <w:rPr>
          <w:rFonts w:hint="eastAsia" w:ascii="宋体" w:hAnsi="宋体" w:eastAsia="宋体" w:cs="宋体"/>
          <w:b/>
          <w:bCs/>
          <w:color w:val="auto"/>
          <w:spacing w:val="40"/>
          <w:sz w:val="28"/>
          <w:szCs w:val="28"/>
          <w:highlight w:val="none"/>
          <w:lang w:val="en-US" w:eastAsia="zh-CN"/>
        </w:rPr>
      </w:pPr>
      <w:r>
        <w:rPr>
          <w:rFonts w:hint="eastAsia" w:ascii="宋体" w:hAnsi="宋体" w:eastAsia="宋体" w:cs="宋体"/>
          <w:b/>
          <w:bCs/>
          <w:color w:val="auto"/>
          <w:spacing w:val="40"/>
          <w:sz w:val="28"/>
          <w:szCs w:val="28"/>
          <w:highlight w:val="none"/>
          <w:lang w:eastAsia="zh-CN"/>
        </w:rPr>
        <w:t>市场化运作项目</w:t>
      </w:r>
    </w:p>
    <w:p>
      <w:pPr>
        <w:pStyle w:val="24"/>
        <w:ind w:firstLine="843" w:firstLineChars="300"/>
        <w:rPr>
          <w:rFonts w:hint="eastAsia" w:ascii="宋体" w:hAnsi="宋体" w:eastAsia="宋体" w:cs="宋体"/>
          <w:b/>
          <w:color w:val="auto"/>
          <w:sz w:val="28"/>
          <w:szCs w:val="28"/>
          <w:highlight w:val="none"/>
        </w:rPr>
      </w:pPr>
    </w:p>
    <w:p>
      <w:pPr>
        <w:pStyle w:val="24"/>
        <w:rPr>
          <w:rFonts w:hint="default" w:ascii="宋体" w:hAnsi="宋体" w:eastAsia="宋体" w:cs="宋体"/>
          <w:b/>
          <w:bCs/>
          <w:color w:val="auto"/>
          <w:spacing w:val="40"/>
          <w:sz w:val="28"/>
          <w:szCs w:val="28"/>
          <w:highlight w:val="none"/>
          <w:lang w:val="en-US" w:eastAsia="zh-CN"/>
        </w:rPr>
      </w:pPr>
      <w:r>
        <w:rPr>
          <w:rFonts w:hint="eastAsia" w:ascii="宋体" w:hAnsi="宋体" w:eastAsia="宋体" w:cs="宋体"/>
          <w:b/>
          <w:bCs/>
          <w:color w:val="auto"/>
          <w:spacing w:val="40"/>
          <w:sz w:val="28"/>
          <w:szCs w:val="28"/>
          <w:highlight w:val="none"/>
        </w:rPr>
        <w:t>　　　</w:t>
      </w:r>
      <w:r>
        <w:rPr>
          <w:rFonts w:hint="eastAsia" w:ascii="宋体" w:hAnsi="宋体" w:eastAsia="宋体" w:cs="宋体"/>
          <w:b/>
          <w:bCs/>
          <w:color w:val="auto"/>
          <w:spacing w:val="40"/>
          <w:sz w:val="28"/>
          <w:szCs w:val="28"/>
          <w:highlight w:val="none"/>
          <w:lang w:val="en-US" w:eastAsia="zh-CN"/>
        </w:rPr>
        <w:t xml:space="preserve">  </w:t>
      </w:r>
      <w:r>
        <w:rPr>
          <w:rFonts w:hint="eastAsia" w:ascii="宋体" w:hAnsi="宋体" w:eastAsia="宋体" w:cs="宋体"/>
          <w:b/>
          <w:bCs/>
          <w:color w:val="auto"/>
          <w:spacing w:val="40"/>
          <w:sz w:val="28"/>
          <w:szCs w:val="28"/>
          <w:highlight w:val="none"/>
        </w:rPr>
        <w:t>项目编号：</w:t>
      </w:r>
      <w:r>
        <w:rPr>
          <w:rFonts w:hint="eastAsia" w:ascii="宋体" w:hAnsi="宋体" w:cs="宋体"/>
          <w:b/>
          <w:bCs/>
          <w:color w:val="auto"/>
          <w:spacing w:val="40"/>
          <w:sz w:val="28"/>
          <w:szCs w:val="28"/>
          <w:highlight w:val="none"/>
          <w:lang w:eastAsia="zh-CN"/>
        </w:rPr>
        <w:t>LBXCZC2020-G3-01296-GXXT</w:t>
      </w:r>
      <w:r>
        <w:rPr>
          <w:rFonts w:hint="eastAsia" w:ascii="宋体" w:hAnsi="宋体" w:cs="宋体"/>
          <w:b/>
          <w:bCs/>
          <w:color w:val="auto"/>
          <w:spacing w:val="40"/>
          <w:sz w:val="28"/>
          <w:szCs w:val="28"/>
          <w:highlight w:val="none"/>
          <w:u w:val="none"/>
          <w:lang w:val="en-US" w:eastAsia="zh-CN"/>
        </w:rPr>
        <w:t xml:space="preserve">    </w:t>
      </w:r>
    </w:p>
    <w:p>
      <w:pPr>
        <w:ind w:firstLine="722" w:firstLineChars="200"/>
        <w:rPr>
          <w:rFonts w:hint="eastAsia" w:ascii="宋体" w:hAnsi="宋体" w:eastAsia="宋体" w:cs="宋体"/>
          <w:color w:val="auto"/>
          <w:sz w:val="28"/>
          <w:szCs w:val="28"/>
          <w:highlight w:val="none"/>
        </w:rPr>
      </w:pPr>
      <w:r>
        <w:rPr>
          <w:rFonts w:hint="eastAsia" w:ascii="宋体" w:hAnsi="宋体" w:eastAsia="宋体" w:cs="宋体"/>
          <w:b/>
          <w:bCs/>
          <w:color w:val="auto"/>
          <w:spacing w:val="40"/>
          <w:sz w:val="28"/>
          <w:szCs w:val="28"/>
          <w:highlight w:val="none"/>
        </w:rPr>
        <w:t xml:space="preserve"> </w:t>
      </w:r>
      <w:r>
        <w:rPr>
          <w:rFonts w:hint="eastAsia" w:ascii="宋体" w:hAnsi="宋体" w:eastAsia="宋体" w:cs="宋体"/>
          <w:b/>
          <w:bCs/>
          <w:color w:val="auto"/>
          <w:spacing w:val="40"/>
          <w:sz w:val="28"/>
          <w:szCs w:val="28"/>
          <w:highlight w:val="none"/>
        </w:rPr>
        <w:cr/>
      </w:r>
      <w:r>
        <w:rPr>
          <w:rFonts w:hint="eastAsia" w:ascii="宋体" w:hAnsi="宋体" w:eastAsia="宋体" w:cs="宋体"/>
          <w:color w:val="auto"/>
          <w:sz w:val="28"/>
          <w:szCs w:val="28"/>
          <w:highlight w:val="none"/>
        </w:rPr>
        <w:cr/>
      </w:r>
    </w:p>
    <w:p>
      <w:pPr>
        <w:rPr>
          <w:rFonts w:hint="eastAsia" w:ascii="宋体" w:hAnsi="宋体" w:eastAsia="宋体" w:cs="宋体"/>
          <w:b/>
          <w:bCs/>
          <w:color w:val="auto"/>
          <w:sz w:val="28"/>
          <w:szCs w:val="28"/>
          <w:highlight w:val="none"/>
        </w:rPr>
      </w:pPr>
    </w:p>
    <w:p>
      <w:pPr>
        <w:pStyle w:val="24"/>
        <w:rPr>
          <w:rFonts w:hint="eastAsia" w:ascii="宋体" w:hAnsi="宋体" w:eastAsia="宋体" w:cs="宋体"/>
          <w:b/>
          <w:bCs/>
          <w:color w:val="auto"/>
          <w:sz w:val="28"/>
          <w:szCs w:val="28"/>
          <w:highlight w:val="none"/>
        </w:rPr>
      </w:pPr>
    </w:p>
    <w:p>
      <w:pPr>
        <w:pStyle w:val="24"/>
        <w:rPr>
          <w:rFonts w:hint="eastAsia" w:ascii="宋体" w:hAnsi="宋体" w:eastAsia="宋体" w:cs="宋体"/>
          <w:b/>
          <w:bCs/>
          <w:color w:val="auto"/>
          <w:sz w:val="28"/>
          <w:szCs w:val="28"/>
          <w:highlight w:val="none"/>
        </w:rPr>
      </w:pPr>
    </w:p>
    <w:p>
      <w:pPr>
        <w:pStyle w:val="24"/>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采 　购 　人：</w:t>
      </w:r>
      <w:r>
        <w:rPr>
          <w:rFonts w:hint="eastAsia" w:ascii="宋体" w:hAnsi="宋体" w:eastAsia="宋体" w:cs="宋体"/>
          <w:b/>
          <w:bCs/>
          <w:color w:val="auto"/>
          <w:sz w:val="28"/>
          <w:szCs w:val="28"/>
          <w:highlight w:val="none"/>
          <w:lang w:eastAsia="zh-CN"/>
        </w:rPr>
        <w:t>忻城县住房和城乡建设局</w:t>
      </w:r>
    </w:p>
    <w:p>
      <w:pPr>
        <w:pStyle w:val="24"/>
        <w:rPr>
          <w:rFonts w:hint="eastAsia" w:ascii="宋体" w:hAnsi="宋体" w:eastAsia="宋体" w:cs="宋体"/>
          <w:color w:val="auto"/>
          <w:sz w:val="28"/>
          <w:szCs w:val="28"/>
          <w:highlight w:val="none"/>
        </w:rPr>
      </w:pPr>
    </w:p>
    <w:p>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采购代理机构：</w:t>
      </w:r>
      <w:r>
        <w:rPr>
          <w:rFonts w:hint="eastAsia" w:ascii="宋体" w:hAnsi="宋体" w:cs="宋体"/>
          <w:b/>
          <w:bCs/>
          <w:color w:val="auto"/>
          <w:sz w:val="28"/>
          <w:szCs w:val="28"/>
          <w:highlight w:val="none"/>
          <w:lang w:eastAsia="zh-CN"/>
        </w:rPr>
        <w:t>广西熙泰工程项目管理有限公司</w:t>
      </w:r>
    </w:p>
    <w:p>
      <w:pPr>
        <w:pStyle w:val="24"/>
        <w:rPr>
          <w:rFonts w:hint="eastAsia" w:ascii="宋体" w:hAnsi="宋体" w:eastAsia="宋体" w:cs="宋体"/>
          <w:b/>
          <w:bCs/>
          <w:color w:val="auto"/>
          <w:sz w:val="28"/>
          <w:szCs w:val="28"/>
          <w:highlight w:val="none"/>
        </w:rPr>
      </w:pPr>
    </w:p>
    <w:p>
      <w:pPr>
        <w:ind w:firstLine="1235" w:firstLineChars="342"/>
        <w:rPr>
          <w:rFonts w:hint="eastAsia" w:ascii="宋体" w:hAnsi="宋体" w:eastAsia="宋体" w:cs="宋体"/>
          <w:color w:val="auto"/>
          <w:sz w:val="28"/>
          <w:szCs w:val="28"/>
          <w:highlight w:val="none"/>
        </w:rPr>
        <w:sectPr>
          <w:footerReference r:id="rId4" w:type="first"/>
          <w:headerReference r:id="rId3" w:type="default"/>
          <w:pgSz w:w="11910" w:h="16840"/>
          <w:pgMar w:top="1200" w:right="680" w:bottom="920" w:left="840" w:header="0" w:footer="722" w:gutter="0"/>
          <w:pgBorders>
            <w:top w:val="none" w:sz="0" w:space="0"/>
            <w:left w:val="none" w:sz="0" w:space="0"/>
            <w:bottom w:val="none" w:sz="0" w:space="0"/>
            <w:right w:val="none" w:sz="0" w:space="0"/>
          </w:pgBorders>
          <w:cols w:space="720" w:num="1"/>
        </w:sectPr>
      </w:pPr>
      <w:r>
        <w:rPr>
          <w:rFonts w:hint="eastAsia" w:ascii="宋体" w:hAnsi="宋体" w:eastAsia="宋体" w:cs="宋体"/>
          <w:b/>
          <w:bCs/>
          <w:color w:val="auto"/>
          <w:spacing w:val="40"/>
          <w:sz w:val="28"/>
          <w:szCs w:val="28"/>
          <w:highlight w:val="none"/>
        </w:rPr>
        <w:t xml:space="preserve">              2020年</w:t>
      </w:r>
      <w:r>
        <w:rPr>
          <w:rFonts w:hint="eastAsia" w:ascii="宋体" w:hAnsi="宋体" w:cs="宋体"/>
          <w:b/>
          <w:bCs/>
          <w:color w:val="auto"/>
          <w:spacing w:val="40"/>
          <w:sz w:val="28"/>
          <w:szCs w:val="28"/>
          <w:highlight w:val="none"/>
          <w:lang w:val="en-US" w:eastAsia="zh-CN"/>
        </w:rPr>
        <w:t>12</w:t>
      </w:r>
      <w:r>
        <w:rPr>
          <w:rFonts w:hint="eastAsia" w:ascii="宋体" w:hAnsi="宋体" w:eastAsia="宋体" w:cs="宋体"/>
          <w:b/>
          <w:bCs/>
          <w:color w:val="auto"/>
          <w:spacing w:val="40"/>
          <w:sz w:val="28"/>
          <w:szCs w:val="28"/>
          <w:highlight w:val="none"/>
        </w:rPr>
        <w:t>月</w:t>
      </w:r>
    </w:p>
    <w:p>
      <w:pPr>
        <w:pStyle w:val="31"/>
        <w:spacing w:line="408"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目   录</w:t>
      </w:r>
      <w:bookmarkEnd w:id="0"/>
      <w:bookmarkEnd w:id="1"/>
    </w:p>
    <w:p>
      <w:pPr>
        <w:pStyle w:val="139"/>
        <w:tabs>
          <w:tab w:val="right" w:leader="dot" w:pos="9639"/>
        </w:tabs>
        <w:spacing w:line="600" w:lineRule="exact"/>
        <w:rPr>
          <w:rFonts w:hint="eastAsia" w:ascii="宋体" w:hAnsi="宋体" w:eastAsia="宋体" w:cs="宋体"/>
          <w:color w:val="auto"/>
          <w:sz w:val="28"/>
          <w:szCs w:val="28"/>
          <w:highlight w:val="none"/>
        </w:rPr>
      </w:pPr>
      <w:bookmarkStart w:id="4" w:name="_Toc26554_WPSOffice_Type1"/>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_Toc28733_WPSOffice_Level1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公开招标公告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p>
    <w:p>
      <w:pPr>
        <w:pStyle w:val="139"/>
        <w:tabs>
          <w:tab w:val="right" w:leader="dot" w:pos="9639"/>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"_Toc19475_WPSOffice_Level1"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p>
    <w:p>
      <w:pPr>
        <w:pStyle w:val="139"/>
        <w:tabs>
          <w:tab w:val="right" w:leader="dot" w:pos="9639"/>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"_Toc13094_WPSOffice_Level1"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招标项目采购需求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fldChar w:fldCharType="end"/>
      </w:r>
    </w:p>
    <w:p>
      <w:pPr>
        <w:pStyle w:val="139"/>
        <w:tabs>
          <w:tab w:val="right" w:leader="dot" w:pos="9639"/>
        </w:tabs>
        <w:spacing w:line="6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"_Toc32157_WPSOffice_Level1"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pPr>
        <w:pStyle w:val="139"/>
        <w:tabs>
          <w:tab w:val="right" w:leader="dot" w:pos="9639"/>
        </w:tabs>
        <w:spacing w:line="6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"_Toc4308_WPSOffice_Level1"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3</w:t>
      </w:r>
    </w:p>
    <w:p>
      <w:pPr>
        <w:pStyle w:val="139"/>
        <w:tabs>
          <w:tab w:val="right" w:leader="dot" w:pos="9639"/>
        </w:tabs>
        <w:spacing w:line="600" w:lineRule="exac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"_Toc27206_WPSOffice_Level1"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38</w:t>
      </w:r>
    </w:p>
    <w:bookmarkEnd w:id="4"/>
    <w:p>
      <w:pPr>
        <w:pStyle w:val="139"/>
        <w:tabs>
          <w:tab w:val="right" w:leader="dot" w:pos="9639"/>
        </w:tabs>
        <w:spacing w:line="600" w:lineRule="exact"/>
        <w:rPr>
          <w:rFonts w:hint="eastAsia" w:ascii="宋体" w:hAnsi="宋体" w:eastAsia="宋体" w:cs="宋体"/>
          <w:color w:val="auto"/>
          <w:sz w:val="21"/>
          <w:szCs w:val="21"/>
          <w:highlight w:val="none"/>
        </w:rPr>
      </w:pPr>
    </w:p>
    <w:p>
      <w:pPr>
        <w:pStyle w:val="31"/>
        <w:spacing w:before="120" w:after="120" w:line="408" w:lineRule="auto"/>
        <w:rPr>
          <w:rFonts w:hint="eastAsia" w:ascii="宋体" w:hAnsi="宋体" w:eastAsia="宋体" w:cs="宋体"/>
          <w:color w:val="auto"/>
          <w:highlight w:val="none"/>
        </w:rPr>
      </w:pPr>
    </w:p>
    <w:p>
      <w:pPr>
        <w:pStyle w:val="31"/>
        <w:spacing w:before="120" w:after="120" w:line="408" w:lineRule="auto"/>
        <w:rPr>
          <w:rFonts w:hint="eastAsia" w:ascii="宋体" w:hAnsi="宋体" w:eastAsia="宋体" w:cs="宋体"/>
          <w:color w:val="auto"/>
          <w:highlight w:val="none"/>
        </w:rPr>
      </w:pPr>
    </w:p>
    <w:p>
      <w:pPr>
        <w:pStyle w:val="31"/>
        <w:spacing w:before="120" w:after="120" w:line="408" w:lineRule="auto"/>
        <w:rPr>
          <w:rFonts w:hint="eastAsia" w:ascii="宋体" w:hAnsi="宋体" w:eastAsia="宋体" w:cs="宋体"/>
          <w:color w:val="auto"/>
          <w:highlight w:val="none"/>
        </w:rPr>
        <w:sectPr>
          <w:footerReference r:id="rId6" w:type="first"/>
          <w:headerReference r:id="rId5" w:type="default"/>
          <w:pgSz w:w="11906" w:h="16838"/>
          <w:pgMar w:top="1247" w:right="849" w:bottom="1247" w:left="1418"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5"/>
        <w:spacing w:line="240" w:lineRule="auto"/>
        <w:jc w:val="center"/>
        <w:rPr>
          <w:rFonts w:hint="eastAsia" w:ascii="宋体" w:hAnsi="宋体" w:eastAsia="宋体" w:cs="宋体"/>
          <w:color w:val="auto"/>
          <w:highlight w:val="none"/>
        </w:rPr>
      </w:pPr>
      <w:bookmarkStart w:id="5" w:name="_Toc463706299"/>
      <w:bookmarkStart w:id="6" w:name="_Toc28733_WPSOffice_Level1"/>
      <w:bookmarkStart w:id="7" w:name="_Toc4077"/>
      <w:bookmarkStart w:id="8" w:name="_Toc26756"/>
      <w:bookmarkStart w:id="9" w:name="_Toc7114"/>
      <w:bookmarkStart w:id="10" w:name="_Toc531600008"/>
      <w:bookmarkStart w:id="11" w:name="_Toc27584"/>
      <w:bookmarkStart w:id="12" w:name="_Toc21901"/>
      <w:bookmarkStart w:id="13" w:name="_Toc531600009"/>
      <w:bookmarkStart w:id="14" w:name="_Toc29444"/>
      <w:bookmarkStart w:id="15" w:name="_Toc463706300"/>
      <w:bookmarkStart w:id="16" w:name="_Toc26565"/>
      <w:bookmarkStart w:id="17" w:name="_Toc19475_WPSOffice_Level1"/>
      <w:bookmarkStart w:id="18" w:name="_Toc9221"/>
      <w:r>
        <w:rPr>
          <w:rFonts w:hint="eastAsia" w:ascii="宋体" w:hAnsi="宋体" w:eastAsia="宋体" w:cs="宋体"/>
          <w:color w:val="auto"/>
          <w:highlight w:val="none"/>
        </w:rPr>
        <w:t>第一章  公开招标公告</w:t>
      </w:r>
      <w:bookmarkEnd w:id="5"/>
      <w:bookmarkEnd w:id="6"/>
      <w:bookmarkEnd w:id="7"/>
      <w:bookmarkEnd w:id="8"/>
      <w:bookmarkEnd w:id="9"/>
      <w:bookmarkEnd w:id="10"/>
      <w:bookmarkEnd w:id="11"/>
    </w:p>
    <w:p>
      <w:pPr>
        <w:pStyle w:val="31"/>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忻城县生活垃圾清运及处理工作市场化运作项目</w:t>
      </w:r>
    </w:p>
    <w:p>
      <w:pPr>
        <w:pStyle w:val="31"/>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hAnsi="宋体" w:cs="宋体"/>
          <w:b/>
          <w:bCs/>
          <w:color w:val="auto"/>
          <w:sz w:val="28"/>
          <w:szCs w:val="28"/>
          <w:highlight w:val="none"/>
          <w:lang w:eastAsia="zh-CN"/>
        </w:rPr>
        <w:t>LBXCZC2020-G3-01296-GXXT</w:t>
      </w:r>
      <w:r>
        <w:rPr>
          <w:rFonts w:hint="eastAsia" w:ascii="宋体" w:hAnsi="宋体" w:eastAsia="宋体" w:cs="宋体"/>
          <w:b/>
          <w:bCs/>
          <w:color w:val="auto"/>
          <w:sz w:val="28"/>
          <w:szCs w:val="28"/>
          <w:highlight w:val="none"/>
        </w:rPr>
        <w:t>）公开招标公告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rPr>
      </w:pPr>
      <w:bookmarkStart w:id="19" w:name="_Toc35393790"/>
      <w:bookmarkStart w:id="20" w:name="_Toc28359002"/>
      <w:bookmarkStart w:id="21" w:name="_Toc35393621"/>
      <w:bookmarkStart w:id="22" w:name="_Toc28359079"/>
      <w:bookmarkStart w:id="23" w:name="_Hlk24379207"/>
      <w:r>
        <w:rPr>
          <w:rFonts w:hint="eastAsia" w:ascii="宋体" w:hAnsi="宋体" w:eastAsia="宋体" w:cs="宋体"/>
          <w:color w:val="auto"/>
          <w:szCs w:val="21"/>
          <w:highlight w:val="none"/>
          <w:u w:val="single"/>
        </w:rPr>
        <w:t>忻城县生活垃圾清运及处理工作市场化运作项目</w:t>
      </w:r>
      <w:r>
        <w:rPr>
          <w:rFonts w:hint="eastAsia" w:ascii="宋体" w:hAnsi="宋体" w:eastAsia="宋体" w:cs="宋体"/>
          <w:color w:val="auto"/>
          <w:szCs w:val="21"/>
          <w:highlight w:val="none"/>
        </w:rPr>
        <w:t>招标项目的潜在投标人应在全国公共资源交易平台（广西•来宾</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u w:val="none"/>
          <w:lang w:eastAsia="zh-CN"/>
        </w:rPr>
        <w:fldChar w:fldCharType="begin"/>
      </w:r>
      <w:r>
        <w:rPr>
          <w:rFonts w:hint="eastAsia" w:ascii="宋体" w:hAnsi="宋体" w:eastAsia="宋体" w:cs="宋体"/>
          <w:color w:val="auto"/>
          <w:szCs w:val="21"/>
          <w:highlight w:val="none"/>
          <w:u w:val="none"/>
          <w:lang w:eastAsia="zh-CN"/>
        </w:rPr>
        <w:instrText xml:space="preserve"> HYPERLINK "http://ggzy.jgswj.gxzf.gov.cn/lbggzy/）获取采购文件，并于2021年1月5日" </w:instrText>
      </w:r>
      <w:r>
        <w:rPr>
          <w:rFonts w:hint="eastAsia" w:ascii="宋体" w:hAnsi="宋体" w:eastAsia="宋体" w:cs="宋体"/>
          <w:color w:val="auto"/>
          <w:szCs w:val="21"/>
          <w:highlight w:val="none"/>
          <w:u w:val="none"/>
          <w:lang w:eastAsia="zh-CN"/>
        </w:rPr>
        <w:fldChar w:fldCharType="separate"/>
      </w:r>
      <w:r>
        <w:rPr>
          <w:rStyle w:val="70"/>
          <w:rFonts w:hint="eastAsia" w:ascii="宋体" w:hAnsi="宋体" w:eastAsia="宋体" w:cs="宋体"/>
          <w:color w:val="auto"/>
          <w:szCs w:val="21"/>
          <w:highlight w:val="none"/>
          <w:u w:val="none"/>
          <w:lang w:eastAsia="zh-CN"/>
        </w:rPr>
        <w:t>http://ggzy.jgswj.gxzf.gov.cn/lbggzy/</w:t>
      </w:r>
      <w:r>
        <w:rPr>
          <w:rStyle w:val="70"/>
          <w:rFonts w:hint="eastAsia" w:ascii="宋体" w:hAnsi="宋体" w:cs="宋体"/>
          <w:color w:val="auto"/>
          <w:szCs w:val="21"/>
          <w:highlight w:val="none"/>
          <w:u w:val="none"/>
          <w:lang w:eastAsia="zh-CN"/>
        </w:rPr>
        <w:t>）</w:t>
      </w:r>
      <w:r>
        <w:rPr>
          <w:rStyle w:val="70"/>
          <w:rFonts w:hint="eastAsia" w:ascii="宋体" w:hAnsi="宋体" w:eastAsia="宋体" w:cs="宋体"/>
          <w:color w:val="auto"/>
          <w:szCs w:val="21"/>
          <w:highlight w:val="none"/>
          <w:u w:val="none"/>
          <w:lang w:eastAsia="zh-CN"/>
        </w:rPr>
        <w:t>获取采购文件，并于</w:t>
      </w:r>
      <w:r>
        <w:rPr>
          <w:rStyle w:val="70"/>
          <w:rFonts w:hint="eastAsia" w:ascii="宋体" w:hAnsi="宋体" w:eastAsia="宋体" w:cs="宋体"/>
          <w:color w:val="auto"/>
          <w:szCs w:val="21"/>
          <w:highlight w:val="none"/>
          <w:u w:val="none"/>
          <w:lang w:val="en-US" w:eastAsia="zh-CN"/>
        </w:rPr>
        <w:t>202</w:t>
      </w:r>
      <w:r>
        <w:rPr>
          <w:rStyle w:val="70"/>
          <w:rFonts w:hint="eastAsia" w:ascii="宋体" w:hAnsi="宋体" w:cs="宋体"/>
          <w:color w:val="auto"/>
          <w:szCs w:val="21"/>
          <w:highlight w:val="none"/>
          <w:u w:val="none"/>
          <w:lang w:val="en-US" w:eastAsia="zh-CN"/>
        </w:rPr>
        <w:t>1</w:t>
      </w:r>
      <w:r>
        <w:rPr>
          <w:rStyle w:val="70"/>
          <w:rFonts w:hint="eastAsia" w:ascii="宋体" w:hAnsi="宋体" w:eastAsia="宋体" w:cs="宋体"/>
          <w:color w:val="auto"/>
          <w:szCs w:val="21"/>
          <w:highlight w:val="none"/>
          <w:u w:val="none"/>
          <w:lang w:val="en-US" w:eastAsia="zh-CN"/>
        </w:rPr>
        <w:t>年</w:t>
      </w:r>
      <w:r>
        <w:rPr>
          <w:rStyle w:val="70"/>
          <w:rFonts w:hint="eastAsia" w:ascii="宋体" w:hAnsi="宋体" w:cs="宋体"/>
          <w:color w:val="auto"/>
          <w:szCs w:val="21"/>
          <w:highlight w:val="none"/>
          <w:u w:val="none"/>
          <w:lang w:val="en-US" w:eastAsia="zh-CN"/>
        </w:rPr>
        <w:t>1</w:t>
      </w:r>
      <w:r>
        <w:rPr>
          <w:rStyle w:val="70"/>
          <w:rFonts w:hint="eastAsia" w:ascii="宋体" w:hAnsi="宋体" w:eastAsia="宋体" w:cs="宋体"/>
          <w:color w:val="auto"/>
          <w:szCs w:val="21"/>
          <w:highlight w:val="none"/>
          <w:u w:val="none"/>
          <w:lang w:val="en-US" w:eastAsia="zh-CN"/>
        </w:rPr>
        <w:t>月</w:t>
      </w:r>
      <w:r>
        <w:rPr>
          <w:rStyle w:val="70"/>
          <w:rFonts w:hint="eastAsia" w:ascii="宋体" w:hAnsi="宋体" w:cs="宋体"/>
          <w:color w:val="auto"/>
          <w:szCs w:val="21"/>
          <w:highlight w:val="none"/>
          <w:u w:val="none"/>
          <w:lang w:val="en-US" w:eastAsia="zh-CN"/>
        </w:rPr>
        <w:t>21</w:t>
      </w:r>
      <w:r>
        <w:rPr>
          <w:rStyle w:val="70"/>
          <w:rFonts w:hint="eastAsia" w:ascii="宋体" w:hAnsi="宋体" w:eastAsia="宋体" w:cs="宋体"/>
          <w:color w:val="auto"/>
          <w:szCs w:val="21"/>
          <w:highlight w:val="none"/>
          <w:u w:val="none"/>
          <w:lang w:val="en-US" w:eastAsia="zh-CN"/>
        </w:rPr>
        <w:t>日</w:t>
      </w:r>
      <w:r>
        <w:rPr>
          <w:rFonts w:hint="eastAsia" w:ascii="宋体" w:hAnsi="宋体" w:eastAsia="宋体" w:cs="宋体"/>
          <w:color w:val="auto"/>
          <w:szCs w:val="21"/>
          <w:highlight w:val="none"/>
          <w:u w:val="none"/>
          <w:lang w:eastAsia="zh-CN"/>
        </w:rPr>
        <w:fldChar w:fldCharType="end"/>
      </w:r>
      <w:r>
        <w:rPr>
          <w:rFonts w:hint="eastAsia" w:ascii="宋体" w:hAnsi="宋体" w:cs="宋体"/>
          <w:color w:val="auto"/>
          <w:szCs w:val="21"/>
          <w:highlight w:val="none"/>
          <w:u w:val="none"/>
          <w:lang w:val="en-US" w:eastAsia="zh-CN"/>
        </w:rPr>
        <w:t>10</w:t>
      </w:r>
      <w:r>
        <w:rPr>
          <w:rFonts w:hint="eastAsia" w:ascii="宋体" w:hAnsi="宋体" w:eastAsia="宋体" w:cs="宋体"/>
          <w:color w:val="auto"/>
          <w:szCs w:val="21"/>
          <w:highlight w:val="none"/>
          <w:u w:val="none"/>
          <w:lang w:val="en-US" w:eastAsia="zh-CN"/>
        </w:rPr>
        <w:t>时</w:t>
      </w:r>
      <w:r>
        <w:rPr>
          <w:rFonts w:hint="eastAsia" w:ascii="宋体" w:hAnsi="宋体" w:cs="宋体"/>
          <w:color w:val="auto"/>
          <w:szCs w:val="21"/>
          <w:highlight w:val="none"/>
          <w:u w:val="none"/>
          <w:lang w:val="en-US" w:eastAsia="zh-CN"/>
        </w:rPr>
        <w:t>00</w:t>
      </w:r>
      <w:r>
        <w:rPr>
          <w:rFonts w:hint="eastAsia" w:ascii="宋体" w:hAnsi="宋体" w:eastAsia="宋体" w:cs="宋体"/>
          <w:color w:val="auto"/>
          <w:szCs w:val="21"/>
          <w:highlight w:val="none"/>
          <w:u w:val="none"/>
          <w:lang w:val="en-US" w:eastAsia="zh-CN"/>
        </w:rPr>
        <w:t>分</w:t>
      </w:r>
      <w:r>
        <w:rPr>
          <w:rFonts w:hint="eastAsia" w:ascii="宋体" w:hAnsi="宋体" w:eastAsia="宋体" w:cs="宋体"/>
          <w:bCs/>
          <w:color w:val="auto"/>
          <w:szCs w:val="21"/>
          <w:highlight w:val="none"/>
        </w:rPr>
        <w:t>（北京时间）前提交响应文件。</w:t>
      </w:r>
    </w:p>
    <w:p>
      <w:pPr>
        <w:pStyle w:val="6"/>
        <w:pageBreakBefore w:val="0"/>
        <w:kinsoku/>
        <w:wordWrap/>
        <w:overflowPunct/>
        <w:topLinePunct w:val="0"/>
        <w:autoSpaceDE/>
        <w:autoSpaceDN/>
        <w:bidi w:val="0"/>
        <w:spacing w:line="34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一、项目基本情况</w:t>
      </w:r>
      <w:bookmarkEnd w:id="19"/>
      <w:bookmarkEnd w:id="20"/>
      <w:bookmarkEnd w:id="21"/>
      <w:bookmarkEnd w:id="22"/>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LBXCZC2020-G3-01296-GXXT</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bookmarkEnd w:id="23"/>
      <w:r>
        <w:rPr>
          <w:rFonts w:hint="eastAsia" w:ascii="宋体" w:hAnsi="宋体" w:eastAsia="宋体" w:cs="宋体"/>
          <w:color w:val="auto"/>
          <w:szCs w:val="21"/>
          <w:highlight w:val="none"/>
        </w:rPr>
        <w:t>忻城县生活垃圾清运及处理工作市场化运作项目</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A标段：</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lang w:val="en-US" w:eastAsia="zh-CN"/>
        </w:rPr>
        <w:t>7234800.00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eastAsia="zh-CN"/>
        </w:rPr>
        <w:t>，三年合计</w:t>
      </w:r>
      <w:r>
        <w:rPr>
          <w:rFonts w:hint="eastAsia" w:ascii="宋体" w:hAnsi="宋体" w:eastAsia="宋体" w:cs="宋体"/>
          <w:color w:val="auto"/>
          <w:szCs w:val="21"/>
          <w:highlight w:val="none"/>
          <w:lang w:val="en-US" w:eastAsia="zh-CN"/>
        </w:rPr>
        <w:t>21704400.00元。</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B标段：</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lang w:val="en-US" w:eastAsia="zh-CN"/>
        </w:rPr>
        <w:t>11208300.00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eastAsia="zh-CN"/>
        </w:rPr>
        <w:t>，三年合计</w:t>
      </w:r>
      <w:r>
        <w:rPr>
          <w:rFonts w:hint="eastAsia" w:ascii="宋体" w:hAnsi="宋体" w:eastAsia="宋体" w:cs="宋体"/>
          <w:color w:val="auto"/>
          <w:szCs w:val="21"/>
          <w:highlight w:val="none"/>
          <w:lang w:val="en-US" w:eastAsia="zh-CN"/>
        </w:rPr>
        <w:t>33624900.00元。</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A标段：</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lang w:val="en-US" w:eastAsia="zh-CN"/>
        </w:rPr>
        <w:t>7234800.00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eastAsia="zh-CN"/>
        </w:rPr>
        <w:t>，三年合计</w:t>
      </w:r>
      <w:r>
        <w:rPr>
          <w:rFonts w:hint="eastAsia" w:ascii="宋体" w:hAnsi="宋体" w:eastAsia="宋体" w:cs="宋体"/>
          <w:color w:val="auto"/>
          <w:szCs w:val="21"/>
          <w:highlight w:val="none"/>
          <w:lang w:val="en-US" w:eastAsia="zh-CN"/>
        </w:rPr>
        <w:t>21704400.00元。</w:t>
      </w:r>
    </w:p>
    <w:p>
      <w:pPr>
        <w:pStyle w:val="24"/>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B标段：</w:t>
      </w: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11208300.00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lang w:eastAsia="zh-CN"/>
        </w:rPr>
        <w:t>，三年合计</w:t>
      </w:r>
      <w:r>
        <w:rPr>
          <w:rFonts w:hint="eastAsia" w:ascii="宋体" w:hAnsi="宋体" w:eastAsia="宋体" w:cs="宋体"/>
          <w:color w:val="auto"/>
          <w:sz w:val="21"/>
          <w:szCs w:val="21"/>
          <w:highlight w:val="none"/>
          <w:lang w:val="en-US" w:eastAsia="zh-CN"/>
        </w:rPr>
        <w:t>33624900.00元。</w:t>
      </w:r>
    </w:p>
    <w:p>
      <w:pPr>
        <w:pStyle w:val="24"/>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pStyle w:val="24"/>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A标段：忻城</w:t>
      </w:r>
      <w:r>
        <w:rPr>
          <w:rFonts w:hint="eastAsia" w:ascii="宋体" w:hAnsi="宋体" w:eastAsia="宋体" w:cs="宋体"/>
          <w:color w:val="auto"/>
          <w:sz w:val="21"/>
          <w:szCs w:val="21"/>
          <w:highlight w:val="none"/>
        </w:rPr>
        <w:t>县生活垃圾清运及处理工作市场化运作项目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具体内容详见招标文件。</w:t>
      </w:r>
    </w:p>
    <w:p>
      <w:pPr>
        <w:pStyle w:val="24"/>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B标段：</w:t>
      </w:r>
      <w:r>
        <w:rPr>
          <w:rFonts w:hint="eastAsia" w:ascii="宋体" w:hAnsi="宋体" w:eastAsia="宋体" w:cs="宋体"/>
          <w:color w:val="auto"/>
          <w:sz w:val="21"/>
          <w:szCs w:val="21"/>
          <w:highlight w:val="none"/>
          <w:lang w:val="en-US" w:eastAsia="zh-CN"/>
        </w:rPr>
        <w:t>忻城县</w:t>
      </w:r>
      <w:r>
        <w:rPr>
          <w:rFonts w:hint="eastAsia" w:ascii="宋体" w:hAnsi="宋体" w:cs="宋体"/>
          <w:color w:val="auto"/>
          <w:sz w:val="21"/>
          <w:szCs w:val="21"/>
          <w:highlight w:val="none"/>
          <w:lang w:val="en-US" w:eastAsia="zh-CN"/>
        </w:rPr>
        <w:t>城区道路清扫保洁服务</w:t>
      </w:r>
      <w:r>
        <w:rPr>
          <w:rFonts w:hint="eastAsia" w:ascii="宋体" w:hAnsi="宋体" w:eastAsia="宋体" w:cs="宋体"/>
          <w:color w:val="auto"/>
          <w:sz w:val="21"/>
          <w:szCs w:val="21"/>
          <w:highlight w:val="none"/>
          <w:lang w:val="en-US" w:eastAsia="zh-CN"/>
        </w:rPr>
        <w:t>工作市场化运作项目，具体内容详见招标文件。</w:t>
      </w:r>
    </w:p>
    <w:p>
      <w:pPr>
        <w:pStyle w:val="24"/>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期限：</w:t>
      </w:r>
      <w:r>
        <w:rPr>
          <w:rFonts w:hint="eastAsia" w:ascii="宋体" w:hAnsi="宋体" w:eastAsia="宋体" w:cs="宋体"/>
          <w:color w:val="auto"/>
          <w:sz w:val="21"/>
          <w:szCs w:val="21"/>
          <w:highlight w:val="none"/>
          <w:lang w:val="en-US" w:eastAsia="zh-CN"/>
        </w:rPr>
        <w:t>自合同签订之日起</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年。</w:t>
      </w:r>
    </w:p>
    <w:p>
      <w:pPr>
        <w:pStyle w:val="24"/>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pPr>
        <w:pStyle w:val="24"/>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注：符合</w:t>
      </w:r>
      <w:r>
        <w:rPr>
          <w:rFonts w:hint="eastAsia" w:ascii="宋体" w:hAnsi="宋体" w:eastAsia="宋体" w:cs="宋体"/>
          <w:b/>
          <w:bCs/>
          <w:color w:val="auto"/>
          <w:sz w:val="21"/>
          <w:szCs w:val="21"/>
          <w:highlight w:val="none"/>
          <w:lang w:eastAsia="zh-CN"/>
        </w:rPr>
        <w:t>资格要求的</w:t>
      </w:r>
      <w:r>
        <w:rPr>
          <w:rFonts w:hint="eastAsia" w:ascii="宋体" w:hAnsi="宋体" w:eastAsia="宋体" w:cs="宋体"/>
          <w:b/>
          <w:bCs/>
          <w:color w:val="auto"/>
          <w:sz w:val="21"/>
          <w:szCs w:val="21"/>
          <w:highlight w:val="none"/>
        </w:rPr>
        <w:t>投标人均可</w:t>
      </w:r>
      <w:r>
        <w:rPr>
          <w:rFonts w:hint="eastAsia" w:ascii="宋体" w:hAnsi="宋体" w:eastAsia="宋体" w:cs="宋体"/>
          <w:b/>
          <w:bCs/>
          <w:color w:val="auto"/>
          <w:sz w:val="21"/>
          <w:szCs w:val="21"/>
          <w:highlight w:val="none"/>
          <w:lang w:eastAsia="zh-CN"/>
        </w:rPr>
        <w:t>对</w:t>
      </w:r>
      <w:r>
        <w:rPr>
          <w:rFonts w:hint="eastAsia" w:ascii="宋体" w:hAnsi="宋体" w:eastAsia="宋体" w:cs="宋体"/>
          <w:b/>
          <w:bCs/>
          <w:color w:val="auto"/>
          <w:sz w:val="21"/>
          <w:szCs w:val="21"/>
          <w:highlight w:val="none"/>
        </w:rPr>
        <w:t>本采购项目的所有标段进行投标，且同一投标人</w:t>
      </w:r>
      <w:r>
        <w:rPr>
          <w:rFonts w:hint="eastAsia" w:ascii="宋体" w:hAnsi="宋体" w:eastAsia="宋体" w:cs="宋体"/>
          <w:b/>
          <w:bCs/>
          <w:color w:val="auto"/>
          <w:sz w:val="21"/>
          <w:szCs w:val="21"/>
          <w:highlight w:val="none"/>
          <w:lang w:eastAsia="zh-CN"/>
        </w:rPr>
        <w:t>只</w:t>
      </w:r>
      <w:r>
        <w:rPr>
          <w:rFonts w:hint="eastAsia" w:ascii="宋体" w:hAnsi="宋体" w:eastAsia="宋体" w:cs="宋体"/>
          <w:b/>
          <w:bCs/>
          <w:color w:val="auto"/>
          <w:sz w:val="21"/>
          <w:szCs w:val="21"/>
          <w:highlight w:val="none"/>
        </w:rPr>
        <w:t>允许中</w:t>
      </w: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个标段。</w:t>
      </w:r>
    </w:p>
    <w:p>
      <w:pPr>
        <w:pStyle w:val="6"/>
        <w:pageBreakBefore w:val="0"/>
        <w:kinsoku/>
        <w:wordWrap/>
        <w:overflowPunct/>
        <w:topLinePunct w:val="0"/>
        <w:autoSpaceDE/>
        <w:autoSpaceDN/>
        <w:bidi w:val="0"/>
        <w:spacing w:line="340" w:lineRule="exact"/>
        <w:textAlignment w:val="auto"/>
        <w:rPr>
          <w:rFonts w:hint="eastAsia" w:ascii="宋体" w:hAnsi="宋体" w:eastAsia="宋体" w:cs="宋体"/>
          <w:b/>
          <w:bCs w:val="0"/>
          <w:color w:val="auto"/>
          <w:sz w:val="21"/>
          <w:szCs w:val="21"/>
          <w:highlight w:val="none"/>
        </w:rPr>
      </w:pPr>
      <w:bookmarkStart w:id="24" w:name="_Toc28359080"/>
      <w:bookmarkStart w:id="25" w:name="_Toc35393791"/>
      <w:bookmarkStart w:id="26" w:name="_Toc28359003"/>
      <w:bookmarkStart w:id="27" w:name="_Toc35393622"/>
      <w:r>
        <w:rPr>
          <w:rFonts w:hint="eastAsia" w:ascii="宋体" w:hAnsi="宋体" w:eastAsia="宋体" w:cs="宋体"/>
          <w:b/>
          <w:bCs w:val="0"/>
          <w:color w:val="auto"/>
          <w:sz w:val="21"/>
          <w:szCs w:val="21"/>
          <w:highlight w:val="none"/>
        </w:rPr>
        <w:t>二、申请人的资格要求：</w:t>
      </w:r>
      <w:bookmarkEnd w:id="24"/>
      <w:bookmarkEnd w:id="25"/>
      <w:bookmarkEnd w:id="26"/>
      <w:bookmarkEnd w:id="27"/>
    </w:p>
    <w:p>
      <w:pPr>
        <w:pStyle w:val="24"/>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1、满足《中华人民共和国政府采购法》第二十二条规定；具有中华人民共和国国内独立法人资格，在人员、设备、资金等方面达到本项目的招标要求。</w:t>
      </w:r>
    </w:p>
    <w:p>
      <w:pPr>
        <w:pStyle w:val="24"/>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2、落实政府采购政策需满足的资格要求</w:t>
      </w:r>
      <w:r>
        <w:rPr>
          <w:rFonts w:hint="eastAsia" w:ascii="宋体" w:hAnsi="宋体" w:cs="宋体"/>
          <w:color w:val="auto"/>
          <w:sz w:val="21"/>
          <w:szCs w:val="21"/>
          <w:highlight w:val="none"/>
          <w:lang w:val="en-US" w:eastAsia="zh-CN"/>
        </w:rPr>
        <w:t>：无</w:t>
      </w:r>
    </w:p>
    <w:p>
      <w:pPr>
        <w:pStyle w:val="24"/>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本项目的特定资格要求：无；</w:t>
      </w:r>
    </w:p>
    <w:p>
      <w:pPr>
        <w:pStyle w:val="24"/>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 w:val="21"/>
          <w:szCs w:val="21"/>
          <w:highlight w:val="none"/>
        </w:rPr>
      </w:pPr>
      <w:bookmarkStart w:id="28" w:name="_Toc28359081"/>
      <w:bookmarkStart w:id="29" w:name="_Toc28359004"/>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4"/>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6"/>
        <w:pageBreakBefore w:val="0"/>
        <w:kinsoku/>
        <w:wordWrap/>
        <w:overflowPunct/>
        <w:topLinePunct w:val="0"/>
        <w:autoSpaceDE/>
        <w:autoSpaceDN/>
        <w:bidi w:val="0"/>
        <w:spacing w:line="340" w:lineRule="exact"/>
        <w:textAlignment w:val="auto"/>
        <w:rPr>
          <w:rFonts w:hint="eastAsia" w:ascii="宋体" w:hAnsi="宋体" w:eastAsia="宋体" w:cs="宋体"/>
          <w:b/>
          <w:bCs w:val="0"/>
          <w:color w:val="auto"/>
          <w:sz w:val="21"/>
          <w:szCs w:val="21"/>
          <w:highlight w:val="none"/>
        </w:rPr>
      </w:pPr>
      <w:bookmarkStart w:id="30" w:name="_Toc35393623"/>
      <w:bookmarkStart w:id="31" w:name="_Toc35393792"/>
      <w:r>
        <w:rPr>
          <w:rFonts w:hint="eastAsia" w:ascii="宋体" w:hAnsi="宋体" w:eastAsia="宋体" w:cs="宋体"/>
          <w:b/>
          <w:bCs w:val="0"/>
          <w:color w:val="auto"/>
          <w:sz w:val="21"/>
          <w:szCs w:val="21"/>
          <w:highlight w:val="none"/>
        </w:rPr>
        <w:t>三、获取招标文件</w:t>
      </w:r>
      <w:bookmarkEnd w:id="28"/>
      <w:bookmarkEnd w:id="29"/>
      <w:bookmarkEnd w:id="30"/>
      <w:bookmarkEnd w:id="31"/>
    </w:p>
    <w:p>
      <w:pPr>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时间：2020年</w:t>
      </w:r>
      <w:r>
        <w:rPr>
          <w:rFonts w:hint="eastAsia" w:ascii="宋体" w:hAnsi="宋体" w:cs="宋体"/>
          <w:color w:val="auto"/>
          <w:szCs w:val="21"/>
          <w:highlight w:val="none"/>
          <w:u w:val="none"/>
          <w:lang w:val="en-US" w:eastAsia="zh-CN"/>
        </w:rPr>
        <w:t>12</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30日</w:t>
      </w:r>
      <w:r>
        <w:rPr>
          <w:rFonts w:hint="eastAsia" w:ascii="宋体" w:hAnsi="宋体" w:eastAsia="宋体" w:cs="宋体"/>
          <w:color w:val="auto"/>
          <w:szCs w:val="21"/>
          <w:highlight w:val="none"/>
        </w:rPr>
        <w:t>至投标截止时间止，每天上午8:00至12:00，下午15:00至18:00（北京时间，法定节假日除外）</w:t>
      </w:r>
    </w:p>
    <w:p>
      <w:pPr>
        <w:pStyle w:val="24"/>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由潜在投标人的账号及密码或企业CA锁登录全国公共资源交易平台（广西•来宾）（http://ggzy.jgswj.gxzf.gov.cn/lbggzy/）</w:t>
      </w:r>
      <w:r>
        <w:rPr>
          <w:rFonts w:hint="eastAsia" w:ascii="宋体" w:hAnsi="宋体" w:eastAsia="宋体" w:cs="宋体"/>
          <w:color w:val="auto"/>
          <w:sz w:val="21"/>
          <w:szCs w:val="21"/>
          <w:highlight w:val="none"/>
        </w:rPr>
        <w:t>自行下载招标文件电子版</w:t>
      </w:r>
      <w:r>
        <w:rPr>
          <w:rFonts w:hint="eastAsia" w:ascii="宋体" w:hAnsi="宋体" w:eastAsia="宋体" w:cs="宋体"/>
          <w:color w:val="auto"/>
          <w:sz w:val="21"/>
          <w:szCs w:val="21"/>
          <w:highlight w:val="none"/>
          <w:lang w:eastAsia="zh-CN"/>
        </w:rPr>
        <w:t>。</w:t>
      </w:r>
    </w:p>
    <w:p>
      <w:pPr>
        <w:pageBreakBefore w:val="0"/>
        <w:kinsoku/>
        <w:wordWrap/>
        <w:overflowPunct/>
        <w:topLinePunct w:val="0"/>
        <w:autoSpaceDE/>
        <w:autoSpaceDN/>
        <w:bidi w:val="0"/>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方式：本项目采用不记名方式自行下载招标文件。潜在投标人均可于2020年</w:t>
      </w:r>
      <w:r>
        <w:rPr>
          <w:rFonts w:hint="eastAsia" w:ascii="宋体" w:hAnsi="宋体" w:cs="宋体"/>
          <w:color w:val="auto"/>
          <w:szCs w:val="21"/>
          <w:highlight w:val="none"/>
          <w:u w:val="none"/>
          <w:lang w:val="en-US" w:eastAsia="zh-CN"/>
        </w:rPr>
        <w:t>12</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30日</w:t>
      </w:r>
      <w:r>
        <w:rPr>
          <w:rFonts w:hint="eastAsia" w:ascii="宋体" w:hAnsi="宋体" w:eastAsia="宋体" w:cs="宋体"/>
          <w:color w:val="auto"/>
          <w:szCs w:val="21"/>
          <w:highlight w:val="none"/>
        </w:rPr>
        <w:t>至投标截止时间止在</w:t>
      </w:r>
      <w:r>
        <w:rPr>
          <w:rFonts w:hint="eastAsia" w:ascii="宋体" w:hAnsi="宋体" w:eastAsia="宋体" w:cs="宋体"/>
          <w:color w:val="auto"/>
          <w:sz w:val="21"/>
          <w:szCs w:val="21"/>
          <w:highlight w:val="none"/>
          <w:lang w:val="en-US" w:eastAsia="zh-CN"/>
        </w:rPr>
        <w:t>全国公共资源交易平台（广西•来宾）（http://ggzy.jgswj.gxzf.gov.cn/lbggzy/）</w:t>
      </w:r>
      <w:r>
        <w:rPr>
          <w:rFonts w:hint="eastAsia" w:ascii="宋体" w:hAnsi="宋体" w:eastAsia="宋体" w:cs="宋体"/>
          <w:color w:val="auto"/>
          <w:szCs w:val="21"/>
          <w:highlight w:val="none"/>
        </w:rPr>
        <w:t>自行下载招标文件电子版</w:t>
      </w:r>
      <w:r>
        <w:rPr>
          <w:rFonts w:hint="eastAsia" w:ascii="宋体" w:hAnsi="宋体" w:eastAsia="宋体" w:cs="宋体"/>
          <w:color w:val="auto"/>
          <w:szCs w:val="21"/>
          <w:highlight w:val="none"/>
          <w:lang w:eastAsia="zh-CN"/>
        </w:rPr>
        <w:t>。</w:t>
      </w:r>
    </w:p>
    <w:p>
      <w:pPr>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售价：招标文件每套售价250元(不再收取其他任何费用)，采购代理机构在投标人递交投标文件现场收取费用及开具凭证（请各投标人尽量合理安排时间，招标代理工作人员以购买招标文件凭证接收投标文件）。</w:t>
      </w:r>
    </w:p>
    <w:p>
      <w:pPr>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注：1.依据国家税务总局2017年第16号《国家税务总局关于增值税发票开具有关问题的公告》的规定，索取发票的，投标人应当提供纳税人识别号或统一社会信用代码；</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2.已获取招标文件的投标人不等于符合本项目的投标人资格；</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配合采购人进行政府采购项目执行和备案，未在政采云注册的供应商可在获取招标文件后登录政采云（https://www.zcygov.cn/）进行注册，如在操作过程中遇到问题或者需要技术支持，请致电政采云客服热线：400-881-7190。</w:t>
      </w:r>
    </w:p>
    <w:p>
      <w:pPr>
        <w:pStyle w:val="6"/>
        <w:pageBreakBefore w:val="0"/>
        <w:kinsoku/>
        <w:wordWrap/>
        <w:overflowPunct/>
        <w:topLinePunct w:val="0"/>
        <w:autoSpaceDE/>
        <w:autoSpaceDN/>
        <w:bidi w:val="0"/>
        <w:spacing w:line="340" w:lineRule="exact"/>
        <w:textAlignment w:val="auto"/>
        <w:rPr>
          <w:rFonts w:hint="eastAsia" w:ascii="宋体" w:hAnsi="宋体" w:eastAsia="宋体" w:cs="宋体"/>
          <w:b w:val="0"/>
          <w:color w:val="auto"/>
          <w:sz w:val="21"/>
          <w:szCs w:val="21"/>
          <w:highlight w:val="none"/>
        </w:rPr>
      </w:pPr>
      <w:bookmarkStart w:id="32" w:name="_Toc28359082"/>
      <w:bookmarkStart w:id="33" w:name="_Toc28359005"/>
      <w:bookmarkStart w:id="34" w:name="_Toc35393624"/>
      <w:bookmarkStart w:id="35" w:name="_Toc35393793"/>
      <w:r>
        <w:rPr>
          <w:rFonts w:hint="eastAsia" w:ascii="宋体" w:hAnsi="宋体" w:eastAsia="宋体" w:cs="宋体"/>
          <w:b/>
          <w:bCs w:val="0"/>
          <w:color w:val="auto"/>
          <w:sz w:val="21"/>
          <w:szCs w:val="21"/>
          <w:highlight w:val="none"/>
        </w:rPr>
        <w:t>四、提交投标文件</w:t>
      </w:r>
      <w:bookmarkEnd w:id="32"/>
      <w:bookmarkEnd w:id="33"/>
      <w:r>
        <w:rPr>
          <w:rFonts w:hint="eastAsia" w:ascii="宋体" w:hAnsi="宋体" w:eastAsia="宋体" w:cs="宋体"/>
          <w:b/>
          <w:bCs w:val="0"/>
          <w:color w:val="auto"/>
          <w:sz w:val="21"/>
          <w:szCs w:val="21"/>
          <w:highlight w:val="none"/>
        </w:rPr>
        <w:t>截止时间、开标时间和地点</w:t>
      </w:r>
      <w:bookmarkEnd w:id="34"/>
      <w:bookmarkEnd w:id="35"/>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bCs/>
          <w:color w:val="auto"/>
          <w:szCs w:val="21"/>
          <w:highlight w:val="none"/>
        </w:rPr>
      </w:pPr>
      <w:bookmarkStart w:id="36" w:name="_Toc28359084"/>
      <w:bookmarkStart w:id="37" w:name="_Toc35393625"/>
      <w:bookmarkStart w:id="38" w:name="_Toc35393794"/>
      <w:bookmarkStart w:id="39" w:name="_Toc28359007"/>
      <w:r>
        <w:rPr>
          <w:rFonts w:hint="eastAsia" w:ascii="宋体" w:hAnsi="宋体" w:eastAsia="宋体" w:cs="宋体"/>
          <w:bCs/>
          <w:color w:val="auto"/>
          <w:szCs w:val="21"/>
          <w:highlight w:val="none"/>
        </w:rPr>
        <w:t>时间：</w:t>
      </w:r>
      <w:r>
        <w:rPr>
          <w:rFonts w:hint="eastAsia" w:ascii="宋体" w:hAnsi="宋体" w:eastAsia="宋体" w:cs="宋体"/>
          <w:bCs/>
          <w:color w:val="auto"/>
          <w:szCs w:val="21"/>
          <w:highlight w:val="none"/>
          <w:lang w:val="en-US" w:eastAsia="zh-CN"/>
        </w:rPr>
        <w:t>2021</w:t>
      </w:r>
      <w:r>
        <w:rPr>
          <w:rFonts w:hint="eastAsia" w:ascii="宋体" w:hAnsi="宋体" w:eastAsia="宋体" w:cs="宋体"/>
          <w:bCs/>
          <w:color w:val="auto"/>
          <w:szCs w:val="21"/>
          <w:highlight w:val="none"/>
          <w:u w:val="none"/>
          <w:lang w:val="en-US" w:eastAsia="zh-CN"/>
        </w:rPr>
        <w:t>年</w:t>
      </w:r>
      <w:r>
        <w:rPr>
          <w:rFonts w:hint="eastAsia" w:ascii="宋体" w:hAnsi="宋体" w:cs="宋体"/>
          <w:bCs/>
          <w:color w:val="auto"/>
          <w:szCs w:val="21"/>
          <w:highlight w:val="none"/>
          <w:u w:val="none"/>
          <w:lang w:val="en-US" w:eastAsia="zh-CN"/>
        </w:rPr>
        <w:t>1</w:t>
      </w:r>
      <w:r>
        <w:rPr>
          <w:rFonts w:hint="eastAsia" w:ascii="宋体" w:hAnsi="宋体" w:eastAsia="宋体" w:cs="宋体"/>
          <w:bCs/>
          <w:color w:val="auto"/>
          <w:szCs w:val="21"/>
          <w:highlight w:val="none"/>
          <w:u w:val="none"/>
          <w:lang w:val="en-US" w:eastAsia="zh-CN"/>
        </w:rPr>
        <w:t>月</w:t>
      </w:r>
      <w:r>
        <w:rPr>
          <w:rFonts w:hint="eastAsia" w:ascii="宋体" w:hAnsi="宋体" w:cs="宋体"/>
          <w:bCs/>
          <w:color w:val="auto"/>
          <w:szCs w:val="21"/>
          <w:highlight w:val="none"/>
          <w:u w:val="none"/>
          <w:lang w:val="en-US" w:eastAsia="zh-CN"/>
        </w:rPr>
        <w:t>21</w:t>
      </w:r>
      <w:r>
        <w:rPr>
          <w:rFonts w:hint="eastAsia" w:ascii="宋体" w:hAnsi="宋体" w:eastAsia="宋体" w:cs="宋体"/>
          <w:bCs/>
          <w:color w:val="auto"/>
          <w:szCs w:val="21"/>
          <w:highlight w:val="none"/>
          <w:u w:val="none"/>
          <w:lang w:val="en-US" w:eastAsia="zh-CN"/>
        </w:rPr>
        <w:t>日</w:t>
      </w:r>
      <w:r>
        <w:rPr>
          <w:rFonts w:hint="eastAsia" w:ascii="宋体" w:hAnsi="宋体" w:cs="宋体"/>
          <w:bCs/>
          <w:color w:val="auto"/>
          <w:szCs w:val="21"/>
          <w:highlight w:val="none"/>
          <w:u w:val="none"/>
          <w:lang w:val="en-US" w:eastAsia="zh-CN"/>
        </w:rPr>
        <w:t xml:space="preserve">10 </w:t>
      </w:r>
      <w:r>
        <w:rPr>
          <w:rFonts w:hint="eastAsia" w:ascii="宋体" w:hAnsi="宋体" w:eastAsia="宋体" w:cs="宋体"/>
          <w:color w:val="auto"/>
          <w:szCs w:val="21"/>
          <w:highlight w:val="none"/>
          <w:u w:val="none"/>
          <w:lang w:val="en-US" w:eastAsia="zh-CN"/>
        </w:rPr>
        <w:t>时</w:t>
      </w:r>
      <w:r>
        <w:rPr>
          <w:rFonts w:hint="eastAsia" w:ascii="宋体" w:hAnsi="宋体" w:cs="宋体"/>
          <w:color w:val="auto"/>
          <w:szCs w:val="21"/>
          <w:highlight w:val="none"/>
          <w:u w:val="none"/>
          <w:lang w:val="en-US" w:eastAsia="zh-CN"/>
        </w:rPr>
        <w:t>00</w:t>
      </w:r>
      <w:r>
        <w:rPr>
          <w:rFonts w:hint="eastAsia" w:ascii="宋体" w:hAnsi="宋体" w:eastAsia="宋体" w:cs="宋体"/>
          <w:color w:val="auto"/>
          <w:szCs w:val="21"/>
          <w:highlight w:val="none"/>
          <w:u w:val="none"/>
          <w:lang w:val="en-US" w:eastAsia="zh-CN"/>
        </w:rPr>
        <w:t>分</w:t>
      </w:r>
      <w:r>
        <w:rPr>
          <w:rFonts w:hint="eastAsia" w:ascii="宋体" w:hAnsi="宋体" w:eastAsia="宋体" w:cs="宋体"/>
          <w:bCs/>
          <w:color w:val="auto"/>
          <w:szCs w:val="21"/>
          <w:highlight w:val="none"/>
        </w:rPr>
        <w:t>（北京时间），逾期送达将予以拒收；</w:t>
      </w:r>
    </w:p>
    <w:p>
      <w:pPr>
        <w:pageBreakBefore w:val="0"/>
        <w:kinsoku/>
        <w:wordWrap/>
        <w:overflowPunct/>
        <w:topLinePunct w:val="0"/>
        <w:autoSpaceDE/>
        <w:autoSpaceDN/>
        <w:bidi w:val="0"/>
        <w:spacing w:line="340" w:lineRule="exact"/>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地点：来宾市公共资源交易中心开标厅（广西来宾市红水河大道331号政务服务中心3楼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具体开标室详见当天电子显示屏）</w:t>
      </w:r>
    </w:p>
    <w:p>
      <w:pPr>
        <w:pageBreakBefore w:val="0"/>
        <w:kinsoku/>
        <w:wordWrap/>
        <w:overflowPunct/>
        <w:topLinePunct w:val="0"/>
        <w:autoSpaceDE/>
        <w:autoSpaceDN/>
        <w:bidi w:val="0"/>
        <w:spacing w:line="34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五、公告期限</w:t>
      </w:r>
      <w:bookmarkEnd w:id="36"/>
      <w:bookmarkEnd w:id="37"/>
      <w:bookmarkEnd w:id="38"/>
      <w:bookmarkEnd w:id="39"/>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pStyle w:val="6"/>
        <w:pageBreakBefore w:val="0"/>
        <w:kinsoku/>
        <w:wordWrap/>
        <w:overflowPunct/>
        <w:topLinePunct w:val="0"/>
        <w:autoSpaceDE/>
        <w:autoSpaceDN/>
        <w:bidi w:val="0"/>
        <w:spacing w:line="340" w:lineRule="exact"/>
        <w:textAlignment w:val="auto"/>
        <w:rPr>
          <w:rFonts w:hint="eastAsia" w:ascii="宋体" w:hAnsi="宋体" w:eastAsia="宋体" w:cs="宋体"/>
          <w:b/>
          <w:bCs w:val="0"/>
          <w:color w:val="auto"/>
          <w:sz w:val="21"/>
          <w:szCs w:val="21"/>
          <w:highlight w:val="none"/>
        </w:rPr>
      </w:pPr>
      <w:bookmarkStart w:id="40" w:name="_Toc35393626"/>
      <w:bookmarkStart w:id="41" w:name="_Toc35393795"/>
      <w:r>
        <w:rPr>
          <w:rFonts w:hint="eastAsia" w:ascii="宋体" w:hAnsi="宋体" w:eastAsia="宋体" w:cs="宋体"/>
          <w:b/>
          <w:bCs w:val="0"/>
          <w:color w:val="auto"/>
          <w:sz w:val="21"/>
          <w:szCs w:val="21"/>
          <w:highlight w:val="none"/>
        </w:rPr>
        <w:t>六、其他补充事宜</w:t>
      </w:r>
      <w:bookmarkEnd w:id="40"/>
      <w:bookmarkEnd w:id="41"/>
    </w:p>
    <w:p>
      <w:pPr>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1、本项目需要落实的政府采购政策：《政府采购促进中小企业发展暂行办法》（财库[2011] 181号）；《关于促进残疾人就业政府采购政策的通知》（财库[2017] 141号）；《财政部、司法部关于政府采购支持监狱企业发展有关问题的通知》（财库〔2014〕68号）。</w:t>
      </w:r>
    </w:p>
    <w:p>
      <w:pPr>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2、网上查询地址：中国政府采购网http://www.ccgp.gov.cn、广西壮族自治区政府采购网http://zfcg.gxzf.gov.cn/、全国公共资源交易平台（广西•来宾）http://ggzy.jgswj.gxzf.gov.cn/lbggzy/。</w:t>
      </w:r>
    </w:p>
    <w:p>
      <w:pPr>
        <w:pStyle w:val="6"/>
        <w:pageBreakBefore w:val="0"/>
        <w:kinsoku/>
        <w:wordWrap/>
        <w:overflowPunct/>
        <w:topLinePunct w:val="0"/>
        <w:autoSpaceDE/>
        <w:autoSpaceDN/>
        <w:bidi w:val="0"/>
        <w:spacing w:line="340" w:lineRule="exact"/>
        <w:textAlignment w:val="auto"/>
        <w:rPr>
          <w:rFonts w:hint="eastAsia" w:ascii="宋体" w:hAnsi="宋体" w:eastAsia="宋体" w:cs="宋体"/>
          <w:b w:val="0"/>
          <w:color w:val="auto"/>
          <w:sz w:val="21"/>
          <w:szCs w:val="21"/>
          <w:highlight w:val="none"/>
        </w:rPr>
      </w:pPr>
      <w:bookmarkStart w:id="42" w:name="_Toc28359008"/>
      <w:bookmarkStart w:id="43" w:name="_Toc35393627"/>
      <w:bookmarkStart w:id="44" w:name="_Toc35393796"/>
      <w:bookmarkStart w:id="45" w:name="_Toc28359085"/>
      <w:r>
        <w:rPr>
          <w:rFonts w:hint="eastAsia" w:ascii="宋体" w:hAnsi="宋体" w:eastAsia="宋体" w:cs="宋体"/>
          <w:b/>
          <w:bCs w:val="0"/>
          <w:color w:val="auto"/>
          <w:sz w:val="21"/>
          <w:szCs w:val="21"/>
          <w:highlight w:val="none"/>
        </w:rPr>
        <w:t>七、对本次招标提出询问，请按以下方式联系</w:t>
      </w:r>
      <w:bookmarkEnd w:id="42"/>
      <w:bookmarkEnd w:id="43"/>
      <w:bookmarkEnd w:id="44"/>
      <w:bookmarkEnd w:id="45"/>
    </w:p>
    <w:p>
      <w:pPr>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pageBreakBefore w:val="0"/>
        <w:kinsoku/>
        <w:wordWrap/>
        <w:overflowPunct/>
        <w:topLinePunct w:val="0"/>
        <w:autoSpaceDE/>
        <w:autoSpaceDN/>
        <w:bidi w:val="0"/>
        <w:spacing w:line="3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忻城县住房和城乡建设局</w:t>
      </w:r>
    </w:p>
    <w:p>
      <w:pPr>
        <w:pageBreakBefore w:val="0"/>
        <w:kinsoku/>
        <w:wordWrap/>
        <w:overflowPunct/>
        <w:topLinePunct w:val="0"/>
        <w:autoSpaceDE/>
        <w:autoSpaceDN/>
        <w:bidi w:val="0"/>
        <w:spacing w:line="3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highlight w:val="none"/>
        </w:rPr>
        <w:t>忻城县城关镇芝州一路114号</w:t>
      </w:r>
    </w:p>
    <w:p>
      <w:pPr>
        <w:pageBreakBefore w:val="0"/>
        <w:kinsoku/>
        <w:wordWrap/>
        <w:overflowPunct/>
        <w:topLinePunct w:val="0"/>
        <w:autoSpaceDE/>
        <w:autoSpaceDN/>
        <w:bidi w:val="0"/>
        <w:spacing w:line="3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bookmarkStart w:id="46" w:name="_Toc28359009"/>
      <w:bookmarkStart w:id="47" w:name="_Toc28359086"/>
      <w:r>
        <w:rPr>
          <w:rFonts w:hint="eastAsia" w:ascii="宋体" w:hAnsi="宋体" w:eastAsia="宋体" w:cs="宋体"/>
          <w:color w:val="auto"/>
          <w:highlight w:val="none"/>
        </w:rPr>
        <w:t>樊海军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15224698083</w:t>
      </w:r>
    </w:p>
    <w:p>
      <w:pPr>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2、采购代理机构信息</w:t>
      </w:r>
      <w:bookmarkEnd w:id="46"/>
      <w:bookmarkEnd w:id="47"/>
    </w:p>
    <w:p>
      <w:pPr>
        <w:pageBreakBefore w:val="0"/>
        <w:kinsoku/>
        <w:wordWrap/>
        <w:overflowPunct/>
        <w:topLinePunct w:val="0"/>
        <w:autoSpaceDE/>
        <w:autoSpaceDN/>
        <w:bidi w:val="0"/>
        <w:spacing w:line="340" w:lineRule="exact"/>
        <w:ind w:firstLine="630" w:firstLineChars="3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名 称：</w:t>
      </w:r>
      <w:r>
        <w:rPr>
          <w:rFonts w:hint="eastAsia" w:ascii="宋体" w:hAnsi="宋体" w:cs="宋体"/>
          <w:color w:val="auto"/>
          <w:szCs w:val="21"/>
          <w:highlight w:val="none"/>
          <w:lang w:eastAsia="zh-CN"/>
        </w:rPr>
        <w:t>广西熙泰工程项目管理有限公司</w:t>
      </w:r>
    </w:p>
    <w:p>
      <w:pPr>
        <w:pageBreakBefore w:val="0"/>
        <w:kinsoku/>
        <w:wordWrap/>
        <w:overflowPunct/>
        <w:topLinePunct w:val="0"/>
        <w:autoSpaceDE/>
        <w:autoSpaceDN/>
        <w:bidi w:val="0"/>
        <w:spacing w:line="3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地　址：广西南宁市青秀区朱槿路16号东盟四街</w:t>
      </w:r>
    </w:p>
    <w:p>
      <w:pPr>
        <w:pageBreakBefore w:val="0"/>
        <w:kinsoku/>
        <w:wordWrap/>
        <w:overflowPunct/>
        <w:topLinePunct w:val="0"/>
        <w:autoSpaceDE/>
        <w:autoSpaceDN/>
        <w:bidi w:val="0"/>
        <w:spacing w:line="3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联系方式：</w:t>
      </w:r>
      <w:bookmarkStart w:id="48" w:name="_Toc28359010"/>
      <w:bookmarkStart w:id="49" w:name="_Toc28359087"/>
      <w:r>
        <w:rPr>
          <w:rFonts w:hint="eastAsia" w:ascii="宋体" w:hAnsi="宋体" w:cs="宋体"/>
          <w:color w:val="auto"/>
          <w:szCs w:val="21"/>
          <w:highlight w:val="none"/>
          <w:lang w:val="en-US" w:eastAsia="zh-CN"/>
        </w:rPr>
        <w:t>15077421362</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bookmarkEnd w:id="48"/>
      <w:bookmarkEnd w:id="49"/>
    </w:p>
    <w:p>
      <w:pPr>
        <w:pStyle w:val="31"/>
        <w:pageBreakBefore w:val="0"/>
        <w:kinsoku/>
        <w:wordWrap/>
        <w:overflowPunct/>
        <w:topLinePunct w:val="0"/>
        <w:autoSpaceDE/>
        <w:autoSpaceDN/>
        <w:bidi w:val="0"/>
        <w:spacing w:line="340" w:lineRule="exact"/>
        <w:ind w:firstLine="630" w:firstLineChars="3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　项目联系人：</w:t>
      </w:r>
      <w:r>
        <w:rPr>
          <w:rFonts w:hint="eastAsia" w:hAnsi="宋体" w:cs="宋体"/>
          <w:color w:val="auto"/>
          <w:sz w:val="21"/>
          <w:highlight w:val="none"/>
          <w:lang w:eastAsia="zh-CN"/>
        </w:rPr>
        <w:t>刘超强</w:t>
      </w:r>
    </w:p>
    <w:p>
      <w:pPr>
        <w:pageBreakBefore w:val="0"/>
        <w:kinsoku/>
        <w:wordWrap/>
        <w:overflowPunct/>
        <w:topLinePunct w:val="0"/>
        <w:autoSpaceDE/>
        <w:autoSpaceDN/>
        <w:bidi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电　话：</w:t>
      </w:r>
      <w:r>
        <w:rPr>
          <w:rFonts w:hint="eastAsia" w:ascii="宋体" w:hAnsi="宋体" w:cs="宋体"/>
          <w:color w:val="auto"/>
          <w:szCs w:val="21"/>
          <w:highlight w:val="none"/>
          <w:lang w:val="en-US" w:eastAsia="zh-CN"/>
        </w:rPr>
        <w:t>15077421362</w:t>
      </w:r>
    </w:p>
    <w:p>
      <w:pPr>
        <w:spacing w:line="340" w:lineRule="exact"/>
        <w:ind w:firstLine="420" w:firstLineChars="200"/>
        <w:rPr>
          <w:rFonts w:hint="eastAsia"/>
          <w:color w:val="auto"/>
          <w:szCs w:val="21"/>
          <w:highlight w:val="none"/>
        </w:rPr>
      </w:pPr>
      <w:r>
        <w:rPr>
          <w:rFonts w:hint="eastAsia"/>
          <w:color w:val="auto"/>
          <w:szCs w:val="21"/>
          <w:highlight w:val="none"/>
          <w:lang w:val="en-US" w:eastAsia="zh-CN"/>
        </w:rPr>
        <w:t xml:space="preserve">4、监督管理部门：忻城县财政局政府采购监督管理股 </w:t>
      </w:r>
    </w:p>
    <w:p>
      <w:pPr>
        <w:spacing w:line="34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电 话：0772-5517154</w:t>
      </w:r>
    </w:p>
    <w:p>
      <w:pPr>
        <w:pStyle w:val="24"/>
        <w:pageBreakBefore w:val="0"/>
        <w:kinsoku/>
        <w:wordWrap/>
        <w:overflowPunct/>
        <w:topLinePunct w:val="0"/>
        <w:autoSpaceDE/>
        <w:autoSpaceDN/>
        <w:bidi w:val="0"/>
        <w:spacing w:line="340" w:lineRule="exact"/>
        <w:textAlignment w:val="auto"/>
        <w:rPr>
          <w:rFonts w:hint="eastAsia" w:ascii="宋体" w:hAnsi="宋体" w:eastAsia="宋体" w:cs="宋体"/>
          <w:color w:val="auto"/>
          <w:highlight w:val="none"/>
        </w:rPr>
      </w:pPr>
    </w:p>
    <w:p>
      <w:pPr>
        <w:pStyle w:val="24"/>
        <w:pageBreakBefore w:val="0"/>
        <w:kinsoku/>
        <w:wordWrap/>
        <w:overflowPunct/>
        <w:topLinePunct w:val="0"/>
        <w:autoSpaceDE/>
        <w:autoSpaceDN/>
        <w:bidi w:val="0"/>
        <w:spacing w:line="340" w:lineRule="exact"/>
        <w:textAlignment w:val="auto"/>
        <w:rPr>
          <w:rFonts w:hint="eastAsia" w:ascii="宋体" w:hAnsi="宋体" w:eastAsia="宋体" w:cs="宋体"/>
          <w:color w:val="auto"/>
          <w:szCs w:val="21"/>
          <w:highlight w:val="none"/>
        </w:rPr>
      </w:pPr>
    </w:p>
    <w:p>
      <w:pPr>
        <w:pageBreakBefore w:val="0"/>
        <w:kinsoku/>
        <w:wordWrap/>
        <w:overflowPunct/>
        <w:topLinePunct w:val="0"/>
        <w:autoSpaceDE/>
        <w:autoSpaceDN/>
        <w:bidi w:val="0"/>
        <w:spacing w:line="340" w:lineRule="exact"/>
        <w:ind w:firstLine="630" w:firstLineChars="3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采购代理机构：</w:t>
      </w:r>
      <w:r>
        <w:rPr>
          <w:rFonts w:hint="eastAsia" w:ascii="宋体" w:hAnsi="宋体" w:cs="宋体"/>
          <w:color w:val="auto"/>
          <w:szCs w:val="21"/>
          <w:highlight w:val="none"/>
          <w:lang w:eastAsia="zh-CN"/>
        </w:rPr>
        <w:t>广西熙泰工程项目管理有限公司</w:t>
      </w:r>
    </w:p>
    <w:p>
      <w:pPr>
        <w:pStyle w:val="24"/>
        <w:pageBreakBefore w:val="0"/>
        <w:kinsoku/>
        <w:wordWrap/>
        <w:overflowPunct/>
        <w:topLinePunct w:val="0"/>
        <w:autoSpaceDE/>
        <w:autoSpaceDN/>
        <w:bidi w:val="0"/>
        <w:spacing w:line="340" w:lineRule="exact"/>
        <w:textAlignment w:val="auto"/>
        <w:rPr>
          <w:rFonts w:hint="eastAsia" w:ascii="宋体" w:hAnsi="宋体" w:eastAsia="宋体" w:cs="宋体"/>
          <w:b/>
          <w:color w:val="auto"/>
          <w:sz w:val="44"/>
          <w:szCs w:val="44"/>
          <w:highlight w:val="none"/>
        </w:rPr>
        <w:sectPr>
          <w:footerReference r:id="rId8" w:type="first"/>
          <w:footerReference r:id="rId7" w:type="default"/>
          <w:pgSz w:w="11906" w:h="16838"/>
          <w:pgMar w:top="850" w:right="849" w:bottom="850" w:left="850" w:header="851" w:footer="992" w:gutter="0"/>
          <w:pgNumType w:start="1"/>
          <w:cols w:space="720" w:num="1"/>
          <w:titlePg/>
          <w:docGrid w:type="lines" w:linePitch="312" w:charSpace="0"/>
        </w:sectPr>
      </w:pPr>
      <w:r>
        <w:rPr>
          <w:rFonts w:hint="eastAsia" w:ascii="宋体" w:hAnsi="宋体" w:eastAsia="宋体" w:cs="宋体"/>
          <w:color w:val="auto"/>
          <w:szCs w:val="21"/>
          <w:highlight w:val="none"/>
        </w:rPr>
        <w:t>　　　　　　　　　　　　　　　　　　　　　　　　</w:t>
      </w:r>
      <w:r>
        <w:rPr>
          <w:rFonts w:hint="eastAsia" w:ascii="宋体" w:hAnsi="宋体" w:eastAsia="宋体" w:cs="宋体"/>
          <w:color w:val="auto"/>
          <w:kern w:val="2"/>
          <w:sz w:val="21"/>
          <w:szCs w:val="21"/>
          <w:highlight w:val="none"/>
          <w:lang w:val="en-US" w:eastAsia="zh-CN" w:bidi="ar-SA"/>
        </w:rPr>
        <w:t>2020年</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30日</w:t>
      </w:r>
    </w:p>
    <w:p>
      <w:pPr>
        <w:pStyle w:val="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第二章  投标人须知</w:t>
      </w:r>
      <w:bookmarkEnd w:id="12"/>
      <w:bookmarkEnd w:id="13"/>
      <w:bookmarkEnd w:id="14"/>
      <w:bookmarkEnd w:id="15"/>
      <w:bookmarkEnd w:id="16"/>
      <w:bookmarkEnd w:id="17"/>
      <w:bookmarkEnd w:id="18"/>
    </w:p>
    <w:p>
      <w:pPr>
        <w:snapToGrid w:val="0"/>
        <w:spacing w:line="360" w:lineRule="auto"/>
        <w:jc w:val="center"/>
        <w:outlineLvl w:val="1"/>
        <w:rPr>
          <w:rFonts w:hint="eastAsia" w:ascii="宋体" w:hAnsi="宋体" w:eastAsia="宋体" w:cs="宋体"/>
          <w:b/>
          <w:color w:val="auto"/>
          <w:sz w:val="32"/>
          <w:szCs w:val="32"/>
          <w:highlight w:val="none"/>
        </w:rPr>
      </w:pPr>
      <w:bookmarkStart w:id="50" w:name="_Toc10996"/>
      <w:bookmarkStart w:id="51" w:name="_Toc12219"/>
      <w:r>
        <w:rPr>
          <w:rFonts w:hint="eastAsia" w:ascii="宋体" w:hAnsi="宋体" w:eastAsia="宋体" w:cs="宋体"/>
          <w:b/>
          <w:color w:val="auto"/>
          <w:sz w:val="32"/>
          <w:szCs w:val="32"/>
          <w:highlight w:val="none"/>
        </w:rPr>
        <w:t>投标人须知及前附表</w:t>
      </w:r>
      <w:bookmarkEnd w:id="50"/>
      <w:bookmarkEnd w:id="51"/>
    </w:p>
    <w:tbl>
      <w:tblPr>
        <w:tblStyle w:val="58"/>
        <w:tblW w:w="965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7"/>
        <w:gridCol w:w="1799"/>
        <w:gridCol w:w="71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blHeader/>
        </w:trPr>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99"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c>
          <w:tcPr>
            <w:tcW w:w="7156"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99"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156"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忻城县生活垃圾清运及处理工作市场化运作项目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99"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tc>
        <w:tc>
          <w:tcPr>
            <w:tcW w:w="7156"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u w:val="none"/>
                <w:lang w:val="en-US" w:eastAsia="zh-CN"/>
              </w:rPr>
              <w:t xml:space="preserve"> LBXCZC2020-G3-01296-GXXT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99"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w:t>
            </w:r>
          </w:p>
        </w:tc>
        <w:tc>
          <w:tcPr>
            <w:tcW w:w="7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忻城县住房和城乡建设局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地址：忻城县城关镇芝州一路114号</w:t>
            </w:r>
          </w:p>
          <w:p>
            <w:pPr>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highlight w:val="none"/>
              </w:rPr>
              <w:t>樊海军</w:t>
            </w:r>
            <w:r>
              <w:rPr>
                <w:rFonts w:hint="eastAsia" w:ascii="宋体" w:hAnsi="宋体" w:eastAsia="宋体" w:cs="宋体"/>
                <w:color w:val="auto"/>
                <w:highlight w:val="none"/>
                <w:lang w:val="en-US" w:eastAsia="zh-CN"/>
              </w:rPr>
              <w:t xml:space="preserve"> </w:t>
            </w:r>
          </w:p>
          <w:p>
            <w:pPr>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15224698083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99"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w:t>
            </w:r>
          </w:p>
        </w:tc>
        <w:tc>
          <w:tcPr>
            <w:tcW w:w="7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广西熙泰工程项目管理有限公司</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color w:val="auto"/>
                <w:highlight w:val="none"/>
                <w:lang w:eastAsia="zh-CN"/>
              </w:rPr>
              <w:t>广西南宁市青秀区朱槿路16号东盟四街</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项目负责人：</w:t>
            </w:r>
            <w:r>
              <w:rPr>
                <w:rFonts w:hint="eastAsia" w:ascii="宋体" w:hAnsi="宋体" w:cs="宋体"/>
                <w:color w:val="auto"/>
                <w:highlight w:val="none"/>
                <w:u w:val="none"/>
                <w:lang w:val="en-US" w:eastAsia="zh-CN"/>
              </w:rPr>
              <w:t>刘超强</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联系电话：</w:t>
            </w:r>
            <w:r>
              <w:rPr>
                <w:rFonts w:hint="eastAsia" w:ascii="宋体" w:hAnsi="宋体" w:cs="宋体"/>
                <w:color w:val="auto"/>
                <w:highlight w:val="none"/>
                <w:lang w:eastAsia="zh-CN"/>
              </w:rPr>
              <w:t>15077421362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799"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采购内容</w:t>
            </w:r>
          </w:p>
        </w:tc>
        <w:tc>
          <w:tcPr>
            <w:tcW w:w="7156"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rPr>
                <w:rFonts w:hint="eastAsia" w:ascii="宋体" w:hAnsi="宋体" w:eastAsia="宋体" w:cs="宋体"/>
                <w:color w:val="auto"/>
                <w:highlight w:val="none"/>
              </w:rPr>
            </w:pPr>
            <w:r>
              <w:rPr>
                <w:rFonts w:hint="eastAsia" w:ascii="宋体" w:hAnsi="宋体" w:eastAsia="宋体" w:cs="宋体"/>
                <w:color w:val="auto"/>
                <w:highlight w:val="none"/>
              </w:rPr>
              <w:t>详见第三章《招标项目采购需求》。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8" w:lineRule="auto"/>
              <w:jc w:val="center"/>
              <w:textAlignment w:val="bottom"/>
              <w:rPr>
                <w:rFonts w:hint="eastAsia" w:ascii="宋体" w:hAnsi="宋体" w:eastAsia="宋体" w:cs="宋体"/>
                <w:color w:val="auto"/>
                <w:highlight w:val="none"/>
              </w:rPr>
            </w:pPr>
            <w:r>
              <w:rPr>
                <w:rFonts w:hint="eastAsia" w:ascii="宋体" w:hAnsi="宋体" w:eastAsia="宋体" w:cs="宋体"/>
                <w:color w:val="auto"/>
                <w:szCs w:val="21"/>
                <w:highlight w:val="none"/>
              </w:rPr>
              <w:t>采购资金来源</w:t>
            </w:r>
          </w:p>
        </w:tc>
        <w:tc>
          <w:tcPr>
            <w:tcW w:w="715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8" w:lineRule="auto"/>
              <w:textAlignment w:val="bottom"/>
              <w:rPr>
                <w:rFonts w:hint="default" w:ascii="宋体" w:hAnsi="宋体" w:eastAsia="宋体" w:cs="宋体"/>
                <w:color w:val="auto"/>
                <w:highlight w:val="none"/>
                <w:lang w:val="en-US"/>
              </w:rPr>
            </w:pPr>
            <w:r>
              <w:rPr>
                <w:rFonts w:hint="eastAsia" w:ascii="宋体" w:hAnsi="宋体" w:cs="宋体"/>
                <w:color w:val="auto"/>
                <w:highlight w:val="none"/>
                <w:u w:val="none"/>
                <w:lang w:val="en-US" w:eastAsia="zh-CN"/>
              </w:rPr>
              <w:t>拟2021年年初预算支出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1" w:hRule="atLeast"/>
        </w:trPr>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8"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投标人资格要求</w:t>
            </w:r>
          </w:p>
        </w:tc>
        <w:tc>
          <w:tcPr>
            <w:tcW w:w="7156" w:type="dxa"/>
            <w:tcBorders>
              <w:top w:val="single" w:color="auto" w:sz="4" w:space="0"/>
              <w:left w:val="single" w:color="auto" w:sz="4" w:space="0"/>
              <w:bottom w:val="single" w:color="auto" w:sz="4" w:space="0"/>
              <w:right w:val="single" w:color="auto" w:sz="4" w:space="0"/>
            </w:tcBorders>
            <w:vAlign w:val="center"/>
          </w:tcPr>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1、满足《中华人民共和国政府采购法》第二十二条规定；具有中华人民共和国国内独立法人资格，在人员、设备、资金等方面达到本项目的招标要求。</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2、落实政府采购政策需满足的资格要求</w:t>
            </w:r>
            <w:r>
              <w:rPr>
                <w:rFonts w:hint="eastAsia" w:ascii="宋体" w:hAnsi="宋体" w:cs="宋体"/>
                <w:color w:val="auto"/>
                <w:sz w:val="21"/>
                <w:szCs w:val="21"/>
                <w:highlight w:val="none"/>
                <w:lang w:val="en-US" w:eastAsia="zh-CN"/>
              </w:rPr>
              <w:t>：无</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本项目的特定资格要求：无；</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8"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715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8" w:lineRule="auto"/>
              <w:textAlignment w:val="bottom"/>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自签订合同之日起三年。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1" w:hRule="atLeast"/>
        </w:trPr>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799"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投标报价及费用</w:t>
            </w:r>
          </w:p>
        </w:tc>
        <w:tc>
          <w:tcPr>
            <w:tcW w:w="7156" w:type="dxa"/>
            <w:tcBorders>
              <w:top w:val="single" w:color="auto" w:sz="4" w:space="0"/>
              <w:left w:val="single" w:color="auto" w:sz="4" w:space="0"/>
              <w:bottom w:val="single" w:color="auto" w:sz="4" w:space="0"/>
              <w:right w:val="single" w:color="auto" w:sz="4" w:space="0"/>
            </w:tcBorders>
            <w:vAlign w:val="center"/>
          </w:tcPr>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1、本项目投标应以人民币报价；</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2、不论投标结果如何，投标人均应自行承担所有与投标有关的全部费用；</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3、投标报价包含以下所列项目费用（1）至（5）及垃圾处理服务过程中所发生的一切成本费用的总和。</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（1）管理、服务人员的工资、按规定提取的保险和福利费及国家地方规定必须交纳的费用；</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（2）设施、设备、工具、劳保费用及设施、设备等的维修、养护、运行和管理费用；</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（3）项目管理费；</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（4）法定税费；</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（5）其它投入、成本等费用。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9" w:hRule="atLeast"/>
        </w:trPr>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799" w:type="dxa"/>
            <w:tcBorders>
              <w:top w:val="single" w:color="auto" w:sz="4" w:space="0"/>
              <w:left w:val="single" w:color="auto" w:sz="4" w:space="0"/>
              <w:bottom w:val="single" w:color="auto" w:sz="4" w:space="0"/>
              <w:right w:val="single" w:color="auto" w:sz="4" w:space="0"/>
            </w:tcBorders>
            <w:vAlign w:val="center"/>
          </w:tcPr>
          <w:p>
            <w:pPr>
              <w:pStyle w:val="37"/>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投标保证金</w:t>
            </w:r>
          </w:p>
        </w:tc>
        <w:tc>
          <w:tcPr>
            <w:tcW w:w="7156"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　　</w:t>
            </w:r>
            <w:r>
              <w:rPr>
                <w:rFonts w:hint="eastAsia" w:ascii="宋体" w:hAnsi="宋体" w:eastAsia="宋体" w:cs="宋体"/>
                <w:bCs/>
                <w:color w:val="auto"/>
                <w:szCs w:val="21"/>
                <w:highlight w:val="none"/>
              </w:rPr>
              <w:t>投标人必须于投标截止时间前将投标保证金以电汇、转帐、汇票、银行保函、商业保函等非现金形式交至以下账户：</w:t>
            </w:r>
          </w:p>
          <w:p>
            <w:pPr>
              <w:wordWrap w:val="0"/>
              <w:snapToGrid w:val="0"/>
              <w:spacing w:line="3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投标保证金金额：人民币</w:t>
            </w:r>
            <w:r>
              <w:rPr>
                <w:rFonts w:hint="eastAsia" w:ascii="宋体" w:hAnsi="宋体" w:eastAsia="宋体" w:cs="宋体"/>
                <w:bCs/>
                <w:color w:val="auto"/>
                <w:szCs w:val="21"/>
                <w:highlight w:val="none"/>
                <w:lang w:val="en-US" w:eastAsia="zh-CN"/>
              </w:rPr>
              <w:t>柒万元整</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70000.00元</w:t>
            </w:r>
            <w:r>
              <w:rPr>
                <w:rFonts w:hint="eastAsia" w:ascii="宋体" w:hAnsi="宋体" w:eastAsia="宋体" w:cs="宋体"/>
                <w:bCs/>
                <w:color w:val="auto"/>
                <w:szCs w:val="21"/>
                <w:highlight w:val="none"/>
              </w:rPr>
              <w:t>）</w:t>
            </w:r>
          </w:p>
          <w:p>
            <w:pPr>
              <w:wordWrap w:val="0"/>
              <w:snapToGrid w:val="0"/>
              <w:spacing w:line="3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开户名称：来宾市公共资源交易中心　</w:t>
            </w:r>
          </w:p>
          <w:p>
            <w:pPr>
              <w:spacing w:line="288"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开户银行：柳州银行来宾办证厅支行　</w:t>
            </w:r>
          </w:p>
          <w:p>
            <w:pPr>
              <w:spacing w:line="288" w:lineRule="auto"/>
              <w:ind w:firstLine="210" w:firstLineChars="1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银行账号：72001500000000004261000045</w:t>
            </w:r>
          </w:p>
          <w:p>
            <w:pPr>
              <w:spacing w:line="288"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开户银行：中国建行来宾分行营业部　</w:t>
            </w:r>
          </w:p>
          <w:p>
            <w:pPr>
              <w:spacing w:line="288" w:lineRule="auto"/>
              <w:ind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银行账号：45001627951050705296-1399</w:t>
            </w:r>
          </w:p>
          <w:p>
            <w:pPr>
              <w:spacing w:line="288"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开户银行：中国工商银行股份有限公司来宾市迎宾支行　</w:t>
            </w:r>
          </w:p>
          <w:p>
            <w:pPr>
              <w:spacing w:line="288" w:lineRule="auto"/>
              <w:ind w:firstLine="210" w:firstLineChars="100"/>
              <w:rPr>
                <w:rFonts w:hint="eastAsia"/>
                <w:lang w:val="en-US" w:eastAsia="zh-CN"/>
              </w:rPr>
            </w:pPr>
            <w:r>
              <w:rPr>
                <w:rFonts w:hint="eastAsia" w:ascii="宋体" w:hAnsi="宋体" w:eastAsia="宋体" w:cs="宋体"/>
                <w:color w:val="auto"/>
                <w:szCs w:val="21"/>
                <w:highlight w:val="none"/>
              </w:rPr>
              <w:t>银行账号：9558832108000097363</w:t>
            </w:r>
          </w:p>
          <w:p>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注：（1）投标保证金必须从投标人银行基本账户转出到指定银行账户，且必须在银行进账单的用途或空白栏上注明项目名称或编号（办理手续时必须督促银行写明），否则视为无效投标保证金。</w:t>
            </w:r>
          </w:p>
          <w:p>
            <w:pPr>
              <w:pStyle w:val="24"/>
              <w:ind w:firstLine="361" w:firstLineChars="200"/>
              <w:rPr>
                <w:rFonts w:hint="eastAsia" w:ascii="宋体" w:hAnsi="宋体" w:eastAsia="宋体" w:cs="宋体"/>
                <w:b/>
                <w:color w:val="auto"/>
                <w:highlight w:val="none"/>
              </w:rPr>
            </w:pPr>
            <w:r>
              <w:rPr>
                <w:rFonts w:hint="eastAsia" w:ascii="宋体" w:hAnsi="宋体" w:eastAsia="宋体" w:cs="宋体"/>
                <w:b/>
                <w:color w:val="auto"/>
                <w:sz w:val="18"/>
                <w:szCs w:val="18"/>
                <w:highlight w:val="none"/>
              </w:rPr>
              <w:t>（2）采用</w:t>
            </w:r>
            <w:r>
              <w:rPr>
                <w:rFonts w:hint="eastAsia" w:ascii="宋体" w:hAnsi="宋体" w:eastAsia="宋体" w:cs="宋体"/>
                <w:b/>
                <w:bCs/>
                <w:color w:val="auto"/>
                <w:kern w:val="2"/>
                <w:sz w:val="18"/>
                <w:szCs w:val="18"/>
                <w:highlight w:val="none"/>
              </w:rPr>
              <w:t>银行保函、商业保函形式</w:t>
            </w:r>
            <w:r>
              <w:rPr>
                <w:rFonts w:hint="eastAsia" w:ascii="宋体" w:hAnsi="宋体" w:eastAsia="宋体" w:cs="宋体"/>
                <w:b/>
                <w:color w:val="auto"/>
                <w:sz w:val="18"/>
                <w:szCs w:val="18"/>
                <w:highlight w:val="none"/>
              </w:rPr>
              <w:t>的，必须为无条件保函，否则不予签定合同。投标人应当在递交投标文件的同时把</w:t>
            </w:r>
            <w:r>
              <w:rPr>
                <w:rFonts w:hint="eastAsia" w:ascii="宋体" w:hAnsi="宋体" w:eastAsia="宋体" w:cs="宋体"/>
                <w:b/>
                <w:bCs/>
                <w:color w:val="auto"/>
                <w:kern w:val="2"/>
                <w:sz w:val="18"/>
                <w:szCs w:val="18"/>
                <w:highlight w:val="none"/>
              </w:rPr>
              <w:t>银行保函、商业保函的</w:t>
            </w:r>
            <w:r>
              <w:rPr>
                <w:rFonts w:hint="eastAsia" w:ascii="宋体" w:hAnsi="宋体" w:eastAsia="宋体" w:cs="宋体"/>
                <w:b/>
                <w:color w:val="auto"/>
                <w:sz w:val="18"/>
                <w:szCs w:val="18"/>
                <w:highlight w:val="none"/>
              </w:rPr>
              <w:t>原件交由采购人保管。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1" w:hRule="atLeast"/>
        </w:trPr>
        <w:tc>
          <w:tcPr>
            <w:tcW w:w="69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9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bidi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投标文件组成</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snapToGrid w:val="0"/>
              <w:spacing w:line="36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w:t>
            </w:r>
          </w:p>
          <w:p>
            <w:pPr>
              <w:keepNext w:val="0"/>
              <w:keepLines w:val="0"/>
              <w:pageBreakBefore w:val="0"/>
              <w:widowControl w:val="0"/>
              <w:kinsoku/>
              <w:wordWrap w:val="0"/>
              <w:overflowPunct/>
              <w:topLinePunct w:val="0"/>
              <w:bidi w:val="0"/>
              <w:snapToGrid w:val="0"/>
              <w:spacing w:line="360" w:lineRule="exact"/>
              <w:ind w:firstLine="210" w:firstLineChars="100"/>
              <w:jc w:val="lef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1、投标函（格式后附）；</w:t>
            </w:r>
            <w:r>
              <w:rPr>
                <w:rFonts w:hint="eastAsia" w:ascii="宋体" w:hAnsi="宋体" w:eastAsia="宋体" w:cs="宋体"/>
                <w:b/>
                <w:color w:val="auto"/>
                <w:szCs w:val="21"/>
                <w:highlight w:val="none"/>
              </w:rPr>
              <w:t>（必须提供，否则作无效投标处理）</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、开标一览表（格式后附）；</w:t>
            </w:r>
            <w:r>
              <w:rPr>
                <w:rFonts w:hint="eastAsia" w:ascii="宋体" w:hAnsi="宋体" w:eastAsia="宋体" w:cs="宋体"/>
                <w:b/>
                <w:bCs/>
                <w:color w:val="auto"/>
                <w:sz w:val="21"/>
                <w:szCs w:val="21"/>
                <w:highlight w:val="none"/>
                <w:lang w:val="en-US" w:eastAsia="zh-CN"/>
              </w:rPr>
              <w:t>（必须提供，否则作无效投标处理）</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3、中小企业声明函；（如有）</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、残疾人福利性单位声明函；（如有）</w:t>
            </w:r>
          </w:p>
          <w:p>
            <w:pPr>
              <w:pStyle w:val="24"/>
              <w:pageBreakBefore w:val="0"/>
              <w:kinsoku/>
              <w:wordWrap/>
              <w:overflowPunct/>
              <w:topLinePunct w:val="0"/>
              <w:autoSpaceDE/>
              <w:autoSpaceDN/>
              <w:bidi w:val="0"/>
              <w:spacing w:line="340" w:lineRule="exact"/>
              <w:ind w:firstLine="210" w:firstLineChars="1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5、投标人符合监狱企业标准的，按《财政部、司法部关于政府采购支持监狱企业发展有关问题的通知》（财库</w:t>
            </w:r>
            <w:r>
              <w:rPr>
                <w:rFonts w:hint="eastAsia" w:ascii="宋体" w:hAnsi="宋体" w:eastAsia="宋体" w:cs="宋体"/>
                <w:color w:val="auto"/>
                <w:kern w:val="2"/>
                <w:sz w:val="21"/>
                <w:szCs w:val="21"/>
                <w:highlight w:val="none"/>
                <w:lang w:val="en-US" w:eastAsia="zh-CN" w:bidi="ar-SA"/>
              </w:rPr>
              <w:t>〔2014〕68号）要求，提供有效证明文件及监狱企业声明函；（如有）</w:t>
            </w:r>
          </w:p>
          <w:p>
            <w:pPr>
              <w:keepNext w:val="0"/>
              <w:keepLines w:val="0"/>
              <w:pageBreakBefore w:val="0"/>
              <w:widowControl w:val="0"/>
              <w:kinsoku/>
              <w:wordWrap w:val="0"/>
              <w:overflowPunct/>
              <w:topLinePunct w:val="0"/>
              <w:bidi w:val="0"/>
              <w:snapToGrid w:val="0"/>
              <w:spacing w:line="360" w:lineRule="exact"/>
              <w:jc w:val="lef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lang w:val="en-US" w:eastAsia="zh-CN"/>
              </w:rPr>
              <w:t>　6、</w:t>
            </w:r>
            <w:r>
              <w:rPr>
                <w:rFonts w:hint="eastAsia" w:ascii="宋体" w:hAnsi="宋体" w:eastAsia="宋体" w:cs="宋体"/>
                <w:bCs/>
                <w:color w:val="auto"/>
                <w:szCs w:val="21"/>
                <w:highlight w:val="none"/>
              </w:rPr>
              <w:t>投标人针对报价需要说明的其他文件和说明</w:t>
            </w:r>
            <w:r>
              <w:rPr>
                <w:rFonts w:hint="eastAsia" w:ascii="宋体" w:hAnsi="宋体" w:eastAsia="宋体" w:cs="宋体"/>
                <w:b w:val="0"/>
                <w:bCs/>
                <w:color w:val="auto"/>
                <w:szCs w:val="21"/>
                <w:highlight w:val="none"/>
              </w:rPr>
              <w:t>（格式自拟）。</w:t>
            </w:r>
          </w:p>
          <w:p>
            <w:pPr>
              <w:keepNext w:val="0"/>
              <w:keepLines w:val="0"/>
              <w:pageBreakBefore w:val="0"/>
              <w:widowControl w:val="0"/>
              <w:kinsoku/>
              <w:wordWrap w:val="0"/>
              <w:overflowPunct/>
              <w:topLinePunct w:val="0"/>
              <w:bidi w:val="0"/>
              <w:snapToGrid w:val="0"/>
              <w:spacing w:line="360" w:lineRule="exact"/>
              <w:jc w:val="left"/>
              <w:rPr>
                <w:rFonts w:hint="eastAsia" w:ascii="宋体" w:hAnsi="宋体" w:eastAsia="宋体" w:cs="宋体"/>
                <w:b/>
                <w:color w:val="auto"/>
                <w:szCs w:val="21"/>
                <w:highlight w:val="none"/>
              </w:rPr>
            </w:pPr>
            <w:r>
              <w:rPr>
                <w:rFonts w:hint="eastAsia" w:ascii="宋体" w:hAnsi="宋体" w:eastAsia="宋体" w:cs="宋体"/>
                <w:b/>
                <w:color w:val="auto"/>
                <w:sz w:val="18"/>
                <w:szCs w:val="18"/>
                <w:highlight w:val="none"/>
              </w:rPr>
              <w:t>注：投标函、开标一览表必须由法定代表人（负责人）或委托代理人在规定签章处逐一签字并加盖投标人公章，否则作无效投标处理。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1" w:hRule="atLeast"/>
        </w:trPr>
        <w:tc>
          <w:tcPr>
            <w:tcW w:w="697"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bidi w:val="0"/>
              <w:snapToGrid w:val="0"/>
              <w:spacing w:line="360" w:lineRule="exact"/>
              <w:jc w:val="center"/>
              <w:rPr>
                <w:rFonts w:hint="eastAsia" w:ascii="宋体" w:hAnsi="宋体" w:eastAsia="宋体" w:cs="宋体"/>
                <w:color w:val="auto"/>
                <w:szCs w:val="21"/>
                <w:highlight w:val="none"/>
              </w:rPr>
            </w:pPr>
          </w:p>
        </w:tc>
        <w:tc>
          <w:tcPr>
            <w:tcW w:w="1799" w:type="dxa"/>
            <w:vMerge w:val="continue"/>
            <w:tcBorders>
              <w:left w:val="single" w:color="auto" w:sz="4" w:space="0"/>
              <w:right w:val="single" w:color="auto" w:sz="4" w:space="0"/>
            </w:tcBorders>
            <w:vAlign w:val="center"/>
          </w:tcPr>
          <w:p>
            <w:pPr>
              <w:keepNext w:val="0"/>
              <w:keepLines w:val="0"/>
              <w:pageBreakBefore w:val="0"/>
              <w:widowControl w:val="0"/>
              <w:tabs>
                <w:tab w:val="left" w:pos="2761"/>
              </w:tabs>
              <w:kinsoku/>
              <w:overflowPunct/>
              <w:topLinePunct w:val="0"/>
              <w:autoSpaceDE w:val="0"/>
              <w:autoSpaceDN w:val="0"/>
              <w:bidi w:val="0"/>
              <w:snapToGrid w:val="0"/>
              <w:spacing w:line="360" w:lineRule="exact"/>
              <w:jc w:val="center"/>
              <w:textAlignment w:val="bottom"/>
              <w:rPr>
                <w:rFonts w:hint="eastAsia" w:ascii="宋体" w:hAnsi="宋体" w:eastAsia="宋体" w:cs="宋体"/>
                <w:color w:val="auto"/>
                <w:szCs w:val="21"/>
                <w:highlight w:val="none"/>
              </w:rPr>
            </w:pP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snapToGrid w:val="0"/>
              <w:spacing w:line="360" w:lineRule="exact"/>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资格证明文件</w:t>
            </w:r>
            <w:r>
              <w:rPr>
                <w:rFonts w:hint="eastAsia" w:ascii="宋体" w:hAnsi="宋体" w:eastAsia="宋体" w:cs="宋体"/>
                <w:b/>
                <w:color w:val="auto"/>
                <w:szCs w:val="21"/>
                <w:highlight w:val="none"/>
                <w:lang w:eastAsia="zh-CN"/>
              </w:rPr>
              <w:t>（投标人所提供的材料如因模糊不清导致无法辨识的后果自负）：</w:t>
            </w:r>
          </w:p>
          <w:p>
            <w:pPr>
              <w:keepNext w:val="0"/>
              <w:keepLines w:val="0"/>
              <w:pageBreakBefore w:val="0"/>
              <w:widowControl w:val="0"/>
              <w:numPr>
                <w:ilvl w:val="0"/>
                <w:numId w:val="2"/>
              </w:numPr>
              <w:kinsoku/>
              <w:wordWrap w:val="0"/>
              <w:overflowPunct/>
              <w:topLinePunct w:val="0"/>
              <w:bidi w:val="0"/>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投标人营业执照复印件；（必须提供，否则作无效投标处理）</w:t>
            </w:r>
          </w:p>
          <w:p>
            <w:pPr>
              <w:keepNext w:val="0"/>
              <w:keepLines w:val="0"/>
              <w:pageBreakBefore w:val="0"/>
              <w:widowControl w:val="0"/>
              <w:numPr>
                <w:ilvl w:val="0"/>
                <w:numId w:val="0"/>
              </w:numPr>
              <w:kinsoku/>
              <w:wordWrap w:val="0"/>
              <w:overflowPunct/>
              <w:topLinePunct w:val="0"/>
              <w:bidi w:val="0"/>
              <w:snapToGrid w:val="0"/>
              <w:spacing w:line="360" w:lineRule="exact"/>
              <w:ind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投标保证金；（必须提供，否则作无效投标处理）</w:t>
            </w:r>
          </w:p>
          <w:p>
            <w:pPr>
              <w:pStyle w:val="2"/>
              <w:keepNext w:val="0"/>
              <w:keepLines w:val="0"/>
              <w:pageBreakBefore w:val="0"/>
              <w:widowControl w:val="0"/>
              <w:numPr>
                <w:ilvl w:val="0"/>
                <w:numId w:val="0"/>
              </w:numPr>
              <w:kinsoku/>
              <w:overflowPunct/>
              <w:topLinePunct w:val="0"/>
              <w:bidi w:val="0"/>
              <w:spacing w:line="360" w:lineRule="exact"/>
              <w:ind w:left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3、开户许可证复印件（或基本存款账户信息证明）；（必须提供，否则作无效投标处理）</w:t>
            </w:r>
          </w:p>
          <w:p>
            <w:pPr>
              <w:pStyle w:val="2"/>
              <w:keepNext w:val="0"/>
              <w:keepLines w:val="0"/>
              <w:pageBreakBefore w:val="0"/>
              <w:widowControl w:val="0"/>
              <w:numPr>
                <w:ilvl w:val="0"/>
                <w:numId w:val="0"/>
              </w:numPr>
              <w:kinsoku/>
              <w:overflowPunct/>
              <w:topLinePunct w:val="0"/>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SA"/>
              </w:rPr>
              <w:t>　4、投标人在投标截止时间前半年内任意一个月依法缴纳税收（国税或地税）的凭证复印件（如税务机关开具的完税凭证、银行缴税付款凭证或缴款回单等；如为非税务机关开具的凭证或回单的，应清晰反映：付款人名称、账号，征收机关名称，缴款金额，税种名称，所属时期等内容）。无纳税记录的，应提供投标人所在地的税务部门出具的《依法纳税或依法免税证明》复印件（新注册单位提供自成立以来的）；</w:t>
            </w:r>
            <w:r>
              <w:rPr>
                <w:rFonts w:hint="eastAsia" w:ascii="宋体" w:hAnsi="宋体" w:eastAsia="宋体" w:cs="宋体"/>
                <w:b/>
                <w:bCs/>
                <w:color w:val="auto"/>
                <w:sz w:val="21"/>
                <w:szCs w:val="21"/>
                <w:highlight w:val="none"/>
              </w:rPr>
              <w:t>（必须提供，否则作无效投标处理）</w:t>
            </w:r>
          </w:p>
          <w:p>
            <w:pPr>
              <w:keepNext w:val="0"/>
              <w:keepLines w:val="0"/>
              <w:pageBreakBefore w:val="0"/>
              <w:widowControl w:val="0"/>
              <w:kinsoku/>
              <w:wordWrap w:val="0"/>
              <w:overflowPunct/>
              <w:topLinePunct w:val="0"/>
              <w:bidi w:val="0"/>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投标人在投标截止</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前半年内任意一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新注册单位提供自成立以来的）；</w:t>
            </w:r>
            <w:r>
              <w:rPr>
                <w:rFonts w:hint="eastAsia" w:ascii="宋体" w:hAnsi="宋体" w:eastAsia="宋体" w:cs="宋体"/>
                <w:b/>
                <w:bCs/>
                <w:color w:val="auto"/>
                <w:sz w:val="21"/>
                <w:szCs w:val="21"/>
                <w:highlight w:val="none"/>
              </w:rPr>
              <w:t>（必须提供，否则作无效投标处理）</w:t>
            </w:r>
          </w:p>
          <w:p>
            <w:pPr>
              <w:keepNext w:val="0"/>
              <w:keepLines w:val="0"/>
              <w:pageBreakBefore w:val="0"/>
              <w:widowControl w:val="0"/>
              <w:kinsoku/>
              <w:wordWrap w:val="0"/>
              <w:overflowPunct/>
              <w:topLinePunct w:val="0"/>
              <w:bidi w:val="0"/>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投标声明书（格式后附）；（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pStyle w:val="24"/>
              <w:keepNext w:val="0"/>
              <w:keepLines w:val="0"/>
              <w:pageBreakBefore w:val="0"/>
              <w:widowControl w:val="0"/>
              <w:kinsoku/>
              <w:overflowPunct/>
              <w:topLinePunct w:val="0"/>
              <w:bidi w:val="0"/>
              <w:spacing w:line="360" w:lineRule="exact"/>
              <w:ind w:firstLine="24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rPr>
              <w:t>信用声明函（格式后附）；</w:t>
            </w:r>
            <w:r>
              <w:rPr>
                <w:rFonts w:hint="eastAsia" w:ascii="宋体" w:hAnsi="宋体" w:eastAsia="宋体" w:cs="宋体"/>
                <w:b/>
                <w:bCs/>
                <w:color w:val="auto"/>
                <w:kern w:val="2"/>
                <w:sz w:val="21"/>
                <w:szCs w:val="21"/>
                <w:highlight w:val="none"/>
              </w:rPr>
              <w:t>（必须提供）</w:t>
            </w:r>
          </w:p>
          <w:p>
            <w:pPr>
              <w:pStyle w:val="24"/>
              <w:keepNext w:val="0"/>
              <w:keepLines w:val="0"/>
              <w:pageBreakBefore w:val="0"/>
              <w:widowControl w:val="0"/>
              <w:kinsoku/>
              <w:overflowPunct/>
              <w:topLinePunct w:val="0"/>
              <w:bidi w:val="0"/>
              <w:spacing w:line="360" w:lineRule="exact"/>
              <w:ind w:firstLine="210" w:firstLineChars="100"/>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bCs/>
                <w:color w:val="auto"/>
                <w:kern w:val="2"/>
                <w:sz w:val="21"/>
                <w:szCs w:val="21"/>
                <w:highlight w:val="none"/>
              </w:rPr>
              <w:t>投标人直接控股、管理关系信息表（格式后附）；</w:t>
            </w:r>
            <w:r>
              <w:rPr>
                <w:rFonts w:hint="eastAsia" w:ascii="宋体" w:hAnsi="宋体" w:eastAsia="宋体" w:cs="宋体"/>
                <w:b/>
                <w:color w:val="auto"/>
                <w:kern w:val="2"/>
                <w:sz w:val="21"/>
                <w:szCs w:val="21"/>
                <w:highlight w:val="none"/>
              </w:rPr>
              <w:t>（必须提供，否则作无效投标处理）</w:t>
            </w:r>
          </w:p>
          <w:p>
            <w:pPr>
              <w:pStyle w:val="24"/>
              <w:keepNext w:val="0"/>
              <w:keepLines w:val="0"/>
              <w:pageBreakBefore w:val="0"/>
              <w:widowControl w:val="0"/>
              <w:kinsoku/>
              <w:overflowPunct/>
              <w:topLinePunct w:val="0"/>
              <w:bidi w:val="0"/>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bCs/>
                <w:color w:val="auto"/>
                <w:kern w:val="2"/>
                <w:sz w:val="21"/>
                <w:szCs w:val="21"/>
                <w:highlight w:val="none"/>
                <w:lang w:val="en-US" w:eastAsia="zh-CN"/>
              </w:rPr>
              <w:t>9</w:t>
            </w:r>
            <w:r>
              <w:rPr>
                <w:rFonts w:hint="eastAsia" w:ascii="宋体" w:hAnsi="宋体" w:eastAsia="宋体" w:cs="宋体"/>
                <w:bCs/>
                <w:color w:val="auto"/>
                <w:kern w:val="2"/>
                <w:sz w:val="21"/>
                <w:szCs w:val="21"/>
                <w:highlight w:val="none"/>
              </w:rPr>
              <w:t>、</w:t>
            </w:r>
            <w:r>
              <w:rPr>
                <w:rFonts w:hint="eastAsia" w:ascii="宋体" w:hAnsi="宋体" w:eastAsia="宋体" w:cs="宋体"/>
                <w:color w:val="auto"/>
                <w:sz w:val="21"/>
                <w:szCs w:val="21"/>
                <w:highlight w:val="none"/>
              </w:rPr>
              <w:t>除招标文件规定必须提供以外，投标人认为需要提供的其他证明材料。</w:t>
            </w:r>
          </w:p>
          <w:p>
            <w:pPr>
              <w:keepNext w:val="0"/>
              <w:keepLines w:val="0"/>
              <w:pageBreakBefore w:val="0"/>
              <w:widowControl w:val="0"/>
              <w:kinsoku/>
              <w:wordWrap w:val="0"/>
              <w:overflowPunct/>
              <w:topLinePunct w:val="0"/>
              <w:bidi w:val="0"/>
              <w:snapToGrid w:val="0"/>
              <w:spacing w:line="360" w:lineRule="exact"/>
              <w:jc w:val="left"/>
              <w:rPr>
                <w:rFonts w:hint="eastAsia" w:ascii="宋体" w:hAnsi="宋体" w:eastAsia="宋体" w:cs="宋体"/>
                <w:b/>
                <w:color w:val="auto"/>
                <w:sz w:val="18"/>
                <w:szCs w:val="18"/>
                <w:highlight w:val="none"/>
              </w:rPr>
            </w:pPr>
            <w:r>
              <w:rPr>
                <w:rFonts w:hint="eastAsia" w:ascii="宋体" w:hAnsi="宋体" w:eastAsia="宋体" w:cs="宋体"/>
                <w:b/>
                <w:bCs/>
                <w:color w:val="auto"/>
                <w:sz w:val="18"/>
                <w:szCs w:val="18"/>
                <w:highlight w:val="none"/>
              </w:rPr>
              <w:t>注：1.以上材料属于复印件的，必须加盖投标人公章，否则</w:t>
            </w:r>
            <w:r>
              <w:rPr>
                <w:rFonts w:hint="eastAsia" w:ascii="宋体" w:hAnsi="宋体" w:eastAsia="宋体" w:cs="宋体"/>
                <w:b/>
                <w:color w:val="auto"/>
                <w:sz w:val="18"/>
                <w:szCs w:val="18"/>
                <w:highlight w:val="none"/>
              </w:rPr>
              <w:t>作无效投标处理。</w:t>
            </w:r>
          </w:p>
          <w:p>
            <w:pPr>
              <w:keepNext w:val="0"/>
              <w:keepLines w:val="0"/>
              <w:pageBreakBefore w:val="0"/>
              <w:widowControl w:val="0"/>
              <w:kinsoku/>
              <w:wordWrap w:val="0"/>
              <w:overflowPunct/>
              <w:topLinePunct w:val="0"/>
              <w:bidi w:val="0"/>
              <w:snapToGrid w:val="0"/>
              <w:spacing w:line="360" w:lineRule="exact"/>
              <w:ind w:firstLine="361" w:firstLineChars="200"/>
              <w:jc w:val="left"/>
              <w:rPr>
                <w:rFonts w:hint="eastAsia" w:ascii="宋体" w:hAnsi="宋体" w:eastAsia="宋体" w:cs="宋体"/>
                <w:b/>
                <w:bCs/>
                <w:color w:val="auto"/>
                <w:sz w:val="18"/>
                <w:szCs w:val="18"/>
                <w:highlight w:val="none"/>
              </w:rPr>
            </w:pPr>
            <w:r>
              <w:rPr>
                <w:rFonts w:hint="eastAsia" w:ascii="宋体" w:hAnsi="宋体" w:eastAsia="宋体" w:cs="宋体"/>
                <w:b/>
                <w:color w:val="auto"/>
                <w:sz w:val="18"/>
                <w:szCs w:val="18"/>
                <w:highlight w:val="none"/>
              </w:rPr>
              <w:t>2.投标声明书必须由法定代表人（负责人）或委托代理人</w:t>
            </w:r>
            <w:r>
              <w:rPr>
                <w:rFonts w:hint="eastAsia" w:ascii="宋体" w:hAnsi="宋体" w:eastAsia="宋体" w:cs="宋体"/>
                <w:b/>
                <w:bCs/>
                <w:color w:val="auto"/>
                <w:sz w:val="18"/>
                <w:szCs w:val="18"/>
                <w:highlight w:val="none"/>
              </w:rPr>
              <w:t>在规定签章处逐一签字并加盖投标人公章，否则作无效投标处理。</w:t>
            </w:r>
          </w:p>
          <w:p>
            <w:pPr>
              <w:keepNext w:val="0"/>
              <w:keepLines w:val="0"/>
              <w:pageBreakBefore w:val="0"/>
              <w:widowControl w:val="0"/>
              <w:kinsoku/>
              <w:wordWrap w:val="0"/>
              <w:overflowPunct/>
              <w:topLinePunct w:val="0"/>
              <w:bidi w:val="0"/>
              <w:snapToGrid w:val="0"/>
              <w:spacing w:line="360" w:lineRule="exact"/>
              <w:ind w:firstLine="361"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 w:val="18"/>
                <w:szCs w:val="18"/>
                <w:highlight w:val="none"/>
              </w:rPr>
              <w:t>3.</w:t>
            </w:r>
            <w:r>
              <w:rPr>
                <w:rFonts w:hint="eastAsia" w:ascii="宋体" w:hAnsi="宋体" w:eastAsia="宋体" w:cs="宋体"/>
                <w:color w:val="auto"/>
                <w:sz w:val="18"/>
                <w:szCs w:val="18"/>
                <w:highlight w:val="none"/>
              </w:rPr>
              <w:t xml:space="preserve"> </w:t>
            </w:r>
            <w:r>
              <w:rPr>
                <w:rFonts w:hint="eastAsia" w:ascii="宋体" w:hAnsi="宋体" w:eastAsia="宋体" w:cs="宋体"/>
                <w:b/>
                <w:bCs/>
                <w:color w:val="auto"/>
                <w:sz w:val="18"/>
                <w:szCs w:val="18"/>
                <w:highlight w:val="none"/>
              </w:rPr>
              <w:t>投标人直接控股、管理关系信息表必须由法定代表人（负责人）或委托代理人在规定签章处逐一签字并加盖投标人公章，否则</w:t>
            </w:r>
            <w:r>
              <w:rPr>
                <w:rFonts w:hint="eastAsia" w:ascii="宋体" w:hAnsi="宋体" w:eastAsia="宋体" w:cs="宋体"/>
                <w:b/>
                <w:color w:val="auto"/>
                <w:sz w:val="18"/>
                <w:szCs w:val="18"/>
                <w:highlight w:val="none"/>
              </w:rPr>
              <w:t>作无效投标处理</w:t>
            </w:r>
            <w:r>
              <w:rPr>
                <w:rFonts w:hint="eastAsia" w:ascii="宋体" w:hAnsi="宋体" w:eastAsia="宋体" w:cs="宋体"/>
                <w:b/>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2" w:hRule="atLeast"/>
        </w:trPr>
        <w:tc>
          <w:tcPr>
            <w:tcW w:w="697"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bidi w:val="0"/>
              <w:snapToGrid w:val="0"/>
              <w:spacing w:line="360" w:lineRule="exact"/>
              <w:jc w:val="center"/>
              <w:rPr>
                <w:rFonts w:hint="eastAsia" w:ascii="宋体" w:hAnsi="宋体" w:eastAsia="宋体" w:cs="宋体"/>
                <w:color w:val="auto"/>
                <w:szCs w:val="21"/>
                <w:highlight w:val="none"/>
              </w:rPr>
            </w:pPr>
          </w:p>
        </w:tc>
        <w:tc>
          <w:tcPr>
            <w:tcW w:w="1799" w:type="dxa"/>
            <w:vMerge w:val="continue"/>
            <w:tcBorders>
              <w:left w:val="single" w:color="auto" w:sz="4" w:space="0"/>
              <w:right w:val="single" w:color="auto" w:sz="4" w:space="0"/>
            </w:tcBorders>
            <w:vAlign w:val="center"/>
          </w:tcPr>
          <w:p>
            <w:pPr>
              <w:keepNext w:val="0"/>
              <w:keepLines w:val="0"/>
              <w:pageBreakBefore w:val="0"/>
              <w:widowControl w:val="0"/>
              <w:tabs>
                <w:tab w:val="left" w:pos="2761"/>
              </w:tabs>
              <w:kinsoku/>
              <w:overflowPunct/>
              <w:topLinePunct w:val="0"/>
              <w:autoSpaceDE w:val="0"/>
              <w:autoSpaceDN w:val="0"/>
              <w:bidi w:val="0"/>
              <w:snapToGrid w:val="0"/>
              <w:spacing w:line="360" w:lineRule="exact"/>
              <w:jc w:val="center"/>
              <w:textAlignment w:val="bottom"/>
              <w:rPr>
                <w:rFonts w:hint="eastAsia" w:ascii="宋体" w:hAnsi="宋体" w:eastAsia="宋体" w:cs="宋体"/>
                <w:color w:val="auto"/>
                <w:szCs w:val="21"/>
                <w:highlight w:val="none"/>
              </w:rPr>
            </w:pP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adjustRightInd/>
              <w:snapToGrid w:val="0"/>
              <w:spacing w:line="360" w:lineRule="exact"/>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商务文件</w:t>
            </w:r>
            <w:r>
              <w:rPr>
                <w:rFonts w:hint="eastAsia" w:ascii="宋体" w:hAnsi="宋体" w:eastAsia="宋体" w:cs="宋体"/>
                <w:b/>
                <w:color w:val="auto"/>
                <w:szCs w:val="21"/>
                <w:highlight w:val="none"/>
                <w:lang w:eastAsia="zh-CN"/>
              </w:rPr>
              <w:t>（投标人所提供的材料如因模糊不清导致无法辨识的后果自负）</w:t>
            </w:r>
            <w:r>
              <w:rPr>
                <w:rFonts w:hint="eastAsia" w:ascii="宋体" w:hAnsi="宋体" w:eastAsia="宋体" w:cs="宋体"/>
                <w:b/>
                <w:color w:val="auto"/>
                <w:szCs w:val="21"/>
                <w:highlight w:val="none"/>
              </w:rPr>
              <w:t>：</w:t>
            </w:r>
          </w:p>
          <w:p>
            <w:pPr>
              <w:pStyle w:val="24"/>
              <w:keepNext w:val="0"/>
              <w:keepLines w:val="0"/>
              <w:pageBreakBefore w:val="0"/>
              <w:widowControl w:val="0"/>
              <w:kinsoku/>
              <w:overflowPunct/>
              <w:topLinePunct w:val="0"/>
              <w:bidi w:val="0"/>
              <w:adjustRightInd/>
              <w:spacing w:line="360" w:lineRule="exact"/>
              <w:ind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1、商务响应表（格式后附）；</w:t>
            </w:r>
            <w:r>
              <w:rPr>
                <w:rFonts w:hint="eastAsia" w:ascii="宋体" w:hAnsi="宋体" w:eastAsia="宋体" w:cs="宋体"/>
                <w:b/>
                <w:bCs/>
                <w:color w:val="auto"/>
                <w:kern w:val="2"/>
                <w:sz w:val="21"/>
                <w:szCs w:val="21"/>
                <w:highlight w:val="none"/>
                <w:lang w:val="en-US" w:eastAsia="zh-CN" w:bidi="ar-SA"/>
              </w:rPr>
              <w:t>（必须提供，否则作无效投标处理）</w:t>
            </w:r>
          </w:p>
          <w:p>
            <w:pPr>
              <w:pStyle w:val="24"/>
              <w:keepNext w:val="0"/>
              <w:keepLines w:val="0"/>
              <w:pageBreakBefore w:val="0"/>
              <w:widowControl w:val="0"/>
              <w:kinsoku/>
              <w:overflowPunct/>
              <w:topLinePunct w:val="0"/>
              <w:bidi w:val="0"/>
              <w:adjustRightInd/>
              <w:spacing w:line="360" w:lineRule="exact"/>
              <w:ind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2、法定代表人身份证明书原件，委托代理时还须提供法定代表人授权委托书原件及被授权人身份证复印件（格式见附件）；</w:t>
            </w:r>
            <w:r>
              <w:rPr>
                <w:rFonts w:hint="eastAsia" w:ascii="宋体" w:hAnsi="宋体" w:eastAsia="宋体" w:cs="宋体"/>
                <w:b/>
                <w:bCs/>
                <w:color w:val="auto"/>
                <w:kern w:val="2"/>
                <w:sz w:val="21"/>
                <w:szCs w:val="21"/>
                <w:highlight w:val="none"/>
                <w:lang w:val="en-US" w:eastAsia="zh-CN" w:bidi="ar-SA"/>
              </w:rPr>
              <w:t>（必须提供，否则作无效投标处理）</w:t>
            </w:r>
          </w:p>
          <w:p>
            <w:pPr>
              <w:keepNext w:val="0"/>
              <w:keepLines w:val="0"/>
              <w:pageBreakBefore w:val="0"/>
              <w:widowControl w:val="0"/>
              <w:kinsoku/>
              <w:wordWrap w:val="0"/>
              <w:overflowPunct/>
              <w:topLinePunct w:val="0"/>
              <w:bidi w:val="0"/>
              <w:adjustRightInd/>
              <w:snapToGrid w:val="0"/>
              <w:spacing w:line="360" w:lineRule="exact"/>
              <w:ind w:firstLine="210" w:firstLineChars="1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、服务承诺书（格式自拟）；</w:t>
            </w:r>
            <w:r>
              <w:rPr>
                <w:rFonts w:hint="eastAsia" w:ascii="宋体" w:hAnsi="宋体" w:eastAsia="宋体" w:cs="宋体"/>
                <w:b/>
                <w:bCs/>
                <w:color w:val="auto"/>
                <w:szCs w:val="21"/>
                <w:highlight w:val="none"/>
              </w:rPr>
              <w:t>（必须提供，否则作无效投标处理）</w:t>
            </w:r>
          </w:p>
          <w:p>
            <w:pPr>
              <w:keepNext w:val="0"/>
              <w:keepLines w:val="0"/>
              <w:pageBreakBefore w:val="0"/>
              <w:widowControl w:val="0"/>
              <w:kinsoku/>
              <w:wordWrap w:val="0"/>
              <w:overflowPunct/>
              <w:topLinePunct w:val="0"/>
              <w:bidi w:val="0"/>
              <w:adjustRightInd/>
              <w:snapToGrid w:val="0"/>
              <w:spacing w:line="360" w:lineRule="exact"/>
              <w:ind w:firstLine="210" w:firstLineChars="100"/>
              <w:jc w:val="left"/>
              <w:outlineLvl w:val="9"/>
              <w:rPr>
                <w:rFonts w:hint="eastAsia" w:ascii="宋体" w:hAnsi="宋体" w:eastAsia="宋体" w:cs="宋体"/>
                <w:b/>
                <w:color w:val="auto"/>
                <w:szCs w:val="21"/>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、无串通投标行为的承诺函</w:t>
            </w:r>
            <w:r>
              <w:rPr>
                <w:rFonts w:hint="eastAsia" w:ascii="宋体" w:hAnsi="宋体" w:eastAsia="宋体" w:cs="宋体"/>
                <w:color w:val="auto"/>
                <w:szCs w:val="21"/>
                <w:highlight w:val="none"/>
              </w:rPr>
              <w:t>（格式自拟）</w:t>
            </w:r>
            <w:r>
              <w:rPr>
                <w:rFonts w:hint="eastAsia" w:ascii="宋体" w:hAnsi="宋体" w:eastAsia="宋体" w:cs="宋体"/>
                <w:b/>
                <w:color w:val="auto"/>
                <w:szCs w:val="21"/>
                <w:highlight w:val="none"/>
              </w:rPr>
              <w:t>（必须提供，否则作无效投标处理）</w:t>
            </w:r>
          </w:p>
          <w:p>
            <w:pPr>
              <w:pStyle w:val="24"/>
              <w:keepNext w:val="0"/>
              <w:keepLines w:val="0"/>
              <w:pageBreakBefore w:val="0"/>
              <w:widowControl w:val="0"/>
              <w:kinsoku/>
              <w:overflowPunct/>
              <w:topLinePunct w:val="0"/>
              <w:bidi w:val="0"/>
              <w:adjustRightInd/>
              <w:spacing w:line="360" w:lineRule="exact"/>
              <w:ind w:firstLine="210" w:firstLineChars="1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、投标承诺书</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（必须提供，否则作无效投标处理）</w:t>
            </w:r>
          </w:p>
          <w:p>
            <w:pPr>
              <w:keepNext w:val="0"/>
              <w:keepLines w:val="0"/>
              <w:pageBreakBefore w:val="0"/>
              <w:widowControl w:val="0"/>
              <w:kinsoku/>
              <w:wordWrap w:val="0"/>
              <w:overflowPunct/>
              <w:topLinePunct w:val="0"/>
              <w:bidi w:val="0"/>
              <w:adjustRightInd/>
              <w:snapToGrid w:val="0"/>
              <w:spacing w:line="360" w:lineRule="exact"/>
              <w:jc w:val="left"/>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投标人情况介绍；</w:t>
            </w:r>
            <w:r>
              <w:rPr>
                <w:rFonts w:hint="eastAsia" w:ascii="宋体" w:hAnsi="宋体" w:eastAsia="宋体" w:cs="宋体"/>
                <w:b/>
                <w:bCs/>
                <w:color w:val="auto"/>
                <w:szCs w:val="21"/>
                <w:highlight w:val="none"/>
              </w:rPr>
              <w:t>（格式自拟，必须提供，否则作无效投标处理）</w:t>
            </w:r>
          </w:p>
          <w:p>
            <w:pPr>
              <w:pStyle w:val="24"/>
              <w:keepNext w:val="0"/>
              <w:keepLines w:val="0"/>
              <w:pageBreakBefore w:val="0"/>
              <w:widowControl w:val="0"/>
              <w:kinsoku/>
              <w:overflowPunct/>
              <w:topLinePunct w:val="0"/>
              <w:bidi w:val="0"/>
              <w:adjustRightInd/>
              <w:spacing w:line="360" w:lineRule="exact"/>
              <w:ind w:firstLine="210" w:firstLineChars="100"/>
              <w:outlineLvl w:val="9"/>
              <w:rPr>
                <w:rFonts w:hint="eastAsia" w:ascii="宋体" w:hAnsi="宋体" w:eastAsia="宋体" w:cs="宋体"/>
                <w:color w:val="auto"/>
                <w:kern w:val="2"/>
                <w:sz w:val="21"/>
                <w:highlight w:val="none"/>
              </w:rPr>
            </w:pPr>
            <w:r>
              <w:rPr>
                <w:rFonts w:hint="eastAsia" w:ascii="宋体" w:hAnsi="宋体" w:eastAsia="宋体" w:cs="宋体"/>
                <w:bCs/>
                <w:color w:val="auto"/>
                <w:kern w:val="2"/>
                <w:sz w:val="21"/>
                <w:szCs w:val="21"/>
                <w:highlight w:val="none"/>
                <w:lang w:val="en-US" w:eastAsia="zh-CN"/>
              </w:rPr>
              <w:t>7</w:t>
            </w:r>
            <w:r>
              <w:rPr>
                <w:rFonts w:hint="eastAsia" w:ascii="宋体" w:hAnsi="宋体" w:eastAsia="宋体" w:cs="宋体"/>
                <w:bCs/>
                <w:color w:val="auto"/>
                <w:szCs w:val="21"/>
                <w:highlight w:val="none"/>
              </w:rPr>
              <w:t>、</w:t>
            </w:r>
            <w:r>
              <w:rPr>
                <w:rFonts w:hint="eastAsia" w:ascii="宋体" w:hAnsi="宋体" w:eastAsia="宋体" w:cs="宋体"/>
                <w:color w:val="auto"/>
                <w:kern w:val="2"/>
                <w:sz w:val="21"/>
                <w:szCs w:val="21"/>
                <w:highlight w:val="none"/>
              </w:rPr>
              <w:t>除招标文件规定</w:t>
            </w:r>
            <w:r>
              <w:rPr>
                <w:rFonts w:hint="eastAsia" w:ascii="宋体" w:hAnsi="宋体" w:eastAsia="宋体" w:cs="宋体"/>
                <w:color w:val="auto"/>
                <w:kern w:val="2"/>
                <w:sz w:val="21"/>
                <w:highlight w:val="none"/>
              </w:rPr>
              <w:t>必须提供以外，投标人认为需要提供的其他证明材料（如有）。</w:t>
            </w:r>
            <w:r>
              <w:rPr>
                <w:rFonts w:hint="eastAsia" w:ascii="宋体" w:hAnsi="宋体" w:eastAsia="宋体" w:cs="宋体"/>
                <w:b/>
                <w:bCs/>
                <w:color w:val="auto"/>
                <w:kern w:val="2"/>
                <w:sz w:val="21"/>
                <w:highlight w:val="none"/>
              </w:rPr>
              <w:t>（投标人根据本招标文件第三章招标项目采购需求及第四章评标办法及评分标准提供有关证明材料）</w:t>
            </w:r>
            <w:r>
              <w:rPr>
                <w:rFonts w:hint="eastAsia" w:ascii="宋体" w:hAnsi="宋体" w:eastAsia="宋体" w:cs="宋体"/>
                <w:color w:val="auto"/>
                <w:kern w:val="2"/>
                <w:sz w:val="21"/>
                <w:highlight w:val="none"/>
              </w:rPr>
              <w:t>；</w:t>
            </w:r>
          </w:p>
          <w:p>
            <w:pPr>
              <w:keepNext w:val="0"/>
              <w:keepLines w:val="0"/>
              <w:pageBreakBefore w:val="0"/>
              <w:widowControl w:val="0"/>
              <w:kinsoku/>
              <w:wordWrap w:val="0"/>
              <w:overflowPunct/>
              <w:topLinePunct w:val="0"/>
              <w:bidi w:val="0"/>
              <w:adjustRightInd/>
              <w:snapToGrid w:val="0"/>
              <w:spacing w:line="360" w:lineRule="exact"/>
              <w:ind w:firstLine="361" w:firstLineChars="200"/>
              <w:jc w:val="left"/>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注： 1.法定代表人（负责人）授权委托书必须由法定代表人（负责人）及委托代理人签字，并加盖投标人公章，否则作无效投标处理。</w:t>
            </w:r>
          </w:p>
          <w:p>
            <w:pPr>
              <w:keepNext w:val="0"/>
              <w:keepLines w:val="0"/>
              <w:pageBreakBefore w:val="0"/>
              <w:widowControl w:val="0"/>
              <w:kinsoku/>
              <w:wordWrap w:val="0"/>
              <w:overflowPunct/>
              <w:topLinePunct w:val="0"/>
              <w:bidi w:val="0"/>
              <w:adjustRightInd/>
              <w:snapToGrid w:val="0"/>
              <w:spacing w:line="360" w:lineRule="exact"/>
              <w:ind w:firstLine="361" w:firstLineChars="200"/>
              <w:jc w:val="left"/>
              <w:outlineLvl w:val="9"/>
              <w:rPr>
                <w:rFonts w:hint="eastAsia" w:ascii="宋体" w:hAnsi="宋体" w:eastAsia="宋体" w:cs="宋体"/>
                <w:b/>
                <w:bCs/>
                <w:color w:val="auto"/>
                <w:szCs w:val="21"/>
                <w:highlight w:val="none"/>
                <w:u w:val="single"/>
              </w:rPr>
            </w:pPr>
            <w:r>
              <w:rPr>
                <w:rFonts w:hint="eastAsia" w:ascii="宋体" w:hAnsi="宋体" w:eastAsia="宋体" w:cs="宋体"/>
                <w:b/>
                <w:color w:val="auto"/>
                <w:sz w:val="18"/>
                <w:szCs w:val="18"/>
                <w:highlight w:val="none"/>
              </w:rPr>
              <w:t>2.以上材料属于复印件的，必须加盖投标人公章，否则作无效投标处理。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6" w:hRule="atLeast"/>
        </w:trPr>
        <w:tc>
          <w:tcPr>
            <w:tcW w:w="697" w:type="dxa"/>
            <w:vMerge w:val="continue"/>
            <w:tcBorders>
              <w:left w:val="single" w:color="auto" w:sz="4" w:space="0"/>
              <w:bottom w:val="nil"/>
              <w:right w:val="single" w:color="auto" w:sz="4" w:space="0"/>
            </w:tcBorders>
            <w:vAlign w:val="center"/>
          </w:tcPr>
          <w:p>
            <w:pPr>
              <w:keepNext w:val="0"/>
              <w:keepLines w:val="0"/>
              <w:pageBreakBefore w:val="0"/>
              <w:widowControl w:val="0"/>
              <w:kinsoku/>
              <w:overflowPunct/>
              <w:topLinePunct w:val="0"/>
              <w:bidi w:val="0"/>
              <w:snapToGrid w:val="0"/>
              <w:spacing w:line="360" w:lineRule="exact"/>
              <w:jc w:val="center"/>
              <w:rPr>
                <w:rFonts w:hint="eastAsia" w:ascii="宋体" w:hAnsi="宋体" w:eastAsia="宋体" w:cs="宋体"/>
                <w:color w:val="auto"/>
                <w:szCs w:val="21"/>
                <w:highlight w:val="none"/>
              </w:rPr>
            </w:pPr>
          </w:p>
        </w:tc>
        <w:tc>
          <w:tcPr>
            <w:tcW w:w="1799" w:type="dxa"/>
            <w:vMerge w:val="continue"/>
            <w:tcBorders>
              <w:left w:val="single" w:color="auto" w:sz="4" w:space="0"/>
              <w:right w:val="single" w:color="auto" w:sz="4" w:space="0"/>
            </w:tcBorders>
            <w:vAlign w:val="center"/>
          </w:tcPr>
          <w:p>
            <w:pPr>
              <w:keepNext w:val="0"/>
              <w:keepLines w:val="0"/>
              <w:pageBreakBefore w:val="0"/>
              <w:widowControl w:val="0"/>
              <w:tabs>
                <w:tab w:val="left" w:pos="2761"/>
              </w:tabs>
              <w:kinsoku/>
              <w:overflowPunct/>
              <w:topLinePunct w:val="0"/>
              <w:autoSpaceDE w:val="0"/>
              <w:autoSpaceDN w:val="0"/>
              <w:bidi w:val="0"/>
              <w:snapToGrid w:val="0"/>
              <w:spacing w:line="360" w:lineRule="exact"/>
              <w:jc w:val="center"/>
              <w:textAlignment w:val="bottom"/>
              <w:rPr>
                <w:rFonts w:hint="eastAsia" w:ascii="宋体" w:hAnsi="宋体" w:eastAsia="宋体" w:cs="宋体"/>
                <w:color w:val="auto"/>
                <w:szCs w:val="21"/>
                <w:highlight w:val="none"/>
              </w:rPr>
            </w:pP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adjustRightInd/>
              <w:snapToGrid w:val="0"/>
              <w:spacing w:line="360" w:lineRule="exact"/>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技术文件</w:t>
            </w:r>
            <w:r>
              <w:rPr>
                <w:rFonts w:hint="eastAsia" w:ascii="宋体" w:hAnsi="宋体" w:eastAsia="宋体" w:cs="宋体"/>
                <w:b/>
                <w:color w:val="auto"/>
                <w:szCs w:val="21"/>
                <w:highlight w:val="none"/>
                <w:lang w:eastAsia="zh-CN"/>
              </w:rPr>
              <w:t>（投标人所提供的材料如因模糊不清导致无法辨识的后果自负）</w:t>
            </w:r>
            <w:r>
              <w:rPr>
                <w:rFonts w:hint="eastAsia" w:ascii="宋体" w:hAnsi="宋体" w:eastAsia="宋体" w:cs="宋体"/>
                <w:b/>
                <w:color w:val="auto"/>
                <w:szCs w:val="21"/>
                <w:highlight w:val="none"/>
              </w:rPr>
              <w:t>：</w:t>
            </w:r>
          </w:p>
          <w:p>
            <w:pPr>
              <w:keepNext w:val="0"/>
              <w:keepLines w:val="0"/>
              <w:pageBreakBefore w:val="0"/>
              <w:widowControl w:val="0"/>
              <w:numPr>
                <w:ilvl w:val="0"/>
                <w:numId w:val="0"/>
              </w:numPr>
              <w:kinsoku/>
              <w:wordWrap w:val="0"/>
              <w:overflowPunct/>
              <w:topLinePunct w:val="0"/>
              <w:bidi w:val="0"/>
              <w:adjustRightInd/>
              <w:snapToGrid w:val="0"/>
              <w:spacing w:line="360" w:lineRule="exact"/>
              <w:jc w:val="left"/>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　1、</w:t>
            </w:r>
            <w:r>
              <w:rPr>
                <w:rFonts w:hint="eastAsia" w:ascii="宋体" w:hAnsi="宋体" w:eastAsia="宋体" w:cs="宋体"/>
                <w:b w:val="0"/>
                <w:bCs w:val="0"/>
                <w:color w:val="auto"/>
                <w:szCs w:val="21"/>
                <w:highlight w:val="none"/>
              </w:rPr>
              <w:t>技术服务响应表</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keepNext w:val="0"/>
              <w:keepLines w:val="0"/>
              <w:pageBreakBefore w:val="0"/>
              <w:widowControl w:val="0"/>
              <w:numPr>
                <w:ilvl w:val="0"/>
                <w:numId w:val="0"/>
              </w:numPr>
              <w:kinsoku/>
              <w:wordWrap w:val="0"/>
              <w:overflowPunct/>
              <w:topLinePunct w:val="0"/>
              <w:bidi w:val="0"/>
              <w:adjustRightInd/>
              <w:snapToGrid w:val="0"/>
              <w:spacing w:line="360" w:lineRule="exact"/>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2、</w:t>
            </w:r>
            <w:r>
              <w:rPr>
                <w:rFonts w:hint="eastAsia" w:ascii="宋体" w:hAnsi="宋体" w:eastAsia="宋体" w:cs="宋体"/>
                <w:color w:val="auto"/>
                <w:szCs w:val="21"/>
                <w:highlight w:val="none"/>
              </w:rPr>
              <w:t>项目中生活垃圾处理工艺（技术）操作流程方案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（格式自拟）（</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keepNext w:val="0"/>
              <w:keepLines w:val="0"/>
              <w:pageBreakBefore w:val="0"/>
              <w:widowControl w:val="0"/>
              <w:numPr>
                <w:ilvl w:val="0"/>
                <w:numId w:val="0"/>
              </w:numPr>
              <w:kinsoku/>
              <w:wordWrap w:val="0"/>
              <w:overflowPunct/>
              <w:topLinePunct w:val="0"/>
              <w:bidi w:val="0"/>
              <w:adjustRightInd/>
              <w:snapToGrid w:val="0"/>
              <w:spacing w:line="360" w:lineRule="exact"/>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3、</w:t>
            </w:r>
            <w:r>
              <w:rPr>
                <w:rFonts w:hint="eastAsia" w:ascii="宋体" w:hAnsi="宋体" w:eastAsia="宋体" w:cs="宋体"/>
                <w:color w:val="auto"/>
                <w:szCs w:val="21"/>
                <w:highlight w:val="none"/>
              </w:rPr>
              <w:t>项目管理规章制度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（格式自拟）（</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val="0"/>
              <w:bidi w:val="0"/>
              <w:adjustRightInd/>
              <w:snapToGrid w:val="0"/>
              <w:spacing w:line="360" w:lineRule="exact"/>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4、</w:t>
            </w:r>
            <w:r>
              <w:rPr>
                <w:rFonts w:hint="eastAsia" w:ascii="宋体" w:hAnsi="宋体" w:eastAsia="宋体" w:cs="宋体"/>
                <w:color w:val="auto"/>
                <w:szCs w:val="21"/>
                <w:highlight w:val="none"/>
              </w:rPr>
              <w:t>应急事件处理方案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（格式自拟）（</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val="0"/>
              <w:bidi w:val="0"/>
              <w:adjustRightInd/>
              <w:snapToGrid w:val="0"/>
              <w:spacing w:line="360" w:lineRule="exact"/>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5、</w:t>
            </w:r>
            <w:r>
              <w:rPr>
                <w:rFonts w:hint="eastAsia" w:ascii="宋体" w:hAnsi="宋体" w:eastAsia="宋体" w:cs="宋体"/>
                <w:color w:val="auto"/>
                <w:szCs w:val="21"/>
                <w:highlight w:val="none"/>
              </w:rPr>
              <w:t>服务方案及承诺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（格式自拟）（</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val="0"/>
              <w:bidi w:val="0"/>
              <w:adjustRightInd/>
              <w:snapToGrid w:val="0"/>
              <w:spacing w:line="360" w:lineRule="exact"/>
              <w:jc w:val="left"/>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6、</w:t>
            </w:r>
            <w:r>
              <w:rPr>
                <w:rFonts w:hint="eastAsia" w:ascii="宋体" w:hAnsi="宋体" w:eastAsia="宋体" w:cs="宋体"/>
                <w:color w:val="auto"/>
                <w:szCs w:val="21"/>
                <w:highlight w:val="none"/>
              </w:rPr>
              <w:t>投标人认为有必要提供的其他有关材料（格式自拟）</w:t>
            </w:r>
            <w:r>
              <w:rPr>
                <w:rFonts w:hint="eastAsia" w:ascii="宋体" w:hAnsi="宋体" w:eastAsia="宋体" w:cs="宋体"/>
                <w:color w:val="auto"/>
                <w:szCs w:val="21"/>
                <w:highlight w:val="none"/>
                <w:lang w:eastAsia="zh-CN"/>
              </w:rPr>
              <w:t>；</w:t>
            </w:r>
          </w:p>
          <w:p>
            <w:pPr>
              <w:keepNext w:val="0"/>
              <w:keepLines w:val="0"/>
              <w:pageBreakBefore w:val="0"/>
              <w:widowControl w:val="0"/>
              <w:kinsoku/>
              <w:wordWrap w:val="0"/>
              <w:overflowPunct/>
              <w:topLinePunct w:val="0"/>
              <w:bidi w:val="0"/>
              <w:adjustRightInd/>
              <w:snapToGrid w:val="0"/>
              <w:spacing w:line="360" w:lineRule="exact"/>
              <w:jc w:val="left"/>
              <w:outlineLvl w:val="9"/>
              <w:rPr>
                <w:rFonts w:hint="eastAsia" w:ascii="宋体" w:hAnsi="宋体" w:eastAsia="宋体" w:cs="宋体"/>
                <w:b/>
                <w:bCs/>
                <w:color w:val="auto"/>
                <w:szCs w:val="21"/>
                <w:highlight w:val="none"/>
                <w:u w:val="single"/>
              </w:rPr>
            </w:pPr>
            <w:r>
              <w:rPr>
                <w:rFonts w:hint="eastAsia" w:ascii="宋体" w:hAnsi="宋体" w:eastAsia="宋体" w:cs="宋体"/>
                <w:b/>
                <w:bCs/>
                <w:color w:val="auto"/>
                <w:sz w:val="18"/>
                <w:szCs w:val="18"/>
                <w:highlight w:val="none"/>
                <w:lang w:eastAsia="zh-CN"/>
              </w:rPr>
              <w:t>　</w:t>
            </w:r>
            <w:r>
              <w:rPr>
                <w:rFonts w:hint="eastAsia" w:ascii="宋体" w:hAnsi="宋体" w:eastAsia="宋体" w:cs="宋体"/>
                <w:b/>
                <w:bCs/>
                <w:color w:val="auto"/>
                <w:sz w:val="18"/>
                <w:szCs w:val="18"/>
                <w:highlight w:val="none"/>
              </w:rPr>
              <w:t>注： 以上材料属于复印件的，必须加盖投标人公章，否则</w:t>
            </w:r>
            <w:r>
              <w:rPr>
                <w:rFonts w:hint="eastAsia" w:ascii="宋体" w:hAnsi="宋体" w:eastAsia="宋体" w:cs="宋体"/>
                <w:b/>
                <w:color w:val="auto"/>
                <w:sz w:val="18"/>
                <w:szCs w:val="18"/>
                <w:highlight w:val="none"/>
              </w:rPr>
              <w:t>作无效投标处理</w:t>
            </w:r>
            <w:r>
              <w:rPr>
                <w:rFonts w:hint="eastAsia" w:ascii="宋体" w:hAnsi="宋体" w:eastAsia="宋体" w:cs="宋体"/>
                <w:b/>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69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val="0"/>
              <w:spacing w:line="360" w:lineRule="exact"/>
              <w:jc w:val="center"/>
              <w:rPr>
                <w:rFonts w:hint="eastAsia" w:ascii="宋体" w:hAnsi="宋体" w:eastAsia="宋体" w:cs="宋体"/>
                <w:color w:val="auto"/>
                <w:szCs w:val="21"/>
                <w:highlight w:val="none"/>
              </w:rPr>
            </w:pPr>
          </w:p>
        </w:tc>
        <w:tc>
          <w:tcPr>
            <w:tcW w:w="179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tabs>
                <w:tab w:val="left" w:pos="2761"/>
              </w:tabs>
              <w:kinsoku/>
              <w:overflowPunct/>
              <w:topLinePunct w:val="0"/>
              <w:autoSpaceDE w:val="0"/>
              <w:autoSpaceDN w:val="0"/>
              <w:bidi w:val="0"/>
              <w:snapToGrid w:val="0"/>
              <w:spacing w:line="360" w:lineRule="exact"/>
              <w:jc w:val="center"/>
              <w:textAlignment w:val="bottom"/>
              <w:rPr>
                <w:rFonts w:hint="eastAsia" w:ascii="宋体" w:hAnsi="宋体" w:eastAsia="宋体" w:cs="宋体"/>
                <w:color w:val="auto"/>
                <w:szCs w:val="21"/>
                <w:highlight w:val="none"/>
              </w:rPr>
            </w:pP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adjustRightInd/>
              <w:snapToGrid w:val="0"/>
              <w:spacing w:line="360" w:lineRule="exact"/>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投标文件电子版。投标人在递交投标文件时，同时递交投标文件电子版。</w:t>
            </w:r>
          </w:p>
          <w:p>
            <w:pPr>
              <w:keepNext w:val="0"/>
              <w:keepLines w:val="0"/>
              <w:pageBreakBefore w:val="0"/>
              <w:widowControl w:val="0"/>
              <w:kinsoku/>
              <w:wordWrap w:val="0"/>
              <w:overflowPunct/>
              <w:topLinePunct w:val="0"/>
              <w:bidi w:val="0"/>
              <w:adjustRightInd/>
              <w:snapToGrid w:val="0"/>
              <w:spacing w:line="360" w:lineRule="exact"/>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rPr>
              <w:t>1、投标文件电子版内容：与纸质投标文件全部内容一致。</w:t>
            </w:r>
          </w:p>
          <w:p>
            <w:pPr>
              <w:keepNext w:val="0"/>
              <w:keepLines w:val="0"/>
              <w:pageBreakBefore w:val="0"/>
              <w:widowControl w:val="0"/>
              <w:kinsoku/>
              <w:wordWrap w:val="0"/>
              <w:overflowPunct/>
              <w:topLinePunct w:val="0"/>
              <w:bidi w:val="0"/>
              <w:adjustRightInd/>
              <w:snapToGrid w:val="0"/>
              <w:spacing w:line="360" w:lineRule="exact"/>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rPr>
              <w:t>2、投标文件电子版形式：可编辑的word文档格式1份。</w:t>
            </w:r>
          </w:p>
          <w:p>
            <w:pPr>
              <w:keepNext w:val="0"/>
              <w:keepLines w:val="0"/>
              <w:pageBreakBefore w:val="0"/>
              <w:widowControl w:val="0"/>
              <w:kinsoku/>
              <w:overflowPunct/>
              <w:topLinePunct w:val="0"/>
              <w:autoSpaceDE w:val="0"/>
              <w:autoSpaceDN w:val="0"/>
              <w:bidi w:val="0"/>
              <w:adjustRightInd/>
              <w:snapToGrid w:val="0"/>
              <w:spacing w:line="360" w:lineRule="exact"/>
              <w:textAlignment w:val="bottom"/>
              <w:outlineLvl w:val="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rPr>
              <w:t>3、投标文件电子版密封方式：投标文件电子版U盘装入投标文件正本包封内。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6" w:hRule="atLeast"/>
        </w:trPr>
        <w:tc>
          <w:tcPr>
            <w:tcW w:w="69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799" w:type="dxa"/>
            <w:tcBorders>
              <w:left w:val="single" w:color="auto" w:sz="4" w:space="0"/>
              <w:bottom w:val="single" w:color="auto" w:sz="4" w:space="0"/>
              <w:right w:val="single" w:color="auto" w:sz="4" w:space="0"/>
            </w:tcBorders>
            <w:vAlign w:val="center"/>
          </w:tcPr>
          <w:p>
            <w:pPr>
              <w:keepNext w:val="0"/>
              <w:keepLines w:val="0"/>
              <w:pageBreakBefore w:val="0"/>
              <w:widowControl w:val="0"/>
              <w:tabs>
                <w:tab w:val="left" w:pos="2761"/>
              </w:tabs>
              <w:kinsoku/>
              <w:overflowPunct/>
              <w:topLinePunct w:val="0"/>
              <w:autoSpaceDE w:val="0"/>
              <w:autoSpaceDN w:val="0"/>
              <w:bidi w:val="0"/>
              <w:snapToGrid w:val="0"/>
              <w:spacing w:line="360" w:lineRule="exac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投标文件正副本份数</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60" w:lineRule="exact"/>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rPr>
              <w:t>1、报价文件正本一份、副本</w:t>
            </w:r>
            <w:r>
              <w:rPr>
                <w:color w:val="auto"/>
                <w:szCs w:val="21"/>
                <w:highlight w:val="none"/>
              </w:rPr>
              <w:t>肆</w:t>
            </w:r>
            <w:r>
              <w:rPr>
                <w:rFonts w:hint="eastAsia" w:ascii="宋体" w:hAnsi="宋体" w:eastAsia="宋体" w:cs="宋体"/>
                <w:color w:val="auto"/>
                <w:szCs w:val="21"/>
                <w:highlight w:val="none"/>
              </w:rPr>
              <w:t>份；</w:t>
            </w:r>
          </w:p>
          <w:p>
            <w:pPr>
              <w:keepNext w:val="0"/>
              <w:keepLines w:val="0"/>
              <w:pageBreakBefore w:val="0"/>
              <w:widowControl w:val="0"/>
              <w:kinsoku/>
              <w:overflowPunct/>
              <w:topLinePunct w:val="0"/>
              <w:autoSpaceDE w:val="0"/>
              <w:autoSpaceDN w:val="0"/>
              <w:bidi w:val="0"/>
              <w:adjustRightInd/>
              <w:snapToGrid w:val="0"/>
              <w:spacing w:line="360" w:lineRule="exact"/>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rPr>
              <w:t>2、资格证明文件正本一份、副本</w:t>
            </w:r>
            <w:r>
              <w:rPr>
                <w:color w:val="auto"/>
                <w:szCs w:val="21"/>
                <w:highlight w:val="none"/>
              </w:rPr>
              <w:t>肆</w:t>
            </w:r>
            <w:r>
              <w:rPr>
                <w:rFonts w:hint="eastAsia" w:ascii="宋体" w:hAnsi="宋体" w:eastAsia="宋体" w:cs="宋体"/>
                <w:color w:val="auto"/>
                <w:szCs w:val="21"/>
                <w:highlight w:val="none"/>
              </w:rPr>
              <w:t>份；</w:t>
            </w:r>
          </w:p>
          <w:p>
            <w:pPr>
              <w:keepNext w:val="0"/>
              <w:keepLines w:val="0"/>
              <w:pageBreakBefore w:val="0"/>
              <w:widowControl w:val="0"/>
              <w:kinsoku/>
              <w:overflowPunct/>
              <w:topLinePunct w:val="0"/>
              <w:autoSpaceDE w:val="0"/>
              <w:autoSpaceDN w:val="0"/>
              <w:bidi w:val="0"/>
              <w:adjustRightInd/>
              <w:snapToGrid w:val="0"/>
              <w:spacing w:line="360" w:lineRule="exact"/>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rPr>
              <w:t>3、商务文件正本一份、副本</w:t>
            </w:r>
            <w:r>
              <w:rPr>
                <w:color w:val="auto"/>
                <w:szCs w:val="21"/>
                <w:highlight w:val="none"/>
              </w:rPr>
              <w:t>肆</w:t>
            </w:r>
            <w:r>
              <w:rPr>
                <w:rFonts w:hint="eastAsia" w:ascii="宋体" w:hAnsi="宋体" w:eastAsia="宋体" w:cs="宋体"/>
                <w:color w:val="auto"/>
                <w:szCs w:val="21"/>
                <w:highlight w:val="none"/>
              </w:rPr>
              <w:t>份；</w:t>
            </w:r>
          </w:p>
          <w:p>
            <w:pPr>
              <w:keepNext w:val="0"/>
              <w:keepLines w:val="0"/>
              <w:pageBreakBefore w:val="0"/>
              <w:widowControl w:val="0"/>
              <w:kinsoku/>
              <w:overflowPunct/>
              <w:topLinePunct w:val="0"/>
              <w:autoSpaceDE w:val="0"/>
              <w:autoSpaceDN w:val="0"/>
              <w:bidi w:val="0"/>
              <w:adjustRightInd/>
              <w:snapToGrid w:val="0"/>
              <w:spacing w:line="360" w:lineRule="exact"/>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rPr>
              <w:t>4、技术文件正本一份、副本</w:t>
            </w:r>
            <w:r>
              <w:rPr>
                <w:color w:val="auto"/>
                <w:szCs w:val="21"/>
                <w:highlight w:val="none"/>
              </w:rPr>
              <w:t>肆</w:t>
            </w:r>
            <w:r>
              <w:rPr>
                <w:rFonts w:hint="eastAsia" w:ascii="宋体" w:hAnsi="宋体" w:eastAsia="宋体" w:cs="宋体"/>
                <w:color w:val="auto"/>
                <w:szCs w:val="21"/>
                <w:highlight w:val="none"/>
              </w:rPr>
              <w:t>份；</w:t>
            </w:r>
          </w:p>
          <w:p>
            <w:pPr>
              <w:keepNext w:val="0"/>
              <w:keepLines w:val="0"/>
              <w:pageBreakBefore w:val="0"/>
              <w:widowControl w:val="0"/>
              <w:kinsoku/>
              <w:overflowPunct/>
              <w:topLinePunct w:val="0"/>
              <w:autoSpaceDE w:val="0"/>
              <w:autoSpaceDN w:val="0"/>
              <w:bidi w:val="0"/>
              <w:adjustRightInd/>
              <w:snapToGrid w:val="0"/>
              <w:spacing w:line="360" w:lineRule="exact"/>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rPr>
              <w:t>5、投标文件电子Ｕ盘一份。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投标文件截止时间及地点</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pacing w:line="3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21日10</w:t>
            </w:r>
            <w:r>
              <w:rPr>
                <w:rFonts w:hint="eastAsia" w:ascii="宋体" w:hAnsi="宋体" w:eastAsia="宋体" w:cs="宋体"/>
                <w:color w:val="auto"/>
                <w:szCs w:val="21"/>
                <w:highlight w:val="none"/>
                <w:u w:val="none"/>
              </w:rPr>
              <w:t>时</w:t>
            </w:r>
            <w:r>
              <w:rPr>
                <w:rFonts w:hint="eastAsia" w:ascii="宋体" w:hAnsi="宋体" w:cs="宋体"/>
                <w:color w:val="auto"/>
                <w:szCs w:val="21"/>
                <w:highlight w:val="none"/>
                <w:u w:val="none"/>
                <w:lang w:val="en-US" w:eastAsia="zh-CN"/>
              </w:rPr>
              <w:t>00分</w:t>
            </w:r>
            <w:r>
              <w:rPr>
                <w:rFonts w:hint="eastAsia" w:ascii="宋体" w:hAnsi="宋体" w:eastAsia="宋体" w:cs="宋体"/>
                <w:color w:val="auto"/>
                <w:szCs w:val="21"/>
                <w:highlight w:val="none"/>
              </w:rPr>
              <w:t>在来宾市公共资源交易中心开标厅（广西来宾市红水河大道331号政务服务中心3楼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具体开标室详见当天电子显示屏）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7"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投标文件的递交</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投标文件递交时间：202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21</w:t>
            </w:r>
            <w:r>
              <w:rPr>
                <w:rFonts w:hint="eastAsia" w:ascii="宋体" w:hAnsi="宋体" w:eastAsia="宋体" w:cs="宋体"/>
                <w:color w:val="auto"/>
                <w:szCs w:val="21"/>
                <w:highlight w:val="none"/>
                <w:u w:val="none"/>
              </w:rPr>
              <w:t>日</w:t>
            </w:r>
            <w:r>
              <w:rPr>
                <w:rFonts w:hint="eastAsia" w:ascii="宋体" w:hAnsi="宋体" w:cs="宋体"/>
                <w:color w:val="auto"/>
                <w:szCs w:val="21"/>
                <w:highlight w:val="none"/>
                <w:u w:val="none"/>
                <w:lang w:val="en-US" w:eastAsia="zh-CN"/>
              </w:rPr>
              <w:t>10</w:t>
            </w:r>
            <w:r>
              <w:rPr>
                <w:rFonts w:hint="eastAsia" w:ascii="宋体" w:hAnsi="宋体" w:eastAsia="宋体" w:cs="宋体"/>
                <w:color w:val="auto"/>
                <w:szCs w:val="21"/>
                <w:highlight w:val="none"/>
                <w:u w:val="none"/>
              </w:rPr>
              <w:t>时</w:t>
            </w:r>
            <w:r>
              <w:rPr>
                <w:rFonts w:hint="eastAsia" w:ascii="宋体" w:hAnsi="宋体" w:cs="宋体"/>
                <w:color w:val="auto"/>
                <w:szCs w:val="21"/>
                <w:highlight w:val="none"/>
                <w:u w:val="none"/>
                <w:lang w:val="en-US" w:eastAsia="zh-CN"/>
              </w:rPr>
              <w:t>00分</w:t>
            </w:r>
            <w:r>
              <w:rPr>
                <w:rFonts w:hint="eastAsia" w:ascii="宋体" w:hAnsi="宋体" w:eastAsia="宋体" w:cs="宋体"/>
                <w:color w:val="auto"/>
                <w:szCs w:val="21"/>
                <w:highlight w:val="none"/>
              </w:rPr>
              <w:t>前</w:t>
            </w:r>
          </w:p>
          <w:p>
            <w:pPr>
              <w:keepNext w:val="0"/>
              <w:keepLines w:val="0"/>
              <w:pageBreakBefore w:val="0"/>
              <w:widowControl w:val="0"/>
              <w:numPr>
                <w:ilvl w:val="0"/>
                <w:numId w:val="0"/>
              </w:numPr>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地点：来宾市公共资源交易中心开标厅（广西来宾市红水河大道331号政务服务中心3楼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具体开标室详见当天电子显示屏）</w:t>
            </w:r>
          </w:p>
          <w:p>
            <w:pPr>
              <w:keepNext w:val="0"/>
              <w:keepLines w:val="0"/>
              <w:pageBreakBefore w:val="0"/>
              <w:widowControl w:val="0"/>
              <w:numPr>
                <w:ilvl w:val="0"/>
                <w:numId w:val="0"/>
              </w:numPr>
              <w:kinsoku/>
              <w:wordWrap/>
              <w:overflowPunct/>
              <w:topLinePunct w:val="0"/>
              <w:bidi w:val="0"/>
              <w:snapToGrid w:val="0"/>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　</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提交投标文件时须提供的材料：</w:t>
            </w:r>
          </w:p>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　</w:t>
            </w:r>
            <w:r>
              <w:rPr>
                <w:rFonts w:hint="eastAsia" w:ascii="宋体" w:hAnsi="宋体" w:eastAsia="宋体" w:cs="宋体"/>
                <w:b/>
                <w:bCs/>
                <w:color w:val="auto"/>
                <w:szCs w:val="21"/>
                <w:highlight w:val="none"/>
              </w:rPr>
              <w:t>投标人法定代表人（负责人）提交投标文件的，须提供身份证原件及法定代表人（负责人）身份证明原件（格式后附）；投标人委托代理人提交投标文件的，须提供身份证原件及法定代表人（负责人）授权委托书原件；投标保证金复印件（原件核查）或投标保函（如有）原件；开户许可证复印件（或基本存款账户信息证明）。</w:t>
            </w:r>
          </w:p>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　</w:t>
            </w:r>
            <w:r>
              <w:rPr>
                <w:rFonts w:hint="eastAsia" w:ascii="宋体" w:hAnsi="宋体" w:eastAsia="宋体" w:cs="宋体"/>
                <w:b/>
                <w:bCs/>
                <w:color w:val="auto"/>
                <w:szCs w:val="21"/>
                <w:highlight w:val="none"/>
              </w:rPr>
              <w:t>注：对于材料不全或无效的，采购代理机构应当拒收。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开标时间及地点</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21</w:t>
            </w:r>
            <w:r>
              <w:rPr>
                <w:rFonts w:hint="eastAsia" w:ascii="宋体" w:hAnsi="宋体" w:eastAsia="宋体" w:cs="宋体"/>
                <w:color w:val="auto"/>
                <w:szCs w:val="21"/>
                <w:highlight w:val="none"/>
                <w:u w:val="none"/>
              </w:rPr>
              <w:t>日</w:t>
            </w:r>
            <w:r>
              <w:rPr>
                <w:rFonts w:hint="eastAsia" w:ascii="宋体" w:hAnsi="宋体" w:cs="宋体"/>
                <w:color w:val="auto"/>
                <w:szCs w:val="21"/>
                <w:highlight w:val="none"/>
                <w:u w:val="none"/>
                <w:lang w:val="en-US" w:eastAsia="zh-CN"/>
              </w:rPr>
              <w:t>10</w:t>
            </w:r>
            <w:r>
              <w:rPr>
                <w:rFonts w:hint="eastAsia" w:ascii="宋体" w:hAnsi="宋体" w:eastAsia="宋体" w:cs="宋体"/>
                <w:color w:val="auto"/>
                <w:szCs w:val="21"/>
                <w:highlight w:val="none"/>
                <w:u w:val="none"/>
              </w:rPr>
              <w:t>时</w:t>
            </w:r>
            <w:r>
              <w:rPr>
                <w:rFonts w:hint="eastAsia" w:ascii="宋体" w:hAnsi="宋体" w:cs="宋体"/>
                <w:color w:val="auto"/>
                <w:szCs w:val="21"/>
                <w:highlight w:val="none"/>
                <w:u w:val="none"/>
                <w:lang w:val="en-US" w:eastAsia="zh-CN"/>
              </w:rPr>
              <w:t>00分</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来宾市公共资源交易中心开标厅（广西来宾市红水河大道331号政务服务中心3楼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具体开标室详见当天电子显示屏）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exac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exac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中标通知书及中标公告</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rPr>
              <w:t>采购代理机构在采购人依法确定中标人之日起2个工作日内发出中标通知书，并在</w:t>
            </w:r>
            <w:r>
              <w:rPr>
                <w:rFonts w:hint="eastAsia" w:ascii="宋体" w:hAnsi="宋体" w:eastAsia="宋体" w:cs="宋体"/>
                <w:bCs/>
                <w:color w:val="auto"/>
                <w:szCs w:val="21"/>
                <w:highlight w:val="none"/>
              </w:rPr>
              <w:t>中国政府采购网http://www.ccgp.gov.cn、广西壮族自治区政府采购网http://zfcg.gxzf.gov.cn/、全国公共资源交易平台（广西•来宾）http://ggzy.jgswj.gxzf.gov.cn/lbggzy/</w:t>
            </w:r>
            <w:r>
              <w:rPr>
                <w:rFonts w:hint="eastAsia" w:ascii="宋体" w:hAnsi="宋体" w:eastAsia="宋体" w:cs="宋体"/>
                <w:color w:val="auto"/>
                <w:szCs w:val="21"/>
                <w:highlight w:val="none"/>
              </w:rPr>
              <w:t>发布中标公告。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exac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自中标通知书发出之日起</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5" w:hRule="exac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投标人确认收到澄清、修改的时间</w:t>
            </w:r>
          </w:p>
        </w:tc>
        <w:tc>
          <w:tcPr>
            <w:tcW w:w="7156" w:type="dxa"/>
            <w:tcBorders>
              <w:top w:val="single" w:color="auto" w:sz="4" w:space="0"/>
              <w:left w:val="single" w:color="auto" w:sz="4" w:space="0"/>
              <w:bottom w:val="single" w:color="auto" w:sz="4" w:space="0"/>
              <w:right w:val="single" w:color="auto" w:sz="4" w:space="0"/>
            </w:tcBorders>
            <w:vAlign w:val="center"/>
          </w:tcPr>
          <w:p>
            <w:pPr>
              <w:pStyle w:val="167"/>
              <w:keepNext w:val="0"/>
              <w:keepLines w:val="0"/>
              <w:pageBreakBefore w:val="0"/>
              <w:widowControl w:val="0"/>
              <w:kinsoku/>
              <w:wordWrap/>
              <w:overflowPunct/>
              <w:topLinePunct w:val="0"/>
              <w:bidi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　</w:t>
            </w:r>
            <w:r>
              <w:rPr>
                <w:rFonts w:hint="eastAsia" w:ascii="宋体" w:hAnsi="宋体" w:eastAsia="宋体" w:cs="宋体"/>
                <w:color w:val="auto"/>
                <w:sz w:val="21"/>
                <w:szCs w:val="21"/>
                <w:highlight w:val="none"/>
              </w:rPr>
              <w:sym w:font="Wingdings" w:char="F0FE"/>
            </w:r>
            <w:r>
              <w:rPr>
                <w:rFonts w:hint="eastAsia" w:ascii="宋体" w:hAnsi="宋体" w:eastAsia="宋体" w:cs="宋体"/>
                <w:color w:val="auto"/>
                <w:sz w:val="21"/>
                <w:szCs w:val="21"/>
                <w:highlight w:val="none"/>
              </w:rPr>
              <w:t>不需要确认。澄清、修改文件在招标公告发布媒介上发布，自发布之日起，视为投标人已收到该澄清、修改。投标人未及时关注相关网站造成的损失，由投标人自行负责。</w:t>
            </w:r>
          </w:p>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color w:val="auto"/>
                <w:kern w:val="0"/>
                <w:szCs w:val="21"/>
                <w:highlight w:val="none"/>
              </w:rPr>
              <w:t>需要确认。投标人在收到澄清、修改文件后24小时内以书面形式通知采购人，确认已收到该澄清、修改。书面形式确认可通过扫描件发送到邮箱，邮箱：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exac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79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bidi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履约保证金</w:t>
            </w:r>
          </w:p>
        </w:tc>
        <w:tc>
          <w:tcPr>
            <w:tcW w:w="7156"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bidi w:val="0"/>
              <w:spacing w:line="360" w:lineRule="exact"/>
              <w:rPr>
                <w:rFonts w:hint="eastAsia" w:ascii="宋体" w:hAnsi="宋体" w:eastAsia="宋体" w:cs="宋体"/>
                <w:color w:val="auto"/>
                <w:kern w:val="2"/>
                <w:sz w:val="21"/>
                <w:szCs w:val="21"/>
                <w:highlight w:val="none"/>
              </w:rPr>
            </w:pPr>
            <w:r>
              <w:rPr>
                <w:rFonts w:hint="eastAsia" w:ascii="宋体" w:hAnsi="宋体" w:eastAsia="宋体" w:cs="宋体"/>
                <w:b w:val="0"/>
                <w:bCs/>
                <w:color w:val="auto"/>
                <w:sz w:val="21"/>
                <w:szCs w:val="21"/>
                <w:highlight w:val="none"/>
              </w:rPr>
              <w:t>详见</w:t>
            </w:r>
            <w:r>
              <w:rPr>
                <w:rFonts w:hint="eastAsia" w:ascii="宋体" w:hAnsi="宋体" w:eastAsia="宋体" w:cs="宋体"/>
                <w:b w:val="0"/>
                <w:bCs/>
                <w:color w:val="auto"/>
                <w:sz w:val="21"/>
                <w:szCs w:val="21"/>
                <w:highlight w:val="none"/>
                <w:lang w:eastAsia="zh-CN"/>
              </w:rPr>
              <w:t>《招标项目采购需求》</w:t>
            </w: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val="en-US" w:eastAsia="zh-CN"/>
              </w:rPr>
              <w:t>10.2.1条</w:t>
            </w:r>
            <w:r>
              <w:rPr>
                <w:rFonts w:hint="eastAsia" w:ascii="宋体" w:hAnsi="宋体" w:eastAsia="宋体" w:cs="宋体"/>
                <w:b w:val="0"/>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exac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9" w:hRule="exac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招标文件的解释</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构成本招标文件的各个组成文件应互为解释，互为说明；</w:t>
            </w:r>
          </w:p>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按招标公告、投标人须知、评标办法、投标文件格式的先后顺序解释；</w:t>
            </w:r>
          </w:p>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同一组成文件中就同一事项的规定或约定不一致的，以编排顺序在后者为准；</w:t>
            </w:r>
          </w:p>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同一组成文件不同版本之间有不一致的，以形成时间在后者为准。</w:t>
            </w:r>
          </w:p>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按本款前述规定仍不能形成结论的，由招标人或招标代理机构负责解释。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exac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代理服务费</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可</w:t>
            </w:r>
            <w:r>
              <w:rPr>
                <w:rFonts w:hint="eastAsia" w:ascii="宋体" w:hAnsi="宋体" w:eastAsia="宋体" w:cs="宋体"/>
                <w:color w:val="auto"/>
                <w:szCs w:val="21"/>
                <w:highlight w:val="none"/>
                <w:lang w:eastAsia="zh-CN"/>
              </w:rPr>
              <w:t>参照</w:t>
            </w:r>
            <w:r>
              <w:rPr>
                <w:rFonts w:hint="eastAsia" w:ascii="宋体" w:hAnsi="宋体" w:eastAsia="宋体" w:cs="宋体"/>
                <w:color w:val="auto"/>
                <w:szCs w:val="21"/>
                <w:highlight w:val="none"/>
              </w:rPr>
              <w:t>计价格[2002]1980号文件及发改办价格[2003]857号文件规定服务类标准计取，由中标人在领取中标通知书时一次性向招标代理机构支付。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exac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现场勘察</w:t>
            </w:r>
          </w:p>
        </w:tc>
        <w:tc>
          <w:tcPr>
            <w:tcW w:w="7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采购人不组织现场勘察，</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可自行前往项目现场勘查，勘查现场所产生的费用及安全责任</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4" w:hRule="exac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7156" w:type="dxa"/>
            <w:tcBorders>
              <w:top w:val="single" w:color="auto" w:sz="4" w:space="0"/>
              <w:left w:val="single" w:color="auto" w:sz="4" w:space="0"/>
              <w:bottom w:val="single" w:color="auto" w:sz="4" w:space="0"/>
              <w:right w:val="single" w:color="auto" w:sz="4" w:space="0"/>
            </w:tcBorders>
            <w:vAlign w:val="center"/>
          </w:tcPr>
          <w:p>
            <w:pPr>
              <w:pStyle w:val="125"/>
              <w:keepNext w:val="0"/>
              <w:keepLines w:val="0"/>
              <w:pageBreakBefore w:val="0"/>
              <w:widowControl w:val="0"/>
              <w:kinsoku/>
              <w:wordWrap/>
              <w:overflowPunct/>
              <w:topLinePunct w:val="0"/>
              <w:bidi w:val="0"/>
              <w:spacing w:line="360" w:lineRule="exact"/>
              <w:ind w:left="107" w:firstLine="412"/>
              <w:rPr>
                <w:rFonts w:hint="eastAsia" w:ascii="宋体" w:hAnsi="宋体" w:eastAsia="宋体" w:cs="宋体"/>
                <w:color w:val="auto"/>
                <w:highlight w:val="none"/>
              </w:rPr>
            </w:pPr>
            <w:r>
              <w:rPr>
                <w:rFonts w:hint="eastAsia" w:ascii="宋体" w:hAnsi="宋体" w:eastAsia="宋体" w:cs="宋体"/>
                <w:color w:val="auto"/>
                <w:highlight w:val="none"/>
              </w:rPr>
              <w:t>采购人或采购代理机构对投标人进行信用查询：</w:t>
            </w:r>
          </w:p>
          <w:p>
            <w:pPr>
              <w:pStyle w:val="125"/>
              <w:keepNext w:val="0"/>
              <w:keepLines w:val="0"/>
              <w:pageBreakBefore w:val="0"/>
              <w:widowControl w:val="0"/>
              <w:kinsoku/>
              <w:wordWrap/>
              <w:overflowPunct/>
              <w:topLinePunct w:val="0"/>
              <w:bidi w:val="0"/>
              <w:spacing w:line="360" w:lineRule="exact"/>
              <w:ind w:left="107" w:firstLine="412"/>
              <w:rPr>
                <w:rFonts w:hint="eastAsia" w:ascii="宋体" w:hAnsi="宋体" w:eastAsia="宋体" w:cs="宋体"/>
                <w:color w:val="auto"/>
                <w:highlight w:val="none"/>
              </w:rPr>
            </w:pPr>
            <w:r>
              <w:rPr>
                <w:rFonts w:hint="eastAsia" w:ascii="宋体" w:hAnsi="宋体" w:eastAsia="宋体" w:cs="宋体"/>
                <w:color w:val="auto"/>
                <w:highlight w:val="none"/>
              </w:rPr>
              <w:t>查询渠道：“信用中国”网站(www.creditchina.gov.cn) 、中国政府采购网(www.ccgp.gov.cn)</w:t>
            </w:r>
          </w:p>
          <w:p>
            <w:pPr>
              <w:pStyle w:val="125"/>
              <w:keepNext w:val="0"/>
              <w:keepLines w:val="0"/>
              <w:pageBreakBefore w:val="0"/>
              <w:widowControl w:val="0"/>
              <w:kinsoku/>
              <w:wordWrap/>
              <w:overflowPunct/>
              <w:topLinePunct w:val="0"/>
              <w:bidi w:val="0"/>
              <w:spacing w:line="360" w:lineRule="exact"/>
              <w:ind w:left="107" w:firstLine="412"/>
              <w:rPr>
                <w:rFonts w:hint="eastAsia" w:ascii="宋体" w:hAnsi="宋体" w:eastAsia="宋体" w:cs="宋体"/>
                <w:color w:val="auto"/>
                <w:highlight w:val="none"/>
              </w:rPr>
            </w:pPr>
            <w:r>
              <w:rPr>
                <w:rFonts w:hint="eastAsia" w:ascii="宋体" w:hAnsi="宋体" w:eastAsia="宋体" w:cs="宋体"/>
                <w:color w:val="auto"/>
                <w:highlight w:val="none"/>
              </w:rPr>
              <w:t>信用查询时间：资格审查时。</w:t>
            </w:r>
          </w:p>
          <w:p>
            <w:pPr>
              <w:pStyle w:val="125"/>
              <w:keepNext w:val="0"/>
              <w:keepLines w:val="0"/>
              <w:pageBreakBefore w:val="0"/>
              <w:widowControl w:val="0"/>
              <w:kinsoku/>
              <w:wordWrap/>
              <w:overflowPunct/>
              <w:topLinePunct w:val="0"/>
              <w:bidi w:val="0"/>
              <w:spacing w:line="360" w:lineRule="exact"/>
              <w:ind w:left="107" w:firstLine="412"/>
              <w:rPr>
                <w:rFonts w:hint="eastAsia" w:ascii="宋体" w:hAnsi="宋体" w:eastAsia="宋体" w:cs="宋体"/>
                <w:color w:val="auto"/>
                <w:highlight w:val="none"/>
              </w:rPr>
            </w:pPr>
            <w:r>
              <w:rPr>
                <w:rFonts w:hint="eastAsia" w:ascii="宋体" w:hAnsi="宋体" w:eastAsia="宋体" w:cs="宋体"/>
                <w:color w:val="auto"/>
                <w:highlight w:val="none"/>
              </w:rPr>
              <w:t>查询记录和证据留存方式：在查询网站中直接打印查询记录，打印材料作为评审资料保存。</w:t>
            </w:r>
          </w:p>
          <w:p>
            <w:pPr>
              <w:pStyle w:val="125"/>
              <w:keepNext w:val="0"/>
              <w:keepLines w:val="0"/>
              <w:pageBreakBefore w:val="0"/>
              <w:widowControl w:val="0"/>
              <w:kinsoku/>
              <w:wordWrap/>
              <w:overflowPunct/>
              <w:topLinePunct w:val="0"/>
              <w:bidi w:val="0"/>
              <w:spacing w:line="360" w:lineRule="exact"/>
              <w:ind w:left="107" w:firstLine="412"/>
              <w:rPr>
                <w:rFonts w:hint="eastAsia" w:ascii="宋体" w:hAnsi="宋体" w:eastAsia="宋体" w:cs="宋体"/>
                <w:color w:val="auto"/>
                <w:highlight w:val="none"/>
              </w:rPr>
            </w:pPr>
            <w:r>
              <w:rPr>
                <w:rFonts w:hint="eastAsia" w:ascii="宋体" w:hAnsi="宋体" w:eastAsia="宋体" w:cs="宋体"/>
                <w:color w:val="auto"/>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pPr>
              <w:pStyle w:val="125"/>
              <w:keepNext w:val="0"/>
              <w:keepLines w:val="0"/>
              <w:pageBreakBefore w:val="0"/>
              <w:widowControl w:val="0"/>
              <w:kinsoku/>
              <w:wordWrap/>
              <w:overflowPunct/>
              <w:topLinePunct w:val="0"/>
              <w:bidi w:val="0"/>
              <w:spacing w:line="360" w:lineRule="exact"/>
              <w:ind w:left="107" w:firstLine="412"/>
              <w:rPr>
                <w:rFonts w:hint="eastAsia" w:ascii="宋体" w:hAnsi="宋体" w:eastAsia="宋体" w:cs="宋体"/>
                <w:color w:val="auto"/>
                <w:szCs w:val="21"/>
                <w:highlight w:val="none"/>
              </w:rPr>
            </w:pPr>
            <w:r>
              <w:rPr>
                <w:rFonts w:hint="eastAsia" w:ascii="宋体" w:hAnsi="宋体" w:eastAsia="宋体" w:cs="宋体"/>
                <w:color w:val="auto"/>
                <w:highlight w:val="none"/>
              </w:rPr>
              <w:t>两个以上的法人或者其他组织组成一个联合体，以一个供应商的身份共同参加政府采购活动的，应当对所有联合体成员进行信用记录查询，联合体成员存在不良信用记录的，视同联合体存在不良信用记录。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7" w:hRule="exac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tc>
        <w:tc>
          <w:tcPr>
            <w:tcW w:w="7156" w:type="dxa"/>
            <w:tcBorders>
              <w:top w:val="single" w:color="auto" w:sz="4" w:space="0"/>
              <w:left w:val="single" w:color="auto" w:sz="4" w:space="0"/>
              <w:bottom w:val="single" w:color="auto" w:sz="4" w:space="0"/>
              <w:right w:val="single" w:color="auto" w:sz="4" w:space="0"/>
            </w:tcBorders>
            <w:vAlign w:val="center"/>
          </w:tcPr>
          <w:p>
            <w:pPr>
              <w:pStyle w:val="125"/>
              <w:keepNext w:val="0"/>
              <w:keepLines w:val="0"/>
              <w:pageBreakBefore w:val="0"/>
              <w:widowControl w:val="0"/>
              <w:kinsoku/>
              <w:wordWrap/>
              <w:overflowPunct/>
              <w:topLinePunct w:val="0"/>
              <w:bidi w:val="0"/>
              <w:spacing w:line="360" w:lineRule="exact"/>
              <w:rPr>
                <w:rFonts w:hint="eastAsia" w:ascii="宋体" w:hAnsi="宋体" w:eastAsia="宋体" w:cs="宋体"/>
                <w:b/>
                <w:bCs/>
                <w:color w:val="auto"/>
                <w:highlight w:val="none"/>
              </w:rPr>
            </w:pPr>
            <w:r>
              <w:rPr>
                <w:rFonts w:hint="eastAsia" w:ascii="宋体" w:hAnsi="宋体" w:eastAsia="宋体" w:cs="宋体"/>
                <w:color w:val="auto"/>
                <w:highlight w:val="none"/>
              </w:rPr>
              <w:t>　　</w:t>
            </w:r>
            <w:r>
              <w:rPr>
                <w:rFonts w:hint="eastAsia" w:ascii="宋体" w:hAnsi="宋体" w:eastAsia="宋体" w:cs="宋体"/>
                <w:b/>
                <w:bCs/>
                <w:color w:val="auto"/>
                <w:highlight w:val="none"/>
              </w:rPr>
              <w:t>投标文件中的资格材料或者评分材料注明需要提供原件核查的，投标人应在投标截止时间前提交，评审完毕后退回。如投标人未能按采购文件要求完整提交相关材料原件或逾期未提交所产生的后果由投标人自行承担。</w:t>
            </w:r>
          </w:p>
          <w:p>
            <w:pPr>
              <w:pStyle w:val="125"/>
              <w:keepNext w:val="0"/>
              <w:keepLines w:val="0"/>
              <w:pageBreakBefore w:val="0"/>
              <w:widowControl w:val="0"/>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b/>
                <w:bCs/>
                <w:color w:val="auto"/>
                <w:highlight w:val="none"/>
              </w:rPr>
              <w:t>　　资料原件的递交：投标人如在投标文件中提供了相关材料复印件（报价文件、资格证明文件、商务文件、技术文件中所需要原件核查的）， 以上原件密封在一个文件袋（盒）内于投标截止时间前在开标会现场递交，逾期不予接收。 袋内需附有加盖投标单位盖章的原件清单（所有原件资料须按清单排序序号用铅笔统一在右上角标记编号，要求清晰可见），方便评标委员会进行核验，评标委员会核验后等候代理机构电话通知后退还。</w:t>
            </w:r>
          </w:p>
        </w:tc>
      </w:tr>
    </w:tbl>
    <w:p>
      <w:pPr>
        <w:pStyle w:val="31"/>
        <w:keepNext w:val="0"/>
        <w:keepLines w:val="0"/>
        <w:pageBreakBefore w:val="0"/>
        <w:widowControl w:val="0"/>
        <w:kinsoku/>
        <w:wordWrap/>
        <w:overflowPunct/>
        <w:topLinePunct w:val="0"/>
        <w:bidi w:val="0"/>
        <w:adjustRightInd w:val="0"/>
        <w:snapToGrid w:val="0"/>
        <w:spacing w:line="360" w:lineRule="exact"/>
        <w:outlineLvl w:val="1"/>
        <w:rPr>
          <w:rFonts w:hint="eastAsia" w:ascii="宋体" w:hAnsi="宋体" w:eastAsia="宋体" w:cs="宋体"/>
          <w:b/>
          <w:color w:val="auto"/>
          <w:sz w:val="24"/>
          <w:szCs w:val="24"/>
          <w:highlight w:val="none"/>
        </w:rPr>
      </w:pPr>
      <w:bookmarkStart w:id="52" w:name="_Toc5405"/>
      <w:bookmarkStart w:id="53" w:name="_Toc27474"/>
    </w:p>
    <w:p>
      <w:pPr>
        <w:pStyle w:val="31"/>
        <w:adjustRightInd w:val="0"/>
        <w:snapToGrid w:val="0"/>
        <w:spacing w:line="408" w:lineRule="auto"/>
        <w:outlineLvl w:val="1"/>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4"/>
        <w:rPr>
          <w:rFonts w:hint="eastAsia" w:ascii="宋体" w:hAnsi="宋体" w:eastAsia="宋体" w:cs="宋体"/>
          <w:b/>
          <w:color w:val="auto"/>
          <w:sz w:val="24"/>
          <w:szCs w:val="24"/>
          <w:highlight w:val="none"/>
        </w:rPr>
      </w:pPr>
    </w:p>
    <w:p>
      <w:pPr>
        <w:pStyle w:val="24"/>
        <w:rPr>
          <w:rFonts w:hint="eastAsia" w:ascii="宋体" w:hAnsi="宋体" w:eastAsia="宋体" w:cs="宋体"/>
          <w:b/>
          <w:color w:val="auto"/>
          <w:sz w:val="24"/>
          <w:szCs w:val="24"/>
          <w:highlight w:val="none"/>
        </w:rPr>
      </w:pPr>
    </w:p>
    <w:p>
      <w:pPr>
        <w:pStyle w:val="24"/>
        <w:rPr>
          <w:rFonts w:hint="eastAsia" w:ascii="宋体" w:hAnsi="宋体" w:eastAsia="宋体" w:cs="宋体"/>
          <w:b/>
          <w:color w:val="auto"/>
          <w:sz w:val="24"/>
          <w:szCs w:val="24"/>
          <w:highlight w:val="none"/>
        </w:rPr>
      </w:pPr>
    </w:p>
    <w:p>
      <w:pPr>
        <w:pStyle w:val="24"/>
        <w:rPr>
          <w:rFonts w:hint="eastAsia" w:ascii="宋体" w:hAnsi="宋体" w:eastAsia="宋体" w:cs="宋体"/>
          <w:b/>
          <w:color w:val="auto"/>
          <w:sz w:val="24"/>
          <w:szCs w:val="24"/>
          <w:highlight w:val="none"/>
        </w:rPr>
      </w:pPr>
    </w:p>
    <w:p>
      <w:pPr>
        <w:pStyle w:val="31"/>
        <w:adjustRightInd w:val="0"/>
        <w:snapToGrid w:val="0"/>
        <w:spacing w:line="408" w:lineRule="auto"/>
        <w:outlineLvl w:val="1"/>
        <w:rPr>
          <w:rFonts w:hint="eastAsia" w:ascii="宋体" w:hAnsi="宋体" w:eastAsia="宋体" w:cs="宋体"/>
          <w:b/>
          <w:color w:val="auto"/>
          <w:sz w:val="24"/>
          <w:szCs w:val="24"/>
          <w:highlight w:val="none"/>
        </w:rPr>
      </w:pPr>
    </w:p>
    <w:p>
      <w:pPr>
        <w:pStyle w:val="31"/>
        <w:adjustRightInd w:val="0"/>
        <w:snapToGrid w:val="0"/>
        <w:spacing w:line="408"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  则</w:t>
      </w:r>
      <w:bookmarkEnd w:id="52"/>
      <w:bookmarkEnd w:id="53"/>
    </w:p>
    <w:p>
      <w:pPr>
        <w:adjustRightInd w:val="0"/>
        <w:snapToGrid w:val="0"/>
        <w:spacing w:line="408" w:lineRule="auto"/>
        <w:ind w:firstLine="422" w:firstLineChars="200"/>
        <w:jc w:val="left"/>
        <w:outlineLvl w:val="2"/>
        <w:rPr>
          <w:rFonts w:hint="eastAsia" w:ascii="宋体" w:hAnsi="宋体" w:eastAsia="宋体" w:cs="宋体"/>
          <w:b/>
          <w:color w:val="auto"/>
          <w:szCs w:val="21"/>
          <w:highlight w:val="none"/>
        </w:rPr>
      </w:pPr>
      <w:bookmarkStart w:id="54" w:name="_Toc3116"/>
      <w:r>
        <w:rPr>
          <w:rFonts w:hint="eastAsia" w:ascii="宋体" w:hAnsi="宋体" w:eastAsia="宋体" w:cs="宋体"/>
          <w:b/>
          <w:color w:val="auto"/>
          <w:szCs w:val="21"/>
          <w:highlight w:val="none"/>
        </w:rPr>
        <w:t>1. 适用范围</w:t>
      </w:r>
      <w:bookmarkEnd w:id="54"/>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w:t>
      </w:r>
      <w:r>
        <w:rPr>
          <w:rFonts w:hint="eastAsia" w:ascii="宋体" w:hAnsi="宋体" w:eastAsia="宋体" w:cs="宋体"/>
          <w:color w:val="auto"/>
          <w:szCs w:val="21"/>
          <w:highlight w:val="none"/>
          <w:u w:val="single"/>
        </w:rPr>
        <w:t>本项目</w:t>
      </w:r>
      <w:r>
        <w:rPr>
          <w:rFonts w:hint="eastAsia" w:ascii="宋体" w:hAnsi="宋体" w:eastAsia="宋体" w:cs="宋体"/>
          <w:color w:val="auto"/>
          <w:szCs w:val="21"/>
          <w:highlight w:val="none"/>
        </w:rPr>
        <w:t>的招标、投标、评标、定标、验收、合同履约、付款等行为。</w:t>
      </w:r>
    </w:p>
    <w:p>
      <w:pPr>
        <w:adjustRightInd w:val="0"/>
        <w:snapToGrid w:val="0"/>
        <w:spacing w:line="408" w:lineRule="auto"/>
        <w:ind w:firstLine="422" w:firstLineChars="200"/>
        <w:jc w:val="left"/>
        <w:outlineLvl w:val="2"/>
        <w:rPr>
          <w:rFonts w:hint="eastAsia" w:ascii="宋体" w:hAnsi="宋体" w:eastAsia="宋体" w:cs="宋体"/>
          <w:b/>
          <w:color w:val="auto"/>
          <w:szCs w:val="21"/>
          <w:highlight w:val="none"/>
        </w:rPr>
      </w:pPr>
      <w:bookmarkStart w:id="55" w:name="_Toc8052"/>
      <w:r>
        <w:rPr>
          <w:rFonts w:hint="eastAsia" w:ascii="宋体" w:hAnsi="宋体" w:eastAsia="宋体" w:cs="宋体"/>
          <w:b/>
          <w:color w:val="auto"/>
          <w:szCs w:val="21"/>
          <w:highlight w:val="none"/>
        </w:rPr>
        <w:t>2.定义</w:t>
      </w:r>
      <w:bookmarkEnd w:id="55"/>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2.1、“采购人”系指组织本次招标的采购单位。</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2.2、“采购代理机构”系指</w:t>
      </w:r>
      <w:r>
        <w:rPr>
          <w:rFonts w:hint="eastAsia" w:ascii="宋体" w:hAnsi="宋体" w:cs="宋体"/>
          <w:color w:val="auto"/>
          <w:szCs w:val="21"/>
          <w:highlight w:val="none"/>
          <w:u w:val="single"/>
          <w:lang w:eastAsia="zh-CN"/>
        </w:rPr>
        <w:t>广西熙泰工程项目管理有限公司</w:t>
      </w:r>
      <w:r>
        <w:rPr>
          <w:rFonts w:hint="eastAsia" w:ascii="宋体" w:hAnsi="宋体" w:eastAsia="宋体" w:cs="宋体"/>
          <w:color w:val="auto"/>
          <w:szCs w:val="21"/>
          <w:highlight w:val="none"/>
        </w:rPr>
        <w:t>（以下简称“本代理机构）。</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2.3、“投标人”系指响应招标、参加投标竞争的法人、其他组织。</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2.4、“项目”系指投标人按招标文件规定向采购人提供的产品和服务。</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2.5、“书面形式”包括媒介、信函、传真、邮件等。</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2.6、“▲”系指实质性要求条款。</w:t>
      </w:r>
    </w:p>
    <w:p>
      <w:pPr>
        <w:adjustRightInd w:val="0"/>
        <w:snapToGrid w:val="0"/>
        <w:spacing w:line="408" w:lineRule="auto"/>
        <w:ind w:firstLine="422" w:firstLineChars="200"/>
        <w:jc w:val="left"/>
        <w:outlineLvl w:val="2"/>
        <w:rPr>
          <w:rFonts w:hint="eastAsia" w:ascii="宋体" w:hAnsi="宋体" w:eastAsia="宋体" w:cs="宋体"/>
          <w:b/>
          <w:color w:val="auto"/>
          <w:szCs w:val="21"/>
          <w:highlight w:val="none"/>
        </w:rPr>
      </w:pPr>
      <w:bookmarkStart w:id="56" w:name="_Toc28936"/>
      <w:r>
        <w:rPr>
          <w:rFonts w:hint="eastAsia" w:ascii="宋体" w:hAnsi="宋体" w:eastAsia="宋体" w:cs="宋体"/>
          <w:b/>
          <w:color w:val="auto"/>
          <w:szCs w:val="21"/>
          <w:highlight w:val="none"/>
        </w:rPr>
        <w:t>3.招标方式</w:t>
      </w:r>
      <w:bookmarkEnd w:id="56"/>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公开招标方式。</w:t>
      </w:r>
    </w:p>
    <w:p>
      <w:pPr>
        <w:adjustRightInd w:val="0"/>
        <w:snapToGrid w:val="0"/>
        <w:spacing w:line="408" w:lineRule="auto"/>
        <w:ind w:firstLine="422" w:firstLineChars="200"/>
        <w:jc w:val="left"/>
        <w:outlineLvl w:val="2"/>
        <w:rPr>
          <w:rFonts w:hint="eastAsia" w:ascii="宋体" w:hAnsi="宋体" w:eastAsia="宋体" w:cs="宋体"/>
          <w:color w:val="auto"/>
          <w:szCs w:val="21"/>
          <w:highlight w:val="none"/>
        </w:rPr>
      </w:pPr>
      <w:bookmarkStart w:id="57" w:name="_Toc21301"/>
      <w:r>
        <w:rPr>
          <w:rFonts w:hint="eastAsia" w:ascii="宋体" w:hAnsi="宋体" w:eastAsia="宋体" w:cs="宋体"/>
          <w:b/>
          <w:color w:val="auto"/>
          <w:szCs w:val="21"/>
          <w:highlight w:val="none"/>
        </w:rPr>
        <w:t>4.投标委托</w:t>
      </w:r>
      <w:bookmarkEnd w:id="57"/>
    </w:p>
    <w:p>
      <w:pPr>
        <w:pStyle w:val="3"/>
        <w:adjustRightInd w:val="0"/>
        <w:snapToGrid w:val="0"/>
        <w:spacing w:line="408"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参加开标会时投标人代表须携带有效身份证件。如投标人代表不是法定代表人（负责人），须有法定代表人（负责人）出具的授权委托书（格式见第六章《投标文件格式》）。</w:t>
      </w:r>
    </w:p>
    <w:p>
      <w:pPr>
        <w:adjustRightInd w:val="0"/>
        <w:snapToGrid w:val="0"/>
        <w:spacing w:line="408" w:lineRule="auto"/>
        <w:ind w:firstLine="422" w:firstLineChars="200"/>
        <w:jc w:val="left"/>
        <w:outlineLvl w:val="2"/>
        <w:rPr>
          <w:rFonts w:hint="eastAsia" w:ascii="宋体" w:hAnsi="宋体" w:eastAsia="宋体" w:cs="宋体"/>
          <w:b/>
          <w:color w:val="auto"/>
          <w:szCs w:val="21"/>
          <w:highlight w:val="none"/>
        </w:rPr>
      </w:pPr>
      <w:bookmarkStart w:id="58" w:name="_Toc31840"/>
      <w:r>
        <w:rPr>
          <w:rFonts w:hint="eastAsia" w:ascii="宋体" w:hAnsi="宋体" w:eastAsia="宋体" w:cs="宋体"/>
          <w:b/>
          <w:color w:val="auto"/>
          <w:szCs w:val="21"/>
          <w:highlight w:val="none"/>
        </w:rPr>
        <w:t>5.投标费用</w:t>
      </w:r>
      <w:bookmarkEnd w:id="58"/>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投标人均应自行承担所有与投标有关的全部费用。</w:t>
      </w:r>
    </w:p>
    <w:p>
      <w:pPr>
        <w:tabs>
          <w:tab w:val="left" w:pos="3960"/>
        </w:tabs>
        <w:adjustRightInd w:val="0"/>
        <w:snapToGrid w:val="0"/>
        <w:spacing w:line="408" w:lineRule="auto"/>
        <w:ind w:firstLine="422" w:firstLineChars="200"/>
        <w:outlineLvl w:val="2"/>
        <w:rPr>
          <w:rFonts w:hint="eastAsia" w:ascii="宋体" w:hAnsi="宋体" w:eastAsia="宋体" w:cs="宋体"/>
          <w:b/>
          <w:color w:val="auto"/>
          <w:kern w:val="0"/>
          <w:szCs w:val="21"/>
          <w:highlight w:val="none"/>
        </w:rPr>
      </w:pPr>
      <w:bookmarkStart w:id="59" w:name="_Toc21627"/>
      <w:r>
        <w:rPr>
          <w:rFonts w:hint="eastAsia" w:ascii="宋体" w:hAnsi="宋体" w:eastAsia="宋体" w:cs="宋体"/>
          <w:b/>
          <w:color w:val="auto"/>
          <w:szCs w:val="21"/>
          <w:highlight w:val="none"/>
        </w:rPr>
        <w:t>6.</w:t>
      </w:r>
      <w:r>
        <w:rPr>
          <w:rFonts w:hint="eastAsia" w:ascii="宋体" w:hAnsi="宋体" w:eastAsia="宋体" w:cs="宋体"/>
          <w:b/>
          <w:color w:val="auto"/>
          <w:kern w:val="0"/>
          <w:szCs w:val="21"/>
          <w:highlight w:val="none"/>
        </w:rPr>
        <w:t>转包与分包</w:t>
      </w:r>
      <w:bookmarkEnd w:id="59"/>
      <w:r>
        <w:rPr>
          <w:rFonts w:hint="eastAsia" w:ascii="宋体" w:hAnsi="宋体" w:eastAsia="宋体" w:cs="宋体"/>
          <w:b/>
          <w:color w:val="auto"/>
          <w:kern w:val="0"/>
          <w:szCs w:val="21"/>
          <w:highlight w:val="none"/>
        </w:rPr>
        <w:t xml:space="preserve">             </w:t>
      </w:r>
    </w:p>
    <w:p>
      <w:pPr>
        <w:adjustRightInd w:val="0"/>
        <w:snapToGrid w:val="0"/>
        <w:spacing w:line="40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6.1、本项目不允许转包。</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6.2、本项目不可以分包。</w:t>
      </w:r>
    </w:p>
    <w:p>
      <w:pPr>
        <w:adjustRightInd w:val="0"/>
        <w:snapToGrid w:val="0"/>
        <w:spacing w:line="408" w:lineRule="auto"/>
        <w:ind w:firstLine="422" w:firstLineChars="200"/>
        <w:jc w:val="left"/>
        <w:outlineLvl w:val="2"/>
        <w:rPr>
          <w:rFonts w:hint="eastAsia" w:ascii="宋体" w:hAnsi="宋体" w:eastAsia="宋体" w:cs="宋体"/>
          <w:b/>
          <w:color w:val="auto"/>
          <w:szCs w:val="21"/>
          <w:highlight w:val="none"/>
        </w:rPr>
      </w:pPr>
      <w:bookmarkStart w:id="60" w:name="_Toc18755"/>
      <w:r>
        <w:rPr>
          <w:rFonts w:hint="eastAsia" w:ascii="宋体" w:hAnsi="宋体" w:eastAsia="宋体" w:cs="宋体"/>
          <w:b/>
          <w:color w:val="auto"/>
          <w:szCs w:val="21"/>
          <w:highlight w:val="none"/>
        </w:rPr>
        <w:t>7.特别说明：</w:t>
      </w:r>
      <w:bookmarkEnd w:id="60"/>
    </w:p>
    <w:p>
      <w:pPr>
        <w:widowControl/>
        <w:adjustRightInd w:val="0"/>
        <w:snapToGrid w:val="0"/>
        <w:spacing w:line="40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▲7.1、</w:t>
      </w:r>
      <w:r>
        <w:rPr>
          <w:rFonts w:hint="eastAsia" w:ascii="宋体" w:hAnsi="宋体" w:eastAsia="宋体" w:cs="宋体"/>
          <w:color w:val="auto"/>
          <w:kern w:val="0"/>
          <w:szCs w:val="21"/>
          <w:highlight w:val="none"/>
        </w:rPr>
        <w:t>单位负责人为同一人或者存在直接控股、管理关系的不同供应商，不得参加同一项目的政府采购活动。</w:t>
      </w:r>
    </w:p>
    <w:p>
      <w:pPr>
        <w:pStyle w:val="31"/>
        <w:adjustRightInd w:val="0"/>
        <w:snapToGrid w:val="0"/>
        <w:spacing w:line="408" w:lineRule="auto"/>
        <w:ind w:left="2" w:leftChars="1" w:firstLine="400" w:firstLineChars="200"/>
        <w:rPr>
          <w:rFonts w:hint="eastAsia" w:ascii="宋体" w:hAnsi="宋体" w:eastAsia="宋体" w:cs="宋体"/>
          <w:color w:val="auto"/>
          <w:sz w:val="21"/>
          <w:highlight w:val="none"/>
        </w:rPr>
      </w:pPr>
      <w:r>
        <w:rPr>
          <w:rFonts w:hint="eastAsia" w:ascii="宋体" w:hAnsi="宋体" w:eastAsia="宋体" w:cs="宋体"/>
          <w:color w:val="auto"/>
          <w:highlight w:val="none"/>
        </w:rPr>
        <w:t>▲7.</w:t>
      </w:r>
      <w:r>
        <w:rPr>
          <w:rFonts w:hint="eastAsia" w:ascii="宋体" w:hAnsi="宋体" w:eastAsia="宋体" w:cs="宋体"/>
          <w:color w:val="auto"/>
          <w:sz w:val="21"/>
          <w:highlight w:val="none"/>
        </w:rPr>
        <w:t>2、投标人投标所使用的资格、信誉、荣誉、业绩与企业认证必须为投标人所拥有。投标人投标的采购项目负责人必须为投标单位的正式员工（或必须为本投标人或其控股公司员工）。</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▲7.3、投标人应仔细阅读招标文件的所有内容，按照招标文件的要求提交投标文件，并对所提供的全部资料的真实性承担法律责任。</w:t>
      </w:r>
    </w:p>
    <w:p>
      <w:pPr>
        <w:snapToGrid w:val="0"/>
        <w:spacing w:line="40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▲7.4、投标人在投标活动中有串通投标、不如实提供材料、弄虚作假骗取中标的，视其投标无效，并报监管部门查处。</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▲7.5、招标文件提供期限届满后，获取招标文件的潜在投标人不足3家的，本代理机构将顺延提供期限，并在省级以上财政部门指定的政府采购信息发布媒体上发布变更公告。</w:t>
      </w:r>
    </w:p>
    <w:p>
      <w:pPr>
        <w:adjustRightInd w:val="0"/>
        <w:snapToGrid w:val="0"/>
        <w:spacing w:line="408" w:lineRule="auto"/>
        <w:ind w:firstLine="422" w:firstLineChars="200"/>
        <w:jc w:val="left"/>
        <w:outlineLvl w:val="2"/>
        <w:rPr>
          <w:rFonts w:hint="eastAsia" w:ascii="宋体" w:hAnsi="宋体" w:eastAsia="宋体" w:cs="宋体"/>
          <w:b/>
          <w:color w:val="auto"/>
          <w:szCs w:val="21"/>
          <w:highlight w:val="none"/>
        </w:rPr>
      </w:pPr>
      <w:bookmarkStart w:id="61" w:name="_Toc19411"/>
      <w:r>
        <w:rPr>
          <w:rFonts w:hint="eastAsia" w:ascii="宋体" w:hAnsi="宋体" w:eastAsia="宋体" w:cs="宋体"/>
          <w:b/>
          <w:color w:val="auto"/>
          <w:szCs w:val="21"/>
          <w:highlight w:val="none"/>
        </w:rPr>
        <w:t>8.质疑和投诉</w:t>
      </w:r>
      <w:bookmarkEnd w:id="61"/>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8.1、投标人认为采购文件、采购过程、中标或者成交结果使自己的权益受到损害的，可以在知道或者应知其权益受到损害之日起7个工作日内，以书面形式向采购人、采购代理机构提出质疑。质疑投标人对采购人、采购代理机构的答复不满意，或者采购人、采购代理机构未在规定时间内作出答复的，可以在答复期满后15个工作日内向《政府采购质疑和投诉办法》第六条规定的财政部门提起投诉。</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8.3、质疑书面要求</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质疑人提出质疑应当提交质疑函和必要的证明材料。质疑函应当包括下列内容：</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（一）投标人的姓名或者名称、地址、邮编、联系人及联系电话；</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（二）质疑项目的名称、编号；</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（三）具体、明确的质疑事项和与质疑事项相关的请求；</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（四）事实依据；</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（五）必要的法律依据；</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（六）提出质疑的日期。</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投标人为法人或者其他组织的，应当由法定代表人、主要负责人，或者其授权代表签字或者盖章，并加盖公章。</w:t>
      </w:r>
    </w:p>
    <w:p>
      <w:pPr>
        <w:pStyle w:val="31"/>
        <w:adjustRightInd w:val="0"/>
        <w:snapToGrid w:val="0"/>
        <w:spacing w:line="408" w:lineRule="auto"/>
        <w:ind w:left="2" w:leftChars="1"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如不按上述要求进行质疑的，视为无效质疑，不予受理。</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8.4、投标人在法定质疑期内一次性提出针对同一采购程序环节的质疑。</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8.5、质疑供应商可以委托代理人办理质疑事务。代理人办理质疑事务时，除提交质疑书外，还应当提交质疑供应商的授权委托书，授权委托书应当载明委托代理的具体权限和事项。</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8.6、质疑供应商提起质疑应当符合下列条件：</w:t>
      </w:r>
    </w:p>
    <w:p>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（1）质疑供应商是参与所质疑政府采购活动的供应商；</w:t>
      </w:r>
    </w:p>
    <w:p>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（2）质疑书内容符合政府采购供应商质疑处理办法的规定；</w:t>
      </w:r>
    </w:p>
    <w:p>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（3）在质疑有效期限内提起质疑；</w:t>
      </w:r>
    </w:p>
    <w:p>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（4）属于所质疑的采购人或采购人委托的采购代理机构组织的采购活动；</w:t>
      </w:r>
    </w:p>
    <w:p>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（5）同一质疑事项未经采购人或采购人委托的采购代理机构质疑处理；</w:t>
      </w:r>
    </w:p>
    <w:p>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（6）财政部门规定的其他条件。</w:t>
      </w:r>
    </w:p>
    <w:p>
      <w:pPr>
        <w:pStyle w:val="31"/>
        <w:adjustRightInd w:val="0"/>
        <w:snapToGrid w:val="0"/>
        <w:spacing w:before="157" w:beforeLines="50"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8.7、投诉的书面要求</w:t>
      </w:r>
    </w:p>
    <w:p>
      <w:pPr>
        <w:pStyle w:val="31"/>
        <w:adjustRightInd w:val="0"/>
        <w:snapToGrid w:val="0"/>
        <w:spacing w:line="408"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符合《政府采购质疑和投诉办法》（中华人民共和国财政部令第94号）要求。</w:t>
      </w:r>
    </w:p>
    <w:p>
      <w:pPr>
        <w:tabs>
          <w:tab w:val="left" w:pos="1635"/>
        </w:tabs>
        <w:spacing w:line="38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9.联合体投标要求</w:t>
      </w:r>
    </w:p>
    <w:p>
      <w:pPr>
        <w:pStyle w:val="31"/>
        <w:spacing w:line="408" w:lineRule="auto"/>
        <w:ind w:firstLine="630" w:firstLineChars="3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本项目不接受联合体投标。</w:t>
      </w:r>
    </w:p>
    <w:p>
      <w:pPr>
        <w:pStyle w:val="31"/>
        <w:adjustRightInd w:val="0"/>
        <w:snapToGrid w:val="0"/>
        <w:spacing w:line="408" w:lineRule="auto"/>
        <w:ind w:firstLine="482" w:firstLineChars="200"/>
        <w:jc w:val="center"/>
        <w:outlineLvl w:val="1"/>
        <w:rPr>
          <w:rFonts w:hint="eastAsia" w:ascii="宋体" w:hAnsi="宋体" w:eastAsia="宋体" w:cs="宋体"/>
          <w:b/>
          <w:color w:val="auto"/>
          <w:sz w:val="24"/>
          <w:szCs w:val="24"/>
          <w:highlight w:val="none"/>
        </w:rPr>
      </w:pPr>
      <w:bookmarkStart w:id="62" w:name="_Toc22748"/>
      <w:bookmarkStart w:id="63" w:name="_Toc32273"/>
      <w:r>
        <w:rPr>
          <w:rFonts w:hint="eastAsia" w:ascii="宋体" w:hAnsi="宋体" w:eastAsia="宋体" w:cs="宋体"/>
          <w:b/>
          <w:color w:val="auto"/>
          <w:sz w:val="24"/>
          <w:szCs w:val="24"/>
          <w:highlight w:val="none"/>
        </w:rPr>
        <w:t>二、招标文件</w:t>
      </w:r>
      <w:bookmarkEnd w:id="62"/>
      <w:bookmarkEnd w:id="63"/>
    </w:p>
    <w:p>
      <w:pPr>
        <w:adjustRightInd w:val="0"/>
        <w:snapToGrid w:val="0"/>
        <w:spacing w:line="408" w:lineRule="auto"/>
        <w:ind w:firstLine="422" w:firstLineChars="200"/>
        <w:jc w:val="left"/>
        <w:outlineLvl w:val="2"/>
        <w:rPr>
          <w:rFonts w:hint="eastAsia" w:ascii="宋体" w:hAnsi="宋体" w:eastAsia="宋体" w:cs="宋体"/>
          <w:b/>
          <w:color w:val="auto"/>
          <w:szCs w:val="21"/>
          <w:highlight w:val="none"/>
        </w:rPr>
      </w:pPr>
      <w:bookmarkStart w:id="64" w:name="_Toc3394"/>
      <w:r>
        <w:rPr>
          <w:rFonts w:hint="eastAsia" w:ascii="宋体" w:hAnsi="宋体" w:eastAsia="宋体" w:cs="宋体"/>
          <w:b/>
          <w:color w:val="auto"/>
          <w:szCs w:val="21"/>
          <w:highlight w:val="none"/>
        </w:rPr>
        <w:t>10.招标文件的构成。</w:t>
      </w:r>
      <w:bookmarkEnd w:id="64"/>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10.1、公开招标公告；</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10.2、投标人须知；</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10.3、招标项目采购需求；</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10.4、评标办法及评分标准；</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10.5、合同条款及格式；</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10.6、投标文件格式；</w:t>
      </w:r>
    </w:p>
    <w:p>
      <w:pPr>
        <w:pStyle w:val="18"/>
        <w:widowControl w:val="0"/>
        <w:tabs>
          <w:tab w:val="clear" w:pos="454"/>
        </w:tabs>
        <w:adjustRightInd w:val="0"/>
        <w:snapToGrid w:val="0"/>
        <w:spacing w:afterLines="0" w:line="408" w:lineRule="auto"/>
        <w:ind w:left="0" w:firstLine="482" w:firstLineChars="200"/>
        <w:outlineLvl w:val="2"/>
        <w:rPr>
          <w:rFonts w:hint="eastAsia" w:ascii="宋体" w:hAnsi="宋体" w:eastAsia="宋体" w:cs="宋体"/>
          <w:b/>
          <w:color w:val="auto"/>
          <w:kern w:val="2"/>
          <w:sz w:val="21"/>
          <w:szCs w:val="21"/>
          <w:highlight w:val="none"/>
        </w:rPr>
      </w:pPr>
      <w:r>
        <w:rPr>
          <w:rFonts w:hint="eastAsia" w:ascii="宋体" w:hAnsi="宋体" w:eastAsia="宋体" w:cs="宋体"/>
          <w:b/>
          <w:color w:val="auto"/>
          <w:szCs w:val="21"/>
          <w:highlight w:val="none"/>
        </w:rPr>
        <w:t>11.</w:t>
      </w:r>
      <w:r>
        <w:rPr>
          <w:rFonts w:hint="eastAsia" w:ascii="宋体" w:hAnsi="宋体" w:eastAsia="宋体" w:cs="宋体"/>
          <w:color w:val="auto"/>
          <w:szCs w:val="21"/>
          <w:highlight w:val="none"/>
        </w:rPr>
        <w:t xml:space="preserve"> </w:t>
      </w:r>
      <w:r>
        <w:rPr>
          <w:rFonts w:hint="eastAsia" w:ascii="宋体" w:hAnsi="宋体" w:eastAsia="宋体" w:cs="宋体"/>
          <w:b/>
          <w:color w:val="auto"/>
          <w:kern w:val="2"/>
          <w:sz w:val="21"/>
          <w:szCs w:val="21"/>
          <w:highlight w:val="none"/>
        </w:rPr>
        <w:t xml:space="preserve">招标文件的澄清与修改 </w:t>
      </w:r>
    </w:p>
    <w:p>
      <w:pPr>
        <w:wordWrap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11.1投标人应认真阅读本招标文件，发现其中有误、缺页、附件不全或有不合理要求的，投标人必须在规定时间内以书面形式要求采购人或采购代理机构澄清。</w:t>
      </w:r>
    </w:p>
    <w:p>
      <w:pPr>
        <w:wordWrap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采购代理机构对已发出的招标文件进行必要澄清或者修改。澄清或者修改在原招标公告发布媒体上发布澄清公告。澄清或者修改的内容为招标文件的组成部分。投标人购买招标文件后应实时关注相关网站了解澄清、修改等与项目有关的内容，如因投标人未及时登录相关网站了解澄清、修改等与项目有关的内容，从而导致投标无效的，由投标人自行承担责任。投标人在收到澄清或修改后，应在“投标人须知前附表”规定的时间内以书面形式通知采购人，确认已收到该澄清。</w:t>
      </w:r>
    </w:p>
    <w:p>
      <w:pPr>
        <w:wordWrap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澄清或者修改的内容可能影响投标文件编制的，采购人或者采购代理机构应当在投标人须知前附表规定的投标截止时间至少15日前，以书面形式通知所有获取招标文件的潜在投标人；不足15日的，采购人或者采购代理机构将顺延提交投标文件的截止时间。</w:t>
      </w:r>
    </w:p>
    <w:p>
      <w:pPr>
        <w:wordWrap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11.4招标文件澄清、答复、修改、补充的内容为招标文件的组成部分。当招标文件与招标文件的答复、澄清、修改、补充通知就同一内容的表述不一致时，以最后发出的书面文件为准。</w:t>
      </w:r>
    </w:p>
    <w:p>
      <w:pPr>
        <w:wordWrap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11.5招标文件的澄清、答复、修改或补充仅通过本采购代理机构以法定形式发布。</w:t>
      </w:r>
    </w:p>
    <w:p>
      <w:pPr>
        <w:pStyle w:val="24"/>
        <w:rPr>
          <w:rFonts w:hint="eastAsia" w:ascii="宋体" w:hAnsi="宋体" w:eastAsia="宋体" w:cs="宋体"/>
          <w:color w:val="auto"/>
          <w:highlight w:val="none"/>
        </w:rPr>
      </w:pPr>
    </w:p>
    <w:p>
      <w:pPr>
        <w:pStyle w:val="31"/>
        <w:adjustRightInd w:val="0"/>
        <w:snapToGrid w:val="0"/>
        <w:spacing w:line="408" w:lineRule="auto"/>
        <w:ind w:firstLine="352" w:firstLineChars="146"/>
        <w:jc w:val="center"/>
        <w:outlineLvl w:val="1"/>
        <w:rPr>
          <w:rFonts w:hint="eastAsia" w:ascii="宋体" w:hAnsi="宋体" w:eastAsia="宋体" w:cs="宋体"/>
          <w:b/>
          <w:color w:val="auto"/>
          <w:sz w:val="24"/>
          <w:szCs w:val="24"/>
          <w:highlight w:val="none"/>
        </w:rPr>
      </w:pPr>
      <w:bookmarkStart w:id="65" w:name="_Toc4349"/>
      <w:bookmarkStart w:id="66" w:name="_Toc29910"/>
      <w:r>
        <w:rPr>
          <w:rFonts w:hint="eastAsia" w:ascii="宋体" w:hAnsi="宋体" w:eastAsia="宋体" w:cs="宋体"/>
          <w:b/>
          <w:color w:val="auto"/>
          <w:sz w:val="24"/>
          <w:szCs w:val="24"/>
          <w:highlight w:val="none"/>
        </w:rPr>
        <w:t>三、投标文件的编制</w:t>
      </w:r>
      <w:bookmarkEnd w:id="65"/>
      <w:bookmarkEnd w:id="66"/>
    </w:p>
    <w:p>
      <w:pPr>
        <w:adjustRightInd w:val="0"/>
        <w:snapToGrid w:val="0"/>
        <w:spacing w:line="408"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12.投标文件的组成</w:t>
      </w:r>
    </w:p>
    <w:p>
      <w:pPr>
        <w:wordWrap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投标文件由报价文件、资格证明文件、商务文件和技术文件四部分组成。</w:t>
      </w:r>
      <w:bookmarkStart w:id="67" w:name="_13.1报价文件:_具体材料见“投标人须知前附表”。"/>
      <w:bookmarkEnd w:id="67"/>
    </w:p>
    <w:p>
      <w:pPr>
        <w:wordWrap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12.1、报价文件：具体材料见“投标人须知前附表”。</w:t>
      </w:r>
      <w:bookmarkStart w:id="68" w:name="_13.2资格证明文件：具体材料见“投标人须知前附表”。"/>
      <w:bookmarkEnd w:id="68"/>
    </w:p>
    <w:p>
      <w:pPr>
        <w:wordWrap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12.2、资格证明文件：具体材料见“投标人须知前附表”。</w:t>
      </w:r>
      <w:bookmarkStart w:id="69" w:name="_13.3商务文件:_具体材料见“投标人须知前附表”。"/>
      <w:bookmarkEnd w:id="69"/>
    </w:p>
    <w:p>
      <w:pPr>
        <w:wordWrap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12.3、商务文件：具体材料见“投标人须知前附表”。</w:t>
      </w:r>
      <w:bookmarkStart w:id="70" w:name="_13.4技术文件：具体材料见“投标人须知前附表”。"/>
      <w:bookmarkEnd w:id="70"/>
    </w:p>
    <w:p>
      <w:pPr>
        <w:wordWrap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12.4、技术文件：具体材料见“投标人须知前附表”。</w:t>
      </w:r>
      <w:bookmarkStart w:id="71" w:name="_13.5投标文件电子版：具体材料见“投标人须知前附表”。"/>
      <w:bookmarkEnd w:id="71"/>
    </w:p>
    <w:p>
      <w:pPr>
        <w:wordWrap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12.5、投标文件电子版：具体材料见“投标人须知前附表”。</w:t>
      </w:r>
    </w:p>
    <w:p>
      <w:pPr>
        <w:adjustRightInd w:val="0"/>
        <w:snapToGrid w:val="0"/>
        <w:spacing w:line="408"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13.投标文件的语言及计量</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13.1、投标文件以及投标方与招标方就有关投标事宜的所有来往函电，均应以中文汉语书写。除签字、盖章、专用名称等特殊情形外，以中文汉语以外的文字表述的投标文件视同未提供。</w:t>
      </w:r>
    </w:p>
    <w:p>
      <w:pPr>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8"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14.投标报价</w:t>
      </w:r>
    </w:p>
    <w:p>
      <w:pPr>
        <w:pStyle w:val="31"/>
        <w:adjustRightInd w:val="0"/>
        <w:snapToGrid w:val="0"/>
        <w:spacing w:line="408" w:lineRule="auto"/>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14.1、投标报价应按招标文件中相关附表格式填写。投标人必须就《招标项目采购需求》中的服务内容作完整唯一报价。</w:t>
      </w:r>
    </w:p>
    <w:p>
      <w:pPr>
        <w:pStyle w:val="31"/>
        <w:adjustRightInd w:val="0"/>
        <w:snapToGrid w:val="0"/>
        <w:spacing w:line="408" w:lineRule="auto"/>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14.2、投标报价是履行合同的最终价格。</w:t>
      </w:r>
    </w:p>
    <w:p>
      <w:pPr>
        <w:tabs>
          <w:tab w:val="left" w:pos="525"/>
        </w:tabs>
        <w:adjustRightInd w:val="0"/>
        <w:snapToGrid w:val="0"/>
        <w:spacing w:line="40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▲14.3、投标文件只允许有一个报价，有选择的或有条件的报价将不予接受。</w:t>
      </w:r>
    </w:p>
    <w:p>
      <w:pPr>
        <w:pStyle w:val="18"/>
        <w:widowControl w:val="0"/>
        <w:tabs>
          <w:tab w:val="clear" w:pos="454"/>
        </w:tabs>
        <w:adjustRightInd w:val="0"/>
        <w:snapToGrid w:val="0"/>
        <w:spacing w:afterLines="0" w:line="408"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15.投标文件的有效期</w:t>
      </w:r>
    </w:p>
    <w:p>
      <w:pPr>
        <w:pStyle w:val="31"/>
        <w:adjustRightInd w:val="0"/>
        <w:snapToGrid w:val="0"/>
        <w:spacing w:line="408" w:lineRule="auto"/>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15.1、自投标截止日起60天投标文件应保持有效。有效期不足的投标文件将被拒绝。</w:t>
      </w:r>
    </w:p>
    <w:p>
      <w:pPr>
        <w:pStyle w:val="31"/>
        <w:adjustRightInd w:val="0"/>
        <w:snapToGrid w:val="0"/>
        <w:spacing w:line="408" w:lineRule="auto"/>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15.2、在特殊情况下，招标人可与投标人协商延长投标书的有效期，这种要求和答复均以书面形式进行。</w:t>
      </w:r>
    </w:p>
    <w:p>
      <w:pPr>
        <w:pStyle w:val="31"/>
        <w:adjustRightInd w:val="0"/>
        <w:snapToGrid w:val="0"/>
        <w:spacing w:line="408" w:lineRule="auto"/>
        <w:ind w:firstLine="420" w:firstLineChars="200"/>
        <w:jc w:val="left"/>
        <w:rPr>
          <w:rFonts w:hint="eastAsia" w:ascii="宋体" w:hAnsi="宋体" w:eastAsia="宋体" w:cs="宋体"/>
          <w:color w:val="auto"/>
          <w:kern w:val="2"/>
          <w:sz w:val="21"/>
          <w:highlight w:val="none"/>
        </w:rPr>
      </w:pPr>
      <w:bookmarkStart w:id="72" w:name="_Toc254970680"/>
      <w:bookmarkStart w:id="73" w:name="_Toc254970539"/>
      <w:r>
        <w:rPr>
          <w:rFonts w:hint="eastAsia" w:ascii="宋体" w:hAnsi="宋体" w:eastAsia="宋体" w:cs="宋体"/>
          <w:color w:val="auto"/>
          <w:kern w:val="2"/>
          <w:sz w:val="21"/>
          <w:highlight w:val="none"/>
        </w:rPr>
        <w:t>15.3、投标人可拒绝接受延期要求而不会导致投标保证金被没收。同意延长有效期的投标人需要相应延长投标保证金的有效期，但不能修改投标文件。</w:t>
      </w:r>
      <w:bookmarkEnd w:id="72"/>
      <w:bookmarkEnd w:id="73"/>
      <w:r>
        <w:rPr>
          <w:rFonts w:hint="eastAsia" w:ascii="宋体" w:hAnsi="宋体" w:eastAsia="宋体" w:cs="宋体"/>
          <w:color w:val="auto"/>
          <w:kern w:val="2"/>
          <w:sz w:val="21"/>
          <w:highlight w:val="none"/>
        </w:rPr>
        <w:t xml:space="preserve"> </w:t>
      </w:r>
    </w:p>
    <w:p>
      <w:pPr>
        <w:pStyle w:val="31"/>
        <w:adjustRightInd w:val="0"/>
        <w:snapToGrid w:val="0"/>
        <w:spacing w:line="408" w:lineRule="auto"/>
        <w:ind w:firstLine="420" w:firstLineChars="200"/>
        <w:jc w:val="left"/>
        <w:rPr>
          <w:rFonts w:hint="eastAsia" w:ascii="宋体" w:hAnsi="宋体" w:eastAsia="宋体" w:cs="宋体"/>
          <w:color w:val="auto"/>
          <w:kern w:val="2"/>
          <w:sz w:val="21"/>
          <w:highlight w:val="none"/>
        </w:rPr>
      </w:pPr>
      <w:bookmarkStart w:id="74" w:name="_Toc254970681"/>
      <w:bookmarkStart w:id="75" w:name="_Toc254970540"/>
      <w:r>
        <w:rPr>
          <w:rFonts w:hint="eastAsia" w:ascii="宋体" w:hAnsi="宋体" w:eastAsia="宋体" w:cs="宋体"/>
          <w:color w:val="auto"/>
          <w:kern w:val="2"/>
          <w:sz w:val="21"/>
          <w:highlight w:val="none"/>
        </w:rPr>
        <w:t>15.4、中标人的投标文件自开标之日起至合同履行完毕止均应保持有效。</w:t>
      </w:r>
      <w:bookmarkEnd w:id="74"/>
      <w:bookmarkEnd w:id="75"/>
    </w:p>
    <w:p>
      <w:pPr>
        <w:adjustRightInd w:val="0"/>
        <w:snapToGrid w:val="0"/>
        <w:spacing w:line="408"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16.投标保证金</w:t>
      </w:r>
    </w:p>
    <w:p>
      <w:pPr>
        <w:pStyle w:val="31"/>
        <w:adjustRightInd w:val="0"/>
        <w:snapToGrid w:val="0"/>
        <w:spacing w:line="408" w:lineRule="auto"/>
        <w:ind w:firstLine="630" w:firstLineChars="3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详见“投标人须知及前附表”。</w:t>
      </w:r>
    </w:p>
    <w:p>
      <w:pPr>
        <w:adjustRightInd w:val="0"/>
        <w:snapToGrid w:val="0"/>
        <w:spacing w:line="408"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szCs w:val="21"/>
          <w:highlight w:val="none"/>
        </w:rPr>
        <w:t>17.投标文件的签署和份数</w:t>
      </w:r>
    </w:p>
    <w:p>
      <w:pPr>
        <w:adjustRightInd w:val="0"/>
        <w:snapToGrid w:val="0"/>
        <w:spacing w:line="408"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17.1、投标人应按本招标文件规定的格式和顺序编制、装订投标文件并标注页码，投标文件内容不完整、编排混乱导致投标文件被误读、漏读或者查找不到相关内容的，是投标人的责任。</w:t>
      </w:r>
    </w:p>
    <w:p>
      <w:pPr>
        <w:snapToGrid w:val="0"/>
        <w:spacing w:line="408"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17.2、投标人应按将投标文件装订成册，其中</w:t>
      </w:r>
      <w:r>
        <w:rPr>
          <w:rFonts w:hint="eastAsia" w:ascii="宋体" w:hAnsi="宋体" w:eastAsia="宋体" w:cs="宋体"/>
          <w:b/>
          <w:color w:val="auto"/>
          <w:szCs w:val="21"/>
          <w:highlight w:val="none"/>
        </w:rPr>
        <w:t>报价文件、资格证明文件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商务文件、技术文件</w:t>
      </w:r>
      <w:r>
        <w:rPr>
          <w:rFonts w:hint="eastAsia" w:ascii="宋体" w:hAnsi="宋体" w:eastAsia="宋体" w:cs="宋体"/>
          <w:color w:val="auto"/>
          <w:szCs w:val="21"/>
          <w:highlight w:val="none"/>
        </w:rPr>
        <w:t>正本</w:t>
      </w:r>
      <w:r>
        <w:rPr>
          <w:rFonts w:hint="eastAsia" w:ascii="宋体" w:hAnsi="宋体" w:eastAsia="宋体" w:cs="宋体"/>
          <w:b/>
          <w:color w:val="auto"/>
          <w:szCs w:val="21"/>
          <w:highlight w:val="none"/>
        </w:rPr>
        <w:t>一</w:t>
      </w:r>
      <w:r>
        <w:rPr>
          <w:rFonts w:hint="eastAsia" w:ascii="宋体" w:hAnsi="宋体" w:eastAsia="宋体" w:cs="宋体"/>
          <w:bCs/>
          <w:color w:val="auto"/>
          <w:szCs w:val="21"/>
          <w:highlight w:val="none"/>
        </w:rPr>
        <w:t>份</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副本</w:t>
      </w:r>
      <w:r>
        <w:rPr>
          <w:rFonts w:hint="eastAsia" w:ascii="宋体" w:hAnsi="宋体" w:cs="宋体"/>
          <w:b/>
          <w:color w:val="auto"/>
          <w:szCs w:val="21"/>
          <w:highlight w:val="none"/>
          <w:lang w:val="en-US" w:eastAsia="zh-CN"/>
        </w:rPr>
        <w:t>四</w:t>
      </w:r>
      <w:r>
        <w:rPr>
          <w:rFonts w:hint="eastAsia" w:ascii="宋体" w:hAnsi="宋体" w:eastAsia="宋体" w:cs="宋体"/>
          <w:color w:val="auto"/>
          <w:szCs w:val="21"/>
          <w:highlight w:val="none"/>
        </w:rPr>
        <w:t>份；电子文档一份。投标文件的封面应注明“正本”、“副本”字样。采用胶装或精装，活页装订的投标文件将被拒绝。</w:t>
      </w:r>
    </w:p>
    <w:p>
      <w:pPr>
        <w:adjustRightInd w:val="0"/>
        <w:snapToGrid w:val="0"/>
        <w:spacing w:line="408"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17.3、投标文件的正本需打印或用不褪色的墨水填写，投标文件正本除本《投标人须知》中规定的可提供复印件外均须提供原件。副本为正本的复印件，且正本和副本内容必须一致。</w:t>
      </w:r>
    </w:p>
    <w:p>
      <w:pPr>
        <w:adjustRightInd w:val="0"/>
        <w:snapToGrid w:val="0"/>
        <w:spacing w:line="408"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17.4、投标文件须由投标人在规定位置盖章并由法定代表人（负责人）或法定代表人（负责人）的授权委托代理人签署，投标人应写全称。</w:t>
      </w:r>
    </w:p>
    <w:p>
      <w:pPr>
        <w:adjustRightInd w:val="0"/>
        <w:snapToGrid w:val="0"/>
        <w:spacing w:line="408"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17.5、投标文件不得涂改，若有修改错漏处，须加盖单位公章或者法定代表人（负责人）或授权委托人签字或盖章。投标文件因复印件模糊不清、字迹潦草或表达不清所引起的后果由投标人负责。</w:t>
      </w:r>
    </w:p>
    <w:p>
      <w:pPr>
        <w:adjustRightInd w:val="0"/>
        <w:snapToGrid w:val="0"/>
        <w:spacing w:line="408"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18.投标文件的包装、递交、修改和撤回</w:t>
      </w:r>
    </w:p>
    <w:p>
      <w:pPr>
        <w:snapToGrid w:val="0"/>
        <w:spacing w:line="408" w:lineRule="auto"/>
        <w:ind w:firstLine="420"/>
        <w:jc w:val="left"/>
        <w:rPr>
          <w:rFonts w:hint="eastAsia" w:ascii="宋体" w:hAnsi="宋体" w:eastAsia="宋体" w:cs="宋体"/>
          <w:b/>
          <w:color w:val="auto"/>
          <w:spacing w:val="-2"/>
          <w:szCs w:val="21"/>
          <w:highlight w:val="none"/>
        </w:rPr>
      </w:pPr>
      <w:r>
        <w:rPr>
          <w:rFonts w:hint="eastAsia" w:ascii="宋体" w:hAnsi="宋体" w:eastAsia="宋体" w:cs="宋体"/>
          <w:color w:val="auto"/>
          <w:szCs w:val="21"/>
          <w:highlight w:val="none"/>
        </w:rPr>
        <w:t>18.1、投标人应将投标文件装订成册（</w:t>
      </w:r>
      <w:r>
        <w:rPr>
          <w:rFonts w:hint="eastAsia" w:ascii="宋体" w:hAnsi="宋体" w:eastAsia="宋体" w:cs="宋体"/>
          <w:b/>
          <w:color w:val="auto"/>
          <w:szCs w:val="21"/>
          <w:highlight w:val="none"/>
        </w:rPr>
        <w:t>要求报价文件、资格证明文件、商务文件、技术文件分别单独装订成册</w:t>
      </w:r>
      <w:r>
        <w:rPr>
          <w:rFonts w:hint="eastAsia" w:ascii="宋体" w:hAnsi="宋体" w:eastAsia="宋体" w:cs="宋体"/>
          <w:color w:val="auto"/>
          <w:szCs w:val="21"/>
          <w:highlight w:val="none"/>
        </w:rPr>
        <w:t>），其中正本</w:t>
      </w:r>
      <w:r>
        <w:rPr>
          <w:rFonts w:hint="eastAsia" w:ascii="宋体" w:hAnsi="宋体" w:eastAsia="宋体" w:cs="宋体"/>
          <w:b/>
          <w:color w:val="auto"/>
          <w:szCs w:val="21"/>
          <w:highlight w:val="none"/>
        </w:rPr>
        <w:t>一份，</w:t>
      </w:r>
      <w:r>
        <w:rPr>
          <w:rFonts w:hint="eastAsia" w:ascii="宋体" w:hAnsi="宋体" w:eastAsia="宋体" w:cs="宋体"/>
          <w:color w:val="auto"/>
          <w:szCs w:val="21"/>
          <w:highlight w:val="none"/>
        </w:rPr>
        <w:t>副本</w:t>
      </w:r>
      <w:r>
        <w:rPr>
          <w:rFonts w:hint="eastAsia" w:ascii="宋体" w:hAnsi="宋体" w:cs="宋体"/>
          <w:b/>
          <w:color w:val="auto"/>
          <w:szCs w:val="21"/>
          <w:highlight w:val="none"/>
          <w:lang w:val="en-US" w:eastAsia="zh-CN"/>
        </w:rPr>
        <w:t>四</w:t>
      </w:r>
      <w:r>
        <w:rPr>
          <w:rFonts w:hint="eastAsia" w:ascii="宋体" w:hAnsi="宋体" w:eastAsia="宋体" w:cs="宋体"/>
          <w:color w:val="auto"/>
          <w:szCs w:val="21"/>
          <w:highlight w:val="none"/>
        </w:rPr>
        <w:t>份；报价文件、资格证明文件、商务文件、技术文件的正本文件</w:t>
      </w:r>
      <w:r>
        <w:rPr>
          <w:rFonts w:hint="eastAsia" w:ascii="宋体" w:hAnsi="宋体" w:eastAsia="宋体" w:cs="宋体"/>
          <w:b/>
          <w:color w:val="auto"/>
          <w:szCs w:val="21"/>
          <w:highlight w:val="none"/>
        </w:rPr>
        <w:t>统一密封在正本包封内（电子版Ｕ盘装入正本包封内），</w:t>
      </w:r>
      <w:r>
        <w:rPr>
          <w:rFonts w:hint="eastAsia" w:ascii="宋体" w:hAnsi="宋体" w:eastAsia="宋体" w:cs="宋体"/>
          <w:color w:val="auto"/>
          <w:szCs w:val="21"/>
          <w:highlight w:val="none"/>
        </w:rPr>
        <w:t>报价文件、资格证明文件、商务文件、技术文件的</w:t>
      </w:r>
      <w:r>
        <w:rPr>
          <w:rFonts w:hint="eastAsia" w:ascii="宋体" w:hAnsi="宋体" w:eastAsia="宋体" w:cs="宋体"/>
          <w:b/>
          <w:color w:val="auto"/>
          <w:szCs w:val="21"/>
          <w:highlight w:val="none"/>
        </w:rPr>
        <w:t>副本文件统一密封在副本包封内</w:t>
      </w:r>
      <w:r>
        <w:rPr>
          <w:rFonts w:hint="eastAsia" w:ascii="宋体" w:hAnsi="宋体" w:eastAsia="宋体" w:cs="宋体"/>
          <w:color w:val="auto"/>
          <w:szCs w:val="21"/>
          <w:highlight w:val="none"/>
        </w:rPr>
        <w:t>；然后</w:t>
      </w:r>
      <w:r>
        <w:rPr>
          <w:rFonts w:hint="eastAsia" w:ascii="宋体" w:hAnsi="宋体" w:eastAsia="宋体" w:cs="宋体"/>
          <w:color w:val="auto"/>
          <w:highlight w:val="none"/>
        </w:rPr>
        <w:t>一并装入到一个投标文件袋内加以密封</w:t>
      </w:r>
      <w:r>
        <w:rPr>
          <w:rFonts w:hint="eastAsia" w:ascii="宋体" w:hAnsi="宋体" w:eastAsia="宋体" w:cs="宋体"/>
          <w:color w:val="auto"/>
          <w:spacing w:val="-2"/>
          <w:szCs w:val="21"/>
          <w:highlight w:val="none"/>
        </w:rPr>
        <w:t>（要求文件袋无明显缝隙露出袋内文件）。</w:t>
      </w:r>
      <w:r>
        <w:rPr>
          <w:rFonts w:hint="eastAsia" w:ascii="宋体" w:hAnsi="宋体" w:eastAsia="宋体" w:cs="宋体"/>
          <w:b/>
          <w:color w:val="auto"/>
          <w:spacing w:val="-2"/>
          <w:szCs w:val="21"/>
          <w:highlight w:val="none"/>
        </w:rPr>
        <w:t>所有投标文件袋在每一封贴处密封签章【须由法定代表人（或其委托代理人）签字并加盖单位公章及密封章。】</w:t>
      </w:r>
    </w:p>
    <w:p>
      <w:pPr>
        <w:snapToGrid w:val="0"/>
        <w:spacing w:line="408"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投标文件的正、副本的每一册（每一本）的包装封面上应注明投标人名称、投标人地址、投标文件名称（报价文件、资格证明文件、商务文件、技术文件）、投标项目名称、项目编号并加盖投标人公章</w:t>
      </w:r>
      <w:r>
        <w:rPr>
          <w:rFonts w:hint="eastAsia" w:ascii="宋体" w:hAnsi="宋体" w:eastAsia="宋体" w:cs="宋体"/>
          <w:color w:val="auto"/>
          <w:highlight w:val="none"/>
        </w:rPr>
        <w:t>。</w:t>
      </w:r>
    </w:p>
    <w:p>
      <w:pPr>
        <w:snapToGrid w:val="0"/>
        <w:spacing w:line="408"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r>
        <w:rPr>
          <w:rFonts w:hint="eastAsia" w:ascii="宋体" w:hAnsi="宋体" w:eastAsia="宋体" w:cs="宋体"/>
          <w:color w:val="auto"/>
          <w:highlight w:val="none"/>
        </w:rPr>
        <w:t>逾期送达或者未按照招标文件要求密封的投标文件将被拒绝，由此造成投标文件被误投或提前拆封的风险由投标人承担。</w:t>
      </w:r>
    </w:p>
    <w:p>
      <w:pPr>
        <w:snapToGrid w:val="0"/>
        <w:spacing w:line="408"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line="408" w:lineRule="auto"/>
        <w:ind w:firstLine="42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19.投标无效的情形</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实质上没有响应招标文件要求的投标将被视为无效投标。投标人不得通过修正或撤销不合要求的偏离或保留从而使其投标成为实质上响应的投标。</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19.1  属下列情形之一的，投标人的投标无效：</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19.1.1投标人不具备“投标人须知及前附表”第7项规定的投标人资格要求的；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19.1.2投标文件未按本章第17.2、18.1项的规定装订的； </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19.1.3投标文件未按“投标人须知及前附表”第11、12项的规定编写和提供的（包括缺少应提供的文件或格式不符合第六章“投标文件格式”的要求）；</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19.1.4投标报价不符合本章第14.3项规定的将投标人作为无效投标处理的；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19.1.5投标人出现本章第15.1、19.2项所述情形的；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19.1.</w:t>
      </w:r>
      <w:r>
        <w:rPr>
          <w:rFonts w:hint="eastAsia" w:ascii="宋体" w:hAnsi="宋体" w:eastAsia="宋体" w:cs="宋体"/>
          <w:color w:val="auto"/>
          <w:spacing w:val="-4"/>
          <w:sz w:val="21"/>
          <w:szCs w:val="21"/>
          <w:highlight w:val="none"/>
          <w:lang w:val="en-US" w:eastAsia="zh-CN"/>
        </w:rPr>
        <w:t>6</w:t>
      </w:r>
      <w:r>
        <w:rPr>
          <w:rFonts w:hint="eastAsia" w:ascii="宋体" w:hAnsi="宋体" w:eastAsia="宋体" w:cs="宋体"/>
          <w:color w:val="auto"/>
          <w:spacing w:val="-4"/>
          <w:sz w:val="21"/>
          <w:szCs w:val="21"/>
          <w:highlight w:val="none"/>
        </w:rPr>
        <w:t>投标文件未对招标文件提出的要求和条件作出实质性响应的；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19.1.</w:t>
      </w:r>
      <w:r>
        <w:rPr>
          <w:rFonts w:hint="eastAsia" w:ascii="宋体" w:hAnsi="宋体" w:eastAsia="宋体" w:cs="宋体"/>
          <w:color w:val="auto"/>
          <w:spacing w:val="-4"/>
          <w:sz w:val="21"/>
          <w:szCs w:val="21"/>
          <w:highlight w:val="none"/>
          <w:lang w:val="en-US" w:eastAsia="zh-CN"/>
        </w:rPr>
        <w:t>7</w:t>
      </w:r>
      <w:r>
        <w:rPr>
          <w:rFonts w:hint="eastAsia" w:ascii="宋体" w:hAnsi="宋体" w:eastAsia="宋体" w:cs="宋体"/>
          <w:color w:val="auto"/>
          <w:spacing w:val="-4"/>
          <w:sz w:val="21"/>
          <w:szCs w:val="21"/>
          <w:highlight w:val="none"/>
        </w:rPr>
        <w:t>投标文件存在严重负偏离或附有招标项目采购需求以外的条件使评标委员会不能接受的。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19.1.</w:t>
      </w:r>
      <w:r>
        <w:rPr>
          <w:rFonts w:hint="eastAsia" w:ascii="宋体" w:hAnsi="宋体" w:eastAsia="宋体" w:cs="宋体"/>
          <w:color w:val="auto"/>
          <w:spacing w:val="-4"/>
          <w:sz w:val="21"/>
          <w:szCs w:val="21"/>
          <w:highlight w:val="none"/>
          <w:lang w:val="en-US" w:eastAsia="zh-CN"/>
        </w:rPr>
        <w:t>8</w:t>
      </w:r>
      <w:r>
        <w:rPr>
          <w:rFonts w:hint="eastAsia" w:ascii="宋体" w:hAnsi="宋体" w:eastAsia="宋体" w:cs="宋体"/>
          <w:color w:val="auto"/>
          <w:spacing w:val="-4"/>
          <w:sz w:val="21"/>
          <w:szCs w:val="21"/>
          <w:highlight w:val="none"/>
        </w:rPr>
        <w:t>投标人在投标过程中提供虚假材料的。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19.1</w:t>
      </w:r>
      <w:r>
        <w:rPr>
          <w:rFonts w:hint="eastAsia" w:ascii="宋体" w:hAnsi="宋体" w:eastAsia="宋体" w:cs="宋体"/>
          <w:b w:val="0"/>
          <w:bCs w:val="0"/>
          <w:color w:val="auto"/>
          <w:spacing w:val="-4"/>
          <w:sz w:val="21"/>
          <w:szCs w:val="21"/>
          <w:highlight w:val="none"/>
        </w:rPr>
        <w:t>.</w:t>
      </w:r>
      <w:r>
        <w:rPr>
          <w:rFonts w:hint="eastAsia" w:ascii="宋体" w:hAnsi="宋体" w:eastAsia="宋体" w:cs="宋体"/>
          <w:b w:val="0"/>
          <w:bCs w:val="0"/>
          <w:color w:val="auto"/>
          <w:spacing w:val="-4"/>
          <w:sz w:val="21"/>
          <w:szCs w:val="21"/>
          <w:highlight w:val="none"/>
          <w:lang w:val="en-US" w:eastAsia="zh-CN"/>
        </w:rPr>
        <w:t>9</w:t>
      </w:r>
      <w:r>
        <w:rPr>
          <w:rFonts w:hint="eastAsia" w:ascii="宋体" w:hAnsi="宋体" w:eastAsia="宋体" w:cs="宋体"/>
          <w:color w:val="auto"/>
          <w:spacing w:val="-4"/>
          <w:sz w:val="21"/>
          <w:szCs w:val="21"/>
          <w:highlight w:val="none"/>
        </w:rPr>
        <w:t>投标文件含有违反国家法律、法规的内容。</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19.2、有下列情形之一的视为投标人相互串通投标，投标文件将被视为无效：</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19.2.1不同投标人的投标文件由同一单位或者个人编制；或不同投标人报名的IP地址一致的；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19.2.2不同投标人委托同一单位或者个人办理投标事宜的；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19.2.3不同投标人的投标文件载明的项目管理成员或者联系人员为同一人的；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19.2.4不同投标人的投标文件异常一致或投标报价呈规律性变化的；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19.2.5不同投标人的投标文件相互混装的；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19.2.6不同投标人的投标保证金从同一个单位或者个人账户转出的；</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19.2.7评标委员会认为的其他情形。</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19.3、有下列情形之一的视为关联供应商参加同一合同项下政府采购活动，投标文件将被视为无效：</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19.3.1单位负责人为同一人或者存在直接控股、管理关系的不同供应商，参加同一合同项下的政府采购活动；</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19.3.2生产厂商授权给供应商后又参加同一合同项下的政府采购活动。</w:t>
      </w:r>
    </w:p>
    <w:p>
      <w:pPr>
        <w:pStyle w:val="3"/>
        <w:snapToGrid w:val="0"/>
        <w:spacing w:line="408" w:lineRule="auto"/>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19.4、被拒绝的投标文件为无效。</w:t>
      </w:r>
    </w:p>
    <w:p>
      <w:pPr>
        <w:adjustRightInd w:val="0"/>
        <w:snapToGrid w:val="0"/>
        <w:spacing w:line="408"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20.投标人有下列情形之一的，属于恶意串通行为：</w:t>
      </w:r>
    </w:p>
    <w:p>
      <w:pPr>
        <w:adjustRightInd w:val="0"/>
        <w:snapToGrid w:val="0"/>
        <w:spacing w:line="408"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20.1、投标人直接或者间接从采购人或者采购代理机构处获得其他供应商的相关信息并修改其投标文件或者响应文件；</w:t>
      </w:r>
    </w:p>
    <w:p>
      <w:pPr>
        <w:adjustRightInd w:val="0"/>
        <w:snapToGrid w:val="0"/>
        <w:spacing w:line="408"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20.2、投标人按照采购人或者采购代理机构的授意撤换、修改投标文件或者响应文件；</w:t>
      </w:r>
    </w:p>
    <w:p>
      <w:pPr>
        <w:adjustRightInd w:val="0"/>
        <w:snapToGrid w:val="0"/>
        <w:spacing w:line="408"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20.3、投标人之间协商报价、技术方案等投标文件或者响应文件的实质性内容；</w:t>
      </w:r>
    </w:p>
    <w:p>
      <w:pPr>
        <w:adjustRightInd w:val="0"/>
        <w:snapToGrid w:val="0"/>
        <w:spacing w:line="408"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20.4、投标人之间事先约定一致抬高或者压低投标报价，或者在招标项目中事先约定轮流以高价位或者低价位中标，或者事先约定由某一特定供应商中标，然后再参加投标；</w:t>
      </w:r>
    </w:p>
    <w:p>
      <w:pPr>
        <w:adjustRightInd w:val="0"/>
        <w:snapToGrid w:val="0"/>
        <w:spacing w:line="408"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20.5、投标人之间商定部分供应商放弃参加政府采购活动或者放弃中标；</w:t>
      </w:r>
    </w:p>
    <w:p>
      <w:pPr>
        <w:adjustRightInd w:val="0"/>
        <w:snapToGrid w:val="0"/>
        <w:spacing w:line="408"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20.6、投标人与采购人或者采购代理机构之间、投标人相互之间，为谋求特定供应商中标或者排斥其他供应商的其他串通行为。</w:t>
      </w:r>
    </w:p>
    <w:p>
      <w:pPr>
        <w:adjustRightInd w:val="0"/>
        <w:snapToGrid w:val="0"/>
        <w:spacing w:line="40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投标人存在以上恶意串通情形的，根据《中华人民共和国政府采购法》第七十二条及《中华人民共和国政府采购法实施条例》第七十四条规定进行处理。</w:t>
      </w:r>
    </w:p>
    <w:p>
      <w:pPr>
        <w:spacing w:line="360" w:lineRule="auto"/>
        <w:ind w:firstLine="413" w:firstLineChars="196"/>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21.关联供应商不得参加同一合同项下政府采购活动，否则</w:t>
      </w:r>
      <w:r>
        <w:rPr>
          <w:rFonts w:hint="eastAsia" w:ascii="宋体" w:hAnsi="宋体" w:eastAsia="宋体" w:cs="宋体"/>
          <w:b/>
          <w:bCs/>
          <w:color w:val="auto"/>
          <w:szCs w:val="21"/>
          <w:highlight w:val="none"/>
        </w:rPr>
        <w:t>在符合性评审时</w:t>
      </w:r>
      <w:r>
        <w:rPr>
          <w:rFonts w:hint="eastAsia" w:ascii="宋体" w:hAnsi="宋体" w:eastAsia="宋体" w:cs="宋体"/>
          <w:b/>
          <w:bCs/>
          <w:color w:val="auto"/>
          <w:kern w:val="0"/>
          <w:szCs w:val="21"/>
          <w:highlight w:val="none"/>
        </w:rPr>
        <w:t>投标文件将被视为无效</w:t>
      </w:r>
    </w:p>
    <w:p>
      <w:pPr>
        <w:pStyle w:val="3"/>
        <w:snapToGrid w:val="0"/>
        <w:spacing w:line="360" w:lineRule="auto"/>
        <w:ind w:firstLine="411" w:firstLineChars="19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单位负责人为同一人或者存在直接控股、管理关系的不同的供应商，不得参加同一合同项下的政府采购活动。</w:t>
      </w:r>
    </w:p>
    <w:p>
      <w:pPr>
        <w:spacing w:line="360" w:lineRule="auto"/>
        <w:ind w:firstLine="388" w:firstLineChars="184"/>
        <w:rPr>
          <w:rFonts w:hint="eastAsia" w:ascii="宋体" w:hAnsi="宋体" w:eastAsia="宋体" w:cs="宋体"/>
          <w:color w:val="auto"/>
          <w:highlight w:val="none"/>
        </w:rPr>
      </w:pPr>
      <w:r>
        <w:rPr>
          <w:rFonts w:hint="eastAsia" w:ascii="宋体" w:hAnsi="宋体" w:eastAsia="宋体" w:cs="宋体"/>
          <w:b/>
          <w:color w:val="auto"/>
          <w:szCs w:val="21"/>
          <w:highlight w:val="none"/>
        </w:rPr>
        <w:t>注：被拒绝的投标文件为无效投标文件。</w:t>
      </w:r>
    </w:p>
    <w:p>
      <w:pPr>
        <w:pStyle w:val="31"/>
        <w:adjustRightInd w:val="0"/>
        <w:snapToGrid w:val="0"/>
        <w:spacing w:line="408"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22.废标</w:t>
      </w:r>
    </w:p>
    <w:p>
      <w:pPr>
        <w:pStyle w:val="31"/>
        <w:adjustRightInd w:val="0"/>
        <w:snapToGrid w:val="0"/>
        <w:spacing w:line="408"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22.1、招标项目出现下列情形之一的，将予废标：</w:t>
      </w:r>
    </w:p>
    <w:p>
      <w:pPr>
        <w:widowControl/>
        <w:adjustRightInd w:val="0"/>
        <w:snapToGrid w:val="0"/>
        <w:spacing w:line="40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22.1.1截标后整个招标项目的投标人不足三家的或实质性响应不足法定三家的；</w:t>
      </w:r>
    </w:p>
    <w:p>
      <w:pPr>
        <w:widowControl/>
        <w:adjustRightInd w:val="0"/>
        <w:snapToGrid w:val="0"/>
        <w:spacing w:line="408" w:lineRule="auto"/>
        <w:ind w:firstLine="514" w:firstLineChars="245"/>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22.1.2出现影响采购公正的违法、违规行为的；</w:t>
      </w:r>
    </w:p>
    <w:p>
      <w:pPr>
        <w:widowControl/>
        <w:adjustRightInd w:val="0"/>
        <w:snapToGrid w:val="0"/>
        <w:spacing w:line="408" w:lineRule="auto"/>
        <w:ind w:firstLine="514" w:firstLineChars="24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22.1.3投标人的报价均超过了采购预算，采购人不能支付的；</w:t>
      </w:r>
    </w:p>
    <w:p>
      <w:pPr>
        <w:widowControl/>
        <w:adjustRightInd w:val="0"/>
        <w:snapToGrid w:val="0"/>
        <w:spacing w:line="408" w:lineRule="auto"/>
        <w:ind w:firstLine="514" w:firstLineChars="24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22.1.4因重大变故，采购任务取消的。</w:t>
      </w:r>
    </w:p>
    <w:p>
      <w:pPr>
        <w:pStyle w:val="3"/>
        <w:snapToGrid w:val="0"/>
        <w:spacing w:before="157" w:beforeLines="50" w:after="157" w:afterLines="50" w:line="408" w:lineRule="auto"/>
        <w:ind w:firstLine="413" w:firstLineChars="196"/>
        <w:jc w:val="center"/>
        <w:outlineLvl w:val="1"/>
        <w:rPr>
          <w:rFonts w:hint="eastAsia" w:ascii="宋体" w:hAnsi="宋体" w:eastAsia="宋体" w:cs="宋体"/>
          <w:b/>
          <w:snapToGrid w:val="0"/>
          <w:color w:val="auto"/>
          <w:sz w:val="21"/>
          <w:szCs w:val="21"/>
          <w:highlight w:val="none"/>
        </w:rPr>
      </w:pPr>
      <w:bookmarkStart w:id="76" w:name="_Toc17622"/>
      <w:bookmarkStart w:id="77" w:name="_Toc7845"/>
      <w:bookmarkStart w:id="78" w:name="_Toc254970685"/>
      <w:bookmarkStart w:id="79" w:name="_Toc254970544"/>
      <w:r>
        <w:rPr>
          <w:rFonts w:hint="eastAsia" w:ascii="宋体" w:hAnsi="宋体" w:eastAsia="宋体" w:cs="宋体"/>
          <w:b/>
          <w:color w:val="auto"/>
          <w:sz w:val="21"/>
          <w:szCs w:val="21"/>
          <w:highlight w:val="none"/>
        </w:rPr>
        <w:t>四、开标</w:t>
      </w:r>
      <w:bookmarkEnd w:id="76"/>
      <w:bookmarkEnd w:id="77"/>
      <w:bookmarkEnd w:id="78"/>
      <w:bookmarkEnd w:id="79"/>
    </w:p>
    <w:p>
      <w:pPr>
        <w:pStyle w:val="31"/>
        <w:snapToGrid w:val="0"/>
        <w:spacing w:line="408" w:lineRule="auto"/>
        <w:ind w:firstLine="413" w:firstLineChars="196"/>
        <w:outlineLvl w:val="2"/>
        <w:rPr>
          <w:rFonts w:hint="eastAsia" w:ascii="宋体" w:hAnsi="宋体" w:eastAsia="宋体" w:cs="宋体"/>
          <w:b/>
          <w:color w:val="auto"/>
          <w:sz w:val="21"/>
          <w:highlight w:val="none"/>
        </w:rPr>
      </w:pPr>
      <w:bookmarkStart w:id="80" w:name="_Toc6270"/>
      <w:r>
        <w:rPr>
          <w:rFonts w:hint="eastAsia" w:ascii="宋体" w:hAnsi="宋体" w:eastAsia="宋体" w:cs="宋体"/>
          <w:b/>
          <w:color w:val="auto"/>
          <w:sz w:val="21"/>
          <w:highlight w:val="none"/>
        </w:rPr>
        <w:t>23.开标准备</w:t>
      </w:r>
      <w:bookmarkEnd w:id="80"/>
    </w:p>
    <w:p>
      <w:pPr>
        <w:pStyle w:val="31"/>
        <w:snapToGrid w:val="0"/>
        <w:spacing w:line="408"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本代理机构将在规定的时间和地点进行开标，投标人的法定代表人（负责人）或其授权代表应参加开标会并签到。投标人的法定代表人（负责人）或其授权代表未按时签到的，视同放弃开标监督权利、认可开标结果。</w:t>
      </w:r>
    </w:p>
    <w:p>
      <w:pPr>
        <w:pStyle w:val="31"/>
        <w:snapToGrid w:val="0"/>
        <w:spacing w:line="408" w:lineRule="auto"/>
        <w:ind w:firstLine="413" w:firstLineChars="196"/>
        <w:outlineLvl w:val="2"/>
        <w:rPr>
          <w:rFonts w:hint="eastAsia" w:ascii="宋体" w:hAnsi="宋体" w:eastAsia="宋体" w:cs="宋体"/>
          <w:b/>
          <w:color w:val="auto"/>
          <w:sz w:val="21"/>
          <w:highlight w:val="none"/>
        </w:rPr>
      </w:pPr>
      <w:bookmarkStart w:id="81" w:name="_Toc8888"/>
      <w:r>
        <w:rPr>
          <w:rFonts w:hint="eastAsia" w:ascii="宋体" w:hAnsi="宋体" w:eastAsia="宋体" w:cs="宋体"/>
          <w:b/>
          <w:color w:val="auto"/>
          <w:sz w:val="21"/>
          <w:highlight w:val="none"/>
        </w:rPr>
        <w:t>24.开标程序</w:t>
      </w:r>
      <w:bookmarkEnd w:id="81"/>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24.1、开标会由本代理机构主持，主持人宣布开标会议开始；</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24.2、主持人介绍参加开标会的人员名单； </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24.3、主持人宣布评标期间的有关事项；告知应当回避的情形，提请有关人员回避。</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24.4、投标人或其当场推荐的代表检查投标文件密封的完整性并签字确认；</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24.5、经确认无误后，由采购代理机构工作人员当众拆封《报价文件》，宣布投标人名称、投标价格和招标文件规定的需要宣布的其他内容。</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24.6、本代理机构做开标记录，投标人代表对开标记录进行当场校核及勘误，并签字确认；同时由记录人、监督人当场签字确认。投标人代表未到场签字确认或者拒绝签字确认的，不影响评标过程。</w:t>
      </w:r>
    </w:p>
    <w:p>
      <w:pPr>
        <w:pStyle w:val="31"/>
        <w:spacing w:line="408"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注：①当整个招标项目的投标人不足3家的不开标，本代理机构将按政府采购管理的有关规定处理。</w:t>
      </w:r>
    </w:p>
    <w:p>
      <w:pPr>
        <w:pStyle w:val="31"/>
        <w:snapToGrid w:val="0"/>
        <w:spacing w:line="408" w:lineRule="auto"/>
        <w:ind w:firstLine="840" w:firstLineChars="400"/>
        <w:rPr>
          <w:rFonts w:hint="eastAsia" w:ascii="宋体" w:hAnsi="宋体" w:eastAsia="宋体" w:cs="宋体"/>
          <w:color w:val="auto"/>
          <w:sz w:val="21"/>
          <w:highlight w:val="none"/>
        </w:rPr>
      </w:pPr>
      <w:r>
        <w:rPr>
          <w:rFonts w:hint="eastAsia" w:ascii="宋体" w:hAnsi="宋体" w:eastAsia="宋体" w:cs="宋体"/>
          <w:color w:val="auto"/>
          <w:sz w:val="21"/>
          <w:highlight w:val="none"/>
        </w:rPr>
        <w:t>②开标后，某分标投标人不足3家的，本代理机构将按政府采购管理的有关规定处理。</w:t>
      </w:r>
    </w:p>
    <w:p>
      <w:pPr>
        <w:pStyle w:val="31"/>
        <w:snapToGrid w:val="0"/>
        <w:spacing w:line="408" w:lineRule="auto"/>
        <w:ind w:left="689" w:leftChars="228" w:hanging="210" w:hanging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24.7、开标会议结束。</w:t>
      </w:r>
    </w:p>
    <w:p>
      <w:pPr>
        <w:pStyle w:val="31"/>
        <w:snapToGrid w:val="0"/>
        <w:spacing w:before="157" w:beforeLines="50" w:after="157" w:afterLines="50" w:line="408" w:lineRule="auto"/>
        <w:ind w:left="772" w:leftChars="267" w:hanging="211" w:hangingChars="100"/>
        <w:jc w:val="center"/>
        <w:outlineLvl w:val="1"/>
        <w:rPr>
          <w:rFonts w:hint="eastAsia" w:ascii="宋体" w:hAnsi="宋体" w:eastAsia="宋体" w:cs="宋体"/>
          <w:b/>
          <w:color w:val="auto"/>
          <w:sz w:val="21"/>
          <w:highlight w:val="none"/>
        </w:rPr>
      </w:pPr>
      <w:bookmarkStart w:id="82" w:name="_Toc254970686"/>
      <w:bookmarkStart w:id="83" w:name="_Toc254970545"/>
      <w:bookmarkStart w:id="84" w:name="_Toc7466"/>
      <w:bookmarkStart w:id="85" w:name="_Toc7258"/>
      <w:r>
        <w:rPr>
          <w:rFonts w:hint="eastAsia" w:ascii="宋体" w:hAnsi="宋体" w:eastAsia="宋体" w:cs="宋体"/>
          <w:b/>
          <w:color w:val="auto"/>
          <w:sz w:val="21"/>
          <w:highlight w:val="none"/>
        </w:rPr>
        <w:t>五、资格审查</w:t>
      </w:r>
    </w:p>
    <w:p>
      <w:pPr>
        <w:pStyle w:val="31"/>
        <w:snapToGrid w:val="0"/>
        <w:spacing w:line="408" w:lineRule="auto"/>
        <w:ind w:left="771" w:leftChars="267" w:hanging="210" w:hangingChars="100"/>
        <w:jc w:val="left"/>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25.资格审查</w:t>
      </w:r>
    </w:p>
    <w:p>
      <w:pPr>
        <w:pStyle w:val="31"/>
        <w:snapToGrid w:val="0"/>
        <w:spacing w:line="408" w:lineRule="auto"/>
        <w:ind w:left="771" w:leftChars="267" w:hanging="210" w:hangingChars="100"/>
        <w:jc w:val="left"/>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25.1开标结束后，采购人或采购代理机构依法对投标人的资格进行审查。</w:t>
      </w:r>
    </w:p>
    <w:p>
      <w:pPr>
        <w:pStyle w:val="31"/>
        <w:snapToGrid w:val="0"/>
        <w:spacing w:line="408" w:lineRule="auto"/>
        <w:ind w:left="771" w:leftChars="267" w:hanging="210" w:hangingChars="100"/>
        <w:jc w:val="left"/>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25.2资格审查标准为本招标文件中载明对投标人资格要求的条件。本项目资格审查采用合格制，</w:t>
      </w:r>
    </w:p>
    <w:p>
      <w:pPr>
        <w:pStyle w:val="31"/>
        <w:snapToGrid w:val="0"/>
        <w:spacing w:line="408" w:lineRule="auto"/>
        <w:jc w:val="left"/>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凡符合招标文件规定的投标人资格要求的投标人均通过资格审查。</w:t>
      </w:r>
    </w:p>
    <w:p>
      <w:pPr>
        <w:pStyle w:val="31"/>
        <w:adjustRightInd w:val="0"/>
        <w:snapToGrid w:val="0"/>
        <w:spacing w:line="408" w:lineRule="auto"/>
        <w:ind w:firstLine="630" w:firstLineChars="300"/>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25.3 投标人有下列情形之一的，资格审查不通过而导致其投标无效：</w:t>
      </w:r>
    </w:p>
    <w:p>
      <w:pPr>
        <w:pStyle w:val="31"/>
        <w:adjustRightInd w:val="0"/>
        <w:snapToGrid w:val="0"/>
        <w:spacing w:line="408" w:lineRule="auto"/>
        <w:ind w:firstLine="420"/>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（1）不符合《中华人民共和国政府采购法》第二十二条规定条件的供应商的。</w:t>
      </w:r>
    </w:p>
    <w:p>
      <w:pPr>
        <w:pStyle w:val="31"/>
        <w:adjustRightInd w:val="0"/>
        <w:snapToGrid w:val="0"/>
        <w:spacing w:line="408" w:lineRule="auto"/>
        <w:ind w:firstLine="420"/>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w:t>
      </w:r>
      <w:r>
        <w:rPr>
          <w:rFonts w:hint="eastAsia" w:ascii="宋体" w:hAnsi="宋体" w:eastAsia="宋体" w:cs="宋体"/>
          <w:color w:val="auto"/>
          <w:kern w:val="2"/>
          <w:sz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bCs/>
          <w:color w:val="auto"/>
          <w:kern w:val="2"/>
          <w:sz w:val="21"/>
          <w:highlight w:val="none"/>
        </w:rPr>
        <w:t>；</w:t>
      </w:r>
    </w:p>
    <w:p>
      <w:pPr>
        <w:pStyle w:val="31"/>
        <w:snapToGrid w:val="0"/>
        <w:spacing w:line="408" w:lineRule="auto"/>
        <w:jc w:val="left"/>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　　（3）未按招标文件规定的方式获取本招标文件的投标人；</w:t>
      </w:r>
    </w:p>
    <w:p>
      <w:pPr>
        <w:pStyle w:val="31"/>
        <w:snapToGrid w:val="0"/>
        <w:spacing w:line="408" w:lineRule="auto"/>
        <w:jc w:val="left"/>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　　（4）投标人为本次采购项目提供整体设计、规范编制或者项目管理、监理、检测等服务的供应商的。</w:t>
      </w:r>
    </w:p>
    <w:p>
      <w:pPr>
        <w:pStyle w:val="31"/>
        <w:adjustRightInd w:val="0"/>
        <w:snapToGrid w:val="0"/>
        <w:spacing w:line="408" w:lineRule="auto"/>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　　（5）在“信用中国”网站(www.creditchina.gov.cn)、中国政府采购网(www.ccgp.gov.cn)等渠道被列入失信被执行人、重大税收违法案件当事人名单、政府采购严重违法失信行为记录名单的。具体审查标准详见本须知前附表的规定。</w:t>
      </w:r>
    </w:p>
    <w:p>
      <w:pPr>
        <w:pStyle w:val="31"/>
        <w:snapToGrid w:val="0"/>
        <w:spacing w:line="408" w:lineRule="auto"/>
        <w:jc w:val="left"/>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　　（6）投标文件未提供“投标人须知前附表”的“资格证明文件”中规定“必须提供”的文件资料的或提供的文件资料不合格的；</w:t>
      </w:r>
    </w:p>
    <w:p>
      <w:pPr>
        <w:pStyle w:val="31"/>
        <w:adjustRightInd w:val="0"/>
        <w:snapToGrid w:val="0"/>
        <w:spacing w:line="408" w:lineRule="auto"/>
        <w:ind w:firstLine="420"/>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（7）违反国家法律法规规定的其他资格内容的。</w:t>
      </w:r>
    </w:p>
    <w:p>
      <w:pPr>
        <w:pStyle w:val="31"/>
        <w:tabs>
          <w:tab w:val="left" w:pos="8228"/>
        </w:tabs>
        <w:snapToGrid w:val="0"/>
        <w:spacing w:line="408" w:lineRule="auto"/>
        <w:ind w:left="771" w:leftChars="267" w:hanging="210" w:hangingChars="100"/>
        <w:jc w:val="left"/>
        <w:outlineLvl w:val="1"/>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25.4资格审查的合格投标人不足3家的，不得评标。</w:t>
      </w:r>
      <w:r>
        <w:rPr>
          <w:rFonts w:hint="eastAsia" w:ascii="宋体" w:hAnsi="宋体" w:eastAsia="宋体" w:cs="宋体"/>
          <w:bCs/>
          <w:color w:val="auto"/>
          <w:sz w:val="21"/>
          <w:highlight w:val="none"/>
        </w:rPr>
        <w:tab/>
      </w:r>
    </w:p>
    <w:p>
      <w:pPr>
        <w:pStyle w:val="31"/>
        <w:snapToGrid w:val="0"/>
        <w:spacing w:before="157" w:beforeLines="50" w:after="157" w:afterLines="50" w:line="408" w:lineRule="auto"/>
        <w:ind w:left="772" w:leftChars="267" w:hanging="211" w:hangingChars="100"/>
        <w:jc w:val="center"/>
        <w:outlineLvl w:val="1"/>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六、评标</w:t>
      </w:r>
      <w:bookmarkEnd w:id="82"/>
      <w:bookmarkEnd w:id="83"/>
      <w:bookmarkEnd w:id="84"/>
      <w:bookmarkEnd w:id="85"/>
    </w:p>
    <w:p>
      <w:pPr>
        <w:pStyle w:val="31"/>
        <w:snapToGrid w:val="0"/>
        <w:spacing w:line="408" w:lineRule="auto"/>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26.组建评标委员会</w:t>
      </w:r>
    </w:p>
    <w:p>
      <w:pPr>
        <w:pStyle w:val="31"/>
        <w:snapToGrid w:val="0"/>
        <w:spacing w:line="408" w:lineRule="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　　本招标项目的评标委员会由采购人代表和政府采购评审专家组成</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rPr>
        <w:t>成员人数应当为7人以上（含7人）单数。其中，政府采购评审专家不得少于成员总数的三分之二。</w:t>
      </w:r>
    </w:p>
    <w:p>
      <w:pPr>
        <w:pStyle w:val="31"/>
        <w:snapToGrid w:val="0"/>
        <w:spacing w:line="408" w:lineRule="auto"/>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27.评标的方式</w:t>
      </w:r>
    </w:p>
    <w:p>
      <w:pPr>
        <w:pStyle w:val="31"/>
        <w:snapToGrid w:val="0"/>
        <w:spacing w:line="408" w:lineRule="auto"/>
        <w:ind w:left="689" w:leftChars="228" w:hanging="210" w:hanging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本项目采用不公开方式评标，评标的依据为招标文件和投标文件。</w:t>
      </w:r>
    </w:p>
    <w:p>
      <w:pPr>
        <w:pStyle w:val="31"/>
        <w:snapToGrid w:val="0"/>
        <w:spacing w:line="408" w:lineRule="auto"/>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28.</w:t>
      </w:r>
      <w:r>
        <w:rPr>
          <w:rFonts w:hint="eastAsia" w:ascii="宋体" w:hAnsi="宋体" w:eastAsia="宋体" w:cs="宋体"/>
          <w:b/>
          <w:bCs/>
          <w:color w:val="auto"/>
          <w:sz w:val="21"/>
          <w:highlight w:val="none"/>
        </w:rPr>
        <w:t>评标程序</w:t>
      </w:r>
    </w:p>
    <w:p>
      <w:pPr>
        <w:snapToGrid w:val="0"/>
        <w:spacing w:line="408"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28.1形式审查</w:t>
      </w:r>
    </w:p>
    <w:p>
      <w:pPr>
        <w:pStyle w:val="24"/>
        <w:ind w:firstLine="48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28.1.1采购人代表对投标人资格的合格性进行审查。</w:t>
      </w:r>
    </w:p>
    <w:p>
      <w:pPr>
        <w:pStyle w:val="24"/>
        <w:ind w:firstLine="480"/>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highlight w:val="none"/>
        </w:rPr>
        <w:t>28.1.2采购人代表和评标委员会对投标人的投标文件的商务、技术等实质性要求。</w:t>
      </w:r>
    </w:p>
    <w:p>
      <w:pPr>
        <w:snapToGrid w:val="0"/>
        <w:spacing w:line="408"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28.2、比较与评价</w:t>
      </w:r>
    </w:p>
    <w:p>
      <w:pPr>
        <w:snapToGrid w:val="0"/>
        <w:spacing w:line="408"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28.2.1</w:t>
      </w:r>
      <w:r>
        <w:rPr>
          <w:rFonts w:hint="eastAsia" w:ascii="宋体" w:hAnsi="宋体" w:eastAsia="宋体" w:cs="宋体"/>
          <w:color w:val="auto"/>
          <w:highlight w:val="none"/>
        </w:rPr>
        <w:t>评标委员会按照招标文件中规定的评标方法和评标标准，对形式审查合格的投标文件进行商务和技术评估，综合比较与评价。</w:t>
      </w:r>
    </w:p>
    <w:p>
      <w:pPr>
        <w:snapToGrid w:val="0"/>
        <w:spacing w:line="408"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28.2.2评标委员会应当独立对每个投标人的投标文件进行评价，并汇总每个投标人的得分。</w:t>
      </w:r>
    </w:p>
    <w:p>
      <w:pPr>
        <w:snapToGrid w:val="0"/>
        <w:spacing w:line="408"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8"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28.2.3评标委员会按照招标文件中规定的评标方法和标准计算各投标人的报价得分。在计算过程中，不得去掉最高报价或最低报价。</w:t>
      </w:r>
    </w:p>
    <w:p>
      <w:pPr>
        <w:snapToGrid w:val="0"/>
        <w:spacing w:line="408"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28.2.4各投标人的得分为所有评委的有效评分的算术平均数。</w:t>
      </w:r>
    </w:p>
    <w:p>
      <w:pPr>
        <w:snapToGrid w:val="0"/>
        <w:spacing w:line="408"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28.2.5评标委员会按照招标文件中的规定推荐中标候选人。</w:t>
      </w:r>
    </w:p>
    <w:p>
      <w:pPr>
        <w:snapToGrid w:val="0"/>
        <w:spacing w:line="408"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napToGrid w:val="0"/>
        <w:spacing w:line="408"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29.澄清问题的形式</w:t>
      </w:r>
    </w:p>
    <w:p>
      <w:pPr>
        <w:snapToGrid w:val="0"/>
        <w:spacing w:line="40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31"/>
        <w:snapToGrid w:val="0"/>
        <w:spacing w:line="408" w:lineRule="auto"/>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30.错误修正</w:t>
      </w:r>
    </w:p>
    <w:p>
      <w:pPr>
        <w:pStyle w:val="31"/>
        <w:snapToGrid w:val="0"/>
        <w:spacing w:line="408" w:lineRule="auto"/>
        <w:ind w:left="689" w:leftChars="228" w:hanging="210" w:hanging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投标文件如果出现计算或表达上的错误，修正错误的原则如下：</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30.1、投标文件中开标一览表内容与投标文件中相应内容不一致的，以开标一览表为准；</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30.2、大写金额和小写金额不一致的，以大写金额为准；</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30.3、单价金额小数点或者百分比有明显错位的，以开标一览表的总价为准，并修改单价；</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30.4、总价金额与按单价汇总金额不一致的，以单价金额计算结果为准。</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30.5、对不同文字文本投标文件的解释发生异议的，以中文文本为准。</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30.6、同时出现两种以上不一致的，按照前款规定的顺序修正，修正后的投标报价经投标人书面确认后对投标人具有约束力。如果投标人不接受修正后的投标报价，则其投标无效。</w:t>
      </w:r>
    </w:p>
    <w:p>
      <w:pPr>
        <w:pStyle w:val="31"/>
        <w:snapToGrid w:val="0"/>
        <w:spacing w:line="408"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31"/>
        <w:tabs>
          <w:tab w:val="left" w:pos="630"/>
        </w:tabs>
        <w:snapToGrid w:val="0"/>
        <w:spacing w:line="408"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 xml:space="preserve">    31.评标原则和评标办法</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31.1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31.2、评标办法。本项目评标办法是</w:t>
      </w:r>
      <w:r>
        <w:rPr>
          <w:rFonts w:hint="eastAsia" w:ascii="宋体" w:hAnsi="宋体" w:eastAsia="宋体" w:cs="宋体"/>
          <w:b/>
          <w:color w:val="auto"/>
          <w:sz w:val="21"/>
          <w:highlight w:val="none"/>
          <w:u w:val="single"/>
        </w:rPr>
        <w:t>综合评分法</w:t>
      </w:r>
      <w:r>
        <w:rPr>
          <w:rFonts w:hint="eastAsia" w:ascii="宋体" w:hAnsi="宋体" w:eastAsia="宋体" w:cs="宋体"/>
          <w:color w:val="auto"/>
          <w:sz w:val="21"/>
          <w:highlight w:val="none"/>
        </w:rPr>
        <w:t>，具体评标内容及评分标准等详见第四章评标方法及评分标准。</w:t>
      </w:r>
    </w:p>
    <w:p>
      <w:pPr>
        <w:pStyle w:val="31"/>
        <w:snapToGrid w:val="0"/>
        <w:spacing w:line="408"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 xml:space="preserve">  32.评标过程中出现争议时处理办法</w:t>
      </w:r>
    </w:p>
    <w:p>
      <w:pPr>
        <w:pStyle w:val="31"/>
        <w:snapToGrid w:val="0"/>
        <w:spacing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31"/>
        <w:snapToGrid w:val="0"/>
        <w:spacing w:line="408"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 xml:space="preserve">  33.评标过程的监控</w:t>
      </w:r>
    </w:p>
    <w:p>
      <w:pPr>
        <w:pStyle w:val="31"/>
        <w:snapToGrid w:val="0"/>
        <w:spacing w:line="408"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rPr>
        <w:t>本项目评标过程实行全程录音、录像监控，投标人在评标过程中所进行的试图影响评标结果的不公正活动，可能导致其投标被拒绝。</w:t>
      </w:r>
    </w:p>
    <w:p>
      <w:pPr>
        <w:pStyle w:val="31"/>
        <w:snapToGrid w:val="0"/>
        <w:spacing w:before="157" w:beforeLines="50" w:after="157" w:afterLines="50" w:line="408" w:lineRule="auto"/>
        <w:ind w:firstLine="413" w:firstLineChars="196"/>
        <w:jc w:val="center"/>
        <w:outlineLvl w:val="1"/>
        <w:rPr>
          <w:rFonts w:hint="eastAsia" w:ascii="宋体" w:hAnsi="宋体" w:eastAsia="宋体" w:cs="宋体"/>
          <w:b/>
          <w:color w:val="auto"/>
          <w:sz w:val="21"/>
          <w:highlight w:val="none"/>
        </w:rPr>
      </w:pPr>
      <w:bookmarkStart w:id="86" w:name="_Toc20976"/>
      <w:bookmarkStart w:id="87" w:name="_Toc254970546"/>
      <w:bookmarkStart w:id="88" w:name="_Toc8485"/>
      <w:bookmarkStart w:id="89" w:name="_Toc254970687"/>
      <w:r>
        <w:rPr>
          <w:rFonts w:hint="eastAsia" w:ascii="宋体" w:hAnsi="宋体" w:eastAsia="宋体" w:cs="宋体"/>
          <w:b/>
          <w:color w:val="auto"/>
          <w:sz w:val="21"/>
          <w:highlight w:val="none"/>
        </w:rPr>
        <w:t>七、评标结果</w:t>
      </w:r>
      <w:bookmarkEnd w:id="86"/>
      <w:bookmarkEnd w:id="87"/>
      <w:bookmarkEnd w:id="88"/>
      <w:bookmarkEnd w:id="89"/>
    </w:p>
    <w:p>
      <w:pPr>
        <w:pStyle w:val="31"/>
        <w:spacing w:line="408" w:lineRule="auto"/>
        <w:ind w:firstLine="420"/>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34.</w:t>
      </w:r>
      <w:r>
        <w:rPr>
          <w:rFonts w:hint="eastAsia" w:ascii="宋体" w:hAnsi="宋体" w:eastAsia="宋体" w:cs="宋体"/>
          <w:color w:val="auto"/>
          <w:sz w:val="21"/>
          <w:highlight w:val="none"/>
        </w:rPr>
        <w:t>本代理机构将在评标结束后2个工作日内将评标报告送采购人，采购人在五个工作日内按照评标报告中推荐的中标候选供应商顺序确定中标供应商。采购人也可以事先授权评标委员会直接确定中标供应商。</w:t>
      </w:r>
    </w:p>
    <w:p>
      <w:pPr>
        <w:pStyle w:val="31"/>
        <w:spacing w:line="408" w:lineRule="auto"/>
        <w:ind w:firstLine="420"/>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35.</w:t>
      </w:r>
      <w:r>
        <w:rPr>
          <w:rFonts w:hint="eastAsia" w:ascii="宋体" w:hAnsi="宋体" w:eastAsia="宋体" w:cs="宋体"/>
          <w:color w:val="auto"/>
          <w:sz w:val="21"/>
          <w:highlight w:val="none"/>
        </w:rPr>
        <w:t>中标供应商确定后，本代理机构在</w:t>
      </w:r>
      <w:r>
        <w:rPr>
          <w:rFonts w:hint="eastAsia" w:ascii="宋体" w:hAnsi="宋体" w:eastAsia="宋体" w:cs="宋体"/>
          <w:color w:val="auto"/>
          <w:sz w:val="21"/>
          <w:highlight w:val="none"/>
          <w:u w:val="single"/>
        </w:rPr>
        <w:t>招标公告发布媒介</w:t>
      </w:r>
      <w:r>
        <w:rPr>
          <w:rFonts w:hint="eastAsia" w:ascii="宋体" w:hAnsi="宋体" w:eastAsia="宋体" w:cs="宋体"/>
          <w:color w:val="auto"/>
          <w:sz w:val="21"/>
          <w:highlight w:val="none"/>
        </w:rPr>
        <w:t>发布中标公告。</w:t>
      </w:r>
    </w:p>
    <w:p>
      <w:pPr>
        <w:pStyle w:val="31"/>
        <w:spacing w:line="408" w:lineRule="auto"/>
        <w:ind w:firstLine="420"/>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36.</w:t>
      </w:r>
      <w:r>
        <w:rPr>
          <w:rFonts w:hint="eastAsia" w:ascii="宋体" w:hAnsi="宋体" w:eastAsia="宋体" w:cs="宋体"/>
          <w:color w:val="auto"/>
          <w:sz w:val="21"/>
          <w:highlight w:val="none"/>
        </w:rPr>
        <w:t>在发布中标公告的同时，采购代理机构向中标供应商发出中标通知书。</w:t>
      </w:r>
    </w:p>
    <w:p>
      <w:pPr>
        <w:pStyle w:val="31"/>
        <w:spacing w:line="408" w:lineRule="auto"/>
        <w:ind w:firstLine="422" w:firstLineChars="200"/>
        <w:rPr>
          <w:rFonts w:hint="eastAsia" w:ascii="宋体" w:hAnsi="宋体" w:eastAsia="宋体" w:cs="宋体"/>
          <w:bCs/>
          <w:color w:val="auto"/>
          <w:sz w:val="21"/>
          <w:highlight w:val="none"/>
        </w:rPr>
      </w:pPr>
      <w:r>
        <w:rPr>
          <w:rFonts w:hint="eastAsia" w:ascii="宋体" w:hAnsi="宋体" w:eastAsia="宋体" w:cs="宋体"/>
          <w:b/>
          <w:bCs/>
          <w:color w:val="auto"/>
          <w:sz w:val="21"/>
          <w:highlight w:val="none"/>
        </w:rPr>
        <w:t>37.</w:t>
      </w:r>
      <w:r>
        <w:rPr>
          <w:rFonts w:hint="eastAsia" w:ascii="宋体" w:hAnsi="宋体" w:eastAsia="宋体" w:cs="宋体"/>
          <w:bCs/>
          <w:color w:val="auto"/>
          <w:sz w:val="21"/>
          <w:highlight w:val="none"/>
        </w:rPr>
        <w:t>投标人认为招标文件、招标过程和中标结果使自己的权益受到损害的，可以在知道或者应知其权益受到损害之日起七个工作日内，以书面形式向采购代理机构提出质疑。</w:t>
      </w:r>
    </w:p>
    <w:p>
      <w:pPr>
        <w:pStyle w:val="31"/>
        <w:spacing w:line="408" w:lineRule="auto"/>
        <w:ind w:firstLine="420"/>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38.</w:t>
      </w:r>
      <w:r>
        <w:rPr>
          <w:rFonts w:hint="eastAsia" w:ascii="宋体" w:hAnsi="宋体" w:eastAsia="宋体" w:cs="宋体"/>
          <w:bCs/>
          <w:color w:val="auto"/>
          <w:sz w:val="21"/>
          <w:highlight w:val="none"/>
        </w:rPr>
        <w:t>本代理机构应当按照有关规定就采购人委托授权范围内的事项在收到投标人的书面质疑后七个工作日内做出答复，但答复的内容不得涉及商业秘密。</w:t>
      </w:r>
    </w:p>
    <w:p>
      <w:pPr>
        <w:pStyle w:val="31"/>
        <w:spacing w:line="408" w:lineRule="auto"/>
        <w:ind w:firstLine="422" w:firstLineChars="200"/>
        <w:jc w:val="center"/>
        <w:outlineLvl w:val="1"/>
        <w:rPr>
          <w:rFonts w:hint="eastAsia" w:ascii="宋体" w:hAnsi="宋体" w:eastAsia="宋体" w:cs="宋体"/>
          <w:b/>
          <w:color w:val="auto"/>
          <w:sz w:val="21"/>
          <w:highlight w:val="none"/>
        </w:rPr>
      </w:pPr>
      <w:bookmarkStart w:id="90" w:name="_Toc1210"/>
      <w:bookmarkStart w:id="91" w:name="_Toc16179"/>
      <w:r>
        <w:rPr>
          <w:rFonts w:hint="eastAsia" w:ascii="宋体" w:hAnsi="宋体" w:eastAsia="宋体" w:cs="宋体"/>
          <w:b/>
          <w:color w:val="auto"/>
          <w:sz w:val="21"/>
          <w:highlight w:val="none"/>
        </w:rPr>
        <w:t>八、签订合同</w:t>
      </w:r>
      <w:bookmarkEnd w:id="90"/>
      <w:bookmarkEnd w:id="91"/>
    </w:p>
    <w:p>
      <w:pPr>
        <w:pStyle w:val="31"/>
        <w:spacing w:line="408"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 xml:space="preserve">   39.合同授予标准</w:t>
      </w:r>
    </w:p>
    <w:p>
      <w:pPr>
        <w:pStyle w:val="31"/>
        <w:spacing w:line="408"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合同将授予被确定投标文件满足招标文件全部实质性要求，具备履行合同能力，评审得分最高，综合评分排名第一的供应商。</w:t>
      </w:r>
    </w:p>
    <w:p>
      <w:pPr>
        <w:pStyle w:val="31"/>
        <w:spacing w:line="408" w:lineRule="auto"/>
        <w:rPr>
          <w:rFonts w:hint="eastAsia" w:ascii="宋体" w:hAnsi="宋体" w:eastAsia="宋体" w:cs="宋体"/>
          <w:color w:val="auto"/>
          <w:sz w:val="21"/>
          <w:highlight w:val="none"/>
        </w:rPr>
      </w:pPr>
      <w:r>
        <w:rPr>
          <w:rFonts w:hint="eastAsia" w:ascii="宋体" w:hAnsi="宋体" w:eastAsia="宋体" w:cs="宋体"/>
          <w:b/>
          <w:color w:val="auto"/>
          <w:sz w:val="21"/>
          <w:highlight w:val="none"/>
        </w:rPr>
        <w:t xml:space="preserve">    40.签订合同</w:t>
      </w:r>
    </w:p>
    <w:p>
      <w:pPr>
        <w:pStyle w:val="31"/>
        <w:spacing w:line="408"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40.1投标人接到中标通知书后，应按中标通知书规定的时间、地点与采购人签订合同。中标人无正当理由不得放弃中标。</w:t>
      </w:r>
    </w:p>
    <w:p>
      <w:pPr>
        <w:pStyle w:val="31"/>
        <w:spacing w:line="408"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40.2如中标供应商不按中标通知书的规定签订合同，则按中标供应商违约处理，本代理机构将没收中标供应商投标的全部投标保证金。</w:t>
      </w:r>
    </w:p>
    <w:p>
      <w:pPr>
        <w:pStyle w:val="31"/>
        <w:spacing w:line="408" w:lineRule="auto"/>
        <w:ind w:firstLine="420" w:firstLineChars="200"/>
        <w:rPr>
          <w:rFonts w:hint="eastAsia" w:ascii="宋体" w:hAnsi="宋体" w:eastAsia="宋体" w:cs="宋体"/>
          <w:b/>
          <w:color w:val="auto"/>
          <w:sz w:val="21"/>
          <w:highlight w:val="none"/>
        </w:rPr>
      </w:pPr>
      <w:r>
        <w:rPr>
          <w:rFonts w:hint="eastAsia" w:ascii="宋体" w:hAnsi="宋体" w:eastAsia="宋体" w:cs="宋体"/>
          <w:color w:val="auto"/>
          <w:sz w:val="21"/>
          <w:highlight w:val="none"/>
        </w:rPr>
        <w:t>40.3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p>
      <w:pPr>
        <w:pStyle w:val="31"/>
        <w:adjustRightInd w:val="0"/>
        <w:snapToGrid w:val="0"/>
        <w:spacing w:line="408" w:lineRule="auto"/>
        <w:ind w:firstLine="413" w:firstLineChars="196"/>
        <w:outlineLvl w:val="1"/>
        <w:rPr>
          <w:rFonts w:hint="eastAsia" w:ascii="宋体" w:hAnsi="宋体" w:eastAsia="宋体" w:cs="宋体"/>
          <w:b/>
          <w:color w:val="auto"/>
          <w:kern w:val="2"/>
          <w:sz w:val="21"/>
          <w:highlight w:val="none"/>
        </w:rPr>
      </w:pPr>
      <w:bookmarkStart w:id="92" w:name="_Toc6631"/>
      <w:bookmarkStart w:id="93" w:name="_Toc6970"/>
      <w:r>
        <w:rPr>
          <w:rFonts w:hint="eastAsia" w:ascii="宋体" w:hAnsi="宋体" w:eastAsia="宋体" w:cs="宋体"/>
          <w:b/>
          <w:color w:val="auto"/>
          <w:kern w:val="2"/>
          <w:sz w:val="21"/>
          <w:highlight w:val="none"/>
        </w:rPr>
        <w:t>41.履约保证金</w:t>
      </w:r>
      <w:bookmarkEnd w:id="92"/>
      <w:r>
        <w:rPr>
          <w:rFonts w:hint="eastAsia" w:ascii="宋体" w:hAnsi="宋体" w:eastAsia="宋体" w:cs="宋体"/>
          <w:b/>
          <w:color w:val="auto"/>
          <w:kern w:val="2"/>
          <w:sz w:val="21"/>
          <w:highlight w:val="none"/>
        </w:rPr>
        <w:t>：</w:t>
      </w:r>
      <w:bookmarkEnd w:id="93"/>
      <w:r>
        <w:rPr>
          <w:rFonts w:hint="eastAsia" w:ascii="宋体" w:hAnsi="宋体" w:eastAsia="宋体" w:cs="宋体"/>
          <w:color w:val="auto"/>
          <w:sz w:val="21"/>
          <w:highlight w:val="none"/>
        </w:rPr>
        <w:t>详见《招标项目采购需求》第</w:t>
      </w:r>
      <w:r>
        <w:rPr>
          <w:rFonts w:hint="eastAsia" w:ascii="宋体" w:hAnsi="宋体" w:eastAsia="宋体" w:cs="宋体"/>
          <w:color w:val="auto"/>
          <w:sz w:val="21"/>
          <w:highlight w:val="none"/>
          <w:lang w:val="en-US" w:eastAsia="zh-CN"/>
        </w:rPr>
        <w:t>10.2.1条</w:t>
      </w:r>
      <w:r>
        <w:rPr>
          <w:rFonts w:hint="eastAsia" w:ascii="宋体" w:hAnsi="宋体" w:eastAsia="宋体" w:cs="宋体"/>
          <w:color w:val="auto"/>
          <w:sz w:val="21"/>
          <w:highlight w:val="none"/>
        </w:rPr>
        <w:t>。</w:t>
      </w:r>
    </w:p>
    <w:p>
      <w:pPr>
        <w:pStyle w:val="31"/>
        <w:adjustRightInd w:val="0"/>
        <w:snapToGrid w:val="0"/>
        <w:spacing w:line="408" w:lineRule="auto"/>
        <w:ind w:firstLine="422" w:firstLineChars="200"/>
        <w:outlineLvl w:val="1"/>
        <w:rPr>
          <w:rFonts w:hint="eastAsia" w:ascii="宋体" w:hAnsi="宋体" w:eastAsia="宋体" w:cs="宋体"/>
          <w:b/>
          <w:color w:val="auto"/>
          <w:sz w:val="21"/>
          <w:highlight w:val="none"/>
        </w:rPr>
      </w:pPr>
      <w:bookmarkStart w:id="94" w:name="_Toc2046"/>
      <w:bookmarkStart w:id="95" w:name="_Toc6449"/>
      <w:r>
        <w:rPr>
          <w:rFonts w:hint="eastAsia" w:ascii="宋体" w:hAnsi="宋体" w:eastAsia="宋体" w:cs="宋体"/>
          <w:b/>
          <w:color w:val="auto"/>
          <w:sz w:val="21"/>
          <w:highlight w:val="none"/>
        </w:rPr>
        <w:t>42.其他事项</w:t>
      </w:r>
      <w:bookmarkEnd w:id="94"/>
      <w:bookmarkEnd w:id="95"/>
    </w:p>
    <w:p>
      <w:pPr>
        <w:pStyle w:val="31"/>
        <w:spacing w:line="360" w:lineRule="auto"/>
        <w:ind w:firstLine="422" w:firstLineChars="200"/>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42.1</w:t>
      </w:r>
      <w:r>
        <w:rPr>
          <w:rFonts w:hint="eastAsia" w:ascii="宋体" w:hAnsi="宋体" w:eastAsia="宋体" w:cs="宋体"/>
          <w:color w:val="auto"/>
          <w:sz w:val="21"/>
          <w:highlight w:val="none"/>
        </w:rPr>
        <w:t>　本项目委托招标代理服务费</w:t>
      </w:r>
      <w:r>
        <w:rPr>
          <w:rFonts w:hint="eastAsia" w:hAnsi="宋体" w:cs="宋体"/>
          <w:color w:val="auto"/>
          <w:sz w:val="21"/>
          <w:highlight w:val="none"/>
          <w:lang w:eastAsia="zh-CN"/>
        </w:rPr>
        <w:t>可参照</w:t>
      </w:r>
      <w:r>
        <w:rPr>
          <w:rFonts w:hint="eastAsia" w:ascii="宋体" w:hAnsi="宋体" w:eastAsia="宋体" w:cs="宋体"/>
          <w:color w:val="auto"/>
          <w:sz w:val="21"/>
          <w:highlight w:val="none"/>
        </w:rPr>
        <w:t>计价格[2002]1980号文件及发改办价格[2003]857号文件规定服务类标准计取，由中标人在领取中标通知书前一次性向招标代理机构支付。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招标代理服务收费标准</w:t>
      </w:r>
    </w:p>
    <w:tbl>
      <w:tblPr>
        <w:tblStyle w:val="58"/>
        <w:tblW w:w="901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1908"/>
        <w:gridCol w:w="2040"/>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84" w:type="dxa"/>
          </w:tcPr>
          <w:p>
            <w:pPr>
              <w:pStyle w:val="31"/>
              <w:spacing w:line="340" w:lineRule="exact"/>
              <w:ind w:left="25"/>
              <w:rPr>
                <w:rFonts w:hint="eastAsia" w:ascii="宋体" w:hAnsi="宋体" w:eastAsia="宋体" w:cs="宋体"/>
                <w:color w:val="auto"/>
                <w:sz w:val="21"/>
                <w:highlight w:val="none"/>
              </w:rPr>
            </w:pPr>
            <w:ins w:id="0" w:author="小瓶盖" w:date="2020-10-16T08:36:00Z">
              <w:r>
                <w:rPr>
                  <w:rFonts w:hint="eastAsia" w:ascii="宋体" w:hAnsi="宋体" w:eastAsia="宋体" w:cs="宋体"/>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3" name="直线 7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9" o:spid="_x0000_s1026" o:spt="20" style="position:absolute;left:0pt;margin-left:23.35pt;margin-top:0.85pt;height:51.45pt;width:115.25pt;z-index:251663360;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IBUzTW&#10;AAAACAEAAA8AAAAAAAAAAQAgAAAAIgAAAGRycy9kb3ducmV2LnhtbFBLAQIUABQAAAAIAIdO4kAk&#10;846i6QEAAOMDAAAOAAAAAAAAAAEAIAAAACUBAABkcnMvZTJvRG9jLnhtbFBLBQYAAAAABgAGAFkB&#10;AACABQAAAAA=&#10;">
                        <v:fill on="f" focussize="0,0"/>
                        <v:stroke color="#000000" joinstyle="round"/>
                        <v:imagedata o:title=""/>
                        <o:lock v:ext="edit" aspectratio="f"/>
                      </v:line>
                    </w:pict>
                  </mc:Fallback>
                </mc:AlternateContent>
              </w:r>
            </w:ins>
            <w:r>
              <w:rPr>
                <w:rFonts w:hint="eastAsia" w:ascii="宋体" w:hAnsi="宋体" w:eastAsia="宋体" w:cs="宋体"/>
                <w:color w:val="auto"/>
                <w:sz w:val="21"/>
                <w:highlight w:val="none"/>
              </w:rPr>
              <w:t>费率         服务类型</w:t>
            </w:r>
          </w:p>
          <w:p>
            <w:pPr>
              <w:pStyle w:val="31"/>
              <w:spacing w:line="340" w:lineRule="exact"/>
              <w:ind w:left="25"/>
              <w:rPr>
                <w:rFonts w:hint="eastAsia" w:ascii="宋体" w:hAnsi="宋体" w:eastAsia="宋体" w:cs="宋体"/>
                <w:color w:val="auto"/>
                <w:sz w:val="21"/>
                <w:highlight w:val="none"/>
              </w:rPr>
            </w:pPr>
            <w:ins w:id="2" w:author="小瓶盖" w:date="2020-10-16T08:36:00Z">
              <w:r>
                <w:rPr>
                  <w:rFonts w:hint="eastAsia" w:ascii="宋体" w:hAnsi="宋体" w:eastAsia="宋体" w:cs="宋体"/>
                  <w:color w:val="auto"/>
                  <w:sz w:val="21"/>
                  <w:highlight w:val="none"/>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4" name="直线 8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80" o:spid="_x0000_s1026" o:spt="20" style="position:absolute;left:0pt;margin-left:-5.4pt;margin-top:3.1pt;height:31.2pt;width:144pt;z-index:25166540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Dq9E&#10;1gAAAAgBAAAPAAAAAAAAAAEAIAAAACIAAABkcnMvZG93bnJldi54bWxQSwECFAAUAAAACACHTuJA&#10;EN9t/uoBAADjAwAADgAAAAAAAAABACAAAAAlAQAAZHJzL2Uyb0RvYy54bWxQSwUGAAAAAAYABgBZ&#10;AQAAgQUAAAAA&#10;">
                        <v:fill on="f" focussize="0,0"/>
                        <v:stroke color="#000000" joinstyle="round"/>
                        <v:imagedata o:title=""/>
                        <o:lock v:ext="edit" aspectratio="f"/>
                      </v:line>
                    </w:pict>
                  </mc:Fallback>
                </mc:AlternateContent>
              </w:r>
            </w:ins>
          </w:p>
          <w:p>
            <w:pPr>
              <w:pStyle w:val="31"/>
              <w:spacing w:line="340" w:lineRule="exact"/>
              <w:ind w:left="25"/>
              <w:rPr>
                <w:rFonts w:hint="eastAsia" w:ascii="宋体" w:hAnsi="宋体" w:eastAsia="宋体" w:cs="宋体"/>
                <w:color w:val="auto"/>
                <w:sz w:val="21"/>
                <w:highlight w:val="none"/>
              </w:rPr>
            </w:pPr>
            <w:r>
              <w:rPr>
                <w:rFonts w:hint="eastAsia" w:ascii="宋体" w:hAnsi="宋体" w:eastAsia="宋体" w:cs="宋体"/>
                <w:color w:val="auto"/>
                <w:sz w:val="21"/>
                <w:highlight w:val="none"/>
              </w:rPr>
              <w:t>中标金额（万元）</w:t>
            </w:r>
          </w:p>
        </w:tc>
        <w:tc>
          <w:tcPr>
            <w:tcW w:w="1908" w:type="dxa"/>
            <w:vAlign w:val="center"/>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货物招标</w:t>
            </w:r>
          </w:p>
        </w:tc>
        <w:tc>
          <w:tcPr>
            <w:tcW w:w="2040" w:type="dxa"/>
            <w:vAlign w:val="center"/>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服务招标</w:t>
            </w:r>
          </w:p>
        </w:tc>
        <w:tc>
          <w:tcPr>
            <w:tcW w:w="2185" w:type="dxa"/>
            <w:vAlign w:val="center"/>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84" w:type="dxa"/>
            <w:vAlign w:val="center"/>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100以下</w:t>
            </w:r>
          </w:p>
        </w:tc>
        <w:tc>
          <w:tcPr>
            <w:tcW w:w="1908"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1.5%</w:t>
            </w:r>
          </w:p>
        </w:tc>
        <w:tc>
          <w:tcPr>
            <w:tcW w:w="2040"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1.5%</w:t>
            </w:r>
          </w:p>
        </w:tc>
        <w:tc>
          <w:tcPr>
            <w:tcW w:w="2185"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884" w:type="dxa"/>
            <w:vAlign w:val="center"/>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100-500</w:t>
            </w:r>
          </w:p>
        </w:tc>
        <w:tc>
          <w:tcPr>
            <w:tcW w:w="1908"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1.1%</w:t>
            </w:r>
          </w:p>
        </w:tc>
        <w:tc>
          <w:tcPr>
            <w:tcW w:w="2040"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0.8%</w:t>
            </w:r>
          </w:p>
        </w:tc>
        <w:tc>
          <w:tcPr>
            <w:tcW w:w="2185"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vAlign w:val="center"/>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500-1000</w:t>
            </w:r>
          </w:p>
        </w:tc>
        <w:tc>
          <w:tcPr>
            <w:tcW w:w="1908"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0.8%</w:t>
            </w:r>
          </w:p>
        </w:tc>
        <w:tc>
          <w:tcPr>
            <w:tcW w:w="2040"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0.45%</w:t>
            </w:r>
          </w:p>
        </w:tc>
        <w:tc>
          <w:tcPr>
            <w:tcW w:w="2185"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vAlign w:val="center"/>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1000-5000</w:t>
            </w:r>
          </w:p>
        </w:tc>
        <w:tc>
          <w:tcPr>
            <w:tcW w:w="1908"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0.5%</w:t>
            </w:r>
          </w:p>
        </w:tc>
        <w:tc>
          <w:tcPr>
            <w:tcW w:w="2040"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0.25%</w:t>
            </w:r>
          </w:p>
        </w:tc>
        <w:tc>
          <w:tcPr>
            <w:tcW w:w="2185"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vAlign w:val="center"/>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5000-10000</w:t>
            </w:r>
          </w:p>
        </w:tc>
        <w:tc>
          <w:tcPr>
            <w:tcW w:w="1908"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0.25%</w:t>
            </w:r>
          </w:p>
        </w:tc>
        <w:tc>
          <w:tcPr>
            <w:tcW w:w="2040"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0.1%</w:t>
            </w:r>
          </w:p>
        </w:tc>
        <w:tc>
          <w:tcPr>
            <w:tcW w:w="2185" w:type="dxa"/>
          </w:tcPr>
          <w:p>
            <w:pPr>
              <w:pStyle w:val="31"/>
              <w:spacing w:line="340" w:lineRule="exact"/>
              <w:ind w:left="2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0.2%</w:t>
            </w:r>
          </w:p>
        </w:tc>
      </w:tr>
    </w:tbl>
    <w:p>
      <w:pPr>
        <w:pStyle w:val="31"/>
        <w:adjustRightInd w:val="0"/>
        <w:snapToGrid w:val="0"/>
        <w:spacing w:before="120" w:after="120" w:line="408"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注：招标代理服务收费按差额定率累进法计算。</w:t>
      </w:r>
    </w:p>
    <w:p>
      <w:pPr>
        <w:pStyle w:val="31"/>
        <w:adjustRightInd w:val="0"/>
        <w:snapToGrid w:val="0"/>
        <w:spacing w:line="408" w:lineRule="auto"/>
        <w:ind w:left="421"/>
        <w:rPr>
          <w:rFonts w:hint="eastAsia" w:ascii="宋体" w:hAnsi="宋体" w:eastAsia="宋体" w:cs="宋体"/>
          <w:color w:val="auto"/>
          <w:kern w:val="2"/>
          <w:sz w:val="21"/>
          <w:highlight w:val="none"/>
        </w:rPr>
      </w:pPr>
      <w:r>
        <w:rPr>
          <w:rFonts w:hint="eastAsia" w:ascii="宋体" w:hAnsi="宋体" w:eastAsia="宋体" w:cs="宋体"/>
          <w:b/>
          <w:color w:val="auto"/>
          <w:sz w:val="21"/>
          <w:highlight w:val="none"/>
        </w:rPr>
        <w:t>42.2</w:t>
      </w:r>
      <w:r>
        <w:rPr>
          <w:rFonts w:hint="eastAsia" w:ascii="宋体" w:hAnsi="宋体" w:eastAsia="宋体" w:cs="宋体"/>
          <w:b/>
          <w:color w:val="auto"/>
          <w:kern w:val="2"/>
          <w:sz w:val="21"/>
          <w:highlight w:val="none"/>
        </w:rPr>
        <w:t>解释权：</w:t>
      </w:r>
      <w:r>
        <w:rPr>
          <w:rFonts w:hint="eastAsia" w:ascii="宋体" w:hAnsi="宋体" w:eastAsia="宋体" w:cs="宋体"/>
          <w:color w:val="auto"/>
          <w:kern w:val="2"/>
          <w:sz w:val="21"/>
          <w:highlight w:val="none"/>
        </w:rPr>
        <w:t>本招标文件解释权属招标人或招标代理机构。</w:t>
      </w:r>
      <w:bookmarkStart w:id="96" w:name="_Toc18582"/>
      <w:bookmarkStart w:id="97" w:name="_Toc531600010"/>
      <w:bookmarkStart w:id="98" w:name="_Toc5256"/>
      <w:bookmarkStart w:id="99" w:name="_Toc7959"/>
      <w:bookmarkStart w:id="100" w:name="_Toc5333"/>
      <w:bookmarkStart w:id="101" w:name="_Toc13094_WPSOffice_Level1"/>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24"/>
        <w:rPr>
          <w:rFonts w:hint="eastAsia" w:ascii="宋体" w:hAnsi="宋体" w:eastAsia="宋体" w:cs="宋体"/>
          <w:color w:val="auto"/>
          <w:kern w:val="2"/>
          <w:sz w:val="21"/>
          <w:highlight w:val="none"/>
        </w:rPr>
      </w:pPr>
    </w:p>
    <w:p>
      <w:pPr>
        <w:pStyle w:val="5"/>
        <w:numPr>
          <w:ilvl w:val="0"/>
          <w:numId w:val="3"/>
        </w:numPr>
        <w:spacing w:line="408"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招标项目采购需</w:t>
      </w:r>
      <w:bookmarkEnd w:id="96"/>
      <w:bookmarkEnd w:id="97"/>
      <w:bookmarkEnd w:id="98"/>
      <w:bookmarkEnd w:id="99"/>
      <w:bookmarkEnd w:id="100"/>
      <w:bookmarkEnd w:id="101"/>
      <w:bookmarkStart w:id="102" w:name="_Toc463706301"/>
      <w:r>
        <w:rPr>
          <w:rFonts w:hint="eastAsia" w:ascii="宋体" w:hAnsi="宋体" w:eastAsia="宋体" w:cs="宋体"/>
          <w:color w:val="auto"/>
          <w:sz w:val="36"/>
          <w:szCs w:val="36"/>
          <w:highlight w:val="none"/>
        </w:rPr>
        <w:t>求</w:t>
      </w:r>
    </w:p>
    <w:bookmarkEnd w:id="102"/>
    <w:p>
      <w:pPr>
        <w:keepNext w:val="0"/>
        <w:keepLines w:val="0"/>
        <w:pageBreakBefore w:val="0"/>
        <w:numPr>
          <w:ilvl w:val="0"/>
          <w:numId w:val="0"/>
        </w:numPr>
        <w:kinsoku/>
        <w:wordWrap/>
        <w:overflowPunct/>
        <w:topLinePunct w:val="0"/>
        <w:autoSpaceDE/>
        <w:autoSpaceDN w:val="0"/>
        <w:bidi w:val="0"/>
        <w:adjustRightInd/>
        <w:snapToGrid/>
        <w:spacing w:line="400" w:lineRule="exact"/>
        <w:textAlignment w:val="auto"/>
        <w:rPr>
          <w:rFonts w:hint="eastAsia" w:ascii="宋体" w:hAnsi="宋体" w:eastAsia="宋体" w:cs="宋体"/>
          <w:color w:val="auto"/>
          <w:sz w:val="21"/>
          <w:szCs w:val="21"/>
          <w:highlight w:val="none"/>
        </w:rPr>
      </w:pPr>
      <w:bookmarkStart w:id="103" w:name="_Toc17076"/>
      <w:bookmarkStart w:id="104" w:name="_Toc21837"/>
      <w:bookmarkStart w:id="105" w:name="_Toc13706"/>
      <w:bookmarkStart w:id="106" w:name="_Toc32157_WPSOffice_Level1"/>
      <w:bookmarkStart w:id="107" w:name="_Toc531600011"/>
      <w:bookmarkStart w:id="108" w:name="_Toc463706302"/>
      <w:bookmarkStart w:id="109" w:name="_Toc10580"/>
      <w:r>
        <w:rPr>
          <w:rFonts w:hint="eastAsia" w:ascii="宋体" w:hAnsi="宋体" w:eastAsia="宋体" w:cs="宋体"/>
          <w:b/>
          <w:bCs/>
          <w:color w:val="auto"/>
          <w:sz w:val="21"/>
          <w:szCs w:val="21"/>
          <w:highlight w:val="none"/>
          <w:lang w:eastAsia="zh-CN"/>
        </w:rPr>
        <w:t>　　一、</w:t>
      </w:r>
      <w:r>
        <w:rPr>
          <w:rFonts w:hint="eastAsia" w:ascii="宋体" w:hAnsi="宋体" w:eastAsia="宋体" w:cs="宋体"/>
          <w:b/>
          <w:bCs/>
          <w:color w:val="auto"/>
          <w:sz w:val="21"/>
          <w:szCs w:val="21"/>
          <w:highlight w:val="none"/>
        </w:rPr>
        <w:t>项目概况：</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kinsoku/>
        <w:wordWrap/>
        <w:overflowPunct/>
        <w:topLinePunct w:val="0"/>
        <w:autoSpaceDE/>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项目名称：忻城县生活垃圾清运及处理工作市场化运作项目　</w:t>
      </w:r>
    </w:p>
    <w:p>
      <w:pPr>
        <w:pStyle w:val="2"/>
        <w:keepNext w:val="0"/>
        <w:keepLines w:val="0"/>
        <w:pageBreakBefore w:val="0"/>
        <w:kinsoku/>
        <w:wordWrap/>
        <w:overflowPunct/>
        <w:topLinePunct w:val="0"/>
        <w:autoSpaceDE/>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服务地点：忻城县</w:t>
      </w:r>
    </w:p>
    <w:p>
      <w:pPr>
        <w:pStyle w:val="2"/>
        <w:keepNext w:val="0"/>
        <w:keepLines w:val="0"/>
        <w:pageBreakBefore w:val="0"/>
        <w:kinsoku/>
        <w:wordWrap/>
        <w:overflowPunct/>
        <w:topLinePunct w:val="0"/>
        <w:autoSpaceDE/>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服务范围及内容：</w:t>
      </w:r>
    </w:p>
    <w:p>
      <w:pPr>
        <w:pStyle w:val="115"/>
        <w:keepNext w:val="0"/>
        <w:keepLines w:val="0"/>
        <w:pageBreakBefore w:val="0"/>
        <w:tabs>
          <w:tab w:val="left" w:pos="879"/>
        </w:tabs>
        <w:kinsoku/>
        <w:wordWrap/>
        <w:overflowPunct/>
        <w:topLinePunct w:val="0"/>
        <w:autoSpaceDE/>
        <w:bidi w:val="0"/>
        <w:adjustRightInd/>
        <w:snapToGrid/>
        <w:spacing w:line="400" w:lineRule="exact"/>
        <w:ind w:left="0" w:firstLine="420" w:firstLineChars="200"/>
        <w:jc w:val="left"/>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1、</w:t>
      </w:r>
      <w:r>
        <w:rPr>
          <w:rFonts w:hint="eastAsia" w:ascii="宋体" w:hAnsi="宋体" w:eastAsia="宋体" w:cs="宋体"/>
          <w:bCs/>
          <w:color w:val="auto"/>
          <w:sz w:val="21"/>
          <w:szCs w:val="21"/>
          <w:highlight w:val="none"/>
        </w:rPr>
        <w:t>城乡生活垃圾卫生填埋处理：针对忻城</w:t>
      </w:r>
      <w:r>
        <w:rPr>
          <w:rFonts w:hint="eastAsia" w:ascii="宋体" w:hAnsi="宋体" w:eastAsia="宋体" w:cs="宋体"/>
          <w:bCs/>
          <w:color w:val="auto"/>
          <w:sz w:val="21"/>
          <w:szCs w:val="21"/>
          <w:highlight w:val="none"/>
          <w:lang w:val="en-US"/>
        </w:rPr>
        <w:t>县</w:t>
      </w:r>
      <w:r>
        <w:rPr>
          <w:rFonts w:hint="eastAsia" w:ascii="宋体" w:hAnsi="宋体" w:eastAsia="宋体" w:cs="宋体"/>
          <w:bCs/>
          <w:color w:val="auto"/>
          <w:sz w:val="21"/>
          <w:szCs w:val="21"/>
          <w:highlight w:val="none"/>
        </w:rPr>
        <w:t>城</w:t>
      </w:r>
      <w:r>
        <w:rPr>
          <w:rFonts w:hint="eastAsia" w:ascii="宋体" w:hAnsi="宋体" w:eastAsia="宋体" w:cs="宋体"/>
          <w:bCs/>
          <w:color w:val="auto"/>
          <w:sz w:val="21"/>
          <w:szCs w:val="21"/>
          <w:highlight w:val="none"/>
          <w:lang w:val="en-US"/>
        </w:rPr>
        <w:t>区</w:t>
      </w:r>
      <w:r>
        <w:rPr>
          <w:rFonts w:hint="eastAsia" w:ascii="宋体" w:hAnsi="宋体" w:eastAsia="宋体" w:cs="宋体"/>
          <w:bCs/>
          <w:color w:val="auto"/>
          <w:sz w:val="21"/>
          <w:szCs w:val="21"/>
          <w:highlight w:val="none"/>
        </w:rPr>
        <w:t>、乡</w:t>
      </w:r>
      <w:r>
        <w:rPr>
          <w:rFonts w:hint="eastAsia" w:ascii="宋体" w:hAnsi="宋体" w:eastAsia="宋体" w:cs="宋体"/>
          <w:bCs/>
          <w:color w:val="auto"/>
          <w:sz w:val="21"/>
          <w:szCs w:val="21"/>
          <w:highlight w:val="none"/>
          <w:lang w:val="en-US"/>
        </w:rPr>
        <w:t>镇</w:t>
      </w:r>
      <w:r>
        <w:rPr>
          <w:rFonts w:hint="eastAsia" w:ascii="宋体" w:hAnsi="宋体" w:eastAsia="宋体" w:cs="宋体"/>
          <w:bCs/>
          <w:color w:val="auto"/>
          <w:sz w:val="21"/>
          <w:szCs w:val="21"/>
          <w:highlight w:val="none"/>
        </w:rPr>
        <w:t>的生活垃圾</w:t>
      </w:r>
      <w:r>
        <w:rPr>
          <w:rFonts w:hint="eastAsia" w:ascii="宋体" w:hAnsi="宋体" w:eastAsia="宋体" w:cs="宋体"/>
          <w:bCs/>
          <w:color w:val="auto"/>
          <w:sz w:val="21"/>
          <w:szCs w:val="21"/>
          <w:highlight w:val="none"/>
          <w:lang w:val="en-US"/>
        </w:rPr>
        <w:t>在现有的垃圾填埋场</w:t>
      </w:r>
      <w:r>
        <w:rPr>
          <w:rFonts w:hint="eastAsia" w:ascii="宋体" w:hAnsi="宋体" w:eastAsia="宋体" w:cs="宋体"/>
          <w:bCs/>
          <w:color w:val="auto"/>
          <w:sz w:val="21"/>
          <w:szCs w:val="21"/>
          <w:highlight w:val="none"/>
        </w:rPr>
        <w:t>进行</w:t>
      </w:r>
      <w:r>
        <w:rPr>
          <w:rFonts w:hint="eastAsia" w:ascii="宋体" w:hAnsi="宋体" w:eastAsia="宋体" w:cs="宋体"/>
          <w:bCs/>
          <w:color w:val="auto"/>
          <w:sz w:val="21"/>
          <w:szCs w:val="21"/>
          <w:highlight w:val="none"/>
          <w:lang w:val="en-US"/>
        </w:rPr>
        <w:t>卫生填埋服务</w:t>
      </w:r>
      <w:r>
        <w:rPr>
          <w:rFonts w:hint="eastAsia" w:ascii="宋体" w:hAnsi="宋体" w:eastAsia="宋体" w:cs="宋体"/>
          <w:bCs/>
          <w:color w:val="auto"/>
          <w:sz w:val="21"/>
          <w:szCs w:val="21"/>
          <w:highlight w:val="none"/>
        </w:rPr>
        <w:t>（不包括场地防渗透工程或设施维护、填埋场渗透液处理）</w:t>
      </w:r>
      <w:r>
        <w:rPr>
          <w:rFonts w:hint="eastAsia" w:ascii="宋体" w:hAnsi="宋体" w:eastAsia="宋体" w:cs="宋体"/>
          <w:bCs/>
          <w:color w:val="auto"/>
          <w:sz w:val="21"/>
          <w:szCs w:val="21"/>
          <w:highlight w:val="none"/>
          <w:lang w:val="en-US"/>
        </w:rPr>
        <w:t>。承包过程中由于国家出台或更新政策，必须变更卫生填埋为其他（焚烧、热解气化等）垃圾处理工艺的，本服务小项招标人和中标人双方协商再定，乙方有投资、承包运行的优先权。</w:t>
      </w:r>
    </w:p>
    <w:p>
      <w:pPr>
        <w:pStyle w:val="115"/>
        <w:keepNext w:val="0"/>
        <w:keepLines w:val="0"/>
        <w:pageBreakBefore w:val="0"/>
        <w:tabs>
          <w:tab w:val="left" w:pos="879"/>
        </w:tabs>
        <w:kinsoku/>
        <w:wordWrap/>
        <w:overflowPunct/>
        <w:topLinePunct w:val="0"/>
        <w:autoSpaceDE/>
        <w:bidi w:val="0"/>
        <w:adjustRightInd/>
        <w:snapToGrid/>
        <w:spacing w:line="400" w:lineRule="exact"/>
        <w:ind w:left="0" w:firstLine="420" w:firstLineChars="200"/>
        <w:jc w:val="left"/>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2、</w:t>
      </w:r>
      <w:r>
        <w:rPr>
          <w:rFonts w:hint="eastAsia" w:ascii="宋体" w:hAnsi="宋体" w:eastAsia="宋体" w:cs="宋体"/>
          <w:bCs/>
          <w:color w:val="auto"/>
          <w:sz w:val="21"/>
          <w:szCs w:val="21"/>
          <w:highlight w:val="none"/>
        </w:rPr>
        <w:t>乡镇垃圾清运范围：县政府管辖的马泗、欧洞、大塘、思练、安东、果遂、新圩7 个乡镇的主干道的垃圾清运至县垃圾填埋场以及欧洞、大塘、果遂、新圩</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个中转站运行管理。</w:t>
      </w:r>
    </w:p>
    <w:p>
      <w:pPr>
        <w:pStyle w:val="24"/>
        <w:keepNext w:val="0"/>
        <w:keepLines w:val="0"/>
        <w:pageBreakBefore w:val="0"/>
        <w:numPr>
          <w:ilvl w:val="0"/>
          <w:numId w:val="0"/>
        </w:numPr>
        <w:kinsoku/>
        <w:wordWrap/>
        <w:overflowPunct/>
        <w:topLinePunct w:val="0"/>
        <w:autoSpaceDE/>
        <w:bidi w:val="0"/>
        <w:adjustRightInd/>
        <w:snapToGrid/>
        <w:spacing w:line="400" w:lineRule="exact"/>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3、</w:t>
      </w:r>
      <w:r>
        <w:rPr>
          <w:rFonts w:hint="eastAsia" w:ascii="宋体" w:hAnsi="宋体" w:cs="宋体"/>
          <w:b w:val="0"/>
          <w:bCs w:val="0"/>
          <w:color w:val="auto"/>
          <w:sz w:val="21"/>
          <w:szCs w:val="21"/>
          <w:highlight w:val="none"/>
          <w:lang w:eastAsia="zh-CN"/>
        </w:rPr>
        <w:t>乡镇生活垃圾焚烧站运营管理：</w:t>
      </w:r>
      <w:r>
        <w:rPr>
          <w:rFonts w:hint="eastAsia" w:ascii="宋体" w:hAnsi="宋体" w:cs="宋体"/>
          <w:b w:val="0"/>
          <w:bCs w:val="0"/>
          <w:color w:val="auto"/>
          <w:sz w:val="21"/>
          <w:szCs w:val="21"/>
          <w:highlight w:val="none"/>
          <w:lang w:val="en-US" w:eastAsia="zh-CN"/>
        </w:rPr>
        <w:t>接管现运行的乡镇生活垃圾焚烧站（欧洞、安东）的运营管理。</w:t>
      </w:r>
    </w:p>
    <w:p>
      <w:pPr>
        <w:pStyle w:val="24"/>
        <w:keepNext w:val="0"/>
        <w:keepLines w:val="0"/>
        <w:pageBreakBefore w:val="0"/>
        <w:numPr>
          <w:ilvl w:val="0"/>
          <w:numId w:val="0"/>
        </w:numPr>
        <w:kinsoku/>
        <w:wordWrap/>
        <w:overflowPunct/>
        <w:topLinePunct w:val="0"/>
        <w:autoSpaceDE/>
        <w:bidi w:val="0"/>
        <w:adjustRightInd/>
        <w:snapToGrid/>
        <w:spacing w:line="400" w:lineRule="exact"/>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4、</w:t>
      </w:r>
      <w:r>
        <w:rPr>
          <w:rFonts w:hint="eastAsia" w:ascii="宋体" w:hAnsi="宋体" w:cs="宋体"/>
          <w:b w:val="0"/>
          <w:bCs w:val="0"/>
          <w:color w:val="auto"/>
          <w:sz w:val="21"/>
          <w:szCs w:val="21"/>
          <w:highlight w:val="none"/>
          <w:lang w:eastAsia="zh-CN"/>
        </w:rPr>
        <w:t>其他：实际工作需要调整的范围。</w:t>
      </w:r>
    </w:p>
    <w:p>
      <w:pPr>
        <w:pStyle w:val="24"/>
        <w:keepNext w:val="0"/>
        <w:keepLines w:val="0"/>
        <w:pageBreakBefore w:val="0"/>
        <w:numPr>
          <w:ilvl w:val="0"/>
          <w:numId w:val="0"/>
        </w:numPr>
        <w:kinsoku/>
        <w:wordWrap/>
        <w:overflowPunct/>
        <w:topLinePunct w:val="0"/>
        <w:autoSpaceDE/>
        <w:bidi w:val="0"/>
        <w:adjustRightInd/>
        <w:snapToGrid/>
        <w:spacing w:line="400" w:lineRule="exact"/>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　　服务期限：自合同签订之日起三年。</w:t>
      </w:r>
    </w:p>
    <w:p>
      <w:pPr>
        <w:pStyle w:val="2"/>
        <w:keepNext w:val="0"/>
        <w:keepLines w:val="0"/>
        <w:pageBreakBefore w:val="0"/>
        <w:kinsoku/>
        <w:wordWrap/>
        <w:overflowPunct/>
        <w:topLinePunct w:val="0"/>
        <w:autoSpaceDE/>
        <w:bidi w:val="0"/>
        <w:adjustRightInd/>
        <w:snapToGrid/>
        <w:spacing w:line="40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　　二、</w:t>
      </w:r>
      <w:r>
        <w:rPr>
          <w:rFonts w:hint="eastAsia" w:ascii="宋体" w:hAnsi="宋体" w:eastAsia="宋体" w:cs="宋体"/>
          <w:b/>
          <w:bCs/>
          <w:color w:val="auto"/>
          <w:sz w:val="21"/>
          <w:szCs w:val="21"/>
          <w:highlight w:val="none"/>
        </w:rPr>
        <w:t>服务质量标准</w:t>
      </w:r>
    </w:p>
    <w:p>
      <w:pPr>
        <w:keepNext w:val="0"/>
        <w:keepLines w:val="0"/>
        <w:pageBreakBefore w:val="0"/>
        <w:kinsoku/>
        <w:wordWrap/>
        <w:overflowPunct/>
        <w:topLinePunct w:val="0"/>
        <w:autoSpaceDE/>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1、城乡生活垃圾卫生填埋处理标准：</w:t>
      </w:r>
    </w:p>
    <w:p>
      <w:pPr>
        <w:pStyle w:val="2"/>
        <w:keepNext w:val="0"/>
        <w:keepLines w:val="0"/>
        <w:pageBreakBefore w:val="0"/>
        <w:kinsoku/>
        <w:wordWrap/>
        <w:overflowPunct/>
        <w:topLinePunct w:val="0"/>
        <w:autoSpaceDE/>
        <w:bidi w:val="0"/>
        <w:adjustRightInd/>
        <w:snapToGrid/>
        <w:spacing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（1）符合《城市生活垃圾</w:t>
      </w:r>
      <w:r>
        <w:rPr>
          <w:rFonts w:hint="eastAsia" w:ascii="宋体" w:hAnsi="宋体" w:eastAsia="宋体" w:cs="宋体"/>
          <w:color w:val="auto"/>
          <w:sz w:val="21"/>
          <w:szCs w:val="21"/>
          <w:highlight w:val="none"/>
          <w:lang w:eastAsia="zh-CN"/>
        </w:rPr>
        <w:t>卫</w:t>
      </w:r>
      <w:r>
        <w:rPr>
          <w:rFonts w:hint="eastAsia" w:ascii="宋体" w:hAnsi="宋体" w:eastAsia="宋体" w:cs="宋体"/>
          <w:color w:val="auto"/>
          <w:sz w:val="21"/>
          <w:szCs w:val="21"/>
          <w:highlight w:val="none"/>
        </w:rPr>
        <w:t>生填埋场运行维护技术规程》（CJJ93-2003）</w:t>
      </w:r>
    </w:p>
    <w:p>
      <w:pPr>
        <w:pStyle w:val="2"/>
        <w:keepNext w:val="0"/>
        <w:keepLines w:val="0"/>
        <w:pageBreakBefore w:val="0"/>
        <w:kinsoku/>
        <w:wordWrap/>
        <w:overflowPunct/>
        <w:topLinePunct w:val="0"/>
        <w:autoSpaceDE/>
        <w:bidi w:val="0"/>
        <w:adjustRightInd/>
        <w:snapToGrid/>
        <w:spacing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（2）符合《生活垃圾卫生填埋场技术规范》（CJJ17-2004）</w:t>
      </w:r>
    </w:p>
    <w:p>
      <w:pPr>
        <w:pStyle w:val="2"/>
        <w:keepNext w:val="0"/>
        <w:keepLines w:val="0"/>
        <w:pageBreakBefore w:val="0"/>
        <w:kinsoku/>
        <w:wordWrap/>
        <w:overflowPunct/>
        <w:topLinePunct w:val="0"/>
        <w:autoSpaceDE/>
        <w:bidi w:val="0"/>
        <w:adjustRightInd/>
        <w:snapToGrid/>
        <w:spacing w:line="400" w:lineRule="exact"/>
        <w:ind w:left="0" w:leftChars="0" w:firstLine="48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（3）符合《生活垃圾填埋场无害化评价标准》（CJJ/T107-2005）</w:t>
      </w:r>
    </w:p>
    <w:p>
      <w:pPr>
        <w:pStyle w:val="2"/>
        <w:keepNext w:val="0"/>
        <w:keepLines w:val="0"/>
        <w:pageBreakBefore w:val="0"/>
        <w:kinsoku/>
        <w:wordWrap/>
        <w:overflowPunct/>
        <w:topLinePunct w:val="0"/>
        <w:autoSpaceDE/>
        <w:bidi w:val="0"/>
        <w:adjustRightInd/>
        <w:snapToGrid/>
        <w:spacing w:line="400" w:lineRule="exact"/>
        <w:ind w:left="0" w:leftChars="0" w:firstLine="48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（4）符合《生活垃圾填埋污染控制标准》（GB16889-2008）</w:t>
      </w:r>
    </w:p>
    <w:p>
      <w:pPr>
        <w:pStyle w:val="24"/>
        <w:keepNext w:val="0"/>
        <w:keepLines w:val="0"/>
        <w:pageBreakBefore w:val="0"/>
        <w:kinsoku/>
        <w:wordWrap/>
        <w:overflowPunct/>
        <w:topLinePunct w:val="0"/>
        <w:autoSpaceDE/>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2、乡镇清运标准：</w:t>
      </w:r>
    </w:p>
    <w:p>
      <w:pPr>
        <w:keepNext w:val="0"/>
        <w:keepLines w:val="0"/>
        <w:pageBreakBefore w:val="0"/>
        <w:widowControl/>
        <w:kinsoku/>
        <w:wordWrap/>
        <w:overflowPunct/>
        <w:topLinePunct w:val="0"/>
        <w:autoSpaceDE/>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（1）垃圾清运实行定点、定时运输运至镇垃圾中转站或忻城县垃圾填埋场。 </w:t>
      </w:r>
    </w:p>
    <w:p>
      <w:pPr>
        <w:keepNext w:val="0"/>
        <w:keepLines w:val="0"/>
        <w:pageBreakBefore w:val="0"/>
        <w:widowControl/>
        <w:kinsoku/>
        <w:wordWrap/>
        <w:overflowPunct/>
        <w:topLinePunct w:val="0"/>
        <w:autoSpaceDE/>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（2）垃圾清运做到随满随清、车走地净。垃圾清运车辆实施密闭运输，做到无</w:t>
      </w:r>
      <w:r>
        <w:rPr>
          <w:rFonts w:hint="eastAsia" w:ascii="宋体" w:hAnsi="宋体" w:eastAsia="宋体" w:cs="宋体"/>
          <w:color w:val="auto"/>
          <w:kern w:val="0"/>
          <w:sz w:val="21"/>
          <w:szCs w:val="21"/>
          <w:highlight w:val="none"/>
          <w:lang w:eastAsia="zh-CN" w:bidi="ar"/>
        </w:rPr>
        <w:t>：漏、</w:t>
      </w:r>
      <w:r>
        <w:rPr>
          <w:rFonts w:hint="eastAsia" w:ascii="宋体" w:hAnsi="宋体" w:eastAsia="宋体" w:cs="宋体"/>
          <w:color w:val="auto"/>
          <w:kern w:val="0"/>
          <w:sz w:val="21"/>
          <w:szCs w:val="21"/>
          <w:highlight w:val="none"/>
          <w:lang w:bidi="ar"/>
        </w:rPr>
        <w:t xml:space="preserve">洒、抛等二次污染。清运车辆做到车容整洁、无污物。 </w:t>
      </w:r>
    </w:p>
    <w:p>
      <w:pPr>
        <w:keepNext w:val="0"/>
        <w:keepLines w:val="0"/>
        <w:pageBreakBefore w:val="0"/>
        <w:widowControl/>
        <w:kinsoku/>
        <w:wordWrap/>
        <w:overflowPunct/>
        <w:topLinePunct w:val="0"/>
        <w:autoSpaceDE/>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（3）清运车辆要定期维修保养，不带病行驶和作业，工作状态良好；</w:t>
      </w:r>
      <w:r>
        <w:rPr>
          <w:rFonts w:hint="eastAsia" w:ascii="宋体" w:hAnsi="宋体" w:eastAsia="宋体" w:cs="宋体"/>
          <w:color w:val="auto"/>
          <w:sz w:val="21"/>
          <w:szCs w:val="21"/>
          <w:highlight w:val="none"/>
        </w:rPr>
        <w:t>对用于储存垃圾的设备每周进行一次清洗，确保设施干净无垃圾外溢，每周对设施设备进行消</w:t>
      </w:r>
      <w:r>
        <w:rPr>
          <w:rFonts w:hint="eastAsia" w:ascii="宋体" w:hAnsi="宋体" w:eastAsia="宋体" w:cs="宋体"/>
          <w:color w:val="auto"/>
          <w:sz w:val="21"/>
          <w:szCs w:val="21"/>
          <w:highlight w:val="none"/>
          <w:lang w:eastAsia="zh-CN"/>
        </w:rPr>
        <w:t>毒</w:t>
      </w:r>
      <w:r>
        <w:rPr>
          <w:rFonts w:hint="eastAsia" w:ascii="宋体" w:hAnsi="宋体" w:eastAsia="宋体" w:cs="宋体"/>
          <w:color w:val="auto"/>
          <w:sz w:val="21"/>
          <w:szCs w:val="21"/>
          <w:highlight w:val="none"/>
        </w:rPr>
        <w:t>。</w:t>
      </w:r>
    </w:p>
    <w:p>
      <w:pPr>
        <w:pStyle w:val="2"/>
        <w:keepNext w:val="0"/>
        <w:keepLines w:val="0"/>
        <w:pageBreakBefore w:val="0"/>
        <w:kinsoku/>
        <w:wordWrap/>
        <w:overflowPunct/>
        <w:topLinePunct w:val="0"/>
        <w:autoSpaceDE/>
        <w:bidi w:val="0"/>
        <w:adjustRightInd/>
        <w:snapToGrid/>
        <w:spacing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（4）对于设施设备要做到及时维修。</w:t>
      </w:r>
    </w:p>
    <w:p>
      <w:pPr>
        <w:keepNext w:val="0"/>
        <w:keepLines w:val="0"/>
        <w:pageBreakBefore w:val="0"/>
        <w:widowControl/>
        <w:kinsoku/>
        <w:wordWrap/>
        <w:overflowPunct/>
        <w:topLinePunct w:val="0"/>
        <w:autoSpaceDE/>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（5）运行管理中</w:t>
      </w:r>
      <w:r>
        <w:rPr>
          <w:rFonts w:hint="eastAsia" w:ascii="宋体" w:hAnsi="宋体" w:eastAsia="宋体" w:cs="宋体"/>
          <w:color w:val="auto"/>
          <w:kern w:val="0"/>
          <w:sz w:val="21"/>
          <w:szCs w:val="21"/>
          <w:highlight w:val="none"/>
          <w:lang w:eastAsia="zh-CN" w:bidi="ar"/>
        </w:rPr>
        <w:t>健全</w:t>
      </w:r>
      <w:r>
        <w:rPr>
          <w:rFonts w:hint="eastAsia" w:ascii="宋体" w:hAnsi="宋体" w:eastAsia="宋体" w:cs="宋体"/>
          <w:color w:val="auto"/>
          <w:kern w:val="0"/>
          <w:sz w:val="21"/>
          <w:szCs w:val="21"/>
          <w:highlight w:val="none"/>
          <w:lang w:bidi="ar"/>
        </w:rPr>
        <w:t>日常巡查和应急处理机制。</w:t>
      </w:r>
    </w:p>
    <w:p>
      <w:pPr>
        <w:pStyle w:val="24"/>
        <w:keepNext w:val="0"/>
        <w:keepLines w:val="0"/>
        <w:pageBreakBefore w:val="0"/>
        <w:kinsoku/>
        <w:wordWrap/>
        <w:overflowPunct/>
        <w:topLinePunct w:val="0"/>
        <w:autoSpaceDE/>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3、垃圾中转站及乡镇生活垃圾焚烧站管理标准:</w:t>
      </w:r>
    </w:p>
    <w:p>
      <w:pPr>
        <w:keepNext w:val="0"/>
        <w:keepLines w:val="0"/>
        <w:pageBreakBefore w:val="0"/>
        <w:kinsoku/>
        <w:wordWrap/>
        <w:overflowPunct/>
        <w:topLinePunct w:val="0"/>
        <w:autoSpaceDE/>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（1）运营商对所承包范围内的生产、设备、安全等工作全面负责，规范操作，场区内应保持清洁卫生、无散落垃圾和污水横流。</w:t>
      </w:r>
    </w:p>
    <w:p>
      <w:pPr>
        <w:keepNext w:val="0"/>
        <w:keepLines w:val="0"/>
        <w:pageBreakBefore w:val="0"/>
        <w:kinsoku/>
        <w:wordWrap/>
        <w:overflowPunct/>
        <w:topLinePunct w:val="0"/>
        <w:autoSpaceDE/>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（2）准时开门，各岗位人员及时到位，中转站实行封闭式管理。</w:t>
      </w:r>
    </w:p>
    <w:p>
      <w:pPr>
        <w:keepNext w:val="0"/>
        <w:keepLines w:val="0"/>
        <w:pageBreakBefore w:val="0"/>
        <w:kinsoku/>
        <w:wordWrap/>
        <w:overflowPunct/>
        <w:topLinePunct w:val="0"/>
        <w:autoSpaceDE/>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（3）生活垃圾处理及车辆进、出台帐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记录要清晰及时、准确、齐全。</w:t>
      </w:r>
    </w:p>
    <w:p>
      <w:pPr>
        <w:keepNext w:val="0"/>
        <w:keepLines w:val="0"/>
        <w:pageBreakBefore w:val="0"/>
        <w:kinsoku/>
        <w:wordWrap/>
        <w:overflowPunct/>
        <w:topLinePunct w:val="0"/>
        <w:autoSpaceDE/>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（4）7个乡镇生活垃圾收集运输作业完成率100%。</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highlight w:val="none"/>
          <w:lang w:eastAsia="zh-CN"/>
        </w:rPr>
        <w:t>三、项目外包服务质量考评办法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进一步规范作业标准，不断提高环卫作业质量，建立科学、统一、规范的考核制度，依据住建部的《城镇环境卫生质量标准》、《城镇环境卫生设施设置标准》、《生活垃圾填埋污染控制标准》（GB16889-2008）《国家卫生城镇标准》 (2014版)、《广西壮族自治区实施&lt;城市市容和环境卫生管理条例&gt;办法》等要求及规定并结合实际情况，规范对忻城县环卫作业运营服务过程的质量监管，落实忻城县城区及乡镇垃圾清运环境卫生作业的全覆盖，建立精细化和长效管理机制，全面提升环境卫生质量，以及《忻城县环境卫生作业规范及质量标准》的规定，制定本考评办法。</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、管理规定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承包方必须遵守《劳动合同法》，与环卫作业人员签订合法的劳动合同，按规定购买社会保险。按时发放环卫作业人员工资，不能低于来宾市最低工资标准。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承包方垃圾清运、转运等车辆保持外观整洁无破损。劳动工具要妥善保管，合理使用，不准乱停乱放。停放车辆的地点保持干净、整洁。承包方使用或租</w:t>
      </w:r>
      <w:r>
        <w:rPr>
          <w:rFonts w:hint="eastAsia" w:ascii="宋体" w:hAnsi="宋体" w:eastAsia="宋体" w:cs="宋体"/>
          <w:color w:val="auto"/>
          <w:sz w:val="21"/>
          <w:szCs w:val="21"/>
          <w:highlight w:val="none"/>
          <w:lang w:eastAsia="zh-CN"/>
        </w:rPr>
        <w:t>用</w:t>
      </w:r>
      <w:r>
        <w:rPr>
          <w:rFonts w:hint="eastAsia" w:ascii="宋体" w:hAnsi="宋体" w:eastAsia="宋体" w:cs="宋体"/>
          <w:color w:val="auto"/>
          <w:sz w:val="21"/>
          <w:szCs w:val="21"/>
          <w:highlight w:val="none"/>
        </w:rPr>
        <w:t>接管招标方车辆的，车辆只限用于承包板块运营使用，车辆丢失由承包方赔偿。</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严格按照本办法制定的项目服务质量标准进行各板块作业，检查考核发现作业质量不达标的，则依照考核办法有关规定进行处罚。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4承包期间承包方不得将承包权转让他人，一经发现即终止承包合同，并追究违约责任。承包方中途终止合同的，不予退回承包履约保证金。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环卫作业人员必须严格遵守安全生产制度，加强自我保护意识，作业时必须穿戴工作服，按规定设置交通安全标志，防止发生意外事故；如发生意外事故造成损失的，由承包方承担。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.6遇到各类大型活动和检查时，承包方按照发包方的要求，自行调整人员加强相关区域运行能力，发包方不再增补经费。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遇自然灾害、突发性事件等特殊情况，承包方必须无条件服从发包方的协调。</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、考评内容</w:t>
      </w:r>
    </w:p>
    <w:p>
      <w:pPr>
        <w:pStyle w:val="115"/>
        <w:keepNext w:val="0"/>
        <w:keepLines w:val="0"/>
        <w:pageBreakBefore w:val="0"/>
        <w:tabs>
          <w:tab w:val="left" w:pos="879"/>
        </w:tabs>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eastAsia="zh-CN"/>
        </w:rPr>
        <w:t>主要包括</w:t>
      </w:r>
      <w:r>
        <w:rPr>
          <w:rFonts w:hint="eastAsia" w:ascii="宋体" w:hAnsi="宋体" w:eastAsia="宋体" w:cs="宋体"/>
          <w:b w:val="0"/>
          <w:bCs w:val="0"/>
          <w:color w:val="auto"/>
          <w:kern w:val="0"/>
          <w:sz w:val="21"/>
          <w:szCs w:val="21"/>
          <w:highlight w:val="none"/>
        </w:rPr>
        <w:t>：</w:t>
      </w:r>
    </w:p>
    <w:p>
      <w:pPr>
        <w:pStyle w:val="115"/>
        <w:keepNext w:val="0"/>
        <w:keepLines w:val="0"/>
        <w:pageBreakBefore w:val="0"/>
        <w:tabs>
          <w:tab w:val="left" w:pos="879"/>
        </w:tabs>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rPr>
        <w:t>城乡生活垃圾卫生填埋处理：针对忻城</w:t>
      </w:r>
      <w:r>
        <w:rPr>
          <w:rFonts w:hint="eastAsia" w:ascii="宋体" w:hAnsi="宋体" w:eastAsia="宋体" w:cs="宋体"/>
          <w:bCs/>
          <w:color w:val="auto"/>
          <w:sz w:val="21"/>
          <w:szCs w:val="21"/>
          <w:highlight w:val="none"/>
          <w:lang w:val="en-US"/>
        </w:rPr>
        <w:t>县</w:t>
      </w:r>
      <w:r>
        <w:rPr>
          <w:rFonts w:hint="eastAsia" w:ascii="宋体" w:hAnsi="宋体" w:eastAsia="宋体" w:cs="宋体"/>
          <w:bCs/>
          <w:color w:val="auto"/>
          <w:sz w:val="21"/>
          <w:szCs w:val="21"/>
          <w:highlight w:val="none"/>
        </w:rPr>
        <w:t>城</w:t>
      </w:r>
      <w:r>
        <w:rPr>
          <w:rFonts w:hint="eastAsia" w:ascii="宋体" w:hAnsi="宋体" w:eastAsia="宋体" w:cs="宋体"/>
          <w:bCs/>
          <w:color w:val="auto"/>
          <w:sz w:val="21"/>
          <w:szCs w:val="21"/>
          <w:highlight w:val="none"/>
          <w:lang w:val="en-US"/>
        </w:rPr>
        <w:t>区</w:t>
      </w:r>
      <w:r>
        <w:rPr>
          <w:rFonts w:hint="eastAsia" w:ascii="宋体" w:hAnsi="宋体" w:eastAsia="宋体" w:cs="宋体"/>
          <w:bCs/>
          <w:color w:val="auto"/>
          <w:sz w:val="21"/>
          <w:szCs w:val="21"/>
          <w:highlight w:val="none"/>
        </w:rPr>
        <w:t>、乡</w:t>
      </w:r>
      <w:r>
        <w:rPr>
          <w:rFonts w:hint="eastAsia" w:ascii="宋体" w:hAnsi="宋体" w:eastAsia="宋体" w:cs="宋体"/>
          <w:bCs/>
          <w:color w:val="auto"/>
          <w:sz w:val="21"/>
          <w:szCs w:val="21"/>
          <w:highlight w:val="none"/>
          <w:lang w:val="en-US"/>
        </w:rPr>
        <w:t>镇</w:t>
      </w:r>
      <w:r>
        <w:rPr>
          <w:rFonts w:hint="eastAsia" w:ascii="宋体" w:hAnsi="宋体" w:eastAsia="宋体" w:cs="宋体"/>
          <w:bCs/>
          <w:color w:val="auto"/>
          <w:sz w:val="21"/>
          <w:szCs w:val="21"/>
          <w:highlight w:val="none"/>
        </w:rPr>
        <w:t>的生活垃圾</w:t>
      </w:r>
      <w:r>
        <w:rPr>
          <w:rFonts w:hint="eastAsia" w:ascii="宋体" w:hAnsi="宋体" w:eastAsia="宋体" w:cs="宋体"/>
          <w:bCs/>
          <w:color w:val="auto"/>
          <w:sz w:val="21"/>
          <w:szCs w:val="21"/>
          <w:highlight w:val="none"/>
          <w:lang w:val="en-US"/>
        </w:rPr>
        <w:t>在现有的垃圾填埋场</w:t>
      </w:r>
      <w:r>
        <w:rPr>
          <w:rFonts w:hint="eastAsia" w:ascii="宋体" w:hAnsi="宋体" w:eastAsia="宋体" w:cs="宋体"/>
          <w:bCs/>
          <w:color w:val="auto"/>
          <w:sz w:val="21"/>
          <w:szCs w:val="21"/>
          <w:highlight w:val="none"/>
        </w:rPr>
        <w:t>进行</w:t>
      </w:r>
      <w:r>
        <w:rPr>
          <w:rFonts w:hint="eastAsia" w:ascii="宋体" w:hAnsi="宋体" w:eastAsia="宋体" w:cs="宋体"/>
          <w:bCs/>
          <w:color w:val="auto"/>
          <w:sz w:val="21"/>
          <w:szCs w:val="21"/>
          <w:highlight w:val="none"/>
          <w:lang w:val="en-US"/>
        </w:rPr>
        <w:t>卫生填埋服务</w:t>
      </w:r>
      <w:r>
        <w:rPr>
          <w:rFonts w:hint="eastAsia" w:ascii="宋体" w:hAnsi="宋体" w:eastAsia="宋体" w:cs="宋体"/>
          <w:bCs/>
          <w:color w:val="auto"/>
          <w:sz w:val="21"/>
          <w:szCs w:val="21"/>
          <w:highlight w:val="none"/>
        </w:rPr>
        <w:t>。</w:t>
      </w:r>
    </w:p>
    <w:p>
      <w:pPr>
        <w:pStyle w:val="115"/>
        <w:keepNext w:val="0"/>
        <w:keepLines w:val="0"/>
        <w:pageBreakBefore w:val="0"/>
        <w:tabs>
          <w:tab w:val="left" w:pos="879"/>
        </w:tabs>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乡镇垃圾清运范围：县政府管辖的马泗、欧洞、大塘、思练、安东、果遂、新圩7 个乡镇的主干道的垃圾清运至县垃圾填埋场以及欧洞、大塘、果遂、新圩</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个中转站运行管理。</w:t>
      </w:r>
    </w:p>
    <w:p>
      <w:pPr>
        <w:pStyle w:val="115"/>
        <w:keepNext w:val="0"/>
        <w:keepLines w:val="0"/>
        <w:pageBreakBefore w:val="0"/>
        <w:tabs>
          <w:tab w:val="left" w:pos="879"/>
        </w:tabs>
        <w:kinsoku/>
        <w:wordWrap/>
        <w:overflowPunct/>
        <w:topLinePunct w:val="0"/>
        <w:autoSpaceDE/>
        <w:autoSpaceDN/>
        <w:bidi w:val="0"/>
        <w:adjustRightInd/>
        <w:snapToGrid/>
        <w:spacing w:line="400" w:lineRule="exact"/>
        <w:ind w:left="0" w:firstLine="376" w:firstLineChars="200"/>
        <w:jc w:val="left"/>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pacing w:val="-11"/>
          <w:sz w:val="21"/>
          <w:szCs w:val="21"/>
          <w:highlight w:val="none"/>
          <w:lang w:val="en-US" w:eastAsia="zh-CN"/>
        </w:rPr>
        <w:t>2.3</w:t>
      </w:r>
      <w:r>
        <w:rPr>
          <w:rFonts w:hint="eastAsia" w:ascii="宋体" w:hAnsi="宋体" w:eastAsia="宋体" w:cs="宋体"/>
          <w:bCs/>
          <w:color w:val="auto"/>
          <w:spacing w:val="-11"/>
          <w:sz w:val="21"/>
          <w:szCs w:val="21"/>
          <w:highlight w:val="none"/>
        </w:rPr>
        <w:t>乡镇生活垃圾焚烧站运营管理：</w:t>
      </w:r>
      <w:r>
        <w:rPr>
          <w:rFonts w:hint="eastAsia" w:ascii="宋体" w:hAnsi="宋体" w:eastAsia="宋体" w:cs="宋体"/>
          <w:bCs/>
          <w:color w:val="auto"/>
          <w:sz w:val="21"/>
          <w:szCs w:val="21"/>
          <w:highlight w:val="none"/>
          <w:lang w:val="en-US"/>
        </w:rPr>
        <w:t>接管现运行的乡镇生活垃圾焚烧站（欧洞、安东）的运营管理。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lang w:val="en-US" w:eastAsia="zh-CN" w:bidi="ar"/>
        </w:rPr>
        <w:t>其他：思练镇中转站建成后，将根据实际情况做好运营费用预算后，移交给外包公司进行运营管理，实际工作需要调整的范围。</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lang w:val="en-US" w:eastAsia="zh-CN"/>
        </w:rPr>
        <w:t>3</w:t>
      </w:r>
      <w:r>
        <w:rPr>
          <w:rFonts w:hint="eastAsia" w:ascii="宋体" w:hAnsi="宋体" w:eastAsia="宋体" w:cs="宋体"/>
          <w:b/>
          <w:color w:val="auto"/>
          <w:sz w:val="21"/>
          <w:szCs w:val="21"/>
          <w:highlight w:val="none"/>
          <w:shd w:val="clear" w:color="auto" w:fill="FFFFFF"/>
        </w:rPr>
        <w:t>、县党委、政府各项重大活动保障工作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3.1</w:t>
      </w:r>
      <w:r>
        <w:rPr>
          <w:rFonts w:hint="eastAsia" w:ascii="宋体" w:hAnsi="宋体" w:eastAsia="宋体" w:cs="宋体"/>
          <w:color w:val="auto"/>
          <w:sz w:val="21"/>
          <w:szCs w:val="21"/>
          <w:highlight w:val="none"/>
          <w:shd w:val="clear" w:color="auto" w:fill="FFFFFF"/>
        </w:rPr>
        <w:t>县党委、政府各项重大活动保障工作</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3.2</w:t>
      </w:r>
      <w:r>
        <w:rPr>
          <w:rFonts w:hint="eastAsia" w:ascii="宋体" w:hAnsi="宋体" w:eastAsia="宋体" w:cs="宋体"/>
          <w:color w:val="auto"/>
          <w:sz w:val="21"/>
          <w:szCs w:val="21"/>
          <w:highlight w:val="none"/>
          <w:shd w:val="clear" w:color="auto" w:fill="FFFFFF"/>
        </w:rPr>
        <w:t>自然灾害、突发事件的应急等</w:t>
      </w:r>
      <w:r>
        <w:rPr>
          <w:rFonts w:hint="eastAsia" w:ascii="宋体" w:hAnsi="宋体" w:eastAsia="宋体" w:cs="宋体"/>
          <w:color w:val="auto"/>
          <w:sz w:val="21"/>
          <w:szCs w:val="21"/>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以上两点必须无条件服从发包方和日常监督部门的统一调配管理。</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、考评方式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行日常考评、定期考评和社会监督相结合，按百分制考评计分。承包项目考评工作实行统一工作标准和考评办法，忻城县住房和城乡建设局具体负责，实行“日查、周检、月评、社会监督，县环卫处督查，上级督查考评机构相结合的考评制度，月综合考评作为经费核拨的依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日查：当月随机日县城垃圾填埋场区由环卫站对服务区域来回巡查，乡镇垃圾清运、垃圾中转站及焚烧站由发包方或（乡镇人民政府）负责监督，记录当天的检查情况，同时对检查发现问题缺项进行拍摄取证，并发送整改通知单要求承包方限期整改，及扣除相应分数的考评原则，日查工作建立完整的工作台账，日查分占月考评分的50﹪。</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周检：按照检查标准由发包方认定为周检日进行一次集中检查评分，对服务区域进行随机抽查，每次检查的垃圾填埋场、乡镇垃圾清运、中转站及焚烧站的情况；对检查发现问题缺项进行拍摄取证，并发送整改通知单要求承包方限期整改，及扣除相应分数的考评原则，周检分占月考评分的20﹪。</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月评:每月由忻城住房和城乡建设局牵头并组织相关部门组成检查组，按照评比标准对承包板块进行一次大检查，检查方式与周检相同，月评分占月考评分的10﹪。</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社会监督：社会监督分值占月</w:t>
      </w:r>
      <w:r>
        <w:rPr>
          <w:rFonts w:hint="eastAsia" w:ascii="宋体" w:hAnsi="宋体" w:eastAsia="宋体" w:cs="宋体"/>
          <w:color w:val="auto"/>
          <w:sz w:val="21"/>
          <w:szCs w:val="21"/>
          <w:highlight w:val="none"/>
          <w:shd w:val="clear" w:color="auto" w:fill="FFFFFF"/>
          <w:lang w:eastAsia="zh-CN"/>
        </w:rPr>
        <w:t>考核</w:t>
      </w:r>
      <w:r>
        <w:rPr>
          <w:rFonts w:hint="eastAsia" w:ascii="宋体" w:hAnsi="宋体" w:eastAsia="宋体" w:cs="宋体"/>
          <w:color w:val="auto"/>
          <w:sz w:val="21"/>
          <w:szCs w:val="21"/>
          <w:highlight w:val="none"/>
          <w:shd w:val="clear" w:color="auto" w:fill="FFFFFF"/>
        </w:rPr>
        <w:t>评分的20%。上级部门和领导指出的重大问题，群众举报、投诉、新闻曝光和网络曝光等重大问题，经核实后视其影响程度，直接扣除当月相应承包款。</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日查、周检、月评和社会监督按比例分数累加得出本月综合考评分数。本月综合考</w:t>
      </w:r>
      <w:r>
        <w:rPr>
          <w:rFonts w:hint="eastAsia" w:ascii="宋体" w:hAnsi="宋体" w:eastAsia="宋体" w:cs="宋体"/>
          <w:color w:val="auto"/>
          <w:sz w:val="21"/>
          <w:szCs w:val="21"/>
          <w:highlight w:val="none"/>
          <w:shd w:val="clear" w:color="auto" w:fill="FFFFFF"/>
          <w:lang w:eastAsia="zh-CN"/>
        </w:rPr>
        <w:t>核</w:t>
      </w:r>
      <w:r>
        <w:rPr>
          <w:rFonts w:hint="eastAsia" w:ascii="宋体" w:hAnsi="宋体" w:eastAsia="宋体" w:cs="宋体"/>
          <w:color w:val="auto"/>
          <w:sz w:val="21"/>
          <w:szCs w:val="21"/>
          <w:highlight w:val="none"/>
          <w:shd w:val="clear" w:color="auto" w:fill="FFFFFF"/>
        </w:rPr>
        <w:t>评分作为核拨当月承包经费的主要依据。县级检查部门每天的督查中，不属同一问题的，按照评分细则，一并列入当天（日查）考评结果。</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、奖惩办法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5.1</w:t>
      </w:r>
      <w:r>
        <w:rPr>
          <w:rFonts w:hint="eastAsia" w:ascii="宋体" w:hAnsi="宋体" w:eastAsia="宋体" w:cs="宋体"/>
          <w:color w:val="auto"/>
          <w:sz w:val="21"/>
          <w:szCs w:val="21"/>
          <w:highlight w:val="none"/>
          <w:shd w:val="clear" w:color="auto" w:fill="FFFFFF"/>
        </w:rPr>
        <w:t>考核实行 100 分制，服务期考核结果应用如下所示：</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①考核评分在90分（含）及以上的，该季度服务费不予核减并评定为服务优；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② 考核评分在85分（含）-90分之间的，每扣一分则相应对该季度处理服务费核减每分1000元（5分封顶）并评定为服务良好。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③ 考核评分在80分（含）-85分之间的，每扣一分则相应对该季度的服务费核减每分2000元（5分封顶）并评定为服务良好。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④ 考核评分在75分（含）-80分之间的，每扣一分则相应对该季度的服务费核减每分3000元（5分封顶）并评定为服务好。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⑤考核评分在</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0分（含）-75分之间的，每扣一分则相应对该季度的服务费核减每分4000元（5分封顶）并评定为服务合格。</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⑥70分以下为不合格等级的扣当月承包费10﹪。</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5.2</w:t>
      </w:r>
      <w:r>
        <w:rPr>
          <w:rFonts w:hint="eastAsia" w:ascii="宋体" w:hAnsi="宋体" w:eastAsia="宋体" w:cs="宋体"/>
          <w:color w:val="auto"/>
          <w:kern w:val="0"/>
          <w:sz w:val="21"/>
          <w:szCs w:val="21"/>
          <w:highlight w:val="none"/>
          <w:lang w:bidi="ar"/>
        </w:rPr>
        <w:t>社会监督处罚：</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（1）县政府职能部门及上级部门开展的涉及到承包板块中反馈的问题，属承包方责任的，市级及以上每次每点扣罚1000元，县级每次每点扣罚500元。</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）被主流媒体（报刊、电视台、广播、公众号等）曝光的，经查证属承包方责任后，市级2000元，县级及其他的1次扣罚1000元。</w:t>
      </w:r>
      <w:r>
        <w:rPr>
          <w:rFonts w:hint="eastAsia" w:ascii="宋体" w:hAnsi="宋体" w:eastAsia="宋体" w:cs="宋体"/>
          <w:color w:val="auto"/>
          <w:kern w:val="0"/>
          <w:sz w:val="21"/>
          <w:szCs w:val="21"/>
          <w:highlight w:val="none"/>
          <w:lang w:bidi="ar"/>
        </w:rPr>
        <w:cr/>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）县民投诉、信访、地方论坛投诉，查明属承包方责任的，视情节严重每次扣300-500元。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）每次检查考核结果，应给中标公司签证确认。若遇国家、自治区、市重大检查工作时，由于承包方板块为我县环卫工作获得自治区、国家级奖杯时，我县可给予一定的荣誉及奖励等。</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6、</w:t>
      </w:r>
      <w:r>
        <w:rPr>
          <w:rFonts w:hint="eastAsia" w:ascii="宋体" w:hAnsi="宋体" w:eastAsia="宋体" w:cs="宋体"/>
          <w:b/>
          <w:bCs/>
          <w:color w:val="auto"/>
          <w:kern w:val="0"/>
          <w:sz w:val="21"/>
          <w:szCs w:val="21"/>
          <w:highlight w:val="none"/>
          <w:lang w:bidi="ar"/>
        </w:rPr>
        <w:t>项目考评内容及细则：</w:t>
      </w:r>
    </w:p>
    <w:tbl>
      <w:tblPr>
        <w:tblStyle w:val="58"/>
        <w:tblpPr w:leftFromText="180" w:rightFromText="180" w:vertAnchor="text" w:horzAnchor="page" w:tblpXSpec="center" w:tblpY="570"/>
        <w:tblOverlap w:val="never"/>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75"/>
        <w:gridCol w:w="900"/>
        <w:gridCol w:w="555"/>
        <w:gridCol w:w="3366"/>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468"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序号</w:t>
            </w:r>
          </w:p>
        </w:tc>
        <w:tc>
          <w:tcPr>
            <w:tcW w:w="675"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指标项目</w:t>
            </w:r>
          </w:p>
        </w:tc>
        <w:tc>
          <w:tcPr>
            <w:tcW w:w="900"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指标子项目</w:t>
            </w:r>
          </w:p>
        </w:tc>
        <w:tc>
          <w:tcPr>
            <w:tcW w:w="555"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分值</w:t>
            </w:r>
          </w:p>
        </w:tc>
        <w:tc>
          <w:tcPr>
            <w:tcW w:w="3366"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具  体  要  求</w:t>
            </w:r>
          </w:p>
        </w:tc>
        <w:tc>
          <w:tcPr>
            <w:tcW w:w="3553"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扣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468"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22" w:firstLineChars="200"/>
              <w:jc w:val="both"/>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675" w:type="dxa"/>
            <w:vMerge w:val="restart"/>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垃圾卫生填埋管理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垃圾卫生填埋管理</w:t>
            </w:r>
          </w:p>
        </w:tc>
        <w:tc>
          <w:tcPr>
            <w:tcW w:w="900" w:type="dxa"/>
            <w:vMerge w:val="restart"/>
            <w:tcBorders>
              <w:tl2br w:val="nil"/>
              <w:tr2bl w:val="nil"/>
            </w:tcBorders>
            <w:noWrap/>
            <w:vAlign w:val="top"/>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称重</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计量</w:t>
            </w:r>
          </w:p>
        </w:tc>
        <w:tc>
          <w:tcPr>
            <w:tcW w:w="555"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3366" w:type="dxa"/>
            <w:vMerge w:val="restart"/>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1、垃圾运输车进出厂都必须称重计量，各项数据、信息 应详细记录存档，并与监管方指定部门（人员）确认数据正常。</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运营方责任垃圾运输车辆未进行称重的，每发现一次扣0.5分。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运营方私自篡改过磅数据的，每发现一次扣1分，考评期内连续3次本项不得分。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restart"/>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2、运营方应保证计量系统的连续稳定和准确，地磅计量故障，运营方应在 60 分钟内通知监管方，并立即进行修复处理，双方协商解决有关计量数据问题。</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发生故障后未在60分钟内通知监管方的，每发现一次扣0.5分。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故障持续24小时以上没有做任何补救的，每发现一次扣1分。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操作</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能力</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555"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tc>
        <w:tc>
          <w:tcPr>
            <w:tcW w:w="3366" w:type="dxa"/>
            <w:vMerge w:val="restart"/>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1、垃圾倒场后要及时压实、堆型、盖膜（正常垃圾外露工作水平面600-1000平方米）。</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垃圾倒场后没有在当天压实发现一次扣0.5分。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垃圾倒场后没有在当天堆型发现一次扣0.5分。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垃圾倒场后没有在当天盖膜发现一次扣0.5分。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2、垃圾填埋场四周非填埋区无飘扬垃圾。</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场区四周非填埋区有飘扬垃圾，每发现一次扣0.5分。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3、按规定在填埋区合理装放排气网管。</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发现未按规定在填埋区合理装放排气网管，每发现一次扣0.5分，并通知整改，未按要求整改的，本项不得分。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4、及时清理场区四周排水沟。</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未按要求清理场区四周排水沟的，每发现一次扣0.5分。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场区</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消杀</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及安</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防措施</w:t>
            </w:r>
          </w:p>
        </w:tc>
        <w:tc>
          <w:tcPr>
            <w:tcW w:w="555"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w:t>
            </w: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1、定期在场区开展除害灭虫活动，杜绝“四害”滋生。</w:t>
            </w:r>
          </w:p>
        </w:tc>
        <w:tc>
          <w:tcPr>
            <w:tcW w:w="3553"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未定期开展除害灭虫（对场区消杀）活动的，每发现一次扣0.2分。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2、场区加强消防安全知识教育和杜绝消防事故发生。</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场区没有消防器材、知识宣传栏或不明显的，发现一次扣0.3分。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设备</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运行</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及台</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账管理</w:t>
            </w:r>
          </w:p>
        </w:tc>
        <w:tc>
          <w:tcPr>
            <w:tcW w:w="555"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w:t>
            </w: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做好各类运行设备的检查、保养、确保设备正常运行。</w:t>
            </w:r>
          </w:p>
        </w:tc>
        <w:tc>
          <w:tcPr>
            <w:tcW w:w="3553"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设备运行不正常未做补救措施的，发现一次扣0.5分。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垃圾运输车进出场车辆等称重计量等各项数据、信息 应详细记录存档。</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未建立完善的管理台账的，发现一次扣0.3分。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468"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675"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思练等七个乡镇垃圾清运管理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思练等七个乡镇垃圾清运管理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900"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收运</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体系</w:t>
            </w:r>
          </w:p>
        </w:tc>
        <w:tc>
          <w:tcPr>
            <w:tcW w:w="555"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10</w:t>
            </w:r>
          </w:p>
        </w:tc>
        <w:tc>
          <w:tcPr>
            <w:tcW w:w="3366" w:type="dxa"/>
            <w:vMerge w:val="restart"/>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制定收运方案及详细计划报招标人认可，与垃圾产生的村（屯）、乡镇等单位约定收运时间和频次。</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发现由自身原因造成未能按照计划和规定的时间内进行收运的，每发现一次扣0.5分。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未按规定频次要求收运的，发现一次扣0.5分。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900"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收运</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管理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555"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15</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1、生活垃圾收运、处置实行交付确认制度。生活垃圾产生单位、收运企业、处置企业在生活垃圾收运、处置的数量予以相互确认，并建立相应的记录台账</w:t>
            </w:r>
            <w:r>
              <w:rPr>
                <w:rFonts w:hint="eastAsia" w:ascii="宋体" w:hAnsi="宋体" w:eastAsia="宋体" w:cs="宋体"/>
                <w:color w:val="auto"/>
                <w:sz w:val="21"/>
                <w:szCs w:val="21"/>
                <w:highlight w:val="none"/>
                <w:lang w:eastAsia="zh-CN"/>
              </w:rPr>
              <w:t>。</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发现未按照要求进行台账记录的，每发现一次扣0.5分。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3366"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2、规范生活垃圾收运，未经监管方许可不得擅自接受非监管方许可范围内的非生活垃圾</w:t>
            </w:r>
            <w:r>
              <w:rPr>
                <w:rFonts w:hint="eastAsia" w:ascii="宋体" w:hAnsi="宋体" w:eastAsia="宋体" w:cs="宋体"/>
                <w:color w:val="auto"/>
                <w:sz w:val="21"/>
                <w:szCs w:val="21"/>
                <w:highlight w:val="none"/>
                <w:lang w:eastAsia="zh-CN"/>
              </w:rPr>
              <w:t>。</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违规接纳非监管方许可范围内的生活垃圾的，每发现一次扣0.5分。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违规接纳非监管方许可的非生活垃圾的，每发现一次扣0.5分。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3、区域内垃圾箱保持整洁、垃圾箱储量做到随满随清、车走地净。 </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未按规划时间清运的，每发现一次扣0.5分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4、垃圾清运车辆实施密闭运输，做到无：漏、洒、抛等二次污染。 清运车辆做到车容整洁、无污物。 </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清运过程中出现漏、洒、抛等现象的，每发现一次扣0.5分。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900"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乡镇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垃圾</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中转</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站管</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理</w:t>
            </w:r>
          </w:p>
        </w:tc>
        <w:tc>
          <w:tcPr>
            <w:tcW w:w="555"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w:t>
            </w: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1、定期在场区开展除害灭虫（消杀）活动，杜绝“四害”滋生。</w:t>
            </w:r>
          </w:p>
        </w:tc>
        <w:tc>
          <w:tcPr>
            <w:tcW w:w="3553"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未定期开展除害灭虫活动的，每发现一次扣0.5分。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2、健全运行管理制度，制定安全操作以及消防预案措施。</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无明显相关管理制度的，每发现一次扣0.5分。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900"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清运</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设备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运行</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管理</w:t>
            </w:r>
          </w:p>
        </w:tc>
        <w:tc>
          <w:tcPr>
            <w:tcW w:w="555"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w:t>
            </w: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1、做好各类运行设备的检查、保养、保险续费确保设备正常、安全运行。</w:t>
            </w:r>
          </w:p>
        </w:tc>
        <w:tc>
          <w:tcPr>
            <w:tcW w:w="3553"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设备运行不正常未做补救措施的，发现一次扣0.5分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b/>
                <w:bCs/>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2、保障操作人员的持证上岗、依规文明作业。　</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无证驾驶清运设备的，一经发现扣3分，责令停止作业。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68"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w:t>
            </w:r>
          </w:p>
        </w:tc>
        <w:tc>
          <w:tcPr>
            <w:tcW w:w="675"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乡镇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焚烧</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处理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站运</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行管</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理（欧洞、安东）</w:t>
            </w:r>
          </w:p>
        </w:tc>
        <w:tc>
          <w:tcPr>
            <w:tcW w:w="900"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设备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管理</w:t>
            </w:r>
          </w:p>
        </w:tc>
        <w:tc>
          <w:tcPr>
            <w:tcW w:w="555"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w:t>
            </w:r>
          </w:p>
        </w:tc>
        <w:tc>
          <w:tcPr>
            <w:tcW w:w="3366" w:type="dxa"/>
            <w:vMerge w:val="restart"/>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经营商对所承包范围内的生产、设备、安全等工作全面负责，规范操作。　</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设备运行出现大故障未及时通知监管方的，发现一次扣0.5分。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未按要求规范操作使得设备运行不正常的，发现一次扣0.3分。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对运行设备没有正常维护的，每发现一次扣0.3分。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运行</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管理</w:t>
            </w:r>
          </w:p>
        </w:tc>
        <w:tc>
          <w:tcPr>
            <w:tcW w:w="555"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distribute"/>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w:t>
            </w: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1、健全运行管理制度，制定安全操作以及消防预案措施。　</w:t>
            </w:r>
          </w:p>
        </w:tc>
        <w:tc>
          <w:tcPr>
            <w:tcW w:w="3553"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无明显相关管理制度的，每发现一次扣0.5分。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distribute"/>
              <w:textAlignment w:val="auto"/>
              <w:outlineLvl w:val="9"/>
              <w:rPr>
                <w:rFonts w:hint="eastAsia" w:ascii="宋体" w:hAnsi="宋体" w:eastAsia="宋体" w:cs="宋体"/>
                <w:b/>
                <w:bCs/>
                <w:color w:val="auto"/>
                <w:sz w:val="21"/>
                <w:szCs w:val="21"/>
                <w:highlight w:val="none"/>
                <w:lang w:eastAsia="zh-CN"/>
              </w:rPr>
            </w:pPr>
          </w:p>
        </w:tc>
        <w:tc>
          <w:tcPr>
            <w:tcW w:w="3366" w:type="dxa"/>
            <w:vMerge w:val="restart"/>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2、做好垃圾收运、环境卫生。　</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区域内垃圾收运不及时的，每发现一次扣0.5分。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distribute"/>
              <w:textAlignment w:val="auto"/>
              <w:outlineLvl w:val="9"/>
              <w:rPr>
                <w:rFonts w:hint="eastAsia" w:ascii="宋体" w:hAnsi="宋体" w:eastAsia="宋体" w:cs="宋体"/>
                <w:b/>
                <w:bCs/>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站区环境不整洁、设施破损、杂草丛生每处扣 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68"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w:t>
            </w:r>
          </w:p>
        </w:tc>
        <w:tc>
          <w:tcPr>
            <w:tcW w:w="675"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整体</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管理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整体</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管理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900"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制度</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建立</w:t>
            </w:r>
          </w:p>
        </w:tc>
        <w:tc>
          <w:tcPr>
            <w:tcW w:w="555" w:type="dxa"/>
            <w:vMerge w:val="restart"/>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distribute"/>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distribute"/>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1、建立健全规章制度、岗位职责、操作流程规范齐全。</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每缺一项扣0.2分。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restart"/>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2、具有完善的培训制度，涉及有证的操作人员必须持证上岗。</w:t>
            </w:r>
          </w:p>
        </w:tc>
        <w:tc>
          <w:tcPr>
            <w:tcW w:w="3553"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车辆驾驶无证上岗扣2分。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无培训制度和台账的扣0.2分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3、有完善的内部运行考核制度并认真实施（报备监管方）。</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有考核制度但未实施到位的0.3分。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资料</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管理</w:t>
            </w:r>
          </w:p>
        </w:tc>
        <w:tc>
          <w:tcPr>
            <w:tcW w:w="555" w:type="dxa"/>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按照监管方要求及时上报计量、运行、设备故障、计划说明、数据等各项运行台账，做到分类清晰、数据真实、记录完整、保管得当。</w:t>
            </w:r>
          </w:p>
        </w:tc>
        <w:tc>
          <w:tcPr>
            <w:tcW w:w="3553"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未按监督方要求上报资料的扣0.2分。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安全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管理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eastAsia="zh-CN"/>
              </w:rPr>
            </w:pPr>
          </w:p>
        </w:tc>
        <w:tc>
          <w:tcPr>
            <w:tcW w:w="555"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p>
        </w:tc>
        <w:tc>
          <w:tcPr>
            <w:tcW w:w="3366"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1、按规定对作业人员落实劳动安全卫生防护措施，建立员工安全培训计划，向全体员工提供安全培训。</w:t>
            </w: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未按规定对作业人员落实劳动安全卫生防护，未建立或实施安全培训计划的扣0.2分。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restart"/>
            <w:tcBorders>
              <w:tl2br w:val="nil"/>
              <w:tr2bl w:val="nil"/>
            </w:tcBorders>
            <w:noWrap w:val="0"/>
            <w:vAlign w:val="center"/>
          </w:tcPr>
          <w:p>
            <w:pPr>
              <w:pStyle w:val="2"/>
              <w:keepNext w:val="0"/>
              <w:keepLines w:val="0"/>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2、建立完善运行管理预案及计量、运行、设备故障、突发事件、恶劣天气等专项预案。</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3、安全设施、应急物资配置齐全，遇到突发事件须 2 小时内报监管方，24 小时内提交书面报告，同时采取有效处置措施。</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4、员工福利及社保。</w:t>
            </w:r>
          </w:p>
        </w:tc>
        <w:tc>
          <w:tcPr>
            <w:tcW w:w="3553"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未建立应急预案的扣0.5分。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安全设施、应急物资配置不到位的扣0.3分。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突发事件未及时向监管方报告扣0.5分。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发生一般有责安全事故扣0.5分。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55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3366"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3553" w:type="dxa"/>
            <w:tcBorders>
              <w:tl2br w:val="nil"/>
              <w:tr2bl w:val="nil"/>
            </w:tcBorders>
            <w:noWrap/>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发生有责人员重伤、死亡事故或重大财产事故扣3分。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jc w:val="distribute"/>
              <w:textAlignment w:val="auto"/>
              <w:outlineLvl w:val="9"/>
              <w:rPr>
                <w:rFonts w:hint="eastAsia" w:ascii="宋体" w:hAnsi="宋体" w:eastAsia="宋体" w:cs="宋体"/>
                <w:color w:val="auto"/>
                <w:sz w:val="21"/>
                <w:szCs w:val="21"/>
                <w:highlight w:val="none"/>
                <w:lang w:eastAsia="zh-CN"/>
              </w:rPr>
            </w:pPr>
          </w:p>
        </w:tc>
        <w:tc>
          <w:tcPr>
            <w:tcW w:w="90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重大活动及迎检</w:t>
            </w:r>
          </w:p>
        </w:tc>
        <w:tc>
          <w:tcPr>
            <w:tcW w:w="55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w:t>
            </w:r>
          </w:p>
        </w:tc>
        <w:tc>
          <w:tcPr>
            <w:tcW w:w="33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1、县党委、政府各项重大活动保障工作。</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2、自然灾害、突发事件的应急等。</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以上两点必须无条件服从发包方和日常监督部门的统一调配管理。</w:t>
            </w:r>
          </w:p>
        </w:tc>
        <w:tc>
          <w:tcPr>
            <w:tcW w:w="3553" w:type="dxa"/>
            <w:tcBorders>
              <w:tl2br w:val="nil"/>
              <w:tr2bl w:val="nil"/>
            </w:tcBorders>
            <w:noWrap/>
            <w:vAlign w:val="center"/>
          </w:tcPr>
          <w:p>
            <w:pPr>
              <w:keepNext w:val="0"/>
              <w:keepLines w:val="0"/>
              <w:pageBreakBefore w:val="0"/>
              <w:widowControl/>
              <w:tabs>
                <w:tab w:val="left" w:pos="360"/>
              </w:tabs>
              <w:kinsoku/>
              <w:wordWrap/>
              <w:overflowPunct/>
              <w:topLinePunct w:val="0"/>
              <w:autoSpaceDE/>
              <w:autoSpaceDN/>
              <w:bidi w:val="0"/>
              <w:adjustRightInd/>
              <w:snapToGrid/>
              <w:spacing w:before="31" w:beforeLines="10" w:after="31" w:afterLines="10" w:line="40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每发现一次扣1分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90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其他</w:t>
            </w:r>
          </w:p>
        </w:tc>
        <w:tc>
          <w:tcPr>
            <w:tcW w:w="55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p>
        </w:tc>
        <w:tc>
          <w:tcPr>
            <w:tcW w:w="336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在国家、自治区、来宾市等检查考评中被点名、督办、通报的，必须在规定的时限内进行整改。</w:t>
            </w:r>
          </w:p>
        </w:tc>
        <w:tc>
          <w:tcPr>
            <w:tcW w:w="3553" w:type="dxa"/>
            <w:tcBorders>
              <w:tl2br w:val="nil"/>
              <w:tr2bl w:val="nil"/>
            </w:tcBorders>
            <w:noWrap w:val="0"/>
            <w:vAlign w:val="center"/>
          </w:tcPr>
          <w:p>
            <w:pPr>
              <w:keepNext w:val="0"/>
              <w:keepLines w:val="0"/>
              <w:pageBreakBefore w:val="0"/>
              <w:widowControl/>
              <w:tabs>
                <w:tab w:val="left" w:pos="360"/>
              </w:tabs>
              <w:kinsoku/>
              <w:wordWrap/>
              <w:overflowPunct/>
              <w:topLinePunct w:val="0"/>
              <w:autoSpaceDE/>
              <w:autoSpaceDN/>
              <w:bidi w:val="0"/>
              <w:adjustRightInd/>
              <w:snapToGrid/>
              <w:spacing w:before="31" w:beforeLines="10" w:after="31" w:afterLines="10" w:line="400" w:lineRule="exac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（1）被点名、督办、通报的，每次扣0.5分。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68"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675" w:type="dxa"/>
            <w:vMerge w:val="continue"/>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480"/>
              <w:textAlignment w:val="auto"/>
              <w:outlineLvl w:val="9"/>
              <w:rPr>
                <w:rFonts w:hint="eastAsia" w:ascii="宋体" w:hAnsi="宋体" w:eastAsia="宋体" w:cs="宋体"/>
                <w:color w:val="auto"/>
                <w:sz w:val="21"/>
                <w:szCs w:val="21"/>
                <w:highlight w:val="none"/>
                <w:lang w:eastAsia="zh-CN"/>
              </w:rPr>
            </w:pPr>
          </w:p>
        </w:tc>
        <w:tc>
          <w:tcPr>
            <w:tcW w:w="9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kern w:val="0"/>
                <w:sz w:val="21"/>
                <w:szCs w:val="21"/>
                <w:highlight w:val="none"/>
                <w:lang w:val="en-US" w:eastAsia="zh-CN" w:bidi="ar-SA"/>
              </w:rPr>
            </w:pPr>
          </w:p>
        </w:tc>
        <w:tc>
          <w:tcPr>
            <w:tcW w:w="55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kern w:val="0"/>
                <w:sz w:val="21"/>
                <w:szCs w:val="21"/>
                <w:highlight w:val="none"/>
                <w:lang w:val="en-US" w:eastAsia="zh-CN" w:bidi="ar-SA"/>
              </w:rPr>
            </w:pPr>
          </w:p>
        </w:tc>
        <w:tc>
          <w:tcPr>
            <w:tcW w:w="336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kern w:val="0"/>
                <w:sz w:val="21"/>
                <w:szCs w:val="21"/>
                <w:highlight w:val="none"/>
                <w:lang w:val="en-US" w:eastAsia="zh-CN" w:bidi="ar-SA"/>
              </w:rPr>
            </w:pPr>
          </w:p>
        </w:tc>
        <w:tc>
          <w:tcPr>
            <w:tcW w:w="355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（2）未及时整改的，每处扣1分。</w:t>
            </w:r>
          </w:p>
        </w:tc>
      </w:tr>
    </w:tbl>
    <w:p>
      <w:pPr>
        <w:pStyle w:val="2"/>
        <w:spacing w:line="460" w:lineRule="exact"/>
        <w:ind w:left="0" w:leftChars="0" w:firstLine="0" w:firstLineChars="0"/>
        <w:rPr>
          <w:rFonts w:hint="eastAsia" w:ascii="宋体" w:hAnsi="宋体" w:eastAsia="宋体" w:cs="宋体"/>
          <w:color w:val="auto"/>
          <w:sz w:val="21"/>
          <w:szCs w:val="21"/>
          <w:highlight w:val="none"/>
          <w:lang w:eastAsia="zh-CN"/>
        </w:rPr>
      </w:pPr>
    </w:p>
    <w:p>
      <w:pPr>
        <w:pStyle w:val="2"/>
        <w:spacing w:line="460" w:lineRule="exact"/>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说明：</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1.检查人员对扣分项给予限期整改，整改期限内同一地点同一事项不再重复扣分。</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2.整改期限后仍出现问题的，可再次扣分。</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3.发包方按照上述运营期绩效考核指标表对本项目进行日查、周检、月评检查考评，依据月度评分结果对应付给运营方的运行期间服务费和运行服务质量等级进行核定。</w:t>
      </w:r>
    </w:p>
    <w:p>
      <w:pPr>
        <w:pStyle w:val="2"/>
        <w:spacing w:line="460" w:lineRule="exact"/>
        <w:ind w:left="0" w:leftChars="0" w:firstLine="48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、建立市场化企业退出机制</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中标后，出现以下情况，采购人（发包方）有权启动退出机制，清退中标人。</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（1）因中标人经营管理不善，发生重大质量事故或生产安全事故，或中标人擅自停业歇业，严重影响社会公共利益，或中标人作业过程造成重大环境污染，或其他重大、紧急可能危及公共安全行为的。</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（2）因中标人经营期限届满、解散、被责令关闭、被撤销或被吊销、注销营业执照、破产、被法院列入失信名单而不能经营的情形。</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（3）因不可抗力或国家政策、法律法规出现重大变化的情形。</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中标企业连续3个月以上（含3个月）考评结果不合格的，或一个合同年中累计有6次考核不合格等级的，采购人有权清退中标人，且履约保证金不予退还，造成的损失由中标人承担，并函请相关企业监管部门将其列入诚信企业黑名单。</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（5）中标人在服务期间发生违法行为，采购人有权清退中标人，造成的损失由中标人承担。</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（6）在服务期间中标人组织的管理机构、作业人员人数、人员素质、机械设备数量与服务要求严重不符（未达到约定数的80%以上），无法完成合同任务的。</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（7）中标人承诺投入的人员及机械设施设备未在签订合同后一个月内到位的。</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（8）中标人在服务期内多次不服从安排的。</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（9）中标人在服务期间未能达到考核标准，导致出现公共环境卫生危急状态，严重影响公众生产、生活状态。</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（10）在合同履行期间，被相关行政部门行政处罚，且未按要求整改的。</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30天内连续被主流媒体（报刊、电视台、广播等）曝光3次、或被自治区及以上部门领导批评2次、或市级主要领导批评3次、或区级主要领导批评5次及以上的，强制解除承包合同，由环卫所重新接管所有承包工作。</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（12）其他未尽情形以合同约定为准。</w:t>
      </w:r>
    </w:p>
    <w:p>
      <w:pPr>
        <w:pStyle w:val="2"/>
        <w:spacing w:line="460" w:lineRule="exact"/>
        <w:ind w:left="0" w:leftChars="0" w:firstLine="48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、考核组成员</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由住建局、乡村办（风貌办）、环卫所和承包公司等单位进行考核。</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、经费拨付方式</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根据考评小组考评情况，按月考评等级，除扣罚款项外其它按考评等级分月拨付，于次月10日前拨付上月承包经费。</w:t>
      </w:r>
    </w:p>
    <w:p>
      <w:pPr>
        <w:pStyle w:val="2"/>
        <w:spacing w:line="460" w:lineRule="exact"/>
        <w:ind w:left="0" w:leftChars="0" w:firstLine="48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、发包方和承包方的权利和义务</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10.1</w:t>
      </w:r>
      <w:r>
        <w:rPr>
          <w:rFonts w:hint="eastAsia" w:ascii="宋体" w:hAnsi="宋体" w:eastAsia="宋体" w:cs="宋体"/>
          <w:color w:val="auto"/>
          <w:sz w:val="21"/>
          <w:szCs w:val="21"/>
          <w:highlight w:val="none"/>
          <w:lang w:eastAsia="zh-CN"/>
        </w:rPr>
        <w:t>发包方的权利和义务</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审定承包方拟定的项目市场化实施方案及各项管理制度。</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10.1.</w:t>
      </w:r>
      <w:r>
        <w:rPr>
          <w:rFonts w:hint="eastAsia" w:ascii="宋体" w:hAnsi="宋体" w:eastAsia="宋体" w:cs="宋体"/>
          <w:color w:val="auto"/>
          <w:sz w:val="21"/>
          <w:szCs w:val="21"/>
          <w:highlight w:val="none"/>
          <w:lang w:eastAsia="zh-CN"/>
        </w:rPr>
        <w:t>2.对承包方的服务内容质量进行检查监督，并按照市场化承包方案中的各项承包管理规定、作业质量考核办法，对承包方的市场化服务质量，实行定期或不定期地检查考核，对不符合同约定的服务质量，提出改进意见和进行扣罚。</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10.1.</w:t>
      </w:r>
      <w:r>
        <w:rPr>
          <w:rFonts w:hint="eastAsia" w:ascii="宋体" w:hAnsi="宋体" w:eastAsia="宋体" w:cs="宋体"/>
          <w:color w:val="auto"/>
          <w:sz w:val="21"/>
          <w:szCs w:val="21"/>
          <w:highlight w:val="none"/>
          <w:lang w:eastAsia="zh-CN"/>
        </w:rPr>
        <w:t>3在合同期限内，发包方依照管理考核办法进行综合考评确定考评成绩，根据考评分数核拨服务经费，次月向承包方支付上月的市场化服务经费。</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lang w:eastAsia="zh-CN"/>
        </w:rPr>
        <w:t>承包方的权利和义务</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lang w:eastAsia="zh-CN"/>
        </w:rPr>
        <w:t>1发包方每月扣除承包方当月市场化服务经费的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作为履约保证金，如在承包期间发生违约现象的则根据相关规定扣除相应的违约金，履约保证金按一年（12个月）结算一次，当年的履约保证金结算清楚后如有结余的，在第13个月转给承包方；如在每年承包期间未发生违约情况的，按每年结算一次全额无息支付给承包方。</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lang w:eastAsia="zh-CN"/>
        </w:rPr>
        <w:t>2在确保市场化服务质量达标的前提下，承包方自行招聘项目作业人员，项目作业人员的基本工资核发不能低于来宾市人民政府当年核定的最低工资标准，同时按相关规定发放环卫岗位津贴、法定节日加班费等，必须依法为所聘环卫作业人员办理各项社会保险。</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lang w:eastAsia="zh-CN"/>
        </w:rPr>
        <w:t>3承包方指定专人对市场化服务工作进行管理，并保证其在发包方的指导下开展业务，接受发包方的监督，定期向发包方汇报各项环卫工作情况，并积极配合发包方开展相关活动。</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lang w:eastAsia="zh-CN"/>
        </w:rPr>
        <w:t>4遵守发包方的管理规章制度，加强项目作业人员安全生产教育，督促项目作业人员按时到岗到位，保障承包各板块工作正常开展，作业质量效果好。</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lang w:eastAsia="zh-CN"/>
        </w:rPr>
        <w:t>5遇到突发事件和重大环卫检查活动时，承包方必须服从发包方的工作调配，确保市场化服务范围的作业质量达到检查要求，发包方不另增补经费。</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lang w:eastAsia="zh-CN"/>
        </w:rPr>
        <w:t>6作业工具由承包方自行解决。工具的存放必须定位、隐蔽、摆放整齐，车辆应保持外观整洁无破损，反光标志保持清晰无破损。</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lang w:eastAsia="zh-CN"/>
        </w:rPr>
        <w:t>7在承包期内应依法管理和履行职责，聘请的所有人员因发生交通伤亡、治安、刑事案件和各种不可预见事故等问题所需的生病治疗、住院的费用，由承包方全部承担。</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、劳动保障监管</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sz w:val="21"/>
          <w:szCs w:val="21"/>
          <w:highlight w:val="none"/>
          <w:lang w:eastAsia="zh-CN"/>
        </w:rPr>
        <w:t>承包方应当对依法与项目从业人员签订劳动合同。按照规定进行劳动用工备案和集体合同备案。</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11.2</w:t>
      </w:r>
      <w:r>
        <w:rPr>
          <w:rFonts w:hint="eastAsia" w:ascii="宋体" w:hAnsi="宋体" w:eastAsia="宋体" w:cs="宋体"/>
          <w:color w:val="auto"/>
          <w:sz w:val="21"/>
          <w:szCs w:val="21"/>
          <w:highlight w:val="none"/>
          <w:lang w:eastAsia="zh-CN"/>
        </w:rPr>
        <w:t>承包方对从业人员实行岗前教育和职业技能培训制度。</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承包方应当在开展作业前，组织项目作业人员参加有关福利待遇、安全生产、环卫工人合法权益等相关法律法规的学习和业务培训，持卡（证）上岗。</w:t>
      </w:r>
    </w:p>
    <w:p>
      <w:pPr>
        <w:pStyle w:val="2"/>
        <w:spacing w:line="460" w:lineRule="exact"/>
        <w:ind w:left="0" w:leftChars="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11.3</w:t>
      </w:r>
      <w:r>
        <w:rPr>
          <w:rFonts w:hint="eastAsia" w:ascii="宋体" w:hAnsi="宋体" w:eastAsia="宋体" w:cs="宋体"/>
          <w:color w:val="auto"/>
          <w:sz w:val="21"/>
          <w:szCs w:val="21"/>
          <w:highlight w:val="none"/>
          <w:lang w:eastAsia="zh-CN"/>
        </w:rPr>
        <w:t>承包方应当每年不少于一次组织项目作业人员到本市区级以上的医疗机构进行健康检查。</w:t>
      </w: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spacing w:line="460" w:lineRule="exact"/>
        <w:ind w:left="0" w:leftChars="0" w:firstLine="480"/>
        <w:rPr>
          <w:rFonts w:hint="eastAsia" w:ascii="宋体" w:hAnsi="宋体" w:eastAsia="宋体" w:cs="宋体"/>
          <w:color w:val="auto"/>
          <w:sz w:val="21"/>
          <w:szCs w:val="21"/>
          <w:highlight w:val="none"/>
          <w:lang w:eastAsia="zh-CN"/>
        </w:rPr>
      </w:pPr>
    </w:p>
    <w:p>
      <w:pPr>
        <w:pStyle w:val="2"/>
        <w:tabs>
          <w:tab w:val="left" w:pos="1810"/>
        </w:tabs>
        <w:spacing w:line="460" w:lineRule="exact"/>
        <w:ind w:left="0" w:leftChars="0" w:firstLine="0" w:firstLineChars="0"/>
        <w:rPr>
          <w:rFonts w:hint="eastAsia" w:ascii="宋体" w:hAnsi="宋体" w:eastAsia="宋体" w:cs="宋体"/>
          <w:color w:val="auto"/>
          <w:sz w:val="21"/>
          <w:szCs w:val="21"/>
          <w:highlight w:val="none"/>
          <w:lang w:eastAsia="zh-CN"/>
        </w:rPr>
      </w:pPr>
    </w:p>
    <w:p>
      <w:pPr>
        <w:pStyle w:val="2"/>
        <w:numPr>
          <w:ilvl w:val="0"/>
          <w:numId w:val="3"/>
        </w:numPr>
        <w:spacing w:line="460" w:lineRule="exact"/>
        <w:ind w:left="0" w:lef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评标办法及评分标准（综合评分法）</w:t>
      </w:r>
    </w:p>
    <w:p>
      <w:pPr>
        <w:pStyle w:val="2"/>
        <w:numPr>
          <w:ilvl w:val="0"/>
          <w:numId w:val="0"/>
        </w:numPr>
        <w:spacing w:line="460" w:lineRule="exact"/>
        <w:ind w:leftChars="0"/>
        <w:jc w:val="both"/>
        <w:rPr>
          <w:rFonts w:hint="eastAsia" w:ascii="宋体" w:hAnsi="宋体" w:eastAsia="宋体" w:cs="宋体"/>
          <w:b/>
          <w:bCs/>
          <w:color w:val="auto"/>
          <w:sz w:val="36"/>
          <w:szCs w:val="36"/>
          <w:highlight w:val="none"/>
        </w:rPr>
      </w:pPr>
    </w:p>
    <w:p>
      <w:pPr>
        <w:pStyle w:val="24"/>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一、评标原则</w:t>
      </w:r>
    </w:p>
    <w:p>
      <w:pPr>
        <w:spacing w:line="440" w:lineRule="exact"/>
        <w:ind w:firstLine="420"/>
        <w:rPr>
          <w:color w:val="auto"/>
          <w:szCs w:val="21"/>
          <w:highlight w:val="none"/>
        </w:rPr>
      </w:pPr>
      <w:r>
        <w:rPr>
          <w:rFonts w:hint="eastAsia"/>
          <w:color w:val="auto"/>
          <w:szCs w:val="21"/>
          <w:highlight w:val="none"/>
        </w:rPr>
        <w:t>（一）评委构成：本招标项目的评标委员会由采购人代表和政府采购评审专家组成，成员人数应当为7人以上（含7人）单数。其中，政府采购评审专家不得少于成员总数的三分之二。</w:t>
      </w:r>
    </w:p>
    <w:p>
      <w:pPr>
        <w:spacing w:line="440" w:lineRule="exact"/>
        <w:ind w:firstLine="420"/>
        <w:rPr>
          <w:color w:val="auto"/>
          <w:szCs w:val="21"/>
          <w:highlight w:val="none"/>
        </w:rPr>
      </w:pPr>
      <w:r>
        <w:rPr>
          <w:rFonts w:hint="eastAsia"/>
          <w:color w:val="auto"/>
          <w:szCs w:val="21"/>
          <w:highlight w:val="none"/>
        </w:rPr>
        <w:t>（二）评标依据：评标委员会以招标文件为依据，对通过资格审查的投标文件进行符合性审查，对投标人的价格、技术分、商务分等方面按百分制打分，其中价格分10分，技术分</w:t>
      </w:r>
      <w:r>
        <w:rPr>
          <w:rFonts w:hint="eastAsia"/>
          <w:color w:val="auto"/>
          <w:szCs w:val="21"/>
          <w:highlight w:val="none"/>
          <w:lang w:val="en-US" w:eastAsia="zh-CN"/>
        </w:rPr>
        <w:t>7</w:t>
      </w:r>
      <w:r>
        <w:rPr>
          <w:rFonts w:hint="eastAsia"/>
          <w:color w:val="auto"/>
          <w:szCs w:val="21"/>
          <w:highlight w:val="none"/>
        </w:rPr>
        <w:t>0分，商务分</w:t>
      </w:r>
      <w:r>
        <w:rPr>
          <w:rFonts w:hint="eastAsia"/>
          <w:color w:val="auto"/>
          <w:szCs w:val="21"/>
          <w:highlight w:val="none"/>
          <w:lang w:val="en-US" w:eastAsia="zh-CN"/>
        </w:rPr>
        <w:t>2</w:t>
      </w:r>
      <w:r>
        <w:rPr>
          <w:rFonts w:hint="eastAsia"/>
          <w:color w:val="auto"/>
          <w:szCs w:val="21"/>
          <w:highlight w:val="none"/>
        </w:rPr>
        <w:t>0分。</w:t>
      </w:r>
    </w:p>
    <w:p>
      <w:pPr>
        <w:pStyle w:val="24"/>
        <w:spacing w:line="440" w:lineRule="exact"/>
        <w:rPr>
          <w:color w:val="auto"/>
          <w:sz w:val="21"/>
          <w:szCs w:val="21"/>
          <w:highlight w:val="none"/>
        </w:rPr>
      </w:pPr>
      <w:r>
        <w:rPr>
          <w:rFonts w:hint="eastAsia"/>
          <w:color w:val="auto"/>
          <w:sz w:val="21"/>
          <w:szCs w:val="21"/>
          <w:highlight w:val="none"/>
        </w:rPr>
        <w:t>　　(三)</w:t>
      </w:r>
      <w:r>
        <w:rPr>
          <w:rFonts w:hint="eastAsia"/>
          <w:color w:val="auto"/>
          <w:kern w:val="2"/>
          <w:sz w:val="21"/>
          <w:szCs w:val="21"/>
          <w:highlight w:val="none"/>
        </w:rPr>
        <w:t>评标方式：以封闭方式进行。</w:t>
      </w:r>
    </w:p>
    <w:p>
      <w:pPr>
        <w:pStyle w:val="24"/>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二、评分标准</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（一）对进入详评的，采用百分制综合评分法。</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（二）计分办法（按四舍五入取至百分位）</w:t>
      </w:r>
    </w:p>
    <w:p>
      <w:pPr>
        <w:pStyle w:val="24"/>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1、价格分 ………………………………………………………………………………</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10分</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（1）以进入评标的最低评标报价为10分。</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政府采购促进中小企业发展暂行办法》（财库[2011]181号），投标单位认定为小型和微型企业的（以投标文件提供相关职能部门出具的有效证明文件及中小企业声明函为准)，并提供本企业制造的货物，由本企业承担工程、提供服务，或者提供其他小型、微型企业制造的货物的（不包括使用大型企业注册商标的货物），对投标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%的扣除，扣除后的价格为评标报价，即评标报价=投标价×（1-</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大中型企业与小型、微型企业组成联合体投标，其中小型、微型企业的协议合同金额占到联合体协议合同总金额30%以上的，联合体投标价给予2%的扣除，扣除后的价格为评标价，即评标报价=投标价×（1-2%）；</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4"/>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对于不属于以上情形的投标人，评标报价=投标价。</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某投标人价格分 =（投标人最低评标报价÷某投标人评标报价）×10分。</w:t>
      </w:r>
    </w:p>
    <w:p>
      <w:pPr>
        <w:pStyle w:val="24"/>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2、技术分……………………………………………………………………………………</w:t>
      </w:r>
      <w:r>
        <w:rPr>
          <w:rFonts w:hint="eastAsia" w:ascii="宋体" w:hAnsi="宋体" w:eastAsia="宋体" w:cs="宋体"/>
          <w:b/>
          <w:bCs/>
          <w:color w:val="auto"/>
          <w:sz w:val="21"/>
          <w:szCs w:val="21"/>
          <w:highlight w:val="none"/>
          <w:lang w:val="en-US" w:eastAsia="zh-CN"/>
        </w:rPr>
        <w:t>70</w:t>
      </w:r>
      <w:r>
        <w:rPr>
          <w:rFonts w:hint="eastAsia" w:ascii="宋体" w:hAnsi="宋体" w:eastAsia="宋体" w:cs="宋体"/>
          <w:b/>
          <w:bCs/>
          <w:color w:val="auto"/>
          <w:sz w:val="21"/>
          <w:szCs w:val="21"/>
          <w:highlight w:val="none"/>
        </w:rPr>
        <w:t>分</w:t>
      </w:r>
    </w:p>
    <w:p>
      <w:pPr>
        <w:pStyle w:val="24"/>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根据投标人针对本项目提供的垃圾处理工作流程方案、项目整体管理方案、应急事件处理方案、服务承诺方案的内容做出</w:t>
      </w:r>
      <w:r>
        <w:rPr>
          <w:rFonts w:hint="eastAsia" w:ascii="宋体" w:hAnsi="宋体" w:cs="宋体"/>
          <w:color w:val="auto"/>
          <w:sz w:val="21"/>
          <w:szCs w:val="21"/>
          <w:highlight w:val="none"/>
          <w:lang w:eastAsia="zh-CN"/>
        </w:rPr>
        <w:t>比较</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由</w:t>
      </w:r>
      <w:r>
        <w:rPr>
          <w:rFonts w:hint="eastAsia" w:ascii="宋体" w:hAnsi="宋体" w:eastAsia="宋体" w:cs="宋体"/>
          <w:color w:val="auto"/>
          <w:sz w:val="21"/>
          <w:szCs w:val="21"/>
          <w:highlight w:val="none"/>
          <w:lang w:eastAsia="zh-CN"/>
        </w:rPr>
        <w:t>评委独立评定打分，最终取平均值计算出各投标人的得分。</w:t>
      </w:r>
    </w:p>
    <w:p>
      <w:pPr>
        <w:pStyle w:val="24"/>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（1）垃圾处理工作流程方案分……………………………………………………………</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p>
      <w:pPr>
        <w:pStyle w:val="24"/>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分）：对项目技术环境及情况基本了解，</w:t>
      </w:r>
      <w:r>
        <w:rPr>
          <w:rFonts w:hint="eastAsia" w:ascii="宋体" w:hAnsi="宋体" w:cs="宋体"/>
          <w:color w:val="auto"/>
          <w:sz w:val="21"/>
          <w:szCs w:val="21"/>
          <w:highlight w:val="none"/>
          <w:lang w:eastAsia="zh-CN"/>
        </w:rPr>
        <w:t>垃圾处理工作流程</w:t>
      </w:r>
      <w:r>
        <w:rPr>
          <w:rFonts w:hint="eastAsia" w:ascii="宋体" w:hAnsi="宋体" w:eastAsia="宋体" w:cs="宋体"/>
          <w:color w:val="auto"/>
          <w:sz w:val="21"/>
          <w:szCs w:val="21"/>
          <w:highlight w:val="none"/>
        </w:rPr>
        <w:t>思路及需求分析基本符合要求，方案基本可行</w:t>
      </w:r>
      <w:r>
        <w:rPr>
          <w:rFonts w:hint="eastAsia" w:ascii="宋体" w:hAnsi="宋体" w:cs="宋体"/>
          <w:color w:val="auto"/>
          <w:sz w:val="21"/>
          <w:szCs w:val="21"/>
          <w:highlight w:val="none"/>
          <w:lang w:eastAsia="zh-CN"/>
        </w:rPr>
        <w:t>；</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分）：对项目技术环境及情况基本了解，垃圾处理工作流程思路及需求分析</w:t>
      </w:r>
      <w:r>
        <w:rPr>
          <w:rFonts w:hint="eastAsia" w:ascii="宋体" w:hAnsi="宋体" w:cs="宋体"/>
          <w:color w:val="auto"/>
          <w:sz w:val="21"/>
          <w:szCs w:val="21"/>
          <w:highlight w:val="none"/>
          <w:lang w:eastAsia="zh-CN"/>
        </w:rPr>
        <w:t>基本</w:t>
      </w:r>
      <w:r>
        <w:rPr>
          <w:rFonts w:hint="eastAsia" w:ascii="宋体" w:hAnsi="宋体" w:eastAsia="宋体" w:cs="宋体"/>
          <w:color w:val="auto"/>
          <w:sz w:val="21"/>
          <w:szCs w:val="21"/>
          <w:highlight w:val="none"/>
        </w:rPr>
        <w:t>符合要求，服务方案比较详细，较可行；</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分）：对项目技术环境及情况了解，垃圾处理工作流程思路及需求分析</w:t>
      </w:r>
      <w:r>
        <w:rPr>
          <w:rFonts w:hint="eastAsia" w:ascii="宋体" w:hAnsi="宋体" w:cs="宋体"/>
          <w:color w:val="auto"/>
          <w:sz w:val="21"/>
          <w:szCs w:val="21"/>
          <w:highlight w:val="none"/>
          <w:lang w:eastAsia="zh-CN"/>
        </w:rPr>
        <w:t>符合要求</w:t>
      </w:r>
      <w:r>
        <w:rPr>
          <w:rFonts w:hint="eastAsia" w:ascii="宋体" w:hAnsi="宋体" w:eastAsia="宋体" w:cs="宋体"/>
          <w:color w:val="auto"/>
          <w:sz w:val="21"/>
          <w:szCs w:val="21"/>
          <w:highlight w:val="none"/>
        </w:rPr>
        <w:t>，处理效果</w:t>
      </w:r>
      <w:r>
        <w:rPr>
          <w:rFonts w:hint="eastAsia" w:ascii="宋体" w:hAnsi="宋体" w:cs="宋体"/>
          <w:color w:val="auto"/>
          <w:sz w:val="21"/>
          <w:szCs w:val="21"/>
          <w:highlight w:val="none"/>
          <w:lang w:eastAsia="zh-CN"/>
        </w:rPr>
        <w:t>合理，服务方</w:t>
      </w:r>
      <w:r>
        <w:rPr>
          <w:rFonts w:hint="eastAsia" w:ascii="宋体" w:hAnsi="宋体" w:eastAsia="宋体" w:cs="宋体"/>
          <w:color w:val="auto"/>
          <w:sz w:val="21"/>
          <w:szCs w:val="21"/>
          <w:highlight w:val="none"/>
        </w:rPr>
        <w:t>案详细、完整。</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分）：对项目环境及情况把握准确，垃圾处理工作流程思路清晰，需求分析合理，处理效果好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污染少</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eastAsia="zh-CN"/>
        </w:rPr>
        <w:t>详细、具体、完整、可行、有针对性</w:t>
      </w:r>
      <w:r>
        <w:rPr>
          <w:rFonts w:hint="eastAsia" w:ascii="宋体" w:hAnsi="宋体" w:eastAsia="宋体" w:cs="宋体"/>
          <w:color w:val="auto"/>
          <w:sz w:val="21"/>
          <w:szCs w:val="21"/>
          <w:highlight w:val="none"/>
        </w:rPr>
        <w:t>。</w:t>
      </w:r>
    </w:p>
    <w:p>
      <w:pPr>
        <w:pStyle w:val="24"/>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（2）项目整体管理方案分…………………………………………………………………1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分）：投标人对整个项目理解不充分，整个项目的管理方式不科学合理、工作安排计划不周密详尽，基本满足招标人招标文件要求。</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分）：投标人对整个项目理解较充分，整个项目的管理方式较合理、工作安排计划基本可行，提出管理办法，</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满足招标人招标文件要求。</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分）：投标人对整个项目理解充分，整个项目的管理方式合理、工作安排计划可行、项目实施方案、合理、可行，管理办法、安全、完全满足招标人招标文件要求。</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分）：投标人对整个项目理解充分，整个项目的管理方式科学合理、工作安排计划周密详尽、项目实施方案完善、合理、可行，管理办法科学、有效、安全、完全满足并优于招标人招标文件要求。</w:t>
      </w:r>
    </w:p>
    <w:p>
      <w:pPr>
        <w:pStyle w:val="24"/>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（3）应急事件处理方案分…………………………………………………………………1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分）：应急事件处理方案方案简单，不具体，</w:t>
      </w:r>
      <w:r>
        <w:rPr>
          <w:rFonts w:hint="eastAsia" w:ascii="宋体" w:hAnsi="宋体" w:eastAsia="宋体" w:cs="宋体"/>
          <w:color w:val="auto"/>
          <w:sz w:val="21"/>
          <w:szCs w:val="21"/>
          <w:highlight w:val="none"/>
          <w:lang w:eastAsia="zh-CN"/>
        </w:rPr>
        <w:t>没有操作性</w:t>
      </w:r>
      <w:r>
        <w:rPr>
          <w:rFonts w:hint="eastAsia" w:ascii="宋体" w:hAnsi="宋体" w:eastAsia="宋体" w:cs="宋体"/>
          <w:color w:val="auto"/>
          <w:sz w:val="21"/>
          <w:szCs w:val="21"/>
          <w:highlight w:val="none"/>
        </w:rPr>
        <w:t>；</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分）：应急事件处理方案比较详细、可行，</w:t>
      </w:r>
      <w:r>
        <w:rPr>
          <w:rFonts w:hint="eastAsia" w:ascii="宋体" w:hAnsi="宋体" w:eastAsia="宋体" w:cs="宋体"/>
          <w:color w:val="auto"/>
          <w:sz w:val="21"/>
          <w:szCs w:val="21"/>
          <w:highlight w:val="none"/>
          <w:lang w:eastAsia="zh-CN"/>
        </w:rPr>
        <w:t>基本有操作性</w:t>
      </w:r>
      <w:r>
        <w:rPr>
          <w:rFonts w:hint="eastAsia" w:ascii="宋体" w:hAnsi="宋体" w:eastAsia="宋体" w:cs="宋体"/>
          <w:color w:val="auto"/>
          <w:sz w:val="21"/>
          <w:szCs w:val="21"/>
          <w:highlight w:val="none"/>
        </w:rPr>
        <w:t>；</w:t>
      </w:r>
    </w:p>
    <w:p>
      <w:pPr>
        <w:pStyle w:val="2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分）：应急事件处理方案详细、具体，可行，预案处置场地</w:t>
      </w:r>
      <w:r>
        <w:rPr>
          <w:rFonts w:hint="eastAsia" w:ascii="宋体" w:hAnsi="宋体" w:eastAsia="宋体" w:cs="宋体"/>
          <w:color w:val="auto"/>
          <w:sz w:val="21"/>
          <w:szCs w:val="21"/>
          <w:highlight w:val="none"/>
          <w:lang w:eastAsia="zh-CN"/>
        </w:rPr>
        <w:t>较</w:t>
      </w:r>
      <w:r>
        <w:rPr>
          <w:rFonts w:hint="eastAsia" w:ascii="宋体" w:hAnsi="宋体" w:eastAsia="宋体" w:cs="宋体"/>
          <w:color w:val="auto"/>
          <w:sz w:val="21"/>
          <w:szCs w:val="21"/>
          <w:highlight w:val="none"/>
        </w:rPr>
        <w:t>合理、预案处置</w:t>
      </w:r>
      <w:r>
        <w:rPr>
          <w:rFonts w:hint="eastAsia" w:ascii="宋体" w:hAnsi="宋体" w:eastAsia="宋体" w:cs="宋体"/>
          <w:color w:val="auto"/>
          <w:sz w:val="21"/>
          <w:szCs w:val="21"/>
          <w:highlight w:val="none"/>
          <w:lang w:eastAsia="zh-CN"/>
        </w:rPr>
        <w:t>可行</w:t>
      </w:r>
      <w:r>
        <w:rPr>
          <w:rFonts w:hint="eastAsia" w:ascii="宋体" w:hAnsi="宋体" w:eastAsia="宋体" w:cs="宋体"/>
          <w:color w:val="auto"/>
          <w:sz w:val="21"/>
          <w:szCs w:val="21"/>
          <w:highlight w:val="none"/>
        </w:rPr>
        <w:t>；</w:t>
      </w:r>
    </w:p>
    <w:p>
      <w:pPr>
        <w:pStyle w:val="24"/>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档（1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分）：应急事件处理方案详细、具体</w:t>
      </w:r>
      <w:r>
        <w:rPr>
          <w:rFonts w:hint="eastAsia" w:ascii="宋体" w:hAnsi="宋体" w:eastAsia="宋体" w:cs="宋体"/>
          <w:color w:val="auto"/>
          <w:sz w:val="21"/>
          <w:szCs w:val="21"/>
          <w:highlight w:val="none"/>
          <w:lang w:eastAsia="zh-CN"/>
        </w:rPr>
        <w:t>优秀</w:t>
      </w:r>
      <w:r>
        <w:rPr>
          <w:rFonts w:hint="eastAsia" w:ascii="宋体" w:hAnsi="宋体" w:eastAsia="宋体" w:cs="宋体"/>
          <w:color w:val="auto"/>
          <w:sz w:val="21"/>
          <w:szCs w:val="21"/>
          <w:highlight w:val="none"/>
        </w:rPr>
        <w:t>可行，预案处置场地</w:t>
      </w:r>
      <w:r>
        <w:rPr>
          <w:rFonts w:hint="eastAsia" w:ascii="宋体" w:hAnsi="宋体" w:eastAsia="宋体" w:cs="宋体"/>
          <w:color w:val="auto"/>
          <w:sz w:val="21"/>
          <w:szCs w:val="21"/>
          <w:highlight w:val="none"/>
          <w:lang w:eastAsia="zh-CN"/>
        </w:rPr>
        <w:t>合理</w:t>
      </w:r>
      <w:r>
        <w:rPr>
          <w:rFonts w:hint="eastAsia" w:ascii="宋体" w:hAnsi="宋体" w:eastAsia="宋体" w:cs="宋体"/>
          <w:color w:val="auto"/>
          <w:sz w:val="21"/>
          <w:szCs w:val="21"/>
          <w:highlight w:val="none"/>
        </w:rPr>
        <w:t>、预案处置能力强</w:t>
      </w:r>
      <w:r>
        <w:rPr>
          <w:rFonts w:hint="eastAsia" w:ascii="宋体" w:hAnsi="宋体" w:eastAsia="宋体" w:cs="宋体"/>
          <w:color w:val="auto"/>
          <w:sz w:val="21"/>
          <w:szCs w:val="21"/>
          <w:highlight w:val="none"/>
          <w:lang w:eastAsia="zh-CN"/>
        </w:rPr>
        <w:t>。</w:t>
      </w:r>
    </w:p>
    <w:p>
      <w:pPr>
        <w:pStyle w:val="24"/>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（4）服务承诺方案分 ……………………………………………………………………</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p>
      <w:pPr>
        <w:pStyle w:val="24"/>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分）：项目服务承诺方案比较简单，不具体，服务承诺的措施不完善，可操作性</w:t>
      </w:r>
      <w:r>
        <w:rPr>
          <w:rFonts w:hint="eastAsia" w:ascii="宋体" w:hAnsi="宋体" w:eastAsia="宋体" w:cs="宋体"/>
          <w:color w:val="auto"/>
          <w:sz w:val="21"/>
          <w:szCs w:val="21"/>
          <w:highlight w:val="none"/>
          <w:lang w:eastAsia="zh-CN"/>
        </w:rPr>
        <w:t>不高</w:t>
      </w:r>
      <w:r>
        <w:rPr>
          <w:rFonts w:hint="eastAsia" w:ascii="宋体" w:hAnsi="宋体" w:eastAsia="宋体" w:cs="宋体"/>
          <w:color w:val="auto"/>
          <w:sz w:val="21"/>
          <w:szCs w:val="21"/>
          <w:highlight w:val="none"/>
        </w:rPr>
        <w:t>。</w:t>
      </w:r>
    </w:p>
    <w:p>
      <w:pPr>
        <w:pStyle w:val="24"/>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 分）：项目服务承诺方案比较详细、可行、不够完整，服务承诺的措施较完善，可操作性较强。</w:t>
      </w:r>
    </w:p>
    <w:p>
      <w:pPr>
        <w:pStyle w:val="24"/>
        <w:keepNext w:val="0"/>
        <w:keepLines w:val="0"/>
        <w:pageBreakBefore w:val="0"/>
        <w:widowControl w:val="0"/>
        <w:kinsoku/>
        <w:wordWrap/>
        <w:overflowPunct/>
        <w:topLinePunct w:val="0"/>
        <w:autoSpaceDE/>
        <w:autoSpaceDN/>
        <w:bidi w:val="0"/>
        <w:adjustRightInd/>
        <w:snapToGrid/>
        <w:spacing w:line="420" w:lineRule="exact"/>
        <w:ind w:firstLine="4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 xml:space="preserve"> 分）：项目服务承诺方案完整详细、可行性</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，服务承诺的措施</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完善，可操作性强。</w:t>
      </w:r>
    </w:p>
    <w:p>
      <w:pPr>
        <w:pStyle w:val="24"/>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分）：项目服务承诺方案完整详细、</w:t>
      </w:r>
      <w:r>
        <w:rPr>
          <w:rFonts w:hint="eastAsia" w:ascii="宋体" w:hAnsi="宋体" w:eastAsia="宋体" w:cs="宋体"/>
          <w:color w:val="auto"/>
          <w:sz w:val="21"/>
          <w:szCs w:val="21"/>
          <w:highlight w:val="none"/>
          <w:lang w:eastAsia="zh-CN"/>
        </w:rPr>
        <w:t>实行</w:t>
      </w:r>
      <w:r>
        <w:rPr>
          <w:rFonts w:hint="eastAsia" w:ascii="宋体" w:hAnsi="宋体" w:eastAsia="宋体" w:cs="宋体"/>
          <w:color w:val="auto"/>
          <w:sz w:val="21"/>
          <w:szCs w:val="21"/>
          <w:highlight w:val="none"/>
        </w:rPr>
        <w:t>可行性高，服务承诺的措施</w:t>
      </w:r>
      <w:r>
        <w:rPr>
          <w:rFonts w:hint="eastAsia" w:ascii="宋体" w:hAnsi="宋体" w:eastAsia="宋体" w:cs="宋体"/>
          <w:color w:val="auto"/>
          <w:sz w:val="21"/>
          <w:szCs w:val="21"/>
          <w:highlight w:val="none"/>
          <w:lang w:eastAsia="zh-CN"/>
        </w:rPr>
        <w:t>及时</w:t>
      </w:r>
      <w:r>
        <w:rPr>
          <w:rFonts w:hint="eastAsia" w:ascii="宋体" w:hAnsi="宋体" w:eastAsia="宋体" w:cs="宋体"/>
          <w:color w:val="auto"/>
          <w:sz w:val="21"/>
          <w:szCs w:val="21"/>
          <w:highlight w:val="none"/>
        </w:rPr>
        <w:t>完善，可操作性强。</w:t>
      </w:r>
    </w:p>
    <w:p>
      <w:pPr>
        <w:pStyle w:val="24"/>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3、商务分…………………………………………………………………………………</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 xml:space="preserve"> 分</w:t>
      </w:r>
    </w:p>
    <w:p>
      <w:pPr>
        <w:pStyle w:val="24"/>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）类似业绩得分（满分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2018年1月1日至投标截止之日止，承接过类似项目业绩的得15分。</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注：①类似业绩是指生活垃圾处理项目；</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②须在投标文件中提供相应业绩的中标（成交）通知书及合同复印件并加盖投标人单位公章，否则不得分；</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③业绩中标（成交）通知书或合同须含有生活垃圾处理及填埋场渗滤液处理服务关联的服务类项目，原件核查，否则不得分。</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bookmarkStart w:id="128" w:name="_GoBack"/>
      <w:r>
        <w:rPr>
          <w:rFonts w:hint="eastAsia" w:ascii="宋体" w:hAnsi="宋体" w:eastAsia="宋体" w:cs="宋体"/>
          <w:color w:val="auto"/>
          <w:sz w:val="21"/>
          <w:szCs w:val="21"/>
          <w:highlight w:val="none"/>
          <w:lang w:val="en-US" w:eastAsia="zh-CN"/>
        </w:rPr>
        <w:t>（2）承接过类似项目的处理工艺为生物质热解气化，并且项目服务地获得国家生态文明建设示范市县称号的得5分。（提供合同复印件（原件核查）及国家授予生态文明建设示范市县证明材料（网页截图），不按要求提供的不计分）。</w:t>
      </w:r>
    </w:p>
    <w:bookmarkEnd w:id="128"/>
    <w:p>
      <w:pPr>
        <w:pStyle w:val="24"/>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注：以上所有提供的证明文件须是有效的证件复印件并加盖相应投标人公章为准，否则不记分。</w:t>
      </w:r>
    </w:p>
    <w:p>
      <w:pPr>
        <w:pStyle w:val="24"/>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三、综合得分 =1 + 2 + 3 </w:t>
      </w:r>
    </w:p>
    <w:p>
      <w:pPr>
        <w:pStyle w:val="24"/>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四、中标候选人推荐原则</w:t>
      </w:r>
    </w:p>
    <w:p>
      <w:pPr>
        <w:pStyle w:val="24"/>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（一）评标委员会将根据得分由高到低排列次序（得分相同时，以投标报价由低到高顺序排列；得分相同且投标报价相同的，按技术指标优劣顺序排列）并推荐</w:t>
      </w:r>
      <w:r>
        <w:rPr>
          <w:rFonts w:hint="eastAsia" w:ascii="宋体" w:hAnsi="宋体" w:cs="宋体"/>
          <w:color w:val="auto"/>
          <w:sz w:val="21"/>
          <w:szCs w:val="21"/>
          <w:highlight w:val="none"/>
          <w:lang w:val="en-US" w:eastAsia="zh-CN"/>
        </w:rPr>
        <w:t>3名</w:t>
      </w:r>
      <w:r>
        <w:rPr>
          <w:rFonts w:hint="eastAsia" w:ascii="宋体" w:hAnsi="宋体" w:eastAsia="宋体" w:cs="宋体"/>
          <w:color w:val="auto"/>
          <w:sz w:val="21"/>
          <w:szCs w:val="21"/>
          <w:highlight w:val="none"/>
        </w:rPr>
        <w:t>中标候选供应商。招标单位应当确定评</w:t>
      </w:r>
      <w:r>
        <w:rPr>
          <w:rFonts w:hint="eastAsia" w:ascii="宋体" w:hAnsi="宋体" w:cs="宋体"/>
          <w:color w:val="auto"/>
          <w:sz w:val="21"/>
          <w:szCs w:val="21"/>
          <w:highlight w:val="none"/>
          <w:lang w:eastAsia="zh-CN"/>
        </w:rPr>
        <w:t>标</w:t>
      </w:r>
      <w:r>
        <w:rPr>
          <w:rFonts w:hint="eastAsia" w:ascii="宋体" w:hAnsi="宋体" w:eastAsia="宋体" w:cs="宋体"/>
          <w:color w:val="auto"/>
          <w:sz w:val="21"/>
          <w:szCs w:val="21"/>
          <w:highlight w:val="none"/>
        </w:rPr>
        <w:t>委员会推荐排名第一的中标候选人为中标人。根据桂财采〔2016〕37号《关于做好政府采购有关信用主体标识码登记及在政府采购活动中查询使用信用记录有关问题的通知》相关规定，招标单位将对排名第一的中标候选人进行信用查询，如排名第一的中标候选人在中国政府采购网处于被暂停参加政府采购活动期间的，或排名第一的中标候选人放弃中标、因不可抗力提出不能履行合同，或者招标文件规定应当提交质量保证金而在规定的期限内未能提交的，招标单位可以确定排名第二的中标候选人为中标人。排名第二的中标候选人因前款规定的同样原因不能签订合同的，招标单位可以确定排名第三的中标候选人为中标人，其余以此类推。采购人也可以决定重新采购。</w:t>
      </w:r>
    </w:p>
    <w:p>
      <w:pPr>
        <w:pStyle w:val="24"/>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否则，评标委员会可以取消该供应商的中标候选资格，按顺序由排在后面的中标候选人递补，以此类推。</w:t>
      </w:r>
    </w:p>
    <w:p>
      <w:pPr>
        <w:pStyle w:val="24"/>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、说明</w:t>
      </w:r>
    </w:p>
    <w:p>
      <w:pPr>
        <w:pStyle w:val="24"/>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1、投标人应在投标文件中附上以上涉及的有关证书、文件、合同等的复印件。因投标人资料不全</w:t>
      </w:r>
    </w:p>
    <w:p>
      <w:pPr>
        <w:pStyle w:val="24"/>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或不清楚影响到最终得分的责任由投标人自负。</w:t>
      </w:r>
    </w:p>
    <w:p>
      <w:pPr>
        <w:pStyle w:val="24"/>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2、投标人一旦被发现有虚假响应情况，将被取消中标资格。</w:t>
      </w:r>
    </w:p>
    <w:bookmarkEnd w:id="103"/>
    <w:bookmarkEnd w:id="104"/>
    <w:bookmarkEnd w:id="105"/>
    <w:bookmarkEnd w:id="106"/>
    <w:bookmarkEnd w:id="107"/>
    <w:bookmarkEnd w:id="108"/>
    <w:bookmarkEnd w:id="109"/>
    <w:p>
      <w:pPr>
        <w:pStyle w:val="5"/>
        <w:spacing w:line="408" w:lineRule="auto"/>
        <w:jc w:val="center"/>
        <w:rPr>
          <w:rFonts w:hint="eastAsia" w:ascii="宋体" w:hAnsi="宋体" w:eastAsia="宋体" w:cs="宋体"/>
          <w:color w:val="auto"/>
          <w:highlight w:val="none"/>
        </w:rPr>
      </w:pPr>
      <w:bookmarkStart w:id="110" w:name="_Toc3836"/>
      <w:bookmarkStart w:id="111" w:name="_Toc463706303"/>
      <w:bookmarkStart w:id="112" w:name="_Toc155"/>
      <w:bookmarkStart w:id="113" w:name="_Toc13427"/>
      <w:bookmarkStart w:id="114" w:name="_Toc4308_WPSOffice_Level1"/>
      <w:bookmarkStart w:id="115" w:name="_Toc26499"/>
      <w:bookmarkStart w:id="116" w:name="_Toc531600012"/>
      <w:r>
        <w:rPr>
          <w:rFonts w:hint="eastAsia" w:ascii="宋体" w:hAnsi="宋体" w:eastAsia="宋体" w:cs="宋体"/>
          <w:color w:val="auto"/>
          <w:highlight w:val="none"/>
        </w:rPr>
        <w:t>第五章  合同条款及格式</w:t>
      </w:r>
    </w:p>
    <w:p>
      <w:pPr>
        <w:pStyle w:val="57"/>
        <w:ind w:firstLine="211"/>
        <w:rPr>
          <w:rFonts w:hint="eastAsia" w:ascii="宋体" w:hAnsi="宋体" w:eastAsia="宋体" w:cs="宋体"/>
          <w:b/>
          <w:color w:val="auto"/>
          <w:szCs w:val="21"/>
          <w:highlight w:val="none"/>
        </w:rPr>
      </w:pPr>
    </w:p>
    <w:p>
      <w:pPr>
        <w:pStyle w:val="57"/>
        <w:ind w:firstLine="211"/>
        <w:rPr>
          <w:rFonts w:hint="eastAsia" w:ascii="宋体" w:hAnsi="宋体" w:eastAsia="宋体" w:cs="宋体"/>
          <w:b/>
          <w:color w:val="auto"/>
          <w:szCs w:val="21"/>
          <w:highlight w:val="none"/>
        </w:rPr>
      </w:pPr>
    </w:p>
    <w:p>
      <w:pPr>
        <w:pStyle w:val="57"/>
        <w:ind w:firstLine="211"/>
        <w:rPr>
          <w:rFonts w:hint="eastAsia" w:ascii="宋体" w:hAnsi="宋体" w:eastAsia="宋体" w:cs="宋体"/>
          <w:b/>
          <w:color w:val="auto"/>
          <w:szCs w:val="21"/>
          <w:highlight w:val="none"/>
        </w:rPr>
      </w:pPr>
    </w:p>
    <w:p>
      <w:pPr>
        <w:pStyle w:val="57"/>
        <w:ind w:firstLine="211"/>
        <w:rPr>
          <w:rFonts w:hint="eastAsia" w:ascii="宋体" w:hAnsi="宋体" w:eastAsia="宋体" w:cs="宋体"/>
          <w:b/>
          <w:color w:val="auto"/>
          <w:szCs w:val="21"/>
          <w:highlight w:val="none"/>
        </w:rPr>
      </w:pPr>
    </w:p>
    <w:p>
      <w:pPr>
        <w:pStyle w:val="57"/>
        <w:ind w:firstLine="211"/>
        <w:rPr>
          <w:rFonts w:hint="eastAsia" w:ascii="宋体" w:hAnsi="宋体" w:eastAsia="宋体" w:cs="宋体"/>
          <w:b/>
          <w:color w:val="auto"/>
          <w:szCs w:val="21"/>
          <w:highlight w:val="none"/>
        </w:rPr>
      </w:pPr>
    </w:p>
    <w:p>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（项目名称）         </w:t>
      </w:r>
      <w:r>
        <w:rPr>
          <w:rFonts w:hint="eastAsia" w:ascii="宋体" w:hAnsi="宋体" w:eastAsia="宋体" w:cs="宋体"/>
          <w:b/>
          <w:bCs/>
          <w:color w:val="auto"/>
          <w:sz w:val="44"/>
          <w:highlight w:val="none"/>
        </w:rPr>
        <w:t>合同</w:t>
      </w:r>
    </w:p>
    <w:p>
      <w:pPr>
        <w:spacing w:line="360" w:lineRule="auto"/>
        <w:ind w:firstLine="420" w:firstLineChars="200"/>
        <w:rPr>
          <w:rFonts w:hint="eastAsia" w:ascii="宋体" w:hAnsi="宋体" w:eastAsia="宋体" w:cs="宋体"/>
          <w:color w:val="auto"/>
          <w:highlight w:val="none"/>
        </w:rPr>
      </w:pPr>
    </w:p>
    <w:p>
      <w:pPr>
        <w:spacing w:line="360" w:lineRule="auto"/>
        <w:ind w:firstLine="3507" w:firstLineChars="794"/>
        <w:rPr>
          <w:rFonts w:hint="eastAsia" w:ascii="宋体" w:hAnsi="宋体" w:eastAsia="宋体" w:cs="宋体"/>
          <w:b/>
          <w:bCs/>
          <w:color w:val="auto"/>
          <w:sz w:val="44"/>
          <w:highlight w:val="none"/>
        </w:rPr>
      </w:pPr>
    </w:p>
    <w:p>
      <w:pPr>
        <w:spacing w:line="360" w:lineRule="auto"/>
        <w:ind w:firstLine="3507" w:firstLineChars="794"/>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44"/>
          <w:highlight w:val="none"/>
        </w:rPr>
      </w:pPr>
    </w:p>
    <w:p>
      <w:pP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 xml:space="preserve">             项目编号：</w:t>
      </w:r>
      <w:r>
        <w:rPr>
          <w:rFonts w:hint="eastAsia" w:ascii="宋体" w:hAnsi="宋体" w:eastAsia="宋体" w:cs="宋体"/>
          <w:b/>
          <w:color w:val="auto"/>
          <w:sz w:val="36"/>
          <w:szCs w:val="36"/>
          <w:highlight w:val="none"/>
          <w:u w:val="single"/>
        </w:rPr>
        <w:t xml:space="preserve">                 </w:t>
      </w:r>
    </w:p>
    <w:p>
      <w:pP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 xml:space="preserve">             </w:t>
      </w:r>
    </w:p>
    <w:p>
      <w:pPr>
        <w:spacing w:line="360" w:lineRule="auto"/>
        <w:rPr>
          <w:rFonts w:hint="eastAsia" w:ascii="宋体" w:hAnsi="宋体" w:eastAsia="宋体" w:cs="宋体"/>
          <w:color w:val="auto"/>
          <w:sz w:val="44"/>
          <w:highlight w:val="none"/>
        </w:rPr>
      </w:pPr>
    </w:p>
    <w:p>
      <w:pPr>
        <w:pStyle w:val="24"/>
        <w:rPr>
          <w:rFonts w:hint="eastAsia" w:ascii="宋体" w:hAnsi="宋体" w:eastAsia="宋体" w:cs="宋体"/>
          <w:color w:val="auto"/>
          <w:sz w:val="44"/>
          <w:highlight w:val="none"/>
        </w:rPr>
      </w:pPr>
    </w:p>
    <w:p>
      <w:pPr>
        <w:pStyle w:val="24"/>
        <w:rPr>
          <w:rFonts w:hint="eastAsia" w:ascii="宋体" w:hAnsi="宋体" w:eastAsia="宋体" w:cs="宋体"/>
          <w:color w:val="auto"/>
          <w:sz w:val="44"/>
          <w:highlight w:val="none"/>
        </w:rPr>
      </w:pPr>
    </w:p>
    <w:p>
      <w:pPr>
        <w:pStyle w:val="24"/>
        <w:rPr>
          <w:rFonts w:hint="eastAsia" w:ascii="宋体" w:hAnsi="宋体" w:eastAsia="宋体" w:cs="宋体"/>
          <w:color w:val="auto"/>
          <w:sz w:val="44"/>
          <w:highlight w:val="none"/>
        </w:rPr>
      </w:pPr>
    </w:p>
    <w:p>
      <w:pPr>
        <w:pStyle w:val="24"/>
        <w:rPr>
          <w:rFonts w:hint="eastAsia" w:ascii="宋体" w:hAnsi="宋体" w:eastAsia="宋体" w:cs="宋体"/>
          <w:color w:val="auto"/>
          <w:sz w:val="44"/>
          <w:highlight w:val="none"/>
        </w:rPr>
      </w:pPr>
    </w:p>
    <w:p>
      <w:pPr>
        <w:pStyle w:val="24"/>
        <w:rPr>
          <w:rFonts w:hint="eastAsia" w:ascii="宋体" w:hAnsi="宋体" w:eastAsia="宋体" w:cs="宋体"/>
          <w:color w:val="auto"/>
          <w:sz w:val="44"/>
          <w:highlight w:val="none"/>
        </w:rPr>
      </w:pPr>
    </w:p>
    <w:p>
      <w:pPr>
        <w:tabs>
          <w:tab w:val="left" w:pos="7200"/>
        </w:tabs>
        <w:spacing w:line="360" w:lineRule="auto"/>
        <w:ind w:firstLine="1438" w:firstLineChars="398"/>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 xml:space="preserve">     采购人：</w:t>
      </w:r>
      <w:r>
        <w:rPr>
          <w:rFonts w:hint="eastAsia" w:ascii="宋体" w:hAnsi="宋体" w:eastAsia="宋体" w:cs="宋体"/>
          <w:b/>
          <w:color w:val="auto"/>
          <w:sz w:val="36"/>
          <w:szCs w:val="36"/>
          <w:highlight w:val="none"/>
          <w:u w:val="single"/>
        </w:rPr>
        <w:t xml:space="preserve">                   </w:t>
      </w:r>
    </w:p>
    <w:p>
      <w:pPr>
        <w:tabs>
          <w:tab w:val="left" w:pos="7380"/>
        </w:tabs>
        <w:spacing w:line="360" w:lineRule="auto"/>
        <w:ind w:firstLine="1438" w:firstLineChars="398"/>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 xml:space="preserve">     中标供应商：</w:t>
      </w:r>
      <w:r>
        <w:rPr>
          <w:rFonts w:hint="eastAsia" w:ascii="宋体" w:hAnsi="宋体" w:eastAsia="宋体" w:cs="宋体"/>
          <w:b/>
          <w:color w:val="auto"/>
          <w:sz w:val="36"/>
          <w:szCs w:val="36"/>
          <w:highlight w:val="none"/>
          <w:u w:val="single"/>
        </w:rPr>
        <w:t xml:space="preserve">          　　 </w:t>
      </w:r>
    </w:p>
    <w:p>
      <w:pPr>
        <w:spacing w:line="360" w:lineRule="auto"/>
        <w:ind w:firstLine="420" w:firstLineChars="200"/>
        <w:rPr>
          <w:rFonts w:hint="eastAsia" w:ascii="宋体" w:hAnsi="宋体" w:eastAsia="宋体" w:cs="宋体"/>
          <w:color w:val="auto"/>
          <w:highlight w:val="none"/>
        </w:rPr>
      </w:pPr>
    </w:p>
    <w:p>
      <w:pPr>
        <w:pStyle w:val="2"/>
        <w:rPr>
          <w:rFonts w:hint="eastAsia"/>
        </w:rPr>
      </w:pPr>
    </w:p>
    <w:p>
      <w:pPr>
        <w:pStyle w:val="57"/>
        <w:ind w:left="0" w:leftChars="0" w:firstLine="0" w:firstLineChars="0"/>
        <w:rPr>
          <w:rFonts w:hint="eastAsia" w:ascii="宋体" w:hAnsi="宋体" w:eastAsia="宋体" w:cs="宋体"/>
          <w:b/>
          <w:color w:val="auto"/>
          <w:szCs w:val="21"/>
          <w:highlight w:val="none"/>
        </w:rPr>
      </w:pPr>
    </w:p>
    <w:p>
      <w:pPr>
        <w:rPr>
          <w:rFonts w:hint="eastAsia" w:ascii="宋体" w:hAnsi="宋体" w:eastAsia="宋体" w:cs="宋体"/>
          <w:color w:val="auto"/>
          <w:highlight w:val="none"/>
        </w:rPr>
      </w:pPr>
    </w:p>
    <w:p>
      <w:pPr>
        <w:pStyle w:val="2"/>
        <w:rPr>
          <w:rFonts w:hint="eastAsia"/>
        </w:rPr>
      </w:pPr>
    </w:p>
    <w:p>
      <w:pPr>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政府采购合同书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rPr>
          <w:color w:val="auto"/>
          <w:highlight w:val="none"/>
        </w:rPr>
      </w:pP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合同编号：</w:t>
      </w:r>
    </w:p>
    <w:p>
      <w:pPr>
        <w:rPr>
          <w:rFonts w:hint="eastAsia" w:ascii="宋体" w:hAnsi="宋体" w:cs="宋体"/>
          <w:color w:val="auto"/>
          <w:highlight w:val="none"/>
        </w:rPr>
      </w:pPr>
      <w:r>
        <w:rPr>
          <w:rFonts w:hint="eastAsia" w:ascii="宋体" w:hAnsi="宋体" w:cs="宋体"/>
          <w:color w:val="auto"/>
          <w:highlight w:val="none"/>
        </w:rPr>
        <w:t>　　</w:t>
      </w:r>
    </w:p>
    <w:p>
      <w:pPr>
        <w:ind w:firstLine="420" w:firstLineChars="200"/>
        <w:rPr>
          <w:rFonts w:ascii="宋体" w:hAnsi="宋体" w:cs="宋体"/>
          <w:color w:val="auto"/>
          <w:highlight w:val="none"/>
        </w:rPr>
      </w:pPr>
      <w:r>
        <w:rPr>
          <w:rFonts w:hint="eastAsia" w:ascii="宋体" w:hAnsi="宋体" w:cs="宋体"/>
          <w:color w:val="auto"/>
          <w:highlight w:val="none"/>
        </w:rPr>
        <w:t>采购单位(甲方)：</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供应商(乙方)：</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签订地点:</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签订时间:</w:t>
      </w:r>
    </w:p>
    <w:p>
      <w:pPr>
        <w:pStyle w:val="24"/>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62"/>
          <w:rFonts w:hint="default" w:ascii="宋体" w:hAnsi="宋体" w:cs="宋体"/>
          <w:color w:val="auto"/>
          <w:sz w:val="21"/>
          <w:szCs w:val="21"/>
          <w:highlight w:val="none"/>
          <w:lang w:val="en-US" w:eastAsia="zh-CN"/>
        </w:rPr>
      </w:pPr>
      <w:r>
        <w:rPr>
          <w:rStyle w:val="62"/>
          <w:rFonts w:hint="eastAsia" w:ascii="宋体" w:hAnsi="宋体" w:cs="宋体"/>
          <w:color w:val="auto"/>
          <w:sz w:val="21"/>
          <w:szCs w:val="21"/>
          <w:highlight w:val="none"/>
          <w:lang w:val="en-US" w:eastAsia="zh-CN"/>
        </w:rPr>
        <w:t>一、项目概括</w:t>
      </w:r>
    </w:p>
    <w:p>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outlineLvl w:val="9"/>
        <w:rPr>
          <w:rStyle w:val="62"/>
          <w:rFonts w:hint="eastAsia" w:cs="宋体"/>
          <w:b w:val="0"/>
          <w:bCs w:val="0"/>
          <w:color w:val="auto"/>
          <w:sz w:val="21"/>
          <w:szCs w:val="21"/>
          <w:highlight w:val="none"/>
          <w:u w:val="none"/>
          <w:lang w:val="en-US" w:eastAsia="zh-CN"/>
        </w:rPr>
      </w:pPr>
      <w:r>
        <w:rPr>
          <w:rStyle w:val="62"/>
          <w:rFonts w:hint="eastAsia" w:cs="宋体"/>
          <w:b w:val="0"/>
          <w:bCs w:val="0"/>
          <w:color w:val="auto"/>
          <w:sz w:val="21"/>
          <w:szCs w:val="21"/>
          <w:highlight w:val="none"/>
          <w:lang w:val="en-US" w:eastAsia="zh-CN"/>
        </w:rPr>
        <w:t>项目名称：</w:t>
      </w:r>
      <w:r>
        <w:rPr>
          <w:rStyle w:val="62"/>
          <w:rFonts w:hint="eastAsia" w:cs="宋体"/>
          <w:b w:val="0"/>
          <w:bCs w:val="0"/>
          <w:color w:val="auto"/>
          <w:sz w:val="21"/>
          <w:szCs w:val="21"/>
          <w:highlight w:val="none"/>
          <w:u w:val="single"/>
          <w:lang w:val="en-US" w:eastAsia="zh-CN"/>
        </w:rPr>
        <w:t xml:space="preserve">              </w:t>
      </w:r>
    </w:p>
    <w:p>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outlineLvl w:val="9"/>
        <w:rPr>
          <w:rStyle w:val="62"/>
          <w:rFonts w:hint="eastAsia" w:cs="宋体"/>
          <w:b w:val="0"/>
          <w:bCs w:val="0"/>
          <w:color w:val="auto"/>
          <w:sz w:val="21"/>
          <w:szCs w:val="21"/>
          <w:highlight w:val="none"/>
          <w:u w:val="none"/>
          <w:lang w:val="en-US" w:eastAsia="zh-CN"/>
        </w:rPr>
      </w:pPr>
      <w:r>
        <w:rPr>
          <w:rStyle w:val="62"/>
          <w:rFonts w:hint="eastAsia" w:cs="宋体"/>
          <w:b w:val="0"/>
          <w:bCs w:val="0"/>
          <w:color w:val="auto"/>
          <w:sz w:val="21"/>
          <w:szCs w:val="21"/>
          <w:highlight w:val="none"/>
          <w:u w:val="none"/>
          <w:lang w:val="en-US" w:eastAsia="zh-CN"/>
        </w:rPr>
        <w:t>服务费用：</w:t>
      </w:r>
      <w:r>
        <w:rPr>
          <w:rStyle w:val="62"/>
          <w:rFonts w:hint="eastAsia" w:cs="宋体"/>
          <w:b w:val="0"/>
          <w:bCs w:val="0"/>
          <w:color w:val="auto"/>
          <w:sz w:val="21"/>
          <w:szCs w:val="21"/>
          <w:highlight w:val="none"/>
          <w:u w:val="single"/>
          <w:lang w:val="en-US" w:eastAsia="zh-CN"/>
        </w:rPr>
        <w:t xml:space="preserve">              </w:t>
      </w:r>
      <w:r>
        <w:rPr>
          <w:rStyle w:val="62"/>
          <w:rFonts w:hint="eastAsia" w:cs="宋体"/>
          <w:b w:val="0"/>
          <w:bCs w:val="0"/>
          <w:color w:val="auto"/>
          <w:sz w:val="21"/>
          <w:szCs w:val="21"/>
          <w:highlight w:val="none"/>
          <w:u w:val="none"/>
          <w:lang w:val="en-US" w:eastAsia="zh-CN"/>
        </w:rPr>
        <w:t xml:space="preserve"> </w:t>
      </w:r>
    </w:p>
    <w:p>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outlineLvl w:val="9"/>
        <w:rPr>
          <w:rFonts w:hint="eastAsia" w:ascii="宋体" w:hAnsi="宋体" w:eastAsia="宋体" w:cs="宋体"/>
          <w:b w:val="0"/>
          <w:bCs w:val="0"/>
          <w:color w:val="auto"/>
          <w:sz w:val="21"/>
          <w:szCs w:val="21"/>
          <w:highlight w:val="none"/>
          <w:u w:val="none"/>
          <w:lang w:val="en-US" w:eastAsia="zh-CN"/>
        </w:rPr>
      </w:pPr>
      <w:r>
        <w:rPr>
          <w:rStyle w:val="62"/>
          <w:rFonts w:hint="eastAsia" w:ascii="宋体" w:hAnsi="宋体" w:eastAsia="宋体" w:cs="宋体"/>
          <w:b w:val="0"/>
          <w:bCs w:val="0"/>
          <w:color w:val="auto"/>
          <w:sz w:val="21"/>
          <w:szCs w:val="21"/>
          <w:highlight w:val="none"/>
          <w:lang w:eastAsia="zh-CN"/>
        </w:rPr>
        <w:t>服务</w:t>
      </w:r>
      <w:r>
        <w:rPr>
          <w:rStyle w:val="62"/>
          <w:rFonts w:hint="eastAsia" w:ascii="宋体" w:hAnsi="宋体" w:eastAsia="宋体" w:cs="宋体"/>
          <w:b w:val="0"/>
          <w:bCs w:val="0"/>
          <w:color w:val="auto"/>
          <w:sz w:val="21"/>
          <w:szCs w:val="21"/>
          <w:highlight w:val="none"/>
        </w:rPr>
        <w:t>期限：</w:t>
      </w:r>
      <w:r>
        <w:rPr>
          <w:rFonts w:hint="eastAsia" w:ascii="宋体" w:hAnsi="宋体" w:eastAsia="宋体" w:cs="宋体"/>
          <w:b w:val="0"/>
          <w:bCs w:val="0"/>
          <w:color w:val="auto"/>
          <w:sz w:val="21"/>
          <w:szCs w:val="21"/>
          <w:highlight w:val="none"/>
          <w:u w:val="single"/>
          <w:lang w:val="en-US" w:eastAsia="zh-CN"/>
        </w:rPr>
        <w:t xml:space="preserve">              </w:t>
      </w:r>
    </w:p>
    <w:p>
      <w:pPr>
        <w:pStyle w:val="24"/>
        <w:keepNext w:val="0"/>
        <w:keepLines w:val="0"/>
        <w:pageBreakBefore w:val="0"/>
        <w:numPr>
          <w:ilvl w:val="0"/>
          <w:numId w:val="0"/>
        </w:numPr>
        <w:kinsoku/>
        <w:wordWrap/>
        <w:overflowPunct/>
        <w:topLinePunct w:val="0"/>
        <w:autoSpaceDE/>
        <w:autoSpaceDN/>
        <w:bidi w:val="0"/>
        <w:adjustRightInd/>
        <w:snapToGrid/>
        <w:spacing w:line="38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服务范围：</w:t>
      </w:r>
    </w:p>
    <w:p>
      <w:pPr>
        <w:pStyle w:val="115"/>
        <w:keepNext w:val="0"/>
        <w:keepLines w:val="0"/>
        <w:pageBreakBefore w:val="0"/>
        <w:tabs>
          <w:tab w:val="left" w:pos="879"/>
        </w:tabs>
        <w:kinsoku/>
        <w:wordWrap/>
        <w:overflowPunct/>
        <w:topLinePunct w:val="0"/>
        <w:autoSpaceDE/>
        <w:autoSpaceDN/>
        <w:bidi w:val="0"/>
        <w:adjustRightInd/>
        <w:snapToGrid/>
        <w:spacing w:line="380" w:lineRule="exact"/>
        <w:ind w:left="0" w:firstLine="420" w:firstLineChars="200"/>
        <w:jc w:val="left"/>
        <w:textAlignment w:val="auto"/>
        <w:outlineLvl w:val="9"/>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1、</w:t>
      </w:r>
      <w:r>
        <w:rPr>
          <w:rFonts w:hint="eastAsia" w:ascii="宋体" w:hAnsi="宋体" w:eastAsia="宋体" w:cs="宋体"/>
          <w:bCs/>
          <w:color w:val="auto"/>
          <w:sz w:val="21"/>
          <w:szCs w:val="21"/>
          <w:highlight w:val="none"/>
        </w:rPr>
        <w:t>城乡生活垃圾卫生填埋处理：针对忻城</w:t>
      </w:r>
      <w:r>
        <w:rPr>
          <w:rFonts w:hint="eastAsia" w:ascii="宋体" w:hAnsi="宋体" w:eastAsia="宋体" w:cs="宋体"/>
          <w:bCs/>
          <w:color w:val="auto"/>
          <w:sz w:val="21"/>
          <w:szCs w:val="21"/>
          <w:highlight w:val="none"/>
          <w:lang w:val="en-US"/>
        </w:rPr>
        <w:t>县</w:t>
      </w:r>
      <w:r>
        <w:rPr>
          <w:rFonts w:hint="eastAsia" w:ascii="宋体" w:hAnsi="宋体" w:eastAsia="宋体" w:cs="宋体"/>
          <w:bCs/>
          <w:color w:val="auto"/>
          <w:sz w:val="21"/>
          <w:szCs w:val="21"/>
          <w:highlight w:val="none"/>
        </w:rPr>
        <w:t>城</w:t>
      </w:r>
      <w:r>
        <w:rPr>
          <w:rFonts w:hint="eastAsia" w:ascii="宋体" w:hAnsi="宋体" w:eastAsia="宋体" w:cs="宋体"/>
          <w:bCs/>
          <w:color w:val="auto"/>
          <w:sz w:val="21"/>
          <w:szCs w:val="21"/>
          <w:highlight w:val="none"/>
          <w:lang w:val="en-US"/>
        </w:rPr>
        <w:t>区</w:t>
      </w:r>
      <w:r>
        <w:rPr>
          <w:rFonts w:hint="eastAsia" w:ascii="宋体" w:hAnsi="宋体" w:eastAsia="宋体" w:cs="宋体"/>
          <w:bCs/>
          <w:color w:val="auto"/>
          <w:sz w:val="21"/>
          <w:szCs w:val="21"/>
          <w:highlight w:val="none"/>
        </w:rPr>
        <w:t>、乡</w:t>
      </w:r>
      <w:r>
        <w:rPr>
          <w:rFonts w:hint="eastAsia" w:ascii="宋体" w:hAnsi="宋体" w:eastAsia="宋体" w:cs="宋体"/>
          <w:bCs/>
          <w:color w:val="auto"/>
          <w:sz w:val="21"/>
          <w:szCs w:val="21"/>
          <w:highlight w:val="none"/>
          <w:lang w:val="en-US"/>
        </w:rPr>
        <w:t>镇</w:t>
      </w:r>
      <w:r>
        <w:rPr>
          <w:rFonts w:hint="eastAsia" w:ascii="宋体" w:hAnsi="宋体" w:eastAsia="宋体" w:cs="宋体"/>
          <w:bCs/>
          <w:color w:val="auto"/>
          <w:sz w:val="21"/>
          <w:szCs w:val="21"/>
          <w:highlight w:val="none"/>
        </w:rPr>
        <w:t>的生活垃圾</w:t>
      </w:r>
      <w:r>
        <w:rPr>
          <w:rFonts w:hint="eastAsia" w:ascii="宋体" w:hAnsi="宋体" w:eastAsia="宋体" w:cs="宋体"/>
          <w:bCs/>
          <w:color w:val="auto"/>
          <w:sz w:val="21"/>
          <w:szCs w:val="21"/>
          <w:highlight w:val="none"/>
          <w:lang w:val="en-US"/>
        </w:rPr>
        <w:t>在现有的垃圾填埋场</w:t>
      </w:r>
      <w:r>
        <w:rPr>
          <w:rFonts w:hint="eastAsia" w:ascii="宋体" w:hAnsi="宋体" w:eastAsia="宋体" w:cs="宋体"/>
          <w:bCs/>
          <w:color w:val="auto"/>
          <w:sz w:val="21"/>
          <w:szCs w:val="21"/>
          <w:highlight w:val="none"/>
        </w:rPr>
        <w:t>进行</w:t>
      </w:r>
      <w:r>
        <w:rPr>
          <w:rFonts w:hint="eastAsia" w:ascii="宋体" w:hAnsi="宋体" w:eastAsia="宋体" w:cs="宋体"/>
          <w:bCs/>
          <w:color w:val="auto"/>
          <w:sz w:val="21"/>
          <w:szCs w:val="21"/>
          <w:highlight w:val="none"/>
          <w:lang w:val="en-US"/>
        </w:rPr>
        <w:t>卫生填埋服务</w:t>
      </w:r>
      <w:r>
        <w:rPr>
          <w:rFonts w:hint="eastAsia" w:ascii="宋体" w:hAnsi="宋体" w:eastAsia="宋体" w:cs="宋体"/>
          <w:bCs/>
          <w:color w:val="auto"/>
          <w:sz w:val="21"/>
          <w:szCs w:val="21"/>
          <w:highlight w:val="none"/>
        </w:rPr>
        <w:t>（不包括场地防渗透工程或设施维护、填埋场渗透液处理）</w:t>
      </w:r>
      <w:r>
        <w:rPr>
          <w:rFonts w:hint="eastAsia" w:ascii="宋体" w:hAnsi="宋体" w:eastAsia="宋体" w:cs="宋体"/>
          <w:bCs/>
          <w:color w:val="auto"/>
          <w:sz w:val="21"/>
          <w:szCs w:val="21"/>
          <w:highlight w:val="none"/>
          <w:lang w:val="en-US"/>
        </w:rPr>
        <w:t>。承包过程中由于国家出台或更新政策，必须变更卫生填埋为其他（焚烧、热解气化等）垃圾处理工艺的，本服务小项招标人和中标人双方协商再定，乙方有投资、承包运行的优先权。</w:t>
      </w:r>
    </w:p>
    <w:p>
      <w:pPr>
        <w:pStyle w:val="115"/>
        <w:keepNext w:val="0"/>
        <w:keepLines w:val="0"/>
        <w:pageBreakBefore w:val="0"/>
        <w:tabs>
          <w:tab w:val="left" w:pos="879"/>
        </w:tabs>
        <w:kinsoku/>
        <w:wordWrap/>
        <w:overflowPunct/>
        <w:topLinePunct w:val="0"/>
        <w:autoSpaceDE/>
        <w:autoSpaceDN/>
        <w:bidi w:val="0"/>
        <w:adjustRightInd/>
        <w:snapToGrid/>
        <w:spacing w:line="380" w:lineRule="exact"/>
        <w:ind w:left="0" w:firstLine="420" w:firstLineChars="200"/>
        <w:jc w:val="left"/>
        <w:textAlignment w:val="auto"/>
        <w:outlineLvl w:val="9"/>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2、</w:t>
      </w:r>
      <w:r>
        <w:rPr>
          <w:rFonts w:hint="eastAsia" w:ascii="宋体" w:hAnsi="宋体" w:eastAsia="宋体" w:cs="宋体"/>
          <w:bCs/>
          <w:color w:val="auto"/>
          <w:sz w:val="21"/>
          <w:szCs w:val="21"/>
          <w:highlight w:val="none"/>
        </w:rPr>
        <w:t>乡镇垃圾清运范围：县政府管辖的马泗、欧洞、大塘、思练、安东、果遂、新圩7 个乡镇的主干道的垃圾清运至县垃圾填埋场以及欧洞、大塘、果遂、新圩</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个中转站运行管理。</w:t>
      </w:r>
    </w:p>
    <w:p>
      <w:pPr>
        <w:pStyle w:val="115"/>
        <w:keepNext w:val="0"/>
        <w:keepLines w:val="0"/>
        <w:pageBreakBefore w:val="0"/>
        <w:tabs>
          <w:tab w:val="left" w:pos="879"/>
        </w:tabs>
        <w:kinsoku/>
        <w:wordWrap/>
        <w:overflowPunct/>
        <w:topLinePunct w:val="0"/>
        <w:autoSpaceDE/>
        <w:autoSpaceDN/>
        <w:bidi w:val="0"/>
        <w:adjustRightInd/>
        <w:snapToGrid/>
        <w:spacing w:line="380" w:lineRule="exact"/>
        <w:ind w:left="0" w:firstLine="376" w:firstLineChars="200"/>
        <w:jc w:val="left"/>
        <w:textAlignment w:val="auto"/>
        <w:outlineLvl w:val="9"/>
        <w:rPr>
          <w:rFonts w:hint="eastAsia" w:ascii="宋体" w:hAnsi="宋体" w:eastAsia="宋体" w:cs="宋体"/>
          <w:bCs/>
          <w:color w:val="auto"/>
          <w:sz w:val="21"/>
          <w:szCs w:val="21"/>
          <w:highlight w:val="none"/>
          <w:lang w:val="en-US"/>
        </w:rPr>
      </w:pPr>
      <w:r>
        <w:rPr>
          <w:rFonts w:hint="eastAsia" w:ascii="宋体" w:hAnsi="宋体" w:eastAsia="宋体" w:cs="宋体"/>
          <w:bCs/>
          <w:color w:val="auto"/>
          <w:spacing w:val="-11"/>
          <w:sz w:val="21"/>
          <w:szCs w:val="21"/>
          <w:highlight w:val="none"/>
          <w:lang w:val="en-US"/>
        </w:rPr>
        <w:t>3、</w:t>
      </w:r>
      <w:r>
        <w:rPr>
          <w:rFonts w:hint="eastAsia" w:ascii="宋体" w:hAnsi="宋体" w:eastAsia="宋体" w:cs="宋体"/>
          <w:bCs/>
          <w:color w:val="auto"/>
          <w:spacing w:val="-11"/>
          <w:sz w:val="21"/>
          <w:szCs w:val="21"/>
          <w:highlight w:val="none"/>
        </w:rPr>
        <w:t>乡镇生活垃圾焚烧站运营管理：</w:t>
      </w:r>
      <w:r>
        <w:rPr>
          <w:rFonts w:hint="eastAsia" w:ascii="宋体" w:hAnsi="宋体" w:eastAsia="宋体" w:cs="宋体"/>
          <w:bCs/>
          <w:color w:val="auto"/>
          <w:sz w:val="21"/>
          <w:szCs w:val="21"/>
          <w:highlight w:val="none"/>
          <w:lang w:val="en-US"/>
        </w:rPr>
        <w:t>接管现运行的乡镇生活垃圾焚烧站（欧洞、安东）的运营管理。</w:t>
      </w:r>
    </w:p>
    <w:p>
      <w:pPr>
        <w:pStyle w:val="115"/>
        <w:keepNext w:val="0"/>
        <w:keepLines w:val="0"/>
        <w:pageBreakBefore w:val="0"/>
        <w:tabs>
          <w:tab w:val="left" w:pos="879"/>
        </w:tabs>
        <w:kinsoku/>
        <w:wordWrap/>
        <w:overflowPunct/>
        <w:topLinePunct w:val="0"/>
        <w:autoSpaceDE/>
        <w:autoSpaceDN/>
        <w:bidi w:val="0"/>
        <w:adjustRightInd/>
        <w:snapToGrid/>
        <w:spacing w:line="380" w:lineRule="exact"/>
        <w:ind w:left="0" w:firstLine="376" w:firstLineChars="200"/>
        <w:jc w:val="left"/>
        <w:textAlignment w:val="auto"/>
        <w:outlineLvl w:val="9"/>
        <w:rPr>
          <w:rFonts w:hint="eastAsia" w:ascii="宋体" w:hAnsi="宋体" w:eastAsia="宋体" w:cs="宋体"/>
          <w:bCs/>
          <w:color w:val="auto"/>
          <w:spacing w:val="-11"/>
          <w:sz w:val="21"/>
          <w:szCs w:val="21"/>
          <w:highlight w:val="none"/>
        </w:rPr>
      </w:pPr>
      <w:r>
        <w:rPr>
          <w:rFonts w:hint="eastAsia" w:ascii="宋体" w:hAnsi="宋体" w:eastAsia="宋体" w:cs="宋体"/>
          <w:bCs/>
          <w:color w:val="auto"/>
          <w:spacing w:val="-11"/>
          <w:sz w:val="21"/>
          <w:szCs w:val="21"/>
          <w:highlight w:val="none"/>
        </w:rPr>
        <w:t>其他：实际工作需要调整的范围。</w:t>
      </w:r>
    </w:p>
    <w:p>
      <w:pPr>
        <w:pStyle w:val="115"/>
        <w:keepNext w:val="0"/>
        <w:keepLines w:val="0"/>
        <w:pageBreakBefore w:val="0"/>
        <w:tabs>
          <w:tab w:val="left" w:pos="879"/>
        </w:tabs>
        <w:kinsoku/>
        <w:wordWrap/>
        <w:overflowPunct/>
        <w:topLinePunct w:val="0"/>
        <w:autoSpaceDE/>
        <w:autoSpaceDN/>
        <w:bidi w:val="0"/>
        <w:adjustRightInd/>
        <w:snapToGrid/>
        <w:spacing w:line="380" w:lineRule="exact"/>
        <w:ind w:left="0" w:leftChars="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服务质量标准</w:t>
      </w:r>
      <w:r>
        <w:rPr>
          <w:rFonts w:hint="eastAsia" w:ascii="宋体" w:hAnsi="宋体" w:eastAsia="宋体" w:cs="宋体"/>
          <w:b/>
          <w:bCs/>
          <w:color w:val="auto"/>
          <w:sz w:val="21"/>
          <w:szCs w:val="21"/>
          <w:highlight w:val="none"/>
          <w:lang w:val="en-US" w:eastAsia="zh-CN"/>
        </w:rPr>
        <w:t>(托管内容）</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1、城乡生活垃圾卫生填埋处理标准：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（1）符合《城市生活垃圾卫生填埋场运行维护技术规程》（CJJ93-2003）</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（2）符合《生活垃圾卫生填埋场技术规范》（CJJ17-2004）</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（3）符合《生活垃圾填埋场无害化评价标准》（CJJ/T107-2005）</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（4）符合《生活垃圾填埋污染控制标准》（GB16889-2008）</w:t>
      </w:r>
    </w:p>
    <w:p>
      <w:pPr>
        <w:pStyle w:val="24"/>
        <w:keepNext w:val="0"/>
        <w:keepLines w:val="0"/>
        <w:pageBreakBefore w:val="0"/>
        <w:kinsoku/>
        <w:wordWrap/>
        <w:overflowPunct/>
        <w:topLinePunct w:val="0"/>
        <w:autoSpaceDE/>
        <w:autoSpaceDN/>
        <w:bidi w:val="0"/>
        <w:adjustRightInd/>
        <w:snapToGrid/>
        <w:spacing w:line="38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2、乡镇清运标准：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（1）垃圾清运实行定点、定时运输运至镇垃圾中转站或忻城县垃圾填埋场。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（2）垃圾清运做到随满随清、车走地净。垃圾清运车辆实施密闭运输，做到无：洒、抛等二次污染。 清运车辆做到车容整洁、无污物。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（3）清运车辆要定期维修保养，不带病行驶和作业，工作状态良好；对用于储存垃</w:t>
      </w:r>
      <w:r>
        <w:rPr>
          <w:rFonts w:hint="eastAsia" w:ascii="宋体" w:hAnsi="宋体" w:cs="宋体"/>
          <w:color w:val="auto"/>
          <w:kern w:val="0"/>
          <w:sz w:val="21"/>
          <w:szCs w:val="21"/>
          <w:highlight w:val="none"/>
          <w:lang w:val="en-US" w:eastAsia="zh-CN" w:bidi="ar-SA"/>
        </w:rPr>
        <w:t>圾</w:t>
      </w:r>
      <w:r>
        <w:rPr>
          <w:rFonts w:hint="eastAsia" w:ascii="宋体" w:hAnsi="宋体" w:eastAsia="宋体" w:cs="宋体"/>
          <w:color w:val="auto"/>
          <w:kern w:val="0"/>
          <w:sz w:val="21"/>
          <w:szCs w:val="21"/>
          <w:highlight w:val="none"/>
          <w:lang w:val="en-US" w:eastAsia="zh-CN" w:bidi="ar-SA"/>
        </w:rPr>
        <w:t>的设备每周进行一次清洗，确保设施干净无垃圾外溢，每周对设施设备进行消</w:t>
      </w:r>
      <w:r>
        <w:rPr>
          <w:rFonts w:hint="eastAsia" w:ascii="宋体" w:hAnsi="宋体" w:cs="宋体"/>
          <w:color w:val="auto"/>
          <w:kern w:val="0"/>
          <w:sz w:val="21"/>
          <w:szCs w:val="21"/>
          <w:highlight w:val="none"/>
          <w:lang w:val="en-US" w:eastAsia="zh-CN" w:bidi="ar-SA"/>
        </w:rPr>
        <w:t>毒</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（4）对于设施设备要做到及时维修。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（5）运行管理中建全日常巡查和应急处理机制。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3、垃圾中转站及乡镇生活垃圾</w:t>
      </w:r>
      <w:r>
        <w:rPr>
          <w:rFonts w:hint="eastAsia" w:ascii="宋体" w:hAnsi="宋体" w:cs="宋体"/>
          <w:color w:val="auto"/>
          <w:kern w:val="0"/>
          <w:sz w:val="21"/>
          <w:szCs w:val="21"/>
          <w:highlight w:val="none"/>
          <w:lang w:val="en-US" w:eastAsia="zh-CN" w:bidi="ar-SA"/>
        </w:rPr>
        <w:t>焚烧站管理</w:t>
      </w:r>
      <w:r>
        <w:rPr>
          <w:rFonts w:hint="eastAsia" w:ascii="宋体" w:hAnsi="宋体" w:eastAsia="宋体" w:cs="宋体"/>
          <w:color w:val="auto"/>
          <w:kern w:val="0"/>
          <w:sz w:val="21"/>
          <w:szCs w:val="21"/>
          <w:highlight w:val="none"/>
          <w:lang w:val="en-US" w:eastAsia="zh-CN" w:bidi="ar-SA"/>
        </w:rPr>
        <w:t>标准: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（1）运营商对所承包范围内的生产、设备、安全等工作全面负责</w:t>
      </w:r>
      <w:r>
        <w:rPr>
          <w:rFonts w:hint="eastAsia" w:ascii="宋体" w:hAnsi="宋体" w:eastAsia="宋体" w:cs="宋体"/>
          <w:color w:val="auto"/>
          <w:sz w:val="21"/>
          <w:szCs w:val="21"/>
          <w:highlight w:val="none"/>
        </w:rPr>
        <w:t>，规范操作，场区内应保持清洁卫生、无散落垃圾和污水横流。</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（2）准时开门，各岗位人员及时到位，中转站实行封闭式管理。</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（3）生活垃圾处理及车辆进、出台帐。记录要清晰及时、准确、齐全。</w:t>
      </w:r>
    </w:p>
    <w:p>
      <w:pPr>
        <w:keepNext w:val="0"/>
        <w:keepLines w:val="0"/>
        <w:pageBreakBefore w:val="0"/>
        <w:kinsoku/>
        <w:wordWrap/>
        <w:overflowPunct/>
        <w:topLinePunct w:val="0"/>
        <w:autoSpaceDE/>
        <w:bidi w:val="0"/>
        <w:adjustRightInd/>
        <w:snapToGrid/>
        <w:spacing w:line="400" w:lineRule="exact"/>
        <w:ind w:firstLine="420" w:firstLineChars="200"/>
        <w:textAlignment w:val="auto"/>
        <w:rPr>
          <w:rFonts w:hint="eastAsia"/>
        </w:rPr>
      </w:pPr>
      <w:r>
        <w:rPr>
          <w:rFonts w:hint="eastAsia" w:ascii="宋体" w:hAnsi="宋体" w:eastAsia="宋体" w:cs="宋体"/>
          <w:color w:val="auto"/>
          <w:sz w:val="21"/>
          <w:szCs w:val="21"/>
          <w:highlight w:val="none"/>
          <w:lang w:val="en-US" w:eastAsia="zh-CN"/>
        </w:rPr>
        <w:t>（4）7个乡镇生活垃圾收集运输作业完成率100%。</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四、作业要求</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lang w:val="en-US" w:eastAsia="zh-CN" w:bidi="ar-SA"/>
        </w:rPr>
        <w:t>按时向甲方提交设施运行情况年度报告。主要内容包括作业量、技术，设备、人员、能耗等方面信息。</w:t>
      </w:r>
    </w:p>
    <w:p>
      <w:pPr>
        <w:keepNext w:val="0"/>
        <w:keepLines w:val="0"/>
        <w:pageBreakBefore w:val="0"/>
        <w:numPr>
          <w:ilvl w:val="0"/>
          <w:numId w:val="4"/>
        </w:numP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安全运行管理</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填埋场作业过程安全卫生管理应符合现行国家标准《生产过程安全卫生要求总则》GB 12801 的有关规定。乡镇垃圾清运、中转站及乡镇焚烧站要确保正常安全运转，发生相关安全生产责任由乙方负全责。</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六、双方主要约定</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1、甲方每年应将本项目运营管理费列入县财政预算支付。</w:t>
      </w:r>
    </w:p>
    <w:p>
      <w:pPr>
        <w:keepNext w:val="0"/>
        <w:keepLines w:val="0"/>
        <w:pageBreakBefore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sz w:val="21"/>
          <w:szCs w:val="21"/>
          <w:highlight w:val="none"/>
        </w:rPr>
        <w:t>七个乡镇垃圾清运及4个中转站运行（欧洞、大塘、果遂、新圩）</w:t>
      </w:r>
      <w:r>
        <w:rPr>
          <w:rFonts w:hint="eastAsia" w:ascii="宋体" w:hAnsi="宋体" w:eastAsia="宋体" w:cs="宋体"/>
          <w:color w:val="auto"/>
          <w:sz w:val="21"/>
          <w:szCs w:val="21"/>
          <w:highlight w:val="none"/>
          <w:lang w:eastAsia="zh-CN"/>
        </w:rPr>
        <w:t>以中标价</w:t>
      </w:r>
      <w:r>
        <w:rPr>
          <w:rFonts w:hint="eastAsia" w:ascii="宋体" w:hAnsi="宋体" w:eastAsia="宋体" w:cs="宋体"/>
          <w:color w:val="auto"/>
          <w:sz w:val="21"/>
          <w:szCs w:val="21"/>
          <w:highlight w:val="none"/>
        </w:rPr>
        <w:t>/年（不包括设备更换）</w:t>
      </w:r>
      <w:r>
        <w:rPr>
          <w:rFonts w:hint="eastAsia" w:ascii="宋体" w:hAnsi="宋体" w:eastAsia="宋体" w:cs="宋体"/>
          <w:color w:val="auto"/>
          <w:sz w:val="21"/>
          <w:szCs w:val="21"/>
          <w:highlight w:val="none"/>
          <w:lang w:eastAsia="zh-CN"/>
        </w:rPr>
        <w:t>为准。</w:t>
      </w:r>
      <w:r>
        <w:rPr>
          <w:rFonts w:hint="eastAsia" w:ascii="宋体" w:hAnsi="宋体" w:eastAsia="宋体" w:cs="宋体"/>
          <w:bCs/>
          <w:color w:val="auto"/>
          <w:spacing w:val="-11"/>
          <w:sz w:val="21"/>
          <w:szCs w:val="21"/>
          <w:highlight w:val="none"/>
        </w:rPr>
        <w:t>思练镇中转站建成后，将根据实际情况做好运营费用预算后，移交给</w:t>
      </w:r>
      <w:r>
        <w:rPr>
          <w:rFonts w:hint="eastAsia" w:ascii="宋体" w:hAnsi="宋体" w:eastAsia="宋体" w:cs="宋体"/>
          <w:bCs/>
          <w:color w:val="auto"/>
          <w:spacing w:val="-11"/>
          <w:sz w:val="21"/>
          <w:szCs w:val="21"/>
          <w:highlight w:val="none"/>
          <w:lang w:eastAsia="zh-CN"/>
        </w:rPr>
        <w:t>乙方</w:t>
      </w:r>
      <w:r>
        <w:rPr>
          <w:rFonts w:hint="eastAsia" w:ascii="宋体" w:hAnsi="宋体" w:eastAsia="宋体" w:cs="宋体"/>
          <w:bCs/>
          <w:color w:val="auto"/>
          <w:spacing w:val="-11"/>
          <w:sz w:val="21"/>
          <w:szCs w:val="21"/>
          <w:highlight w:val="none"/>
        </w:rPr>
        <w:t>进行运营管理</w:t>
      </w:r>
      <w:r>
        <w:rPr>
          <w:rFonts w:hint="eastAsia" w:ascii="宋体" w:hAnsi="宋体" w:eastAsia="宋体" w:cs="宋体"/>
          <w:bCs/>
          <w:color w:val="auto"/>
          <w:spacing w:val="-11"/>
          <w:sz w:val="21"/>
          <w:szCs w:val="21"/>
          <w:highlight w:val="none"/>
          <w:lang w:eastAsia="zh-CN"/>
        </w:rPr>
        <w:t>，费用另计；</w:t>
      </w:r>
      <w:r>
        <w:rPr>
          <w:rFonts w:hint="eastAsia" w:ascii="宋体" w:hAnsi="宋体" w:eastAsia="宋体" w:cs="宋体"/>
          <w:bCs/>
          <w:color w:val="auto"/>
          <w:spacing w:val="-11"/>
          <w:sz w:val="21"/>
          <w:szCs w:val="21"/>
          <w:highlight w:val="none"/>
        </w:rPr>
        <w:t>乡镇垃圾焚烧站运营（欧洞、安东）</w:t>
      </w:r>
      <w:r>
        <w:rPr>
          <w:rFonts w:hint="eastAsia" w:ascii="宋体" w:hAnsi="宋体" w:eastAsia="宋体" w:cs="宋体"/>
          <w:bCs/>
          <w:color w:val="auto"/>
          <w:spacing w:val="-11"/>
          <w:sz w:val="21"/>
          <w:szCs w:val="21"/>
          <w:highlight w:val="none"/>
          <w:lang w:eastAsia="zh-CN"/>
        </w:rPr>
        <w:t>以中标价为准。</w:t>
      </w:r>
    </w:p>
    <w:p>
      <w:pPr>
        <w:pStyle w:val="115"/>
        <w:keepNext w:val="0"/>
        <w:keepLines w:val="0"/>
        <w:pageBreakBefore w:val="0"/>
        <w:tabs>
          <w:tab w:val="left" w:pos="879"/>
        </w:tabs>
        <w:kinsoku/>
        <w:wordWrap/>
        <w:overflowPunct/>
        <w:topLinePunct w:val="0"/>
        <w:autoSpaceDE/>
        <w:autoSpaceDN/>
        <w:bidi w:val="0"/>
        <w:adjustRightInd/>
        <w:snapToGrid/>
        <w:spacing w:line="380" w:lineRule="exact"/>
        <w:ind w:lef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SA"/>
        </w:rPr>
        <w:t>3、垃圾填埋场承包费用包括乙方在承包期间发生的所有费用，计算方法为：</w:t>
      </w:r>
      <w:r>
        <w:rPr>
          <w:rFonts w:hint="eastAsia" w:ascii="宋体" w:hAnsi="宋体" w:eastAsia="宋体" w:cs="宋体"/>
          <w:color w:val="auto"/>
          <w:kern w:val="0"/>
          <w:sz w:val="21"/>
          <w:szCs w:val="21"/>
          <w:highlight w:val="none"/>
          <w:u w:val="single"/>
          <w:vertAlign w:val="baseline"/>
          <w:lang w:val="en-US" w:eastAsia="zh-CN" w:bidi="ar-SA"/>
        </w:rPr>
        <w:t xml:space="preserve">       </w:t>
      </w:r>
      <w:r>
        <w:rPr>
          <w:rFonts w:hint="eastAsia" w:ascii="宋体" w:hAnsi="宋体" w:eastAsia="宋体" w:cs="宋体"/>
          <w:color w:val="auto"/>
          <w:kern w:val="0"/>
          <w:sz w:val="21"/>
          <w:szCs w:val="21"/>
          <w:highlight w:val="none"/>
          <w:u w:val="none"/>
          <w:vertAlign w:val="baseline"/>
          <w:lang w:val="en-US" w:eastAsia="zh-CN" w:bidi="ar-SA"/>
        </w:rPr>
        <w:t>元</w:t>
      </w:r>
      <w:r>
        <w:rPr>
          <w:rFonts w:hint="eastAsia" w:ascii="宋体" w:hAnsi="宋体" w:cs="宋体"/>
          <w:color w:val="auto"/>
          <w:kern w:val="0"/>
          <w:sz w:val="21"/>
          <w:szCs w:val="21"/>
          <w:highlight w:val="none"/>
          <w:u w:val="none"/>
          <w:vertAlign w:val="baseline"/>
          <w:lang w:val="en-US" w:eastAsia="zh-CN" w:bidi="ar-SA"/>
        </w:rPr>
        <w:t>/</w:t>
      </w:r>
      <w:r>
        <w:rPr>
          <w:rFonts w:hint="eastAsia" w:ascii="宋体" w:hAnsi="宋体" w:eastAsia="宋体" w:cs="宋体"/>
          <w:color w:val="auto"/>
          <w:sz w:val="21"/>
          <w:szCs w:val="21"/>
          <w:highlight w:val="none"/>
        </w:rPr>
        <w:t>万元每年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单价为每吨</w:t>
      </w:r>
      <w:r>
        <w:rPr>
          <w:rFonts w:hint="eastAsia" w:ascii="宋体" w:hAnsi="宋体" w:eastAsia="宋体" w:cs="宋体"/>
          <w:color w:val="auto"/>
          <w:sz w:val="21"/>
          <w:szCs w:val="21"/>
          <w:highlight w:val="none"/>
          <w:lang w:eastAsia="zh-CN"/>
        </w:rPr>
        <w:t>中标单价</w:t>
      </w:r>
      <w:r>
        <w:rPr>
          <w:rFonts w:hint="eastAsia" w:ascii="宋体" w:hAnsi="宋体" w:eastAsia="宋体" w:cs="宋体"/>
          <w:color w:val="auto"/>
          <w:sz w:val="21"/>
          <w:szCs w:val="21"/>
          <w:highlight w:val="none"/>
        </w:rPr>
        <w:t>，日处理量</w:t>
      </w:r>
      <w:r>
        <w:rPr>
          <w:rFonts w:hint="eastAsia" w:ascii="宋体" w:hAnsi="宋体" w:eastAsia="宋体" w:cs="宋体"/>
          <w:color w:val="auto"/>
          <w:sz w:val="21"/>
          <w:szCs w:val="21"/>
          <w:highlight w:val="none"/>
          <w:lang w:eastAsia="zh-CN"/>
        </w:rPr>
        <w:t>（保底）</w:t>
      </w:r>
      <w:r>
        <w:rPr>
          <w:rFonts w:hint="eastAsia" w:ascii="宋体" w:hAnsi="宋体" w:eastAsia="宋体" w:cs="宋体"/>
          <w:color w:val="auto"/>
          <w:sz w:val="21"/>
          <w:szCs w:val="21"/>
          <w:highlight w:val="none"/>
        </w:rPr>
        <w:t>100吨</w:t>
      </w:r>
      <w:r>
        <w:rPr>
          <w:rFonts w:hint="eastAsia" w:ascii="宋体" w:hAnsi="宋体" w:eastAsia="宋体" w:cs="宋体"/>
          <w:color w:val="auto"/>
          <w:sz w:val="21"/>
          <w:szCs w:val="21"/>
          <w:highlight w:val="none"/>
          <w:lang w:eastAsia="zh-CN"/>
        </w:rPr>
        <w:t>。超出保底按实际处理量乘以中标单价金额。</w:t>
      </w:r>
      <w:r>
        <w:rPr>
          <w:rFonts w:hint="eastAsia" w:ascii="宋体" w:hAnsi="宋体" w:eastAsia="宋体" w:cs="宋体"/>
          <w:bCs/>
          <w:color w:val="auto"/>
          <w:sz w:val="21"/>
          <w:szCs w:val="21"/>
          <w:highlight w:val="none"/>
          <w:lang w:val="en-US"/>
        </w:rPr>
        <w:t>承包过程中由于国家出台或更新政策，必须变更卫生填埋为其他（焚烧、热解气化等）垃圾处理工艺的，本服务小项招标人和中标人双方协商再定，乙方有投资、承包运行的优先权。</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4、垃圾填埋场、乡镇垃圾清运车、乡镇垃圾中转站以及焚烧站的固定资产和设备归甲方所有，甲方的相关部门负责监管，乙方负责日常维护，乙方不得以任何形式进行处置，如分解、抵押、转让、出租等。</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5、乙方负责招聘作业人员，按法律规定办理社会保险，严格遵守作业时间。</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6、乙方所聘用的职工须持证上岗，身体健康，定期参加上级主管部门组织的培训。</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7、因乙方原因造成环境污染事故由乙方承担。</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8、作业所需的车辆由甲方提供，乙方负责车辆的保养和保管，确保运行正常。</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9、乙方应切实保障职工的合法权益，及时按规定发放工资、福利等有关费用，不得无故克扣、拖延或违反本县最低工资标准等相关法律规定。</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10、乙方</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负责人的通讯工具必须24小时开通。</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11、甲方应严格按照垃圾场的初步设计和可研报告要求，及时配备场内所需设备设施及办公设备等，从而保证乙方正常运营管理。</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12、乙方必须及时完成甲方布置的临时或</w:t>
      </w:r>
      <w:r>
        <w:rPr>
          <w:rFonts w:hint="eastAsia" w:ascii="宋体" w:hAnsi="宋体" w:eastAsia="宋体" w:cs="宋体"/>
          <w:color w:val="auto"/>
          <w:highlight w:val="none"/>
          <w:lang w:eastAsia="zh-CN"/>
        </w:rPr>
        <w:t>突</w:t>
      </w:r>
      <w:r>
        <w:rPr>
          <w:rFonts w:hint="eastAsia" w:ascii="宋体" w:hAnsi="宋体" w:eastAsia="宋体" w:cs="宋体"/>
          <w:color w:val="auto"/>
          <w:highlight w:val="none"/>
        </w:rPr>
        <w:t>击任务，</w:t>
      </w:r>
      <w:r>
        <w:rPr>
          <w:rFonts w:hint="eastAsia" w:ascii="宋体" w:hAnsi="宋体" w:eastAsia="宋体" w:cs="宋体"/>
          <w:color w:val="auto"/>
          <w:highlight w:val="none"/>
          <w:lang w:eastAsia="zh-CN"/>
        </w:rPr>
        <w:t>乡镇垃圾</w:t>
      </w:r>
      <w:r>
        <w:rPr>
          <w:rFonts w:hint="eastAsia" w:ascii="宋体" w:hAnsi="宋体" w:eastAsia="宋体" w:cs="宋体"/>
          <w:color w:val="auto"/>
          <w:highlight w:val="none"/>
        </w:rPr>
        <w:t>及填埋场范围内如有车辆</w:t>
      </w:r>
      <w:r>
        <w:rPr>
          <w:rFonts w:hint="eastAsia" w:ascii="宋体" w:hAnsi="宋体" w:eastAsia="宋体" w:cs="宋体"/>
          <w:color w:val="auto"/>
          <w:highlight w:val="none"/>
          <w:lang w:eastAsia="zh-CN"/>
        </w:rPr>
        <w:t>洒</w:t>
      </w:r>
      <w:r>
        <w:rPr>
          <w:rFonts w:hint="eastAsia" w:ascii="宋体" w:hAnsi="宋体" w:eastAsia="宋体" w:cs="宋体"/>
          <w:color w:val="auto"/>
          <w:highlight w:val="none"/>
        </w:rPr>
        <w:t>落垃圾等，甲方有权要求乙方立即进行清理保洁，包括非作业时间(夜间)，乙方对此无异议。</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七</w:t>
      </w:r>
      <w:r>
        <w:rPr>
          <w:rFonts w:hint="eastAsia" w:ascii="宋体" w:hAnsi="宋体" w:eastAsia="宋体" w:cs="宋体"/>
          <w:b/>
          <w:bCs/>
          <w:color w:val="auto"/>
          <w:highlight w:val="none"/>
        </w:rPr>
        <w:t>、付款方式</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kern w:val="0"/>
          <w:sz w:val="21"/>
          <w:szCs w:val="21"/>
          <w:highlight w:val="none"/>
          <w:lang w:val="en-US" w:eastAsia="zh-CN" w:bidi="ar-SA"/>
        </w:rPr>
        <w:t>生活垃圾卫生填埋处理费按实际吨单价计量实付（保底100吨每天超出保底按吨单价计量实付）；乡镇垃圾清运费以及</w:t>
      </w:r>
      <w:r>
        <w:rPr>
          <w:rFonts w:hint="eastAsia" w:ascii="宋体" w:hAnsi="宋体" w:eastAsia="宋体" w:cs="宋体"/>
          <w:bCs/>
          <w:color w:val="auto"/>
          <w:spacing w:val="-11"/>
          <w:sz w:val="21"/>
          <w:szCs w:val="21"/>
          <w:highlight w:val="none"/>
        </w:rPr>
        <w:t>乡镇垃圾焚烧站运营（欧洞、安东）</w:t>
      </w:r>
      <w:r>
        <w:rPr>
          <w:rFonts w:hint="eastAsia" w:ascii="宋体" w:hAnsi="宋体" w:eastAsia="宋体" w:cs="宋体"/>
          <w:b w:val="0"/>
          <w:bCs w:val="0"/>
          <w:color w:val="auto"/>
          <w:kern w:val="0"/>
          <w:sz w:val="21"/>
          <w:szCs w:val="21"/>
          <w:highlight w:val="none"/>
          <w:lang w:val="en-US" w:eastAsia="zh-CN" w:bidi="ar-SA"/>
        </w:rPr>
        <w:t>按月平均分摊核拨。以上服务费于每月</w:t>
      </w:r>
      <w:r>
        <w:rPr>
          <w:rFonts w:hint="eastAsia" w:ascii="宋体" w:hAnsi="宋体" w:eastAsia="宋体" w:cs="宋体"/>
          <w:b w:val="0"/>
          <w:bCs w:val="0"/>
          <w:color w:val="auto"/>
          <w:kern w:val="0"/>
          <w:sz w:val="21"/>
          <w:szCs w:val="21"/>
          <w:highlight w:val="none"/>
          <w:u w:val="single"/>
          <w:lang w:val="en-US" w:eastAsia="zh-CN" w:bidi="ar-SA"/>
        </w:rPr>
        <w:t xml:space="preserve">      </w:t>
      </w:r>
      <w:r>
        <w:rPr>
          <w:rFonts w:hint="eastAsia" w:ascii="宋体" w:hAnsi="宋体" w:eastAsia="宋体" w:cs="宋体"/>
          <w:b w:val="0"/>
          <w:bCs w:val="0"/>
          <w:color w:val="auto"/>
          <w:kern w:val="0"/>
          <w:sz w:val="21"/>
          <w:szCs w:val="21"/>
          <w:highlight w:val="none"/>
          <w:lang w:val="en-US" w:eastAsia="zh-CN" w:bidi="ar-SA"/>
        </w:rPr>
        <w:t>日前兑现上月服务费。</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八</w:t>
      </w:r>
      <w:r>
        <w:rPr>
          <w:rFonts w:hint="eastAsia" w:ascii="宋体" w:hAnsi="宋体" w:eastAsia="宋体" w:cs="宋体"/>
          <w:b/>
          <w:bCs/>
          <w:color w:val="auto"/>
          <w:highlight w:val="none"/>
        </w:rPr>
        <w:t>、</w:t>
      </w:r>
      <w:r>
        <w:rPr>
          <w:rFonts w:hint="eastAsia" w:ascii="宋体" w:hAnsi="宋体" w:cs="宋体"/>
          <w:b/>
          <w:bCs/>
          <w:color w:val="auto"/>
          <w:highlight w:val="none"/>
        </w:rPr>
        <w:t>履釣保证金</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发包方每月扣除承包方当月市场化服务经费的5%作为履约保证金，如在承包期间发生违约现象的则根据相关规定扣除相应的违约金，履约保证金按一年（12个月）结算一次，当年的履约保证金结算清楚后如有结余的，在第13个月转给承包方；如在每年承包期间未发生违约情况的，按每年结算一次全额无息支付给承包方。</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中标企业连续3个月以上（含3个月）考评结果不合格的，或一个合同年中累计有6次考核不合格等级的，采购人有权清退中标人，且履约保证金不予退还，造成的损失由中标人承担，并函请相关企业监管部门将其列入诚信企业黑名单。</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highlight w:val="none"/>
        </w:rPr>
      </w:pPr>
      <w:r>
        <w:rPr>
          <w:rFonts w:hint="eastAsia" w:ascii="宋体" w:hAnsi="宋体" w:cs="宋体"/>
          <w:b/>
          <w:bCs/>
          <w:color w:val="auto"/>
          <w:highlight w:val="none"/>
          <w:lang w:eastAsia="zh-CN"/>
        </w:rPr>
        <w:t>九、</w:t>
      </w:r>
      <w:r>
        <w:rPr>
          <w:rFonts w:hint="eastAsia" w:ascii="宋体" w:hAnsi="宋体" w:eastAsia="宋体" w:cs="宋体"/>
          <w:b/>
          <w:bCs/>
          <w:color w:val="auto"/>
          <w:highlight w:val="none"/>
        </w:rPr>
        <w:t>双方职责</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1、甲方职责</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(1)甲方有权对乙方的工作进行监督指导，检查乙方作业人员的作业情况</w:t>
      </w:r>
      <w:r>
        <w:rPr>
          <w:rFonts w:hint="eastAsia" w:ascii="宋体" w:hAnsi="宋体" w:eastAsia="宋体" w:cs="宋体"/>
          <w:color w:val="auto"/>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(2)甲方对乙方作业质量进行定期与不定期检查考核</w:t>
      </w:r>
      <w:r>
        <w:rPr>
          <w:rFonts w:hint="eastAsia" w:ascii="宋体" w:hAnsi="宋体" w:eastAsia="宋体" w:cs="宋体"/>
          <w:color w:val="auto"/>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(3)协助乙方协调各有关单位。</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2、乙方职责</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)接受甲方和上级主管部门的检查考核，建立日常作业管理档案，每月有计划和总结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(2)定时向甲方报告作业和管理的执行情况</w:t>
      </w:r>
      <w:r>
        <w:rPr>
          <w:rFonts w:hint="eastAsia" w:ascii="宋体" w:hAnsi="宋体" w:eastAsia="宋体" w:cs="宋体"/>
          <w:color w:val="auto"/>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(3)遇省、市等举行大型活动或其他创建突击活动时，乙方必须服从甲方的统一调配</w:t>
      </w:r>
      <w:r>
        <w:rPr>
          <w:rFonts w:hint="eastAsia" w:ascii="宋体" w:hAnsi="宋体" w:eastAsia="宋体" w:cs="宋体"/>
          <w:color w:val="auto"/>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(4)严格遵守国家法律、法规及有关规定，遵守国家关于安全生产、优质服务等相关规章制度</w:t>
      </w:r>
      <w:r>
        <w:rPr>
          <w:rFonts w:hint="eastAsia" w:ascii="宋体" w:hAnsi="宋体" w:eastAsia="宋体" w:cs="宋体"/>
          <w:color w:val="auto"/>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(5)应安全、优质地开展</w:t>
      </w:r>
      <w:r>
        <w:rPr>
          <w:rFonts w:hint="eastAsia" w:ascii="宋体" w:hAnsi="宋体" w:eastAsia="宋体" w:cs="宋体"/>
          <w:color w:val="auto"/>
          <w:highlight w:val="none"/>
          <w:lang w:eastAsia="zh-CN"/>
        </w:rPr>
        <w:t>本合同服务项目</w:t>
      </w:r>
      <w:r>
        <w:rPr>
          <w:rFonts w:hint="eastAsia" w:ascii="宋体" w:hAnsi="宋体" w:eastAsia="宋体" w:cs="宋体"/>
          <w:color w:val="auto"/>
          <w:highlight w:val="none"/>
        </w:rPr>
        <w:t>作业，并承担</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作业中的安全责任</w:t>
      </w:r>
      <w:r>
        <w:rPr>
          <w:rFonts w:hint="eastAsia" w:ascii="宋体" w:hAnsi="宋体" w:eastAsia="宋体" w:cs="宋体"/>
          <w:color w:val="auto"/>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(6)因乙方原因造成环境污染事故，由乙方除承担相关的法律贵任</w:t>
      </w:r>
      <w:r>
        <w:rPr>
          <w:rFonts w:hint="eastAsia" w:ascii="宋体" w:hAnsi="宋体" w:eastAsia="宋体" w:cs="宋体"/>
          <w:color w:val="auto"/>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(7)乙方在承包期满后，把所有固定资产、生产设备、设施、车辆无偿移交给甲方。</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highlight w:val="none"/>
        </w:rPr>
      </w:pPr>
      <w:r>
        <w:rPr>
          <w:rFonts w:hint="eastAsia" w:ascii="宋体" w:hAnsi="宋体" w:cs="宋体"/>
          <w:b/>
          <w:bCs/>
          <w:color w:val="auto"/>
          <w:highlight w:val="none"/>
          <w:lang w:eastAsia="zh-CN"/>
        </w:rPr>
        <w:t>十</w:t>
      </w:r>
      <w:r>
        <w:rPr>
          <w:rFonts w:hint="eastAsia" w:ascii="宋体" w:hAnsi="宋体" w:eastAsia="宋体" w:cs="宋体"/>
          <w:b/>
          <w:bCs/>
          <w:color w:val="auto"/>
          <w:highlight w:val="none"/>
        </w:rPr>
        <w:t>、不可抗力</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1、在合同有效期内,任何一方因不可抗力事件导致不能履行合同，则合同履行期可延长，其延长期与不可抗力影响期相同。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2、不可抗力事件发生后，应立即通知对方，并寄送有关权威机构出具的证明。</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3、不可抗力事件延续120天以上，双方应通过友好协商，确定是否继续履行合同。</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highlight w:val="none"/>
        </w:rPr>
      </w:pPr>
      <w:r>
        <w:rPr>
          <w:rFonts w:hint="eastAsia" w:ascii="宋体" w:hAnsi="宋体" w:eastAsia="宋体" w:cs="宋体"/>
          <w:color w:val="auto"/>
          <w:highlight w:val="none"/>
        </w:rPr>
        <w:t>　　</w:t>
      </w:r>
      <w:r>
        <w:rPr>
          <w:rFonts w:hint="eastAsia" w:ascii="宋体" w:hAnsi="宋体" w:eastAsia="宋体" w:cs="宋体"/>
          <w:b/>
          <w:bCs/>
          <w:color w:val="auto"/>
          <w:highlight w:val="none"/>
          <w:lang w:eastAsia="zh-CN"/>
        </w:rPr>
        <w:t>十</w:t>
      </w:r>
      <w:r>
        <w:rPr>
          <w:rFonts w:hint="eastAsia" w:ascii="宋体" w:hAnsi="宋体" w:cs="宋体"/>
          <w:b/>
          <w:bCs/>
          <w:color w:val="auto"/>
          <w:highlight w:val="none"/>
          <w:lang w:eastAsia="zh-CN"/>
        </w:rPr>
        <w:t>一</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合同争议解决</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1、因履行本合同引起的或与本合同有关的争议，甲乙双方应首先通过友好协商解决，如果协商不能解决，可向甲方所在地人民法院提起诉讼。</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2、诉讼期间，本合同继续履行。</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b/>
          <w:bCs/>
          <w:color w:val="auto"/>
          <w:highlight w:val="none"/>
          <w:lang w:eastAsia="zh-CN"/>
        </w:rPr>
        <w:t>十</w:t>
      </w:r>
      <w:r>
        <w:rPr>
          <w:rFonts w:hint="eastAsia" w:ascii="宋体" w:hAnsi="宋体" w:cs="宋体"/>
          <w:b/>
          <w:bCs/>
          <w:color w:val="auto"/>
          <w:highlight w:val="none"/>
          <w:lang w:eastAsia="zh-CN"/>
        </w:rPr>
        <w:t>二</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诉讼</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双方在执行合同中所发生的一切争议，应通过协商解决。如协商不能解决，可向甲方所在地人民法院提起诉讼。</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b/>
          <w:bCs/>
          <w:color w:val="auto"/>
          <w:highlight w:val="none"/>
        </w:rPr>
        <w:t>　</w:t>
      </w:r>
      <w:r>
        <w:rPr>
          <w:rFonts w:hint="eastAsia" w:ascii="宋体" w:hAnsi="宋体" w:eastAsia="宋体" w:cs="宋体"/>
          <w:b/>
          <w:bCs/>
          <w:color w:val="auto"/>
          <w:highlight w:val="none"/>
          <w:lang w:eastAsia="zh-CN"/>
        </w:rPr>
        <w:t>十</w:t>
      </w:r>
      <w:r>
        <w:rPr>
          <w:rFonts w:hint="eastAsia" w:ascii="宋体" w:hAnsi="宋体" w:cs="宋体"/>
          <w:b/>
          <w:bCs/>
          <w:color w:val="auto"/>
          <w:highlight w:val="none"/>
          <w:lang w:eastAsia="zh-CN"/>
        </w:rPr>
        <w:t>三</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合同生效及其它</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1、合同经双方法定代表人(或负责人或法定代表人(或负责人)的授权委托代理人签字并加盖</w:t>
      </w:r>
      <w:r>
        <w:rPr>
          <w:rFonts w:hint="eastAsia" w:ascii="宋体" w:hAnsi="宋体" w:eastAsia="宋体" w:cs="宋体"/>
          <w:color w:val="auto"/>
          <w:highlight w:val="none"/>
          <w:lang w:eastAsia="zh-CN"/>
        </w:rPr>
        <w:t>中</w:t>
      </w:r>
      <w:r>
        <w:rPr>
          <w:rFonts w:hint="eastAsia" w:ascii="宋体" w:hAnsi="宋体" w:eastAsia="宋体" w:cs="宋体"/>
          <w:color w:val="auto"/>
          <w:highlight w:val="none"/>
        </w:rPr>
        <w:t>标</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人单位公章后生效。</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2、合同执行中涉及采购资金和采购内容修改或补充的，应当经甲乙双方协商一致并签订书面补充协议报县财政局备案后，方可作为主合同不可分割的一部分。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3、乙方应为环卫工人等相关人员提供必要的劳动保护条件，配备一定的劳动保护必需品以供职工使用。</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4、本合同未尽事宜，遵照《合同法》有关条文执行。</w:t>
      </w:r>
    </w:p>
    <w:p>
      <w:pPr>
        <w:keepNext w:val="0"/>
        <w:keepLines w:val="0"/>
        <w:pageBreakBefore w:val="0"/>
        <w:kinsoku/>
        <w:wordWrap/>
        <w:overflowPunct/>
        <w:topLinePunct w:val="0"/>
        <w:autoSpaceDE/>
        <w:autoSpaceDN/>
        <w:bidi w:val="0"/>
        <w:adjustRightInd/>
        <w:snapToGrid/>
        <w:spacing w:line="380" w:lineRule="exact"/>
        <w:ind w:firstLine="42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十</w:t>
      </w:r>
      <w:r>
        <w:rPr>
          <w:rFonts w:hint="eastAsia" w:ascii="宋体" w:hAnsi="宋体" w:cs="宋体"/>
          <w:b/>
          <w:bCs/>
          <w:color w:val="auto"/>
          <w:highlight w:val="none"/>
          <w:lang w:eastAsia="zh-CN"/>
        </w:rPr>
        <w:t>四</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合同的变更、终止与转让</w:t>
      </w:r>
    </w:p>
    <w:p>
      <w:pPr>
        <w:keepNext w:val="0"/>
        <w:keepLines w:val="0"/>
        <w:pageBreakBefore w:val="0"/>
        <w:kinsoku/>
        <w:wordWrap/>
        <w:overflowPunct/>
        <w:topLinePunct w:val="0"/>
        <w:autoSpaceDE/>
        <w:autoSpaceDN/>
        <w:bidi w:val="0"/>
        <w:adjustRightInd/>
        <w:snapToGrid/>
        <w:spacing w:line="380" w:lineRule="exact"/>
        <w:ind w:firstLine="42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1、除《中华人民共和国政府采购法》第五十条规定的情形外，本合同一经签订，甲乙双方不得擅自变更、中止或终止。</w:t>
      </w:r>
    </w:p>
    <w:p>
      <w:pPr>
        <w:keepNext w:val="0"/>
        <w:keepLines w:val="0"/>
        <w:pageBreakBefore w:val="0"/>
        <w:kinsoku/>
        <w:wordWrap/>
        <w:overflowPunct/>
        <w:topLinePunct w:val="0"/>
        <w:autoSpaceDE/>
        <w:autoSpaceDN/>
        <w:bidi w:val="0"/>
        <w:adjustRightInd/>
        <w:snapToGrid/>
        <w:spacing w:line="380" w:lineRule="exact"/>
        <w:ind w:firstLine="42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2、乙方不得擅自转让其应履行的合同义务。</w:t>
      </w:r>
    </w:p>
    <w:p>
      <w:pPr>
        <w:keepNext w:val="0"/>
        <w:keepLines w:val="0"/>
        <w:pageBreakBefore w:val="0"/>
        <w:kinsoku/>
        <w:wordWrap/>
        <w:overflowPunct/>
        <w:topLinePunct w:val="0"/>
        <w:autoSpaceDE/>
        <w:autoSpaceDN/>
        <w:bidi w:val="0"/>
        <w:adjustRightInd/>
        <w:snapToGrid/>
        <w:spacing w:line="380" w:lineRule="exact"/>
        <w:ind w:firstLine="42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十</w:t>
      </w:r>
      <w:r>
        <w:rPr>
          <w:rFonts w:hint="eastAsia" w:ascii="宋体" w:hAnsi="宋体" w:cs="宋体"/>
          <w:b/>
          <w:bCs/>
          <w:color w:val="auto"/>
          <w:highlight w:val="none"/>
          <w:lang w:eastAsia="zh-CN"/>
        </w:rPr>
        <w:t>五</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签订本合同依据</w:t>
      </w:r>
    </w:p>
    <w:p>
      <w:pPr>
        <w:keepNext w:val="0"/>
        <w:keepLines w:val="0"/>
        <w:pageBreakBefore w:val="0"/>
        <w:kinsoku/>
        <w:wordWrap/>
        <w:overflowPunct/>
        <w:topLinePunct w:val="0"/>
        <w:autoSpaceDE/>
        <w:autoSpaceDN/>
        <w:bidi w:val="0"/>
        <w:adjustRightInd/>
        <w:snapToGrid/>
        <w:spacing w:line="380" w:lineRule="exact"/>
        <w:ind w:firstLine="42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1、招标文件；</w:t>
      </w:r>
    </w:p>
    <w:p>
      <w:pPr>
        <w:keepNext w:val="0"/>
        <w:keepLines w:val="0"/>
        <w:pageBreakBefore w:val="0"/>
        <w:kinsoku/>
        <w:wordWrap/>
        <w:overflowPunct/>
        <w:topLinePunct w:val="0"/>
        <w:autoSpaceDE/>
        <w:autoSpaceDN/>
        <w:bidi w:val="0"/>
        <w:adjustRightInd/>
        <w:snapToGrid/>
        <w:spacing w:line="380" w:lineRule="exact"/>
        <w:ind w:firstLine="42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2、乙方提供的采购投标(或应答)文件；</w:t>
      </w:r>
    </w:p>
    <w:p>
      <w:pPr>
        <w:keepNext w:val="0"/>
        <w:keepLines w:val="0"/>
        <w:pageBreakBefore w:val="0"/>
        <w:kinsoku/>
        <w:wordWrap/>
        <w:overflowPunct/>
        <w:topLinePunct w:val="0"/>
        <w:autoSpaceDE/>
        <w:autoSpaceDN/>
        <w:bidi w:val="0"/>
        <w:adjustRightInd/>
        <w:snapToGrid/>
        <w:spacing w:line="380" w:lineRule="exact"/>
        <w:ind w:firstLine="42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3、投标承诺书；</w:t>
      </w:r>
    </w:p>
    <w:p>
      <w:pPr>
        <w:keepNext w:val="0"/>
        <w:keepLines w:val="0"/>
        <w:pageBreakBefore w:val="0"/>
        <w:kinsoku/>
        <w:wordWrap/>
        <w:overflowPunct/>
        <w:topLinePunct w:val="0"/>
        <w:autoSpaceDE/>
        <w:autoSpaceDN/>
        <w:bidi w:val="0"/>
        <w:adjustRightInd/>
        <w:snapToGrid/>
        <w:spacing w:line="380" w:lineRule="exact"/>
        <w:ind w:firstLine="42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4、中标或成交通知书。</w:t>
      </w:r>
    </w:p>
    <w:p>
      <w:pPr>
        <w:keepNext w:val="0"/>
        <w:keepLines w:val="0"/>
        <w:pageBreakBefore w:val="0"/>
        <w:kinsoku/>
        <w:wordWrap/>
        <w:overflowPunct/>
        <w:topLinePunct w:val="0"/>
        <w:autoSpaceDE/>
        <w:autoSpaceDN/>
        <w:bidi w:val="0"/>
        <w:adjustRightInd/>
        <w:snapToGrid/>
        <w:spacing w:line="380" w:lineRule="exact"/>
        <w:ind w:firstLine="42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eastAsia="zh-CN"/>
        </w:rPr>
        <w:t>十</w:t>
      </w:r>
      <w:r>
        <w:rPr>
          <w:rFonts w:hint="eastAsia" w:ascii="宋体" w:hAnsi="宋体" w:cs="宋体"/>
          <w:b/>
          <w:bCs/>
          <w:color w:val="auto"/>
          <w:highlight w:val="none"/>
          <w:lang w:eastAsia="zh-CN"/>
        </w:rPr>
        <w:t>六</w:t>
      </w:r>
      <w:r>
        <w:rPr>
          <w:rFonts w:hint="eastAsia" w:ascii="宋体" w:hAnsi="宋体" w:cs="宋体"/>
          <w:color w:val="auto"/>
          <w:highlight w:val="none"/>
          <w:lang w:eastAsia="zh-CN"/>
        </w:rPr>
        <w:t>、</w:t>
      </w:r>
      <w:r>
        <w:rPr>
          <w:rFonts w:hint="eastAsia" w:ascii="宋体" w:hAnsi="宋体" w:eastAsia="宋体" w:cs="宋体"/>
          <w:color w:val="auto"/>
          <w:highlight w:val="none"/>
        </w:rPr>
        <w:t>本合同一式五份，具有同等法律效力，财政部门(政府采购监督管理部门)一份，甲方两份，乙方一份，采购代理机构一份(可根据需要另增加)。</w:t>
      </w:r>
    </w:p>
    <w:p>
      <w:pPr>
        <w:keepNext w:val="0"/>
        <w:keepLines w:val="0"/>
        <w:pageBreakBefore w:val="0"/>
        <w:kinsoku/>
        <w:wordWrap/>
        <w:overflowPunct/>
        <w:topLinePunct w:val="0"/>
        <w:autoSpaceDE/>
        <w:autoSpaceDN/>
        <w:bidi w:val="0"/>
        <w:adjustRightInd/>
        <w:snapToGrid/>
        <w:spacing w:line="380" w:lineRule="exact"/>
        <w:ind w:firstLine="42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本合同甲乙双方签字盖章后生效，自签订之日起七个工作日内，采购人或采购代理机构应当将合同报同级财政部</w:t>
      </w:r>
      <w:r>
        <w:rPr>
          <w:rFonts w:hint="eastAsia" w:ascii="宋体" w:hAnsi="宋体" w:eastAsia="宋体" w:cs="宋体"/>
          <w:color w:val="auto"/>
          <w:highlight w:val="none"/>
          <w:lang w:eastAsia="zh-CN"/>
        </w:rPr>
        <w:t>门</w:t>
      </w:r>
      <w:r>
        <w:rPr>
          <w:rFonts w:hint="eastAsia" w:ascii="宋体" w:hAnsi="宋体" w:eastAsia="宋体" w:cs="宋体"/>
          <w:color w:val="auto"/>
          <w:highlight w:val="none"/>
        </w:rPr>
        <w:t>(政府采购监督管理部门)备案。</w:t>
      </w:r>
    </w:p>
    <w:tbl>
      <w:tblPr>
        <w:tblStyle w:val="58"/>
        <w:tblW w:w="9100" w:type="dxa"/>
        <w:jc w:val="center"/>
        <w:tblLayout w:type="fixed"/>
        <w:tblCellMar>
          <w:top w:w="0" w:type="dxa"/>
          <w:left w:w="10" w:type="dxa"/>
          <w:bottom w:w="0" w:type="dxa"/>
          <w:right w:w="10" w:type="dxa"/>
        </w:tblCellMar>
      </w:tblPr>
      <w:tblGrid>
        <w:gridCol w:w="4784"/>
        <w:gridCol w:w="4316"/>
      </w:tblGrid>
      <w:tr>
        <w:tblPrEx>
          <w:tblCellMar>
            <w:top w:w="0" w:type="dxa"/>
            <w:left w:w="10" w:type="dxa"/>
            <w:bottom w:w="0" w:type="dxa"/>
            <w:right w:w="10" w:type="dxa"/>
          </w:tblCellMar>
        </w:tblPrEx>
        <w:trPr>
          <w:trHeight w:val="5132" w:hRule="atLeast"/>
          <w:jc w:val="center"/>
        </w:trPr>
        <w:tc>
          <w:tcPr>
            <w:tcW w:w="47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委托方(</w:t>
            </w:r>
            <w:r>
              <w:rPr>
                <w:rFonts w:hint="eastAsia" w:ascii="宋体" w:hAnsi="宋体" w:eastAsia="宋体" w:cs="宋体"/>
                <w:color w:val="auto"/>
                <w:szCs w:val="21"/>
                <w:highlight w:val="none"/>
              </w:rPr>
              <w:t>甲方</w:t>
            </w:r>
            <w:r>
              <w:rPr>
                <w:rFonts w:hint="eastAsia" w:ascii="宋体" w:hAnsi="宋体" w:eastAsia="宋体" w:cs="宋体"/>
                <w:color w:val="auto"/>
                <w:kern w:val="0"/>
                <w:szCs w:val="21"/>
                <w:highlight w:val="none"/>
              </w:rPr>
              <w:t>)</w:t>
            </w:r>
          </w:p>
          <w:p>
            <w:pPr>
              <w:widowControl/>
              <w:rPr>
                <w:rFonts w:hint="eastAsia" w:ascii="宋体" w:hAnsi="宋体" w:eastAsia="宋体" w:cs="宋体"/>
                <w:color w:val="auto"/>
                <w:szCs w:val="21"/>
                <w:highlight w:val="none"/>
              </w:rPr>
            </w:pP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kern w:val="0"/>
                <w:szCs w:val="21"/>
                <w:highlight w:val="none"/>
              </w:rPr>
              <w:t>（公章）：</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单位地址：</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法定代表人：</w:t>
            </w:r>
          </w:p>
          <w:p>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p>
            <w:pPr>
              <w:pStyle w:val="2"/>
              <w:spacing w:line="360" w:lineRule="auto"/>
              <w:ind w:left="0" w:leftChars="0" w:firstLine="0" w:firstLineChars="0"/>
              <w:rPr>
                <w:rFonts w:hint="eastAsia" w:ascii="宋体" w:hAnsi="宋体" w:eastAsia="宋体" w:cs="宋体"/>
                <w:color w:val="auto"/>
                <w:kern w:val="2"/>
                <w:sz w:val="21"/>
                <w:highlight w:val="none"/>
              </w:rPr>
            </w:pPr>
            <w:r>
              <w:rPr>
                <w:rFonts w:hint="eastAsia" w:ascii="宋体" w:hAnsi="宋体" w:eastAsia="宋体" w:cs="宋体"/>
                <w:color w:val="auto"/>
                <w:sz w:val="21"/>
                <w:szCs w:val="21"/>
                <w:highlight w:val="none"/>
              </w:rPr>
              <w:t>邮政编码：</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电话：</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传真：</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开户银行：</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账号：</w:t>
            </w:r>
          </w:p>
          <w:p>
            <w:pPr>
              <w:widowControl/>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年　月　日</w:t>
            </w:r>
          </w:p>
        </w:tc>
        <w:tc>
          <w:tcPr>
            <w:tcW w:w="4316" w:type="dxa"/>
            <w:tcBorders>
              <w:top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受托方（乙方）</w:t>
            </w:r>
          </w:p>
          <w:p>
            <w:pPr>
              <w:widowControl/>
              <w:rPr>
                <w:rFonts w:hint="eastAsia" w:ascii="宋体" w:hAnsi="宋体" w:eastAsia="宋体" w:cs="宋体"/>
                <w:color w:val="auto"/>
                <w:highlight w:val="none"/>
              </w:rPr>
            </w:pP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kern w:val="0"/>
                <w:szCs w:val="21"/>
                <w:highlight w:val="none"/>
              </w:rPr>
              <w:t>（公章）：</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单位地址：</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法定代表人：</w:t>
            </w:r>
          </w:p>
          <w:p>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p>
            <w:pPr>
              <w:pStyle w:val="2"/>
              <w:spacing w:line="360" w:lineRule="auto"/>
              <w:ind w:left="0" w:leftChars="0" w:firstLine="0" w:firstLineChars="0"/>
              <w:rPr>
                <w:rFonts w:hint="eastAsia" w:ascii="宋体" w:hAnsi="宋体" w:eastAsia="宋体" w:cs="宋体"/>
                <w:color w:val="auto"/>
                <w:kern w:val="2"/>
                <w:sz w:val="21"/>
                <w:highlight w:val="none"/>
              </w:rPr>
            </w:pPr>
            <w:r>
              <w:rPr>
                <w:rFonts w:hint="eastAsia" w:ascii="宋体" w:hAnsi="宋体" w:eastAsia="宋体" w:cs="宋体"/>
                <w:color w:val="auto"/>
                <w:sz w:val="21"/>
                <w:szCs w:val="21"/>
                <w:highlight w:val="none"/>
              </w:rPr>
              <w:t>邮政编码：</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电话：</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传真：</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开户银行：</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账号：</w:t>
            </w:r>
          </w:p>
          <w:p>
            <w:pPr>
              <w:pStyle w:val="24"/>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年　月　日</w:t>
            </w:r>
          </w:p>
        </w:tc>
      </w:tr>
    </w:tbl>
    <w:p>
      <w:pPr>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bookmarkEnd w:id="2"/>
    <w:bookmarkEnd w:id="3"/>
    <w:bookmarkEnd w:id="110"/>
    <w:bookmarkEnd w:id="111"/>
    <w:bookmarkEnd w:id="112"/>
    <w:bookmarkEnd w:id="113"/>
    <w:bookmarkEnd w:id="114"/>
    <w:bookmarkEnd w:id="115"/>
    <w:bookmarkEnd w:id="116"/>
    <w:p>
      <w:pPr>
        <w:pStyle w:val="2"/>
        <w:ind w:left="0" w:leftChars="0" w:firstLine="0" w:firstLineChars="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pStyle w:val="5"/>
        <w:spacing w:line="408"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highlight w:val="none"/>
        </w:rPr>
        <w:t>第六章　 投标文件格式</w:t>
      </w:r>
      <w:bookmarkStart w:id="117" w:name="_Toc220"/>
      <w:bookmarkStart w:id="118" w:name="_Toc10352"/>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pStyle w:val="24"/>
        <w:rPr>
          <w:rFonts w:hint="eastAsia" w:ascii="宋体" w:hAnsi="宋体" w:eastAsia="宋体" w:cs="宋体"/>
          <w:bCs/>
          <w:color w:val="auto"/>
          <w:sz w:val="32"/>
          <w:szCs w:val="32"/>
          <w:highlight w:val="none"/>
        </w:rPr>
      </w:pPr>
    </w:p>
    <w:p>
      <w:pPr>
        <w:snapToGrid w:val="0"/>
        <w:spacing w:before="156" w:beforeLines="50" w:after="50" w:line="408" w:lineRule="auto"/>
        <w:jc w:val="both"/>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一、投标文件外包装封面</w:t>
      </w:r>
      <w:bookmarkEnd w:id="117"/>
      <w:bookmarkEnd w:id="118"/>
      <w:r>
        <w:rPr>
          <w:rFonts w:hint="eastAsia" w:ascii="宋体" w:hAnsi="宋体" w:eastAsia="宋体" w:cs="宋体"/>
          <w:bCs/>
          <w:color w:val="auto"/>
          <w:sz w:val="32"/>
          <w:szCs w:val="32"/>
          <w:highlight w:val="none"/>
        </w:rPr>
        <w:t>格式</w:t>
      </w:r>
    </w:p>
    <w:p>
      <w:pPr>
        <w:snapToGrid w:val="0"/>
        <w:spacing w:line="408" w:lineRule="auto"/>
        <w:ind w:firstLine="207" w:firstLineChars="98"/>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（一）投标文件的外包装封面格式：</w:t>
      </w:r>
      <w:r>
        <w:rPr>
          <w:rFonts w:hint="eastAsia" w:ascii="宋体" w:hAnsi="宋体" w:eastAsia="宋体" w:cs="宋体"/>
          <w:color w:val="auto"/>
          <w:szCs w:val="21"/>
          <w:highlight w:val="none"/>
        </w:rPr>
        <w:t xml:space="preserve"> </w:t>
      </w:r>
    </w:p>
    <w:p>
      <w:pPr>
        <w:pStyle w:val="2"/>
        <w:ind w:firstLine="640"/>
        <w:rPr>
          <w:rFonts w:hint="eastAsia" w:ascii="宋体" w:hAnsi="宋体" w:eastAsia="宋体" w:cs="宋体"/>
          <w:color w:val="auto"/>
          <w:highlight w:val="none"/>
        </w:rPr>
      </w:pPr>
    </w:p>
    <w:p>
      <w:pPr>
        <w:snapToGrid w:val="0"/>
        <w:spacing w:before="156" w:beforeLines="50" w:after="50" w:line="408" w:lineRule="auto"/>
        <w:ind w:firstLine="3518" w:firstLineChars="1095"/>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 xml:space="preserve">投 标 文 件   </w:t>
      </w:r>
      <w:r>
        <w:rPr>
          <w:rFonts w:hint="eastAsia" w:ascii="宋体" w:hAnsi="宋体" w:eastAsia="宋体" w:cs="宋体"/>
          <w:b/>
          <w:bCs/>
          <w:color w:val="auto"/>
          <w:szCs w:val="21"/>
          <w:highlight w:val="none"/>
        </w:rPr>
        <w:t xml:space="preserve">           </w:t>
      </w:r>
    </w:p>
    <w:p>
      <w:pPr>
        <w:pStyle w:val="10"/>
        <w:snapToGrid w:val="0"/>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采购项目名称： </w:t>
      </w:r>
    </w:p>
    <w:p>
      <w:pPr>
        <w:pStyle w:val="10"/>
        <w:snapToGrid w:val="0"/>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采购项目编号：</w:t>
      </w:r>
    </w:p>
    <w:p>
      <w:pPr>
        <w:pStyle w:val="10"/>
        <w:snapToGrid w:val="0"/>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投标人名称：（盖章）</w:t>
      </w:r>
    </w:p>
    <w:p>
      <w:pPr>
        <w:pStyle w:val="10"/>
        <w:snapToGrid w:val="0"/>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pPr>
        <w:pStyle w:val="10"/>
        <w:snapToGrid w:val="0"/>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  ×年×月×日×时×分前不得启封（开标时才能启封）</w:t>
      </w:r>
    </w:p>
    <w:p>
      <w:pPr>
        <w:snapToGrid w:val="0"/>
        <w:spacing w:line="408" w:lineRule="auto"/>
        <w:rPr>
          <w:rFonts w:hint="eastAsia" w:ascii="宋体" w:hAnsi="宋体" w:eastAsia="宋体" w:cs="宋体"/>
          <w:color w:val="auto"/>
          <w:szCs w:val="21"/>
          <w:highlight w:val="none"/>
        </w:rPr>
      </w:pPr>
    </w:p>
    <w:p>
      <w:pPr>
        <w:pStyle w:val="2"/>
        <w:ind w:firstLine="640"/>
        <w:rPr>
          <w:rFonts w:hint="eastAsia" w:ascii="宋体" w:hAnsi="宋体" w:eastAsia="宋体" w:cs="宋体"/>
          <w:color w:val="auto"/>
          <w:szCs w:val="21"/>
          <w:highlight w:val="none"/>
        </w:rPr>
      </w:pPr>
    </w:p>
    <w:p>
      <w:pPr>
        <w:pStyle w:val="2"/>
        <w:ind w:firstLine="640"/>
        <w:rPr>
          <w:rFonts w:hint="eastAsia" w:ascii="宋体" w:hAnsi="宋体" w:eastAsia="宋体" w:cs="宋体"/>
          <w:color w:val="auto"/>
          <w:szCs w:val="21"/>
          <w:highlight w:val="none"/>
        </w:rPr>
      </w:pPr>
    </w:p>
    <w:p>
      <w:pPr>
        <w:pStyle w:val="2"/>
        <w:ind w:firstLine="640"/>
        <w:rPr>
          <w:rFonts w:hint="eastAsia" w:ascii="宋体" w:hAnsi="宋体" w:eastAsia="宋体" w:cs="宋体"/>
          <w:color w:val="auto"/>
          <w:szCs w:val="21"/>
          <w:highlight w:val="none"/>
        </w:rPr>
      </w:pPr>
    </w:p>
    <w:p>
      <w:pPr>
        <w:pStyle w:val="2"/>
        <w:ind w:firstLine="640"/>
        <w:rPr>
          <w:rFonts w:hint="eastAsia" w:ascii="宋体" w:hAnsi="宋体" w:eastAsia="宋体" w:cs="宋体"/>
          <w:color w:val="auto"/>
          <w:szCs w:val="21"/>
          <w:highlight w:val="none"/>
        </w:rPr>
      </w:pPr>
    </w:p>
    <w:p>
      <w:pPr>
        <w:snapToGrid w:val="0"/>
        <w:spacing w:line="408" w:lineRule="auto"/>
        <w:jc w:val="center"/>
        <w:rPr>
          <w:rFonts w:hint="eastAsia" w:ascii="宋体" w:hAnsi="宋体" w:eastAsia="宋体" w:cs="宋体"/>
          <w:color w:val="auto"/>
          <w:szCs w:val="21"/>
          <w:highlight w:val="none"/>
        </w:rPr>
      </w:pPr>
      <w:r>
        <w:rPr>
          <w:rFonts w:hint="eastAsia" w:ascii="宋体" w:hAnsi="宋体" w:eastAsia="宋体" w:cs="宋体"/>
          <w:bCs/>
          <w:color w:val="auto"/>
          <w:sz w:val="32"/>
          <w:szCs w:val="32"/>
          <w:highlight w:val="none"/>
        </w:rPr>
        <w:t>投 标 文 件（正/副本）</w:t>
      </w:r>
    </w:p>
    <w:p>
      <w:pPr>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采购项目名称： </w:t>
      </w:r>
    </w:p>
    <w:p>
      <w:pPr>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采购项目编号：</w:t>
      </w:r>
    </w:p>
    <w:p>
      <w:pPr>
        <w:pStyle w:val="10"/>
        <w:snapToGrid w:val="0"/>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投标人名称：（盖章）</w:t>
      </w:r>
    </w:p>
    <w:p>
      <w:pPr>
        <w:pStyle w:val="10"/>
        <w:snapToGrid w:val="0"/>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pPr>
        <w:pStyle w:val="10"/>
        <w:snapToGrid w:val="0"/>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在  </w:t>
      </w:r>
      <w:r>
        <w:rPr>
          <w:rFonts w:hint="eastAsia" w:ascii="宋体" w:hAnsi="宋体" w:eastAsia="宋体" w:cs="宋体"/>
          <w:color w:val="auto"/>
          <w:sz w:val="21"/>
          <w:szCs w:val="21"/>
          <w:highlight w:val="none"/>
        </w:rPr>
        <w:t>×年×月×日×时×分前</w:t>
      </w:r>
      <w:r>
        <w:rPr>
          <w:rFonts w:hint="eastAsia" w:ascii="宋体" w:hAnsi="宋体" w:eastAsia="宋体" w:cs="宋体"/>
          <w:bCs/>
          <w:color w:val="auto"/>
          <w:sz w:val="21"/>
          <w:szCs w:val="21"/>
          <w:highlight w:val="none"/>
        </w:rPr>
        <w:t>不得启封（开标时才能启封）</w:t>
      </w:r>
    </w:p>
    <w:p>
      <w:pPr>
        <w:pStyle w:val="10"/>
        <w:snapToGrid w:val="0"/>
        <w:spacing w:line="408" w:lineRule="auto"/>
        <w:ind w:firstLine="0"/>
        <w:rPr>
          <w:rFonts w:hint="eastAsia" w:ascii="宋体" w:hAnsi="宋体" w:eastAsia="宋体" w:cs="宋体"/>
          <w:bCs/>
          <w:color w:val="auto"/>
          <w:sz w:val="21"/>
          <w:szCs w:val="21"/>
          <w:highlight w:val="none"/>
        </w:rPr>
      </w:pPr>
    </w:p>
    <w:p>
      <w:pPr>
        <w:pStyle w:val="10"/>
        <w:snapToGrid w:val="0"/>
        <w:spacing w:line="408" w:lineRule="auto"/>
        <w:ind w:firstLine="0"/>
        <w:rPr>
          <w:rFonts w:hint="eastAsia" w:ascii="宋体" w:hAnsi="宋体" w:eastAsia="宋体" w:cs="宋体"/>
          <w:bCs/>
          <w:color w:val="auto"/>
          <w:sz w:val="21"/>
          <w:szCs w:val="21"/>
          <w:highlight w:val="none"/>
        </w:rPr>
      </w:pPr>
    </w:p>
    <w:p>
      <w:pPr>
        <w:pStyle w:val="2"/>
        <w:ind w:left="0" w:leftChars="0" w:firstLine="0" w:firstLineChars="0"/>
        <w:rPr>
          <w:rFonts w:hint="eastAsia" w:ascii="宋体" w:hAnsi="宋体" w:eastAsia="宋体" w:cs="宋体"/>
          <w:bCs/>
          <w:color w:val="auto"/>
          <w:szCs w:val="32"/>
          <w:highlight w:val="none"/>
        </w:rPr>
      </w:pPr>
      <w:bookmarkStart w:id="119" w:name="_Toc20210"/>
      <w:bookmarkStart w:id="120" w:name="_Toc12611"/>
    </w:p>
    <w:p>
      <w:pPr>
        <w:pStyle w:val="2"/>
        <w:ind w:left="0" w:leftChars="0" w:firstLine="0" w:firstLineChars="0"/>
        <w:rPr>
          <w:rFonts w:hint="eastAsia" w:ascii="宋体" w:hAnsi="宋体" w:eastAsia="宋体" w:cs="宋体"/>
          <w:bCs/>
          <w:color w:val="auto"/>
          <w:szCs w:val="32"/>
          <w:highlight w:val="none"/>
        </w:rPr>
      </w:pPr>
    </w:p>
    <w:p>
      <w:pPr>
        <w:pStyle w:val="2"/>
        <w:ind w:left="0" w:leftChars="0" w:firstLine="0" w:firstLineChars="0"/>
        <w:rPr>
          <w:rFonts w:hint="eastAsia" w:ascii="宋体" w:hAnsi="宋体" w:eastAsia="宋体" w:cs="宋体"/>
          <w:bCs/>
          <w:color w:val="auto"/>
          <w:szCs w:val="32"/>
          <w:highlight w:val="none"/>
        </w:rPr>
      </w:pPr>
    </w:p>
    <w:p>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bCs/>
          <w:color w:val="auto"/>
          <w:szCs w:val="32"/>
          <w:highlight w:val="none"/>
        </w:rPr>
        <w:t>二、投标文件格式</w:t>
      </w:r>
      <w:bookmarkEnd w:id="119"/>
      <w:bookmarkEnd w:id="120"/>
    </w:p>
    <w:p>
      <w:pPr>
        <w:snapToGrid w:val="0"/>
        <w:spacing w:before="156" w:beforeLines="50" w:after="50" w:line="408" w:lineRule="auto"/>
        <w:rPr>
          <w:rFonts w:hint="eastAsia" w:ascii="宋体" w:hAnsi="宋体" w:eastAsia="宋体" w:cs="宋体"/>
          <w:b/>
          <w:color w:val="auto"/>
          <w:szCs w:val="21"/>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Cs w:val="21"/>
          <w:highlight w:val="none"/>
        </w:rPr>
        <w:t xml:space="preserve">（一）报价文件部分 </w:t>
      </w:r>
    </w:p>
    <w:p>
      <w:pPr>
        <w:snapToGrid w:val="0"/>
        <w:spacing w:before="156" w:beforeLines="50" w:after="50" w:line="40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1、报价文件封面（格式）</w:t>
      </w:r>
    </w:p>
    <w:p>
      <w:pPr>
        <w:snapToGrid w:val="0"/>
        <w:spacing w:line="40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2"/>
        <w:ind w:firstLine="640"/>
        <w:rPr>
          <w:rFonts w:hint="eastAsia" w:ascii="宋体" w:hAnsi="宋体" w:eastAsia="宋体" w:cs="宋体"/>
          <w:color w:val="auto"/>
          <w:highlight w:val="none"/>
        </w:rPr>
      </w:pPr>
    </w:p>
    <w:p>
      <w:pPr>
        <w:snapToGrid w:val="0"/>
        <w:spacing w:line="408"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Cs w:val="21"/>
          <w:highlight w:val="none"/>
        </w:rPr>
        <w:t>（正/副本）</w:t>
      </w:r>
    </w:p>
    <w:p>
      <w:pPr>
        <w:snapToGrid w:val="0"/>
        <w:spacing w:line="408" w:lineRule="auto"/>
        <w:jc w:val="center"/>
        <w:rPr>
          <w:rFonts w:hint="eastAsia" w:ascii="宋体" w:hAnsi="宋体" w:eastAsia="宋体" w:cs="宋体"/>
          <w:bCs/>
          <w:color w:val="auto"/>
          <w:sz w:val="32"/>
          <w:szCs w:val="32"/>
          <w:highlight w:val="none"/>
        </w:rPr>
      </w:pPr>
    </w:p>
    <w:p>
      <w:pPr>
        <w:snapToGrid w:val="0"/>
        <w:spacing w:line="408"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报价文件</w:t>
      </w:r>
    </w:p>
    <w:p>
      <w:pPr>
        <w:pStyle w:val="2"/>
        <w:ind w:firstLine="640"/>
        <w:rPr>
          <w:rFonts w:hint="eastAsia" w:ascii="宋体" w:hAnsi="宋体" w:eastAsia="宋体" w:cs="宋体"/>
          <w:color w:val="auto"/>
          <w:highlight w:val="none"/>
        </w:rPr>
      </w:pP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项目名称： </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pPr>
        <w:pStyle w:val="2"/>
        <w:ind w:left="0" w:leftChars="0" w:firstLine="0" w:firstLineChars="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日　　　期：</w:t>
      </w: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2、报价文件目录</w:t>
      </w:r>
    </w:p>
    <w:p>
      <w:pPr>
        <w:pStyle w:val="2"/>
        <w:ind w:left="0" w:leftChars="0"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根据招标文件规定及投标人提供的材料自行编写目录。</w:t>
      </w:r>
    </w:p>
    <w:p>
      <w:pPr>
        <w:pStyle w:val="2"/>
        <w:ind w:left="0" w:leftChars="0" w:firstLine="0" w:firstLineChars="0"/>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pStyle w:val="2"/>
        <w:rPr>
          <w:rFonts w:hint="eastAsia" w:ascii="宋体" w:hAnsi="宋体" w:eastAsia="宋体" w:cs="宋体"/>
          <w:color w:val="auto"/>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3、投标函格式： </w:t>
      </w:r>
    </w:p>
    <w:p>
      <w:pPr>
        <w:pStyle w:val="3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投标函（格式）</w:t>
      </w:r>
    </w:p>
    <w:p>
      <w:pPr>
        <w:pStyle w:val="31"/>
        <w:spacing w:line="440" w:lineRule="exact"/>
        <w:rPr>
          <w:rFonts w:hint="eastAsia" w:ascii="宋体" w:hAnsi="宋体" w:eastAsia="宋体" w:cs="宋体"/>
          <w:color w:val="auto"/>
          <w:sz w:val="32"/>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致： </w:t>
      </w:r>
      <w:r>
        <w:rPr>
          <w:rFonts w:hint="eastAsia" w:ascii="宋体" w:hAnsi="宋体" w:eastAsia="宋体" w:cs="宋体"/>
          <w:color w:val="auto"/>
          <w:szCs w:val="21"/>
          <w:highlight w:val="none"/>
          <w:u w:val="single"/>
        </w:rPr>
        <w:t xml:space="preserve">                     （采购代理机构名称）</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我方已仔细阅读了贵方组织的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）的招标文件的全部内容，现正式递交下述文件参加贵方组织的本次政府采购活动： </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一、报价文件正本一份，副本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二、资格证明文件正本一份，副本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三、商务文件正本一份，副本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pPr>
        <w:pStyle w:val="167"/>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color w:val="auto"/>
          <w:kern w:val="2"/>
          <w:sz w:val="21"/>
          <w:szCs w:val="21"/>
          <w:highlight w:val="none"/>
        </w:rPr>
        <w:t>技术文件正本一份，副本</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份；</w:t>
      </w:r>
    </w:p>
    <w:p>
      <w:pPr>
        <w:pStyle w:val="167"/>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五、投标文件电子Ｕ盘一份。</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据此函，签字人兹宣布：</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1、我方愿意以（大写）人民币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元）的投标总报价，投标保证金</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w:t>
      </w:r>
      <w:r>
        <w:rPr>
          <w:rFonts w:hint="eastAsia" w:ascii="宋体" w:hAnsi="宋体" w:eastAsia="宋体" w:cs="宋体"/>
          <w:bCs/>
          <w:color w:val="auto"/>
          <w:highlight w:val="none"/>
        </w:rPr>
        <w:t>服务期限</w:t>
      </w:r>
      <w:r>
        <w:rPr>
          <w:rFonts w:hint="eastAsia" w:ascii="宋体" w:hAnsi="宋体" w:eastAsia="宋体" w:cs="宋体"/>
          <w:bCs/>
          <w:color w:val="auto"/>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，提供本项目招标文件第三章“招标项目采购需求”中的相应的采购内容。</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2、我方同意自本项目投标截止时间（开标时间）起遵循本投标函，并承诺在投标有效期内不修改、撤销投标文件。</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3、我方所递交的投标文件及有关资料都是内容完整、真实和准确的。</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承诺在采购活动前三年内未被列入失信被执行人、重大税收违法案件当事人名单、政府采购严重违法失信行为记录名单，并已经具备《中华人民共和国政府采购法》中规定的参加政府采购活动的供应商应当具备的条件：</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具有独立承担民事责任的能力；</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具有良好的商业信誉和健全的财务会计制度；</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具有履行合同所必需的设备和专业技术能力；</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有依法缴纳税收和社会保障资金的良好记录；</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参加政府采购活动前三年内，在经营活动中没有重大违法记录；</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法律、行政法规规定的其他条件。</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5、如本项目采购内容涉及须符合国家强制规定的，我方承诺我方本次投标（包括资格条件和所投产品）均符合国家有关强制规定。</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6、如我方中标，我方承诺在收到中标通知书后，在中标通知书规定的期限内，根据招标文件、我方的投标文件及有关澄清承诺书的要求按</w:t>
      </w:r>
      <w:r>
        <w:rPr>
          <w:rFonts w:hint="eastAsia" w:ascii="宋体" w:hAnsi="宋体" w:eastAsia="宋体" w:cs="宋体"/>
          <w:color w:val="auto"/>
          <w:highlight w:val="none"/>
        </w:rPr>
        <w:t>第五章“合同主要条款（格式）”</w:t>
      </w:r>
      <w:r>
        <w:rPr>
          <w:rFonts w:hint="eastAsia" w:ascii="宋体" w:hAnsi="宋体" w:eastAsia="宋体" w:cs="宋体"/>
          <w:color w:val="auto"/>
          <w:szCs w:val="21"/>
          <w:highlight w:val="none"/>
        </w:rPr>
        <w:t>与采购人订立书面合同，并按照合同约定承担完成合同的责任和义务。</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7、我方已详细审核招标文件，我方知道必须放弃提出含糊不清或误解问题的权利。</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8、我方同意应贵方要求提供与本投标有关的任何数据或资料。若贵方需要，我方愿意提供我方作出的一切承诺的证明材料。</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9、我方完全理解贵方不一定接受投标报价最低的投标人为中标供应商的行为。</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不如实提供材料、提供虚假材料谋取中标、成交的；</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采取不正当手段诋毁、排挤其他供应商的；</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与采购人、其他供应商或者采购代理机构恶意串通的；</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向采购人、采购代理机构行贿或者提供其他不正当利益的；</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在招标过程中与采购人进行协商谈判的；</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拒绝有关部门监督检查或提供虚假情况的。</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11、我方及由本人担任法定代表人的其他机构最近三年内被处罚的违法行为有：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numPr>
          <w:ilvl w:val="0"/>
          <w:numId w:val="5"/>
        </w:num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以上事项如有虚假或隐瞒，我方愿意承担一切后果，并不再寻求任何</w:t>
      </w:r>
      <w:r>
        <w:rPr>
          <w:rFonts w:hint="eastAsia" w:ascii="宋体" w:hAnsi="宋体" w:cs="宋体"/>
          <w:color w:val="auto"/>
          <w:szCs w:val="21"/>
          <w:highlight w:val="none"/>
          <w:lang w:eastAsia="zh-CN"/>
        </w:rPr>
        <w:t>旨在</w:t>
      </w:r>
      <w:r>
        <w:rPr>
          <w:rFonts w:hint="eastAsia" w:ascii="宋体" w:hAnsi="宋体" w:eastAsia="宋体" w:cs="宋体"/>
          <w:color w:val="auto"/>
          <w:szCs w:val="21"/>
          <w:highlight w:val="none"/>
        </w:rPr>
        <w:t>减轻或免除法律责任的辩解。</w:t>
      </w:r>
    </w:p>
    <w:p>
      <w:pPr>
        <w:pStyle w:val="2"/>
        <w:ind w:left="0" w:leftChars="0" w:firstLine="0" w:firstLineChars="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（盖单位公章）</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法定代表人或其授权委托代理人：</w:t>
      </w:r>
      <w:r>
        <w:rPr>
          <w:rFonts w:hint="eastAsia" w:ascii="宋体" w:hAnsi="宋体" w:eastAsia="宋体" w:cs="宋体"/>
          <w:color w:val="auto"/>
          <w:szCs w:val="21"/>
          <w:highlight w:val="none"/>
          <w:u w:val="single"/>
        </w:rPr>
        <w:t xml:space="preserve">                    （ 签 字  ）</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p>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p>
    <w:p>
      <w:pPr>
        <w:pStyle w:val="2"/>
        <w:ind w:firstLine="640"/>
        <w:rPr>
          <w:rFonts w:hint="eastAsia" w:ascii="宋体" w:hAnsi="宋体" w:eastAsia="宋体" w:cs="宋体"/>
          <w:color w:val="auto"/>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年    月    日</w:t>
      </w:r>
    </w:p>
    <w:p>
      <w:pPr>
        <w:pStyle w:val="2"/>
        <w:ind w:firstLine="640"/>
        <w:rPr>
          <w:rFonts w:hint="eastAsia" w:ascii="宋体" w:hAnsi="宋体" w:eastAsia="宋体" w:cs="宋体"/>
          <w:color w:val="auto"/>
          <w:szCs w:val="21"/>
          <w:highlight w:val="none"/>
        </w:rPr>
      </w:pPr>
    </w:p>
    <w:p>
      <w:pPr>
        <w:pStyle w:val="2"/>
        <w:ind w:firstLine="640"/>
        <w:rPr>
          <w:rFonts w:hint="eastAsia" w:ascii="宋体" w:hAnsi="宋体" w:eastAsia="宋体" w:cs="宋体"/>
          <w:color w:val="auto"/>
          <w:szCs w:val="21"/>
          <w:highlight w:val="none"/>
        </w:rPr>
      </w:pPr>
    </w:p>
    <w:p>
      <w:pPr>
        <w:pStyle w:val="2"/>
        <w:ind w:firstLine="640"/>
        <w:rPr>
          <w:rFonts w:hint="eastAsia" w:ascii="宋体" w:hAnsi="宋体" w:eastAsia="宋体" w:cs="宋体"/>
          <w:color w:val="auto"/>
          <w:szCs w:val="21"/>
          <w:highlight w:val="none"/>
        </w:rPr>
      </w:pPr>
    </w:p>
    <w:p>
      <w:pPr>
        <w:pStyle w:val="2"/>
        <w:ind w:firstLine="640"/>
        <w:rPr>
          <w:rFonts w:hint="eastAsia" w:ascii="宋体" w:hAnsi="宋体" w:eastAsia="宋体" w:cs="宋体"/>
          <w:color w:val="auto"/>
          <w:szCs w:val="21"/>
          <w:highlight w:val="none"/>
        </w:rPr>
      </w:pPr>
    </w:p>
    <w:p>
      <w:pPr>
        <w:pStyle w:val="2"/>
        <w:ind w:firstLine="640"/>
        <w:rPr>
          <w:rFonts w:hint="eastAsia" w:ascii="宋体" w:hAnsi="宋体" w:eastAsia="宋体" w:cs="宋体"/>
          <w:color w:val="auto"/>
          <w:szCs w:val="21"/>
          <w:highlight w:val="none"/>
        </w:rPr>
      </w:pPr>
    </w:p>
    <w:p>
      <w:pPr>
        <w:pStyle w:val="2"/>
        <w:ind w:firstLine="640"/>
        <w:rPr>
          <w:rFonts w:hint="eastAsia" w:ascii="宋体" w:hAnsi="宋体" w:eastAsia="宋体" w:cs="宋体"/>
          <w:color w:val="auto"/>
          <w:szCs w:val="21"/>
          <w:highlight w:val="none"/>
        </w:rPr>
      </w:pPr>
    </w:p>
    <w:p>
      <w:pPr>
        <w:pStyle w:val="2"/>
        <w:ind w:firstLine="640"/>
        <w:rPr>
          <w:rFonts w:hint="eastAsia" w:ascii="宋体" w:hAnsi="宋体" w:eastAsia="宋体" w:cs="宋体"/>
          <w:color w:val="auto"/>
          <w:szCs w:val="21"/>
          <w:highlight w:val="none"/>
        </w:rPr>
      </w:pPr>
    </w:p>
    <w:p>
      <w:pPr>
        <w:snapToGrid w:val="0"/>
        <w:spacing w:line="400" w:lineRule="exact"/>
        <w:rPr>
          <w:rFonts w:hint="eastAsia" w:ascii="宋体" w:hAnsi="宋体" w:eastAsia="宋体" w:cs="宋体"/>
          <w:b/>
          <w:color w:val="auto"/>
          <w:szCs w:val="21"/>
          <w:highlight w:val="none"/>
        </w:rPr>
      </w:pP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4、开标一览表（格式）：</w:t>
      </w:r>
    </w:p>
    <w:p>
      <w:pPr>
        <w:snapToGrid w:val="0"/>
        <w:spacing w:before="50" w:after="50" w:line="320" w:lineRule="exact"/>
        <w:ind w:firstLine="422" w:firstLineChars="20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开标一览表</w:t>
      </w:r>
    </w:p>
    <w:p>
      <w:pPr>
        <w:snapToGrid w:val="0"/>
        <w:spacing w:before="50" w:after="50" w:line="320" w:lineRule="exact"/>
        <w:ind w:firstLine="420" w:firstLineChars="200"/>
        <w:rPr>
          <w:rFonts w:hint="eastAsia" w:ascii="宋体" w:hAnsi="宋体" w:eastAsia="宋体" w:cs="宋体"/>
          <w:color w:val="auto"/>
          <w:szCs w:val="21"/>
          <w:highlight w:val="none"/>
        </w:rPr>
      </w:pPr>
    </w:p>
    <w:p>
      <w:pPr>
        <w:snapToGrid w:val="0"/>
        <w:spacing w:before="50" w:after="50"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pPr>
        <w:snapToGrid w:val="0"/>
        <w:spacing w:before="50" w:after="50"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单位：元</w:t>
      </w:r>
    </w:p>
    <w:tbl>
      <w:tblPr>
        <w:tblStyle w:val="58"/>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3570"/>
        <w:gridCol w:w="840"/>
        <w:gridCol w:w="945"/>
        <w:gridCol w:w="190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序</w:t>
            </w:r>
            <w:r>
              <w:rPr>
                <w:rFonts w:hint="eastAsia" w:ascii="宋体" w:hAnsi="宋体" w:eastAsia="宋体" w:cs="宋体"/>
                <w:color w:val="auto"/>
                <w:szCs w:val="21"/>
                <w:highlight w:val="none"/>
                <w:lang w:val="en-US" w:eastAsia="zh-CN"/>
              </w:rPr>
              <w:t>序号</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服务期限①</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p>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/年</w:t>
            </w:r>
          </w:p>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单项合价</w:t>
            </w:r>
          </w:p>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③=①×②</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w:t>
            </w:r>
          </w:p>
        </w:tc>
        <w:tc>
          <w:tcPr>
            <w:tcW w:w="35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县城填埋场</w:t>
            </w:r>
          </w:p>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（生活垃圾卫生填埋服务）</w:t>
            </w:r>
          </w:p>
        </w:tc>
        <w:tc>
          <w:tcPr>
            <w:tcW w:w="8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p>
        </w:tc>
        <w:tc>
          <w:tcPr>
            <w:tcW w:w="94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p>
        </w:tc>
        <w:tc>
          <w:tcPr>
            <w:tcW w:w="19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p>
        </w:tc>
        <w:tc>
          <w:tcPr>
            <w:tcW w:w="24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上限</w:t>
            </w:r>
            <w:r>
              <w:rPr>
                <w:rFonts w:hint="eastAsia" w:ascii="宋体" w:hAnsi="宋体" w:eastAsia="宋体" w:cs="宋体"/>
                <w:color w:val="auto"/>
                <w:szCs w:val="21"/>
                <w:highlight w:val="none"/>
                <w:lang w:eastAsia="zh-CN"/>
              </w:rPr>
              <w:t>单</w:t>
            </w:r>
            <w:r>
              <w:rPr>
                <w:rFonts w:hint="eastAsia" w:ascii="宋体" w:hAnsi="宋体" w:eastAsia="宋体" w:cs="宋体"/>
                <w:color w:val="auto"/>
                <w:szCs w:val="21"/>
                <w:highlight w:val="none"/>
              </w:rPr>
              <w:t>价为86元/吨</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lang w:eastAsia="zh-CN"/>
              </w:rPr>
              <w:t>（暂定</w:t>
            </w:r>
            <w:r>
              <w:rPr>
                <w:rFonts w:hint="eastAsia" w:ascii="宋体" w:hAnsi="宋体" w:eastAsia="宋体" w:cs="宋体"/>
                <w:color w:val="auto"/>
                <w:szCs w:val="21"/>
                <w:highlight w:val="none"/>
              </w:rPr>
              <w:t>日处理量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*365=</w:t>
            </w:r>
            <w:r>
              <w:rPr>
                <w:rFonts w:hint="eastAsia" w:ascii="宋体" w:hAnsi="宋体" w:eastAsia="宋体" w:cs="宋体"/>
                <w:color w:val="auto"/>
                <w:szCs w:val="21"/>
                <w:highlight w:val="none"/>
                <w:lang w:eastAsia="zh-CN"/>
              </w:rPr>
              <w:t>暂定</w:t>
            </w:r>
            <w:r>
              <w:rPr>
                <w:rFonts w:hint="eastAsia" w:ascii="宋体" w:hAnsi="宋体" w:eastAsia="宋体" w:cs="宋体"/>
                <w:color w:val="auto"/>
                <w:szCs w:val="21"/>
                <w:highlight w:val="none"/>
              </w:rPr>
              <w:t>313.9万元</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，（投标报价</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超过</w:t>
            </w:r>
            <w:r>
              <w:rPr>
                <w:rFonts w:hint="eastAsia" w:ascii="宋体" w:hAnsi="宋体" w:eastAsia="宋体" w:cs="宋体"/>
                <w:color w:val="auto"/>
                <w:szCs w:val="21"/>
                <w:highlight w:val="none"/>
              </w:rPr>
              <w:t>313.9万元</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为无效投标报价。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w:t>
            </w:r>
          </w:p>
        </w:tc>
        <w:tc>
          <w:tcPr>
            <w:tcW w:w="35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七个乡镇垃圾清运及</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个中转站运行</w:t>
            </w:r>
          </w:p>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（欧洞、大塘、果遂、新圩）</w:t>
            </w:r>
          </w:p>
        </w:tc>
        <w:tc>
          <w:tcPr>
            <w:tcW w:w="8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p>
        </w:tc>
        <w:tc>
          <w:tcPr>
            <w:tcW w:w="94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p>
        </w:tc>
        <w:tc>
          <w:tcPr>
            <w:tcW w:w="19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p>
        </w:tc>
        <w:tc>
          <w:tcPr>
            <w:tcW w:w="24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上限价为304.11万元/年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3</w:t>
            </w:r>
          </w:p>
        </w:tc>
        <w:tc>
          <w:tcPr>
            <w:tcW w:w="35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乡镇垃圾焚烧站运营</w:t>
            </w:r>
          </w:p>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（欧洞、安东）</w:t>
            </w:r>
          </w:p>
        </w:tc>
        <w:tc>
          <w:tcPr>
            <w:tcW w:w="8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p>
        </w:tc>
        <w:tc>
          <w:tcPr>
            <w:tcW w:w="94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p>
        </w:tc>
        <w:tc>
          <w:tcPr>
            <w:tcW w:w="19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p>
        </w:tc>
        <w:tc>
          <w:tcPr>
            <w:tcW w:w="24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上限价为105.47万元/年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36"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总金额合计</w:t>
            </w:r>
          </w:p>
        </w:tc>
        <w:tc>
          <w:tcPr>
            <w:tcW w:w="19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tc>
        <w:tc>
          <w:tcPr>
            <w:tcW w:w="24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00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总报价（人民币大写）：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00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投标报价包含以下所列项目费用（1）至（5）及垃圾处理服务过程中所发生的一切成本费用的总和。</w:t>
            </w:r>
          </w:p>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（1）管理、服务人员的工资、按规定提取的保险和福利费及国家地方规定必须交纳的费用；</w:t>
            </w:r>
          </w:p>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（2）设施、设备、工具、劳保费用及设施、设备等的维修、养护、运行和管理费用；</w:t>
            </w:r>
          </w:p>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（3）项目管理费；</w:t>
            </w:r>
          </w:p>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（4）法定税费；</w:t>
            </w:r>
          </w:p>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（5）其它投入、成本等费用。</w:t>
            </w:r>
          </w:p>
        </w:tc>
      </w:tr>
    </w:tbl>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1、报价一经涂改，应在涂改处加盖单位公章或者由法定代表人或授权委托人签字或盖章，否则其投标作无效标处理。</w:t>
      </w:r>
    </w:p>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2、以上报价应与“投标报价明细表”中的“投标总价”相一致。</w:t>
      </w:r>
    </w:p>
    <w:p>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3、此表单独用一个小信封密封及递交，信封封面请注明投标人名称、投标人地址、投标项目名称、项目编号及“开标时启封”字样，并加盖投标人公章。否则投标无效。</w:t>
      </w:r>
    </w:p>
    <w:p>
      <w:pPr>
        <w:snapToGrid w:val="0"/>
        <w:spacing w:before="50" w:after="5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before="50" w:after="50" w:line="320" w:lineRule="exact"/>
        <w:ind w:firstLine="3750" w:firstLineChars="1500"/>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投标人（公章）：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50" w:after="50" w:line="340" w:lineRule="exact"/>
        <w:ind w:firstLine="3780" w:firstLineChars="18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法定代表人或授权委托代理人（签字）：</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50" w:line="340" w:lineRule="exact"/>
        <w:ind w:firstLine="3750" w:firstLineChars="15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日 期：</w:t>
      </w:r>
      <w:r>
        <w:rPr>
          <w:rFonts w:hint="eastAsia" w:ascii="宋体" w:hAnsi="宋体" w:eastAsia="宋体" w:cs="宋体"/>
          <w:color w:val="auto"/>
          <w:spacing w:val="20"/>
          <w:szCs w:val="21"/>
          <w:highlight w:val="none"/>
          <w:u w:val="single"/>
        </w:rPr>
        <w:t xml:space="preserve">         　　　　　　　　　　</w:t>
      </w:r>
    </w:p>
    <w:p>
      <w:pPr>
        <w:snapToGrid w:val="0"/>
        <w:spacing w:before="50" w:after="50" w:line="32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　</w:t>
      </w:r>
    </w:p>
    <w:p>
      <w:pPr>
        <w:pStyle w:val="53"/>
        <w:widowControl w:val="0"/>
        <w:adjustRightInd w:val="0"/>
        <w:snapToGrid w:val="0"/>
        <w:spacing w:before="0" w:beforeAutospacing="0" w:after="0" w:afterAutospacing="0" w:line="408" w:lineRule="auto"/>
        <w:jc w:val="both"/>
        <w:rPr>
          <w:rFonts w:hint="eastAsia" w:ascii="宋体" w:hAnsi="宋体" w:eastAsia="宋体" w:cs="宋体"/>
          <w:b/>
          <w:bCs/>
          <w:color w:val="auto"/>
          <w:szCs w:val="21"/>
          <w:highlight w:val="none"/>
        </w:rPr>
      </w:pPr>
    </w:p>
    <w:p>
      <w:pPr>
        <w:pStyle w:val="53"/>
        <w:widowControl w:val="0"/>
        <w:adjustRightInd w:val="0"/>
        <w:snapToGrid w:val="0"/>
        <w:spacing w:before="0" w:beforeAutospacing="0" w:after="0" w:afterAutospacing="0" w:line="408" w:lineRule="auto"/>
        <w:jc w:val="both"/>
        <w:rPr>
          <w:rFonts w:hint="eastAsia" w:ascii="宋体" w:hAnsi="宋体" w:eastAsia="宋体" w:cs="宋体"/>
          <w:b/>
          <w:color w:val="auto"/>
          <w:kern w:val="2"/>
          <w:sz w:val="21"/>
          <w:szCs w:val="21"/>
          <w:highlight w:val="none"/>
        </w:rPr>
      </w:pPr>
      <w:r>
        <w:rPr>
          <w:rFonts w:hint="eastAsia" w:ascii="宋体" w:hAnsi="宋体" w:eastAsia="宋体" w:cs="宋体"/>
          <w:b/>
          <w:bCs/>
          <w:color w:val="auto"/>
          <w:szCs w:val="21"/>
          <w:highlight w:val="none"/>
        </w:rPr>
        <w:t>5、</w:t>
      </w:r>
      <w:r>
        <w:rPr>
          <w:rFonts w:hint="eastAsia" w:ascii="宋体" w:hAnsi="宋体" w:eastAsia="宋体" w:cs="宋体"/>
          <w:b/>
          <w:color w:val="auto"/>
          <w:kern w:val="2"/>
          <w:sz w:val="21"/>
          <w:szCs w:val="21"/>
          <w:highlight w:val="none"/>
        </w:rPr>
        <w:t>中小企业声明函（格式）</w:t>
      </w:r>
    </w:p>
    <w:p>
      <w:pPr>
        <w:pStyle w:val="53"/>
        <w:widowControl w:val="0"/>
        <w:adjustRightInd w:val="0"/>
        <w:snapToGrid w:val="0"/>
        <w:spacing w:before="0" w:beforeAutospacing="0" w:after="0" w:afterAutospacing="0" w:line="408" w:lineRule="auto"/>
        <w:jc w:val="center"/>
        <w:rPr>
          <w:rFonts w:hint="eastAsia" w:ascii="宋体" w:hAnsi="宋体" w:eastAsia="宋体" w:cs="宋体"/>
          <w:b/>
          <w:color w:val="auto"/>
          <w:kern w:val="2"/>
          <w:sz w:val="30"/>
          <w:szCs w:val="30"/>
          <w:highlight w:val="none"/>
        </w:rPr>
      </w:pPr>
    </w:p>
    <w:p>
      <w:pPr>
        <w:pStyle w:val="53"/>
        <w:widowControl w:val="0"/>
        <w:adjustRightInd w:val="0"/>
        <w:snapToGrid w:val="0"/>
        <w:spacing w:before="0" w:beforeAutospacing="0" w:after="0" w:afterAutospacing="0" w:line="408" w:lineRule="auto"/>
        <w:jc w:val="center"/>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中小企业声明函</w:t>
      </w:r>
    </w:p>
    <w:p>
      <w:pPr>
        <w:pStyle w:val="53"/>
        <w:widowControl w:val="0"/>
        <w:adjustRightInd w:val="0"/>
        <w:snapToGrid w:val="0"/>
        <w:spacing w:before="0" w:beforeAutospacing="0" w:after="0" w:afterAutospacing="0" w:line="408" w:lineRule="auto"/>
        <w:jc w:val="center"/>
        <w:rPr>
          <w:rFonts w:hint="eastAsia" w:ascii="宋体" w:hAnsi="宋体" w:eastAsia="宋体" w:cs="宋体"/>
          <w:color w:val="auto"/>
          <w:kern w:val="2"/>
          <w:sz w:val="36"/>
          <w:szCs w:val="36"/>
          <w:highlight w:val="none"/>
        </w:rPr>
      </w:pPr>
    </w:p>
    <w:p>
      <w:pPr>
        <w:pStyle w:val="53"/>
        <w:widowControl w:val="0"/>
        <w:adjustRightInd w:val="0"/>
        <w:snapToGrid w:val="0"/>
        <w:spacing w:before="0" w:beforeAutospacing="0" w:after="0" w:afterAutospacing="0" w:line="408"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本公司郑重声明，根据《政府采购促进中小企业发展暂行办法》（财库[2011]181号）的规定，本公司为______（请填写：中型、小型、微型）企业。即，本公司同时满足以下条件：</w:t>
      </w:r>
    </w:p>
    <w:p>
      <w:pPr>
        <w:pStyle w:val="53"/>
        <w:widowControl w:val="0"/>
        <w:adjustRightInd w:val="0"/>
        <w:snapToGrid w:val="0"/>
        <w:spacing w:before="0" w:beforeAutospacing="0" w:after="0" w:afterAutospacing="0" w:line="408"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1.根据《工业和信息化部、国家统计局、国家发展和改革委员会、财政部关于印发中小企业划型标准规定的通知》（工信部联企业[2011]300号）规定的划分标准，本公司为______（请填写：中型、小型、微型）企业。</w:t>
      </w:r>
    </w:p>
    <w:p>
      <w:pPr>
        <w:pStyle w:val="53"/>
        <w:widowControl w:val="0"/>
        <w:adjustRightInd w:val="0"/>
        <w:snapToGrid w:val="0"/>
        <w:spacing w:before="0" w:beforeAutospacing="0" w:after="0" w:afterAutospacing="0" w:line="408"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53"/>
        <w:widowControl w:val="0"/>
        <w:adjustRightInd w:val="0"/>
        <w:snapToGrid w:val="0"/>
        <w:spacing w:before="0" w:beforeAutospacing="0" w:after="0" w:afterAutospacing="0" w:line="408"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本公司对上述声明的真实性负责。如有虚假，将依法承担相应责任。</w:t>
      </w:r>
    </w:p>
    <w:p>
      <w:pPr>
        <w:pStyle w:val="53"/>
        <w:widowControl w:val="0"/>
        <w:adjustRightInd w:val="0"/>
        <w:snapToGrid w:val="0"/>
        <w:spacing w:before="0" w:beforeAutospacing="0" w:after="0" w:afterAutospacing="0" w:line="408" w:lineRule="auto"/>
        <w:ind w:right="420"/>
        <w:jc w:val="center"/>
        <w:rPr>
          <w:rFonts w:hint="eastAsia" w:ascii="宋体" w:hAnsi="宋体" w:eastAsia="宋体" w:cs="宋体"/>
          <w:color w:val="auto"/>
          <w:kern w:val="2"/>
          <w:sz w:val="21"/>
          <w:szCs w:val="21"/>
          <w:highlight w:val="none"/>
        </w:rPr>
      </w:pPr>
    </w:p>
    <w:p>
      <w:pPr>
        <w:pStyle w:val="53"/>
        <w:widowControl w:val="0"/>
        <w:adjustRightInd w:val="0"/>
        <w:snapToGrid w:val="0"/>
        <w:spacing w:before="0" w:beforeAutospacing="0" w:after="0" w:afterAutospacing="0" w:line="408" w:lineRule="auto"/>
        <w:ind w:right="420"/>
        <w:jc w:val="center"/>
        <w:rPr>
          <w:rFonts w:hint="eastAsia" w:ascii="宋体" w:hAnsi="宋体" w:eastAsia="宋体" w:cs="宋体"/>
          <w:color w:val="auto"/>
          <w:kern w:val="2"/>
          <w:sz w:val="21"/>
          <w:szCs w:val="21"/>
          <w:highlight w:val="none"/>
        </w:rPr>
      </w:pPr>
    </w:p>
    <w:p>
      <w:pPr>
        <w:pStyle w:val="53"/>
        <w:widowControl w:val="0"/>
        <w:adjustRightInd w:val="0"/>
        <w:snapToGrid w:val="0"/>
        <w:spacing w:before="0" w:beforeAutospacing="0" w:after="0" w:afterAutospacing="0" w:line="408" w:lineRule="auto"/>
        <w:ind w:right="420" w:firstLine="496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　</w:t>
      </w:r>
    </w:p>
    <w:p>
      <w:pPr>
        <w:pStyle w:val="10"/>
        <w:adjustRightInd w:val="0"/>
        <w:snapToGrid w:val="0"/>
        <w:spacing w:line="408" w:lineRule="auto"/>
        <w:ind w:left="1414" w:firstLine="5386" w:firstLineChars="256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    月    日</w:t>
      </w:r>
    </w:p>
    <w:p>
      <w:pPr>
        <w:pStyle w:val="53"/>
        <w:widowControl w:val="0"/>
        <w:adjustRightInd w:val="0"/>
        <w:snapToGrid w:val="0"/>
        <w:spacing w:before="0" w:beforeAutospacing="0" w:after="0" w:afterAutospacing="0" w:line="408" w:lineRule="auto"/>
        <w:ind w:right="420"/>
        <w:rPr>
          <w:rFonts w:hint="eastAsia" w:ascii="宋体" w:hAnsi="宋体" w:eastAsia="宋体" w:cs="宋体"/>
          <w:color w:val="auto"/>
          <w:kern w:val="2"/>
          <w:sz w:val="18"/>
          <w:szCs w:val="18"/>
          <w:highlight w:val="none"/>
        </w:rPr>
      </w:pPr>
    </w:p>
    <w:p>
      <w:pPr>
        <w:adjustRightInd w:val="0"/>
        <w:snapToGrid w:val="0"/>
        <w:spacing w:line="408" w:lineRule="auto"/>
        <w:ind w:right="420"/>
        <w:jc w:val="left"/>
        <w:rPr>
          <w:rFonts w:hint="eastAsia" w:ascii="宋体" w:hAnsi="宋体" w:eastAsia="宋体" w:cs="宋体"/>
          <w:b/>
          <w:color w:val="auto"/>
          <w:spacing w:val="6"/>
          <w:sz w:val="18"/>
          <w:szCs w:val="18"/>
          <w:highlight w:val="none"/>
        </w:rPr>
      </w:pPr>
      <w:r>
        <w:rPr>
          <w:rFonts w:hint="eastAsia" w:ascii="宋体" w:hAnsi="宋体" w:eastAsia="宋体" w:cs="宋体"/>
          <w:b/>
          <w:color w:val="auto"/>
          <w:sz w:val="18"/>
          <w:szCs w:val="18"/>
          <w:highlight w:val="none"/>
        </w:rPr>
        <w:t>说明：参加政府采购活动的中小企业应当提供《中小企业声明函》，政府采购监督检查和投诉处理中对中小企业的认定，由企业所在地的县级以上中小企业主管部门负责。</w:t>
      </w:r>
    </w:p>
    <w:p>
      <w:pPr>
        <w:spacing w:line="408" w:lineRule="auto"/>
        <w:jc w:val="center"/>
        <w:rPr>
          <w:rFonts w:hint="eastAsia" w:ascii="宋体" w:hAnsi="宋体" w:eastAsia="宋体" w:cs="宋体"/>
          <w:b/>
          <w:color w:val="auto"/>
          <w:spacing w:val="6"/>
          <w:sz w:val="32"/>
          <w:szCs w:val="32"/>
          <w:highlight w:val="none"/>
        </w:rPr>
      </w:pPr>
    </w:p>
    <w:p>
      <w:pPr>
        <w:spacing w:line="408" w:lineRule="auto"/>
        <w:jc w:val="center"/>
        <w:rPr>
          <w:rFonts w:hint="eastAsia" w:ascii="宋体" w:hAnsi="宋体" w:eastAsia="宋体" w:cs="宋体"/>
          <w:b/>
          <w:color w:val="auto"/>
          <w:spacing w:val="6"/>
          <w:sz w:val="32"/>
          <w:szCs w:val="32"/>
          <w:highlight w:val="none"/>
        </w:rPr>
      </w:pPr>
    </w:p>
    <w:p>
      <w:pPr>
        <w:spacing w:line="408" w:lineRule="auto"/>
        <w:jc w:val="center"/>
        <w:rPr>
          <w:rFonts w:hint="eastAsia" w:ascii="宋体" w:hAnsi="宋体" w:eastAsia="宋体" w:cs="宋体"/>
          <w:b/>
          <w:color w:val="auto"/>
          <w:spacing w:val="6"/>
          <w:sz w:val="32"/>
          <w:szCs w:val="32"/>
          <w:highlight w:val="none"/>
        </w:rPr>
      </w:pPr>
    </w:p>
    <w:p>
      <w:pPr>
        <w:spacing w:line="408" w:lineRule="auto"/>
        <w:jc w:val="center"/>
        <w:rPr>
          <w:rFonts w:hint="eastAsia" w:ascii="宋体" w:hAnsi="宋体" w:eastAsia="宋体" w:cs="宋体"/>
          <w:b/>
          <w:color w:val="auto"/>
          <w:spacing w:val="6"/>
          <w:sz w:val="32"/>
          <w:szCs w:val="32"/>
          <w:highlight w:val="none"/>
        </w:rPr>
      </w:pPr>
    </w:p>
    <w:p>
      <w:pPr>
        <w:pStyle w:val="2"/>
        <w:ind w:firstLine="640"/>
        <w:rPr>
          <w:rFonts w:hint="eastAsia" w:ascii="宋体" w:hAnsi="宋体" w:eastAsia="宋体" w:cs="宋体"/>
          <w:color w:val="auto"/>
          <w:highlight w:val="none"/>
        </w:rPr>
      </w:pPr>
    </w:p>
    <w:p>
      <w:pPr>
        <w:spacing w:line="408" w:lineRule="auto"/>
        <w:rPr>
          <w:rFonts w:hint="eastAsia" w:ascii="宋体" w:hAnsi="宋体" w:eastAsia="宋体" w:cs="宋体"/>
          <w:b/>
          <w:color w:val="auto"/>
          <w:spacing w:val="6"/>
          <w:sz w:val="32"/>
          <w:szCs w:val="32"/>
          <w:highlight w:val="none"/>
        </w:rPr>
      </w:pPr>
    </w:p>
    <w:p>
      <w:pPr>
        <w:pStyle w:val="24"/>
        <w:rPr>
          <w:rFonts w:hint="eastAsia" w:ascii="宋体" w:hAnsi="宋体" w:eastAsia="宋体" w:cs="宋体"/>
          <w:b/>
          <w:color w:val="auto"/>
          <w:spacing w:val="6"/>
          <w:sz w:val="32"/>
          <w:szCs w:val="32"/>
          <w:highlight w:val="none"/>
        </w:rPr>
      </w:pPr>
    </w:p>
    <w:p>
      <w:pPr>
        <w:spacing w:line="408"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6</w:t>
      </w:r>
      <w:r>
        <w:rPr>
          <w:rFonts w:hint="eastAsia" w:ascii="宋体" w:hAnsi="宋体" w:eastAsia="宋体" w:cs="宋体"/>
          <w:b/>
          <w:color w:val="auto"/>
          <w:szCs w:val="21"/>
          <w:highlight w:val="none"/>
        </w:rPr>
        <w:t>、残疾人福利性单位声明函（格式）</w:t>
      </w:r>
    </w:p>
    <w:p>
      <w:pPr>
        <w:pStyle w:val="2"/>
        <w:ind w:left="0" w:leftChars="0" w:firstLine="0" w:firstLineChars="0"/>
        <w:rPr>
          <w:rFonts w:hint="eastAsia" w:ascii="宋体" w:hAnsi="宋体" w:eastAsia="宋体" w:cs="宋体"/>
          <w:b/>
          <w:color w:val="auto"/>
          <w:spacing w:val="6"/>
          <w:szCs w:val="32"/>
          <w:highlight w:val="none"/>
        </w:rPr>
      </w:pPr>
    </w:p>
    <w:p>
      <w:pPr>
        <w:spacing w:line="408"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pPr>
        <w:spacing w:line="408" w:lineRule="auto"/>
        <w:rPr>
          <w:rFonts w:hint="eastAsia" w:ascii="宋体" w:hAnsi="宋体" w:eastAsia="宋体" w:cs="宋体"/>
          <w:b/>
          <w:color w:val="auto"/>
          <w:spacing w:val="6"/>
          <w:sz w:val="30"/>
          <w:szCs w:val="30"/>
          <w:highlight w:val="none"/>
        </w:rPr>
      </w:pPr>
    </w:p>
    <w:p>
      <w:pPr>
        <w:spacing w:line="408"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8"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pacing w:line="408" w:lineRule="auto"/>
        <w:ind w:firstLine="444" w:firstLineChars="200"/>
        <w:rPr>
          <w:rFonts w:hint="eastAsia" w:ascii="宋体" w:hAnsi="宋体" w:eastAsia="宋体" w:cs="宋体"/>
          <w:color w:val="auto"/>
          <w:spacing w:val="6"/>
          <w:szCs w:val="21"/>
          <w:highlight w:val="none"/>
        </w:rPr>
      </w:pPr>
    </w:p>
    <w:p>
      <w:pPr>
        <w:spacing w:line="408" w:lineRule="auto"/>
        <w:ind w:firstLine="444" w:firstLineChars="200"/>
        <w:rPr>
          <w:rFonts w:hint="eastAsia" w:ascii="宋体" w:hAnsi="宋体" w:eastAsia="宋体" w:cs="宋体"/>
          <w:color w:val="auto"/>
          <w:spacing w:val="6"/>
          <w:szCs w:val="21"/>
          <w:highlight w:val="none"/>
        </w:rPr>
      </w:pPr>
    </w:p>
    <w:p>
      <w:pPr>
        <w:tabs>
          <w:tab w:val="left" w:pos="4860"/>
        </w:tabs>
        <w:spacing w:line="408" w:lineRule="auto"/>
        <w:ind w:right="1560"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单位名称（盖章）：</w:t>
      </w:r>
    </w:p>
    <w:p>
      <w:pPr>
        <w:pStyle w:val="10"/>
        <w:adjustRightInd w:val="0"/>
        <w:snapToGrid w:val="0"/>
        <w:spacing w:line="408" w:lineRule="auto"/>
        <w:ind w:left="1414" w:firstLine="5437" w:firstLineChars="2565"/>
        <w:rPr>
          <w:rFonts w:hint="eastAsia" w:ascii="宋体" w:hAnsi="宋体" w:eastAsia="宋体" w:cs="宋体"/>
          <w:bCs/>
          <w:color w:val="auto"/>
          <w:sz w:val="21"/>
          <w:szCs w:val="21"/>
          <w:highlight w:val="none"/>
        </w:rPr>
      </w:pPr>
      <w:r>
        <w:rPr>
          <w:rFonts w:hint="eastAsia" w:ascii="宋体" w:hAnsi="宋体" w:eastAsia="宋体" w:cs="宋体"/>
          <w:color w:val="auto"/>
          <w:spacing w:val="6"/>
          <w:szCs w:val="21"/>
          <w:highlight w:val="none"/>
        </w:rPr>
        <w:t>　</w:t>
      </w:r>
      <w:r>
        <w:rPr>
          <w:rFonts w:hint="eastAsia" w:ascii="宋体" w:hAnsi="宋体" w:eastAsia="宋体" w:cs="宋体"/>
          <w:bCs/>
          <w:color w:val="auto"/>
          <w:sz w:val="21"/>
          <w:szCs w:val="21"/>
          <w:highlight w:val="none"/>
        </w:rPr>
        <w:t>年    月    日</w:t>
      </w:r>
    </w:p>
    <w:p>
      <w:pPr>
        <w:widowControl/>
        <w:tabs>
          <w:tab w:val="left" w:pos="7909"/>
        </w:tabs>
        <w:spacing w:before="100" w:beforeAutospacing="1" w:after="100" w:afterAutospacing="1" w:line="408" w:lineRule="auto"/>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ab/>
      </w:r>
    </w:p>
    <w:p>
      <w:pPr>
        <w:widowControl/>
        <w:spacing w:before="100" w:beforeAutospacing="1" w:after="100" w:afterAutospacing="1" w:line="408" w:lineRule="auto"/>
        <w:jc w:val="left"/>
        <w:rPr>
          <w:rFonts w:hint="eastAsia" w:ascii="宋体" w:hAnsi="宋体" w:eastAsia="宋体" w:cs="宋体"/>
          <w:color w:val="auto"/>
          <w:spacing w:val="6"/>
          <w:sz w:val="30"/>
          <w:szCs w:val="30"/>
          <w:highlight w:val="none"/>
        </w:rPr>
      </w:pPr>
    </w:p>
    <w:p>
      <w:pPr>
        <w:pStyle w:val="24"/>
        <w:rPr>
          <w:rFonts w:hint="eastAsia" w:ascii="宋体" w:hAnsi="宋体" w:eastAsia="宋体" w:cs="宋体"/>
          <w:color w:val="auto"/>
          <w:spacing w:val="6"/>
          <w:sz w:val="30"/>
          <w:szCs w:val="30"/>
          <w:highlight w:val="none"/>
        </w:rPr>
      </w:pPr>
    </w:p>
    <w:p>
      <w:pPr>
        <w:pStyle w:val="24"/>
        <w:rPr>
          <w:rFonts w:hint="eastAsia" w:ascii="宋体" w:hAnsi="宋体" w:eastAsia="宋体" w:cs="宋体"/>
          <w:color w:val="auto"/>
          <w:spacing w:val="6"/>
          <w:sz w:val="30"/>
          <w:szCs w:val="30"/>
          <w:highlight w:val="none"/>
        </w:rPr>
      </w:pPr>
    </w:p>
    <w:p>
      <w:pPr>
        <w:pStyle w:val="24"/>
        <w:rPr>
          <w:rFonts w:hint="eastAsia" w:ascii="宋体" w:hAnsi="宋体" w:eastAsia="宋体" w:cs="宋体"/>
          <w:color w:val="auto"/>
          <w:spacing w:val="6"/>
          <w:sz w:val="30"/>
          <w:szCs w:val="30"/>
          <w:highlight w:val="none"/>
        </w:rPr>
      </w:pPr>
    </w:p>
    <w:p>
      <w:pPr>
        <w:widowControl/>
        <w:ind w:firstLine="354" w:firstLineChars="196"/>
        <w:jc w:val="left"/>
        <w:rPr>
          <w:rFonts w:hint="eastAsia" w:ascii="宋体" w:hAnsi="宋体" w:eastAsia="宋体" w:cs="宋体"/>
          <w:b/>
          <w:color w:val="auto"/>
          <w:spacing w:val="6"/>
          <w:sz w:val="24"/>
          <w:highlight w:val="none"/>
        </w:rPr>
      </w:pPr>
      <w:r>
        <w:rPr>
          <w:rFonts w:hint="eastAsia" w:ascii="宋体" w:hAnsi="宋体" w:eastAsia="宋体" w:cs="宋体"/>
          <w:b/>
          <w:color w:val="auto"/>
          <w:kern w:val="0"/>
          <w:sz w:val="18"/>
          <w:szCs w:val="18"/>
          <w:highlight w:val="none"/>
        </w:rPr>
        <w:t>说明：《残疾人福利性单位声明函》为参加政府采购活动的残疾人福利性单位应当提供，同时需提供符合《财政部 民政部 中国残疾人联合会关于促进残疾人就业政府采购政策的通知》（财库〔2017〕 141号）的规定享受政府采购支持政策的残疾人福利性单位应当同时满足以下条件的证明材料：</w:t>
      </w:r>
      <w:r>
        <w:rPr>
          <w:rFonts w:hint="eastAsia" w:ascii="宋体" w:hAnsi="宋体" w:eastAsia="宋体" w:cs="宋体"/>
          <w:b/>
          <w:color w:val="auto"/>
          <w:spacing w:val="6"/>
          <w:sz w:val="18"/>
          <w:szCs w:val="18"/>
          <w:highlight w:val="none"/>
        </w:rPr>
        <w:t>（一）安置的残疾人占本单位在职职工人数的比例不低于25%（含25%），并且安置的残疾人人数不少于10人（含10人）；（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w:t>
      </w:r>
    </w:p>
    <w:p>
      <w:pPr>
        <w:snapToGrid w:val="0"/>
        <w:spacing w:before="50" w:after="156" w:afterLines="50" w:line="408" w:lineRule="auto"/>
        <w:jc w:val="left"/>
        <w:rPr>
          <w:rFonts w:hint="eastAsia" w:ascii="宋体" w:hAnsi="宋体" w:eastAsia="宋体" w:cs="宋体"/>
          <w:b/>
          <w:color w:val="auto"/>
          <w:szCs w:val="21"/>
          <w:highlight w:val="none"/>
        </w:rPr>
      </w:pPr>
    </w:p>
    <w:p>
      <w:pPr>
        <w:wordWrap w:val="0"/>
        <w:snapToGrid w:val="0"/>
        <w:spacing w:line="380" w:lineRule="exact"/>
        <w:jc w:val="left"/>
        <w:rPr>
          <w:rFonts w:hint="eastAsia" w:ascii="宋体" w:hAnsi="宋体" w:eastAsia="宋体" w:cs="宋体"/>
          <w:b/>
          <w:color w:val="auto"/>
          <w:szCs w:val="21"/>
          <w:highlight w:val="none"/>
        </w:rPr>
      </w:pPr>
    </w:p>
    <w:p>
      <w:pPr>
        <w:wordWrap w:val="0"/>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w:t>
      </w:r>
      <w:r>
        <w:rPr>
          <w:rFonts w:hint="eastAsia" w:ascii="宋体" w:hAnsi="宋体" w:cs="宋体"/>
          <w:b/>
          <w:color w:val="auto"/>
          <w:szCs w:val="21"/>
          <w:highlight w:val="none"/>
          <w:lang w:val="en-US" w:eastAsia="zh-CN"/>
        </w:rPr>
        <w:t>7</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投标人符合监狱企业标准的，按《财政部、司法部关于政府采购支持监狱企业发展有关问题的通知》（财库〔2014〕68号）要求，提供有效证明文件及监狱企业声明函。（不属于监狱企业的不用提供）</w:t>
      </w:r>
    </w:p>
    <w:p>
      <w:pPr>
        <w:wordWrap w:val="0"/>
        <w:snapToGrid w:val="0"/>
        <w:spacing w:line="380" w:lineRule="exact"/>
        <w:jc w:val="left"/>
        <w:rPr>
          <w:rFonts w:hint="eastAsia" w:ascii="宋体" w:hAnsi="宋体" w:eastAsia="宋体" w:cs="宋体"/>
          <w:b/>
          <w:color w:val="auto"/>
          <w:szCs w:val="21"/>
          <w:highlight w:val="none"/>
        </w:rPr>
      </w:pPr>
    </w:p>
    <w:p>
      <w:pPr>
        <w:wordWrap w:val="0"/>
        <w:snapToGrid w:val="0"/>
        <w:spacing w:line="380" w:lineRule="exact"/>
        <w:jc w:val="center"/>
        <w:rPr>
          <w:rFonts w:hint="eastAsia" w:ascii="宋体" w:hAnsi="宋体" w:eastAsia="宋体" w:cs="宋体"/>
          <w:b/>
          <w:color w:val="auto"/>
          <w:szCs w:val="21"/>
          <w:highlight w:val="none"/>
        </w:rPr>
      </w:pPr>
    </w:p>
    <w:p>
      <w:pPr>
        <w:wordWrap w:val="0"/>
        <w:snapToGrid w:val="0"/>
        <w:spacing w:line="380" w:lineRule="exact"/>
        <w:jc w:val="center"/>
        <w:rPr>
          <w:rFonts w:hint="eastAsia" w:ascii="宋体" w:hAnsi="宋体" w:eastAsia="宋体" w:cs="宋体"/>
          <w:b/>
          <w:color w:val="auto"/>
          <w:szCs w:val="21"/>
          <w:highlight w:val="none"/>
        </w:rPr>
      </w:pPr>
    </w:p>
    <w:p>
      <w:pPr>
        <w:wordWrap w:val="0"/>
        <w:snapToGrid w:val="0"/>
        <w:spacing w:line="380" w:lineRule="exact"/>
        <w:jc w:val="center"/>
        <w:rPr>
          <w:rFonts w:hint="eastAsia" w:ascii="宋体" w:hAnsi="宋体" w:eastAsia="宋体" w:cs="宋体"/>
          <w:b/>
          <w:color w:val="auto"/>
          <w:szCs w:val="21"/>
          <w:highlight w:val="none"/>
        </w:rPr>
      </w:pPr>
    </w:p>
    <w:p>
      <w:pPr>
        <w:wordWrap w:val="0"/>
        <w:snapToGrid w:val="0"/>
        <w:spacing w:line="380" w:lineRule="exact"/>
        <w:jc w:val="center"/>
        <w:rPr>
          <w:rFonts w:hint="eastAsia" w:ascii="宋体" w:hAnsi="宋体" w:eastAsia="宋体" w:cs="宋体"/>
          <w:b/>
          <w:color w:val="auto"/>
          <w:szCs w:val="21"/>
          <w:highlight w:val="none"/>
        </w:rPr>
      </w:pPr>
    </w:p>
    <w:p>
      <w:pPr>
        <w:wordWrap w:val="0"/>
        <w:snapToGrid w:val="0"/>
        <w:spacing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监狱企业声明函（格式）</w:t>
      </w:r>
    </w:p>
    <w:p>
      <w:pPr>
        <w:wordWrap w:val="0"/>
        <w:snapToGrid w:val="0"/>
        <w:spacing w:line="380" w:lineRule="exact"/>
        <w:jc w:val="left"/>
        <w:rPr>
          <w:rFonts w:hint="eastAsia" w:ascii="宋体" w:hAnsi="宋体" w:eastAsia="宋体" w:cs="宋体"/>
          <w:b/>
          <w:color w:val="auto"/>
          <w:szCs w:val="21"/>
          <w:highlight w:val="none"/>
        </w:rPr>
      </w:pPr>
    </w:p>
    <w:p>
      <w:pPr>
        <w:wordWrap w:val="0"/>
        <w:snapToGrid w:val="0"/>
        <w:spacing w:line="380" w:lineRule="exact"/>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本公司郑重声明，根据《财政部、司法部关于政府采购支持监狱企业发展有关问题的通知》（财库〔2014〕68号）的规定，本公司为 （请填写：监狱）企业。即本公司同时满足以下条件：</w:t>
      </w:r>
    </w:p>
    <w:p>
      <w:pPr>
        <w:wordWrap w:val="0"/>
        <w:snapToGrid w:val="0"/>
        <w:spacing w:line="380" w:lineRule="exact"/>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ordWrap w:val="0"/>
        <w:snapToGrid w:val="0"/>
        <w:spacing w:line="380" w:lineRule="exact"/>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2、我公司参加政府采购活动时，视同小型、微型企业，提供由省级以上监狱管理局、戒毒管理局（含新疆生产建设兵团）出具的属于监狱企业的证明文件。</w:t>
      </w:r>
    </w:p>
    <w:p>
      <w:pPr>
        <w:wordWrap w:val="0"/>
        <w:snapToGrid w:val="0"/>
        <w:spacing w:line="380" w:lineRule="exact"/>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本公司对上述声明的真实性负责。如有虚假，将依法承担相应责任。</w:t>
      </w:r>
    </w:p>
    <w:p>
      <w:pPr>
        <w:wordWrap w:val="0"/>
        <w:snapToGrid w:val="0"/>
        <w:spacing w:line="380" w:lineRule="exact"/>
        <w:jc w:val="left"/>
        <w:rPr>
          <w:rFonts w:hint="eastAsia" w:ascii="宋体" w:hAnsi="宋体" w:eastAsia="宋体" w:cs="宋体"/>
          <w:b/>
          <w:color w:val="auto"/>
          <w:szCs w:val="21"/>
          <w:highlight w:val="none"/>
        </w:rPr>
      </w:pPr>
    </w:p>
    <w:p>
      <w:pPr>
        <w:wordWrap w:val="0"/>
        <w:snapToGrid w:val="0"/>
        <w:spacing w:line="380" w:lineRule="exact"/>
        <w:jc w:val="left"/>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wordWrap w:val="0"/>
        <w:snapToGrid w:val="0"/>
        <w:spacing w:line="380" w:lineRule="exact"/>
        <w:jc w:val="left"/>
        <w:rPr>
          <w:rFonts w:hint="eastAsia" w:ascii="宋体" w:hAnsi="宋体" w:eastAsia="宋体" w:cs="宋体"/>
          <w:b/>
          <w:color w:val="auto"/>
          <w:szCs w:val="21"/>
          <w:highlight w:val="none"/>
        </w:rPr>
      </w:pPr>
    </w:p>
    <w:p>
      <w:pPr>
        <w:wordWrap w:val="0"/>
        <w:snapToGrid w:val="0"/>
        <w:spacing w:line="38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单</w:t>
      </w:r>
      <w:r>
        <w:rPr>
          <w:rFonts w:hint="eastAsia" w:ascii="宋体" w:hAnsi="宋体" w:eastAsia="宋体" w:cs="宋体"/>
          <w:b w:val="0"/>
          <w:bCs w:val="0"/>
          <w:color w:val="auto"/>
          <w:spacing w:val="6"/>
          <w:szCs w:val="21"/>
          <w:highlight w:val="none"/>
        </w:rPr>
        <w:t>位</w:t>
      </w:r>
      <w:r>
        <w:rPr>
          <w:rFonts w:hint="eastAsia" w:ascii="宋体" w:hAnsi="宋体" w:eastAsia="宋体" w:cs="宋体"/>
          <w:b w:val="0"/>
          <w:bCs w:val="0"/>
          <w:color w:val="auto"/>
          <w:szCs w:val="21"/>
          <w:highlight w:val="none"/>
        </w:rPr>
        <w:t>名称（盖章）：</w:t>
      </w:r>
    </w:p>
    <w:p>
      <w:pPr>
        <w:pStyle w:val="24"/>
        <w:rPr>
          <w:rFonts w:hint="eastAsia" w:ascii="宋体" w:hAnsi="宋体" w:eastAsia="宋体" w:cs="宋体"/>
          <w:color w:val="auto"/>
          <w:highlight w:val="none"/>
        </w:rPr>
      </w:pPr>
    </w:p>
    <w:p>
      <w:pPr>
        <w:wordWrap w:val="0"/>
        <w:snapToGrid w:val="0"/>
        <w:spacing w:line="380" w:lineRule="exact"/>
        <w:jc w:val="center"/>
        <w:rPr>
          <w:rFonts w:hint="eastAsia" w:ascii="宋体" w:hAnsi="宋体" w:eastAsia="宋体" w:cs="宋体"/>
          <w:b w:val="0"/>
          <w:bCs/>
          <w:color w:val="auto"/>
          <w:szCs w:val="21"/>
          <w:highlight w:val="none"/>
        </w:rPr>
      </w:pP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 xml:space="preserve"> </w:t>
      </w:r>
      <w:r>
        <w:rPr>
          <w:rFonts w:hint="eastAsia" w:ascii="宋体" w:hAnsi="宋体" w:eastAsia="宋体" w:cs="宋体"/>
          <w:b w:val="0"/>
          <w:bCs/>
          <w:color w:val="auto"/>
          <w:szCs w:val="21"/>
          <w:highlight w:val="none"/>
        </w:rPr>
        <w:t>年</w:t>
      </w:r>
      <w:r>
        <w:rPr>
          <w:rFonts w:hint="eastAsia" w:ascii="宋体" w:hAnsi="宋体" w:eastAsia="宋体" w:cs="宋体"/>
          <w:b w:val="0"/>
          <w:bCs/>
          <w:color w:val="auto"/>
          <w:szCs w:val="21"/>
          <w:highlight w:val="none"/>
          <w:lang w:val="en-US" w:eastAsia="zh-CN"/>
        </w:rPr>
        <w:t xml:space="preserve">  </w:t>
      </w:r>
      <w:r>
        <w:rPr>
          <w:rFonts w:hint="eastAsia" w:ascii="宋体" w:hAnsi="宋体" w:eastAsia="宋体" w:cs="宋体"/>
          <w:b w:val="0"/>
          <w:bCs/>
          <w:color w:val="auto"/>
          <w:szCs w:val="21"/>
          <w:highlight w:val="none"/>
        </w:rPr>
        <w:t xml:space="preserve"> 月 </w:t>
      </w:r>
      <w:r>
        <w:rPr>
          <w:rFonts w:hint="eastAsia" w:ascii="宋体" w:hAnsi="宋体" w:eastAsia="宋体" w:cs="宋体"/>
          <w:b w:val="0"/>
          <w:bCs/>
          <w:color w:val="auto"/>
          <w:szCs w:val="21"/>
          <w:highlight w:val="none"/>
          <w:lang w:val="en-US" w:eastAsia="zh-CN"/>
        </w:rPr>
        <w:t xml:space="preserve">    </w:t>
      </w:r>
      <w:r>
        <w:rPr>
          <w:rFonts w:hint="eastAsia" w:ascii="宋体" w:hAnsi="宋体" w:eastAsia="宋体" w:cs="宋体"/>
          <w:b w:val="0"/>
          <w:bCs/>
          <w:color w:val="auto"/>
          <w:szCs w:val="21"/>
          <w:highlight w:val="none"/>
        </w:rPr>
        <w:t>日</w:t>
      </w:r>
    </w:p>
    <w:p>
      <w:pPr>
        <w:wordWrap w:val="0"/>
        <w:snapToGrid w:val="0"/>
        <w:spacing w:line="380" w:lineRule="exact"/>
        <w:jc w:val="left"/>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wordWrap w:val="0"/>
        <w:snapToGrid w:val="0"/>
        <w:spacing w:line="380" w:lineRule="exact"/>
        <w:jc w:val="left"/>
        <w:rPr>
          <w:rFonts w:hint="eastAsia" w:ascii="宋体" w:hAnsi="宋体" w:eastAsia="宋体" w:cs="宋体"/>
          <w:b/>
          <w:color w:val="auto"/>
          <w:szCs w:val="21"/>
          <w:highlight w:val="none"/>
        </w:rPr>
      </w:pPr>
    </w:p>
    <w:p>
      <w:pPr>
        <w:widowControl/>
        <w:ind w:firstLine="354" w:firstLineChars="196"/>
        <w:jc w:val="lef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注：投标人符合监狱标准的，按财库〔2014〕68 号的要求，必须应当提供省级以上监狱管理局、戒毒管理局（含新疆生产建设兵团）出具的属于监狱企业的证明文件。供评标委员会评审。（如有请提供，原件备查）</w:t>
      </w:r>
    </w:p>
    <w:p>
      <w:pPr>
        <w:tabs>
          <w:tab w:val="left" w:pos="3870"/>
          <w:tab w:val="left" w:pos="4085"/>
        </w:tabs>
        <w:adjustRightInd w:val="0"/>
        <w:snapToGrid w:val="0"/>
        <w:spacing w:line="408" w:lineRule="auto"/>
        <w:jc w:val="left"/>
        <w:rPr>
          <w:rFonts w:hint="eastAsia" w:ascii="宋体" w:hAnsi="宋体" w:eastAsia="宋体" w:cs="宋体"/>
          <w:b/>
          <w:bCs/>
          <w:color w:val="auto"/>
          <w:szCs w:val="21"/>
          <w:highlight w:val="none"/>
          <w:lang w:val="en-US" w:eastAsia="zh-CN"/>
        </w:rPr>
      </w:pPr>
    </w:p>
    <w:p>
      <w:pPr>
        <w:tabs>
          <w:tab w:val="left" w:pos="3870"/>
          <w:tab w:val="left" w:pos="4085"/>
        </w:tabs>
        <w:adjustRightInd w:val="0"/>
        <w:snapToGrid w:val="0"/>
        <w:spacing w:line="408" w:lineRule="auto"/>
        <w:jc w:val="left"/>
        <w:rPr>
          <w:rFonts w:hint="eastAsia" w:ascii="宋体" w:hAnsi="宋体" w:eastAsia="宋体" w:cs="宋体"/>
          <w:b/>
          <w:bCs/>
          <w:color w:val="auto"/>
          <w:szCs w:val="21"/>
          <w:highlight w:val="none"/>
          <w:lang w:val="en-US" w:eastAsia="zh-CN"/>
        </w:rPr>
      </w:pPr>
    </w:p>
    <w:p>
      <w:pPr>
        <w:tabs>
          <w:tab w:val="left" w:pos="3870"/>
          <w:tab w:val="left" w:pos="4085"/>
        </w:tabs>
        <w:adjustRightInd w:val="0"/>
        <w:snapToGrid w:val="0"/>
        <w:spacing w:line="408" w:lineRule="auto"/>
        <w:jc w:val="left"/>
        <w:rPr>
          <w:rFonts w:hint="eastAsia" w:ascii="宋体" w:hAnsi="宋体" w:eastAsia="宋体" w:cs="宋体"/>
          <w:b/>
          <w:bCs/>
          <w:color w:val="auto"/>
          <w:szCs w:val="21"/>
          <w:highlight w:val="none"/>
          <w:lang w:val="en-US" w:eastAsia="zh-CN"/>
        </w:rPr>
      </w:pPr>
    </w:p>
    <w:p>
      <w:pPr>
        <w:tabs>
          <w:tab w:val="left" w:pos="3870"/>
          <w:tab w:val="left" w:pos="4085"/>
        </w:tabs>
        <w:adjustRightInd w:val="0"/>
        <w:snapToGrid w:val="0"/>
        <w:spacing w:line="408" w:lineRule="auto"/>
        <w:jc w:val="left"/>
        <w:rPr>
          <w:rFonts w:hint="eastAsia" w:ascii="宋体" w:hAnsi="宋体" w:eastAsia="宋体" w:cs="宋体"/>
          <w:b/>
          <w:bCs/>
          <w:color w:val="auto"/>
          <w:szCs w:val="21"/>
          <w:highlight w:val="none"/>
          <w:lang w:val="en-US" w:eastAsia="zh-CN"/>
        </w:rPr>
      </w:pPr>
    </w:p>
    <w:p>
      <w:pPr>
        <w:tabs>
          <w:tab w:val="left" w:pos="3870"/>
          <w:tab w:val="left" w:pos="4085"/>
        </w:tabs>
        <w:adjustRightInd w:val="0"/>
        <w:snapToGrid w:val="0"/>
        <w:spacing w:line="408" w:lineRule="auto"/>
        <w:jc w:val="left"/>
        <w:rPr>
          <w:rFonts w:hint="eastAsia" w:ascii="宋体" w:hAnsi="宋体" w:eastAsia="宋体" w:cs="宋体"/>
          <w:b/>
          <w:bCs/>
          <w:color w:val="auto"/>
          <w:szCs w:val="21"/>
          <w:highlight w:val="none"/>
          <w:lang w:val="en-US" w:eastAsia="zh-CN"/>
        </w:rPr>
      </w:pPr>
    </w:p>
    <w:p>
      <w:pPr>
        <w:tabs>
          <w:tab w:val="left" w:pos="3870"/>
          <w:tab w:val="left" w:pos="4085"/>
        </w:tabs>
        <w:adjustRightInd w:val="0"/>
        <w:snapToGrid w:val="0"/>
        <w:spacing w:line="408" w:lineRule="auto"/>
        <w:jc w:val="left"/>
        <w:rPr>
          <w:rFonts w:hint="eastAsia" w:ascii="宋体" w:hAnsi="宋体" w:eastAsia="宋体" w:cs="宋体"/>
          <w:b/>
          <w:bCs/>
          <w:color w:val="auto"/>
          <w:highlight w:val="none"/>
        </w:rPr>
      </w:pP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投标人针对报价需要说明的其他文件和说明；（格式自拟）</w:t>
      </w:r>
    </w:p>
    <w:p>
      <w:pPr>
        <w:tabs>
          <w:tab w:val="left" w:pos="3870"/>
          <w:tab w:val="left" w:pos="4085"/>
        </w:tabs>
        <w:adjustRightInd w:val="0"/>
        <w:snapToGrid w:val="0"/>
        <w:spacing w:line="408" w:lineRule="auto"/>
        <w:jc w:val="left"/>
        <w:rPr>
          <w:rFonts w:hint="eastAsia" w:ascii="宋体" w:hAnsi="宋体" w:eastAsia="宋体" w:cs="宋体"/>
          <w:b/>
          <w:color w:val="auto"/>
          <w:szCs w:val="21"/>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snapToGrid w:val="0"/>
        <w:spacing w:before="50" w:after="156" w:afterLines="50" w:line="408" w:lineRule="auto"/>
        <w:jc w:val="left"/>
        <w:rPr>
          <w:rFonts w:hint="eastAsia" w:ascii="宋体" w:hAnsi="宋体" w:eastAsia="宋体" w:cs="宋体"/>
          <w:b/>
          <w:color w:val="auto"/>
          <w:szCs w:val="21"/>
          <w:highlight w:val="none"/>
        </w:rPr>
      </w:pPr>
    </w:p>
    <w:p>
      <w:pPr>
        <w:snapToGrid w:val="0"/>
        <w:spacing w:before="156" w:beforeLines="50" w:after="50" w:line="40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（二）、资格证明文件部分 （格式）</w:t>
      </w:r>
    </w:p>
    <w:p>
      <w:pPr>
        <w:pStyle w:val="2"/>
        <w:ind w:firstLine="422"/>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1、资格证明文件封面格式</w:t>
      </w:r>
    </w:p>
    <w:p>
      <w:pPr>
        <w:snapToGrid w:val="0"/>
        <w:spacing w:line="40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08"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Cs w:val="21"/>
          <w:highlight w:val="none"/>
        </w:rPr>
        <w:t>（正/副本）</w:t>
      </w:r>
    </w:p>
    <w:p>
      <w:pPr>
        <w:snapToGrid w:val="0"/>
        <w:spacing w:line="408" w:lineRule="auto"/>
        <w:jc w:val="center"/>
        <w:rPr>
          <w:rFonts w:hint="eastAsia" w:ascii="宋体" w:hAnsi="宋体" w:eastAsia="宋体" w:cs="宋体"/>
          <w:bCs/>
          <w:color w:val="auto"/>
          <w:sz w:val="32"/>
          <w:szCs w:val="32"/>
          <w:highlight w:val="none"/>
        </w:rPr>
      </w:pPr>
    </w:p>
    <w:p>
      <w:pPr>
        <w:snapToGrid w:val="0"/>
        <w:spacing w:line="408"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资格证明文件</w:t>
      </w:r>
    </w:p>
    <w:p>
      <w:pPr>
        <w:pStyle w:val="2"/>
        <w:ind w:firstLine="640"/>
        <w:rPr>
          <w:rFonts w:hint="eastAsia" w:ascii="宋体" w:hAnsi="宋体" w:eastAsia="宋体" w:cs="宋体"/>
          <w:color w:val="auto"/>
          <w:highlight w:val="none"/>
        </w:rPr>
      </w:pP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项目名称： </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pPr>
        <w:pStyle w:val="2"/>
        <w:ind w:left="0" w:leftChars="0" w:firstLine="0" w:firstLineChars="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w:t>
      </w:r>
      <w:r>
        <w:rPr>
          <w:rFonts w:hint="eastAsia" w:ascii="宋体" w:hAnsi="宋体" w:eastAsia="宋体" w:cs="宋体"/>
          <w:bCs/>
          <w:color w:val="auto"/>
          <w:kern w:val="2"/>
          <w:sz w:val="21"/>
          <w:szCs w:val="21"/>
          <w:highlight w:val="none"/>
          <w:lang w:val="en-US" w:eastAsia="zh-CN" w:bidi="ar-SA"/>
        </w:rPr>
        <w:t>　日　　　期：</w:t>
      </w: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4"/>
        <w:tabs>
          <w:tab w:val="left" w:pos="1303"/>
        </w:tabs>
        <w:spacing w:line="268" w:lineRule="exact"/>
        <w:ind w:left="884"/>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24"/>
        <w:tabs>
          <w:tab w:val="left" w:pos="1303"/>
        </w:tabs>
        <w:spacing w:line="268" w:lineRule="exact"/>
        <w:ind w:left="884"/>
        <w:jc w:val="right"/>
        <w:rPr>
          <w:rFonts w:hint="eastAsia" w:ascii="宋体" w:hAnsi="宋体" w:eastAsia="宋体" w:cs="宋体"/>
          <w:color w:val="auto"/>
          <w:highlight w:val="none"/>
        </w:rPr>
      </w:pPr>
    </w:p>
    <w:p>
      <w:pPr>
        <w:pStyle w:val="24"/>
        <w:tabs>
          <w:tab w:val="left" w:pos="1303"/>
        </w:tabs>
        <w:spacing w:line="268" w:lineRule="exact"/>
        <w:ind w:left="884"/>
        <w:jc w:val="right"/>
        <w:rPr>
          <w:rFonts w:hint="eastAsia" w:ascii="宋体" w:hAnsi="宋体" w:eastAsia="宋体" w:cs="宋体"/>
          <w:color w:val="auto"/>
          <w:highlight w:val="none"/>
        </w:rPr>
      </w:pPr>
    </w:p>
    <w:p>
      <w:pPr>
        <w:pStyle w:val="24"/>
        <w:tabs>
          <w:tab w:val="left" w:pos="1303"/>
        </w:tabs>
        <w:spacing w:line="268" w:lineRule="exact"/>
        <w:ind w:left="884"/>
        <w:jc w:val="right"/>
        <w:rPr>
          <w:rFonts w:hint="eastAsia" w:ascii="宋体" w:hAnsi="宋体" w:eastAsia="宋体" w:cs="宋体"/>
          <w:color w:val="auto"/>
          <w:highlight w:val="none"/>
        </w:rPr>
      </w:pPr>
    </w:p>
    <w:p>
      <w:pPr>
        <w:pStyle w:val="24"/>
        <w:tabs>
          <w:tab w:val="left" w:pos="1303"/>
        </w:tabs>
        <w:spacing w:line="268" w:lineRule="exact"/>
        <w:ind w:left="884"/>
        <w:jc w:val="right"/>
        <w:rPr>
          <w:rFonts w:hint="eastAsia" w:ascii="宋体" w:hAnsi="宋体" w:eastAsia="宋体" w:cs="宋体"/>
          <w:color w:val="auto"/>
          <w:highlight w:val="none"/>
        </w:rPr>
      </w:pPr>
    </w:p>
    <w:p>
      <w:pPr>
        <w:pStyle w:val="24"/>
        <w:tabs>
          <w:tab w:val="left" w:pos="1303"/>
        </w:tabs>
        <w:spacing w:line="268" w:lineRule="exact"/>
        <w:ind w:left="884"/>
        <w:jc w:val="right"/>
        <w:rPr>
          <w:rFonts w:hint="eastAsia" w:ascii="宋体" w:hAnsi="宋体" w:eastAsia="宋体" w:cs="宋体"/>
          <w:color w:val="auto"/>
          <w:highlight w:val="none"/>
        </w:rPr>
      </w:pPr>
    </w:p>
    <w:p>
      <w:pPr>
        <w:pStyle w:val="24"/>
        <w:tabs>
          <w:tab w:val="left" w:pos="1303"/>
        </w:tabs>
        <w:spacing w:line="268" w:lineRule="exact"/>
        <w:ind w:left="884"/>
        <w:jc w:val="right"/>
        <w:rPr>
          <w:rFonts w:hint="eastAsia" w:ascii="宋体" w:hAnsi="宋体" w:eastAsia="宋体" w:cs="宋体"/>
          <w:color w:val="auto"/>
          <w:highlight w:val="none"/>
        </w:rPr>
      </w:pPr>
    </w:p>
    <w:p>
      <w:pPr>
        <w:pStyle w:val="24"/>
        <w:tabs>
          <w:tab w:val="left" w:pos="1303"/>
        </w:tabs>
        <w:spacing w:line="268" w:lineRule="exact"/>
        <w:ind w:left="884"/>
        <w:jc w:val="center"/>
        <w:rPr>
          <w:rFonts w:hint="eastAsia" w:ascii="宋体" w:hAnsi="宋体" w:eastAsia="宋体" w:cs="宋体"/>
          <w:color w:val="auto"/>
          <w:highlight w:val="none"/>
        </w:rPr>
      </w:pPr>
    </w:p>
    <w:p>
      <w:pPr>
        <w:pStyle w:val="24"/>
        <w:tabs>
          <w:tab w:val="left" w:pos="1303"/>
        </w:tabs>
        <w:spacing w:line="268" w:lineRule="exact"/>
        <w:ind w:left="884"/>
        <w:jc w:val="center"/>
        <w:rPr>
          <w:rFonts w:hint="eastAsia" w:ascii="宋体" w:hAnsi="宋体" w:eastAsia="宋体" w:cs="宋体"/>
          <w:color w:val="auto"/>
          <w:highlight w:val="none"/>
        </w:rPr>
      </w:pPr>
    </w:p>
    <w:p>
      <w:pPr>
        <w:pStyle w:val="24"/>
        <w:tabs>
          <w:tab w:val="left" w:pos="1303"/>
        </w:tabs>
        <w:spacing w:line="268" w:lineRule="exact"/>
        <w:ind w:left="884"/>
        <w:jc w:val="center"/>
        <w:rPr>
          <w:rFonts w:hint="eastAsia" w:ascii="宋体" w:hAnsi="宋体" w:eastAsia="宋体" w:cs="宋体"/>
          <w:color w:val="auto"/>
          <w:highlight w:val="none"/>
        </w:rPr>
      </w:pPr>
    </w:p>
    <w:p>
      <w:pPr>
        <w:pStyle w:val="24"/>
        <w:tabs>
          <w:tab w:val="left" w:pos="1303"/>
        </w:tabs>
        <w:spacing w:line="268" w:lineRule="exact"/>
        <w:ind w:left="884"/>
        <w:jc w:val="center"/>
        <w:rPr>
          <w:rFonts w:hint="eastAsia" w:ascii="宋体" w:hAnsi="宋体" w:eastAsia="宋体" w:cs="宋体"/>
          <w:color w:val="auto"/>
          <w:highlight w:val="none"/>
        </w:rPr>
      </w:pPr>
    </w:p>
    <w:p>
      <w:pPr>
        <w:pStyle w:val="24"/>
        <w:tabs>
          <w:tab w:val="left" w:pos="1303"/>
        </w:tabs>
        <w:spacing w:line="268" w:lineRule="exact"/>
        <w:ind w:left="884"/>
        <w:jc w:val="center"/>
        <w:rPr>
          <w:rFonts w:hint="eastAsia" w:ascii="宋体" w:hAnsi="宋体" w:eastAsia="宋体" w:cs="宋体"/>
          <w:color w:val="auto"/>
          <w:highlight w:val="none"/>
        </w:rPr>
      </w:pPr>
    </w:p>
    <w:p>
      <w:pPr>
        <w:pStyle w:val="24"/>
        <w:tabs>
          <w:tab w:val="left" w:pos="1303"/>
        </w:tabs>
        <w:spacing w:line="268" w:lineRule="exact"/>
        <w:ind w:left="884"/>
        <w:jc w:val="center"/>
        <w:rPr>
          <w:rFonts w:hint="eastAsia" w:ascii="宋体" w:hAnsi="宋体" w:eastAsia="宋体" w:cs="宋体"/>
          <w:color w:val="auto"/>
          <w:highlight w:val="none"/>
        </w:rPr>
      </w:pPr>
    </w:p>
    <w:p>
      <w:pPr>
        <w:pStyle w:val="24"/>
        <w:tabs>
          <w:tab w:val="left" w:pos="1303"/>
        </w:tabs>
        <w:spacing w:line="268" w:lineRule="exact"/>
        <w:ind w:left="884"/>
        <w:jc w:val="center"/>
        <w:rPr>
          <w:rFonts w:hint="eastAsia" w:ascii="宋体" w:hAnsi="宋体" w:eastAsia="宋体" w:cs="宋体"/>
          <w:color w:val="auto"/>
          <w:highlight w:val="none"/>
        </w:rPr>
      </w:pPr>
    </w:p>
    <w:p>
      <w:pPr>
        <w:pStyle w:val="2"/>
        <w:ind w:firstLine="643"/>
        <w:rPr>
          <w:rFonts w:hint="eastAsia" w:ascii="宋体" w:hAnsi="宋体" w:eastAsia="宋体" w:cs="宋体"/>
          <w:b/>
          <w:color w:val="auto"/>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2、资格证明文件目录</w:t>
      </w:r>
    </w:p>
    <w:p>
      <w:pPr>
        <w:pStyle w:val="2"/>
        <w:ind w:left="0" w:leftChars="0" w:firstLine="420" w:firstLineChars="200"/>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根据招标文件规定及投标人提供的材料自行编写目录。</w:t>
      </w: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p>
    <w:p>
      <w:pPr>
        <w:wordWrap w:val="0"/>
        <w:snapToGrid w:val="0"/>
        <w:spacing w:line="380" w:lineRule="exact"/>
        <w:jc w:val="left"/>
        <w:rPr>
          <w:rFonts w:hint="eastAsia" w:ascii="宋体" w:hAnsi="宋体" w:eastAsia="宋体" w:cs="宋体"/>
          <w:color w:val="auto"/>
          <w:szCs w:val="21"/>
          <w:highlight w:val="none"/>
        </w:rPr>
      </w:pPr>
    </w:p>
    <w:p>
      <w:pPr>
        <w:wordWrap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3、投标人营业执照复印件；（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wordWrap w:val="0"/>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pPr>
        <w:pStyle w:val="24"/>
        <w:rPr>
          <w:rFonts w:hint="eastAsia" w:ascii="宋体" w:hAnsi="宋体" w:eastAsia="宋体" w:cs="宋体"/>
          <w:color w:val="auto"/>
          <w:highlight w:val="none"/>
        </w:rPr>
      </w:pPr>
    </w:p>
    <w:p>
      <w:pPr>
        <w:numPr>
          <w:ilvl w:val="0"/>
          <w:numId w:val="0"/>
        </w:numPr>
        <w:wordWrap w:val="0"/>
        <w:snapToGrid w:val="0"/>
        <w:spacing w:line="380" w:lineRule="exact"/>
        <w:ind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4、</w:t>
      </w:r>
      <w:r>
        <w:rPr>
          <w:rFonts w:hint="eastAsia" w:ascii="宋体" w:hAnsi="宋体" w:eastAsia="宋体" w:cs="宋体"/>
          <w:color w:val="auto"/>
          <w:szCs w:val="21"/>
          <w:highlight w:val="none"/>
        </w:rPr>
        <w:t>投标保证金；（必须提供，否则作无效投标处理）</w:t>
      </w:r>
    </w:p>
    <w:p>
      <w:pPr>
        <w:pStyle w:val="2"/>
        <w:numPr>
          <w:ilvl w:val="0"/>
          <w:numId w:val="0"/>
        </w:numPr>
        <w:ind w:leftChars="100"/>
        <w:rPr>
          <w:rFonts w:hint="eastAsia" w:ascii="宋体" w:hAnsi="宋体" w:eastAsia="宋体" w:cs="宋体"/>
          <w:color w:val="auto"/>
          <w:kern w:val="2"/>
          <w:sz w:val="21"/>
          <w:szCs w:val="21"/>
          <w:highlight w:val="none"/>
          <w:lang w:val="en-US" w:eastAsia="zh-CN" w:bidi="ar-SA"/>
        </w:rPr>
      </w:pPr>
    </w:p>
    <w:p>
      <w:pPr>
        <w:pStyle w:val="2"/>
        <w:numPr>
          <w:ilvl w:val="0"/>
          <w:numId w:val="0"/>
        </w:numPr>
        <w:ind w:leftChars="100"/>
        <w:rPr>
          <w:rFonts w:hint="eastAsia" w:ascii="宋体" w:hAnsi="宋体" w:eastAsia="宋体" w:cs="宋体"/>
          <w:color w:val="auto"/>
          <w:kern w:val="2"/>
          <w:sz w:val="21"/>
          <w:szCs w:val="21"/>
          <w:highlight w:val="none"/>
          <w:lang w:val="en-US" w:eastAsia="zh-CN" w:bidi="ar-SA"/>
        </w:rPr>
      </w:pPr>
    </w:p>
    <w:p>
      <w:pPr>
        <w:pStyle w:val="2"/>
        <w:numPr>
          <w:ilvl w:val="0"/>
          <w:numId w:val="0"/>
        </w:numPr>
        <w:ind w:leftChars="100"/>
        <w:rPr>
          <w:rFonts w:hint="eastAsia" w:ascii="宋体" w:hAnsi="宋体" w:eastAsia="宋体" w:cs="宋体"/>
          <w:color w:val="auto"/>
          <w:kern w:val="2"/>
          <w:sz w:val="21"/>
          <w:szCs w:val="21"/>
          <w:highlight w:val="none"/>
          <w:lang w:val="en-US" w:eastAsia="zh-CN" w:bidi="ar-SA"/>
        </w:rPr>
      </w:pPr>
    </w:p>
    <w:p>
      <w:pPr>
        <w:pStyle w:val="2"/>
        <w:numPr>
          <w:ilvl w:val="0"/>
          <w:numId w:val="0"/>
        </w:numPr>
        <w:ind w:left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5、开户许可证复印件（或基本存款账户信息证明）；（必须提供，否则作无效投标处理）</w:t>
      </w:r>
    </w:p>
    <w:p>
      <w:pPr>
        <w:pStyle w:val="24"/>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wordWrap w:val="0"/>
        <w:snapToGrid w:val="0"/>
        <w:spacing w:line="38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在投标截止时间前半年内任意一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新注册单位提供自成立以来的）；（必须提供，否则作无效投标处理）</w:t>
      </w:r>
    </w:p>
    <w:p>
      <w:pPr>
        <w:pStyle w:val="24"/>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wordWrap w:val="0"/>
        <w:snapToGrid w:val="0"/>
        <w:spacing w:line="380" w:lineRule="exact"/>
        <w:jc w:val="left"/>
        <w:rPr>
          <w:rFonts w:hint="eastAsia" w:ascii="宋体" w:hAnsi="宋体" w:eastAsia="宋体" w:cs="宋体"/>
          <w:color w:val="auto"/>
          <w:szCs w:val="21"/>
          <w:highlight w:val="none"/>
        </w:rPr>
      </w:pPr>
    </w:p>
    <w:p>
      <w:pPr>
        <w:numPr>
          <w:ilvl w:val="0"/>
          <w:numId w:val="0"/>
        </w:numPr>
        <w:wordWrap w:val="0"/>
        <w:snapToGrid w:val="0"/>
        <w:spacing w:line="380" w:lineRule="exact"/>
        <w:ind w:firstLine="420" w:firstLineChars="200"/>
        <w:jc w:val="left"/>
        <w:rPr>
          <w:rFonts w:hint="eastAsia" w:ascii="宋体" w:hAnsi="宋体" w:eastAsia="宋体" w:cs="宋体"/>
          <w:b/>
          <w:bCs/>
          <w:color w:val="auto"/>
          <w:sz w:val="21"/>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人在投标截止时间前半年内任意一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新注册单位提供自成立以来的）；</w:t>
      </w:r>
      <w:r>
        <w:rPr>
          <w:rFonts w:hint="eastAsia" w:ascii="宋体" w:hAnsi="宋体" w:eastAsia="宋体" w:cs="宋体"/>
          <w:b/>
          <w:bCs/>
          <w:color w:val="auto"/>
          <w:sz w:val="21"/>
          <w:szCs w:val="21"/>
          <w:highlight w:val="none"/>
        </w:rPr>
        <w:t>（必须提供，否则作无效投标处理）</w:t>
      </w:r>
    </w:p>
    <w:p>
      <w:pPr>
        <w:pStyle w:val="2"/>
        <w:widowControl w:val="0"/>
        <w:numPr>
          <w:ilvl w:val="0"/>
          <w:numId w:val="0"/>
        </w:numPr>
        <w:spacing w:after="120"/>
        <w:jc w:val="both"/>
        <w:rPr>
          <w:rFonts w:hint="eastAsia"/>
          <w:sz w:val="21"/>
          <w:szCs w:val="21"/>
        </w:rPr>
      </w:pPr>
    </w:p>
    <w:p>
      <w:pPr>
        <w:pStyle w:val="2"/>
        <w:widowControl w:val="0"/>
        <w:numPr>
          <w:ilvl w:val="0"/>
          <w:numId w:val="0"/>
        </w:numPr>
        <w:spacing w:after="120"/>
        <w:jc w:val="both"/>
        <w:rPr>
          <w:rFonts w:hint="eastAsia"/>
          <w:sz w:val="21"/>
          <w:szCs w:val="21"/>
        </w:rPr>
      </w:pPr>
    </w:p>
    <w:p>
      <w:pPr>
        <w:pStyle w:val="2"/>
        <w:widowControl w:val="0"/>
        <w:numPr>
          <w:ilvl w:val="0"/>
          <w:numId w:val="0"/>
        </w:numPr>
        <w:spacing w:after="120"/>
        <w:jc w:val="both"/>
        <w:rPr>
          <w:rFonts w:hint="eastAsia"/>
          <w:sz w:val="21"/>
          <w:szCs w:val="21"/>
        </w:rPr>
      </w:pPr>
    </w:p>
    <w:p>
      <w:pPr>
        <w:pStyle w:val="2"/>
        <w:widowControl w:val="0"/>
        <w:numPr>
          <w:ilvl w:val="0"/>
          <w:numId w:val="0"/>
        </w:numPr>
        <w:spacing w:after="120"/>
        <w:jc w:val="both"/>
        <w:rPr>
          <w:rFonts w:hint="eastAsia"/>
          <w:sz w:val="21"/>
          <w:szCs w:val="21"/>
        </w:rPr>
      </w:pPr>
    </w:p>
    <w:p>
      <w:pPr>
        <w:pStyle w:val="2"/>
        <w:widowControl w:val="0"/>
        <w:numPr>
          <w:ilvl w:val="0"/>
          <w:numId w:val="0"/>
        </w:numPr>
        <w:spacing w:after="120"/>
        <w:jc w:val="both"/>
        <w:rPr>
          <w:rFonts w:hint="eastAsia"/>
          <w:sz w:val="21"/>
          <w:szCs w:val="21"/>
        </w:rPr>
      </w:pPr>
    </w:p>
    <w:p>
      <w:pPr>
        <w:pStyle w:val="2"/>
        <w:widowControl w:val="0"/>
        <w:numPr>
          <w:ilvl w:val="0"/>
          <w:numId w:val="0"/>
        </w:numPr>
        <w:spacing w:after="120"/>
        <w:jc w:val="both"/>
        <w:rPr>
          <w:rFonts w:hint="eastAsia"/>
          <w:sz w:val="21"/>
          <w:szCs w:val="21"/>
        </w:rPr>
      </w:pPr>
    </w:p>
    <w:p>
      <w:pPr>
        <w:pStyle w:val="2"/>
        <w:widowControl w:val="0"/>
        <w:numPr>
          <w:ilvl w:val="0"/>
          <w:numId w:val="0"/>
        </w:numPr>
        <w:spacing w:after="120"/>
        <w:jc w:val="both"/>
        <w:rPr>
          <w:rFonts w:hint="eastAsia"/>
          <w:sz w:val="21"/>
          <w:szCs w:val="21"/>
        </w:rPr>
      </w:pPr>
    </w:p>
    <w:p>
      <w:pPr>
        <w:pStyle w:val="2"/>
        <w:widowControl w:val="0"/>
        <w:numPr>
          <w:ilvl w:val="0"/>
          <w:numId w:val="0"/>
        </w:numPr>
        <w:spacing w:after="120"/>
        <w:jc w:val="both"/>
        <w:rPr>
          <w:rFonts w:hint="eastAsia"/>
          <w:sz w:val="21"/>
          <w:szCs w:val="21"/>
        </w:rPr>
      </w:pPr>
    </w:p>
    <w:p>
      <w:pPr>
        <w:pStyle w:val="2"/>
        <w:widowControl w:val="0"/>
        <w:numPr>
          <w:ilvl w:val="0"/>
          <w:numId w:val="0"/>
        </w:numPr>
        <w:spacing w:after="120"/>
        <w:jc w:val="both"/>
        <w:rPr>
          <w:rFonts w:hint="eastAsia"/>
          <w:sz w:val="21"/>
          <w:szCs w:val="21"/>
        </w:rPr>
      </w:pPr>
    </w:p>
    <w:p>
      <w:pPr>
        <w:snapToGrid w:val="0"/>
        <w:spacing w:line="408" w:lineRule="auto"/>
        <w:jc w:val="left"/>
        <w:rPr>
          <w:rFonts w:hint="eastAsia" w:ascii="宋体" w:hAnsi="宋体" w:eastAsia="宋体" w:cs="宋体"/>
          <w:b/>
          <w:color w:val="auto"/>
          <w:sz w:val="30"/>
          <w:szCs w:val="30"/>
          <w:highlight w:val="none"/>
        </w:rPr>
      </w:pPr>
      <w:r>
        <w:rPr>
          <w:rFonts w:hint="eastAsia" w:ascii="宋体" w:hAnsi="宋体" w:cs="宋体"/>
          <w:b/>
          <w:color w:val="auto"/>
          <w:szCs w:val="21"/>
          <w:highlight w:val="none"/>
          <w:lang w:val="en-US" w:eastAsia="zh-CN"/>
        </w:rPr>
        <w:t>8</w:t>
      </w:r>
      <w:r>
        <w:rPr>
          <w:rFonts w:hint="eastAsia" w:ascii="宋体" w:hAnsi="宋体" w:eastAsia="宋体" w:cs="宋体"/>
          <w:b/>
          <w:color w:val="auto"/>
          <w:szCs w:val="21"/>
          <w:highlight w:val="none"/>
        </w:rPr>
        <w:t>、投标声明书格式：</w:t>
      </w:r>
    </w:p>
    <w:p>
      <w:pPr>
        <w:snapToGrid w:val="0"/>
        <w:spacing w:before="156" w:beforeLines="50" w:after="50" w:line="408" w:lineRule="auto"/>
        <w:jc w:val="center"/>
        <w:rPr>
          <w:rFonts w:hint="eastAsia" w:ascii="宋体" w:hAnsi="宋体" w:eastAsia="宋体" w:cs="宋体"/>
          <w:b/>
          <w:color w:val="auto"/>
          <w:sz w:val="30"/>
          <w:szCs w:val="30"/>
          <w:highlight w:val="none"/>
        </w:rPr>
      </w:pPr>
    </w:p>
    <w:p>
      <w:pPr>
        <w:snapToGrid w:val="0"/>
        <w:spacing w:before="156" w:beforeLines="50" w:after="50" w:line="408"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投标声明书</w:t>
      </w:r>
    </w:p>
    <w:p>
      <w:pPr>
        <w:snapToGrid w:val="0"/>
        <w:spacing w:before="156" w:beforeLines="50" w:after="50"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highlight w:val="none"/>
          <w:u w:val="single"/>
        </w:rPr>
        <w:t>　　　　　　　　　　　　　（采购代理机构）</w:t>
      </w:r>
    </w:p>
    <w:p>
      <w:pPr>
        <w:snapToGrid w:val="0"/>
        <w:spacing w:before="156" w:beforeLines="50" w:after="50"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（投标人名称）系中华人民共和国合法企业，经营地址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before="156" w:beforeLines="50" w:after="50"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（投标人名称）的法定代表人（负责人），我方愿意参加贵方组织的      项目的投标，为便于贵方公正、择优地确定中标人及其投标产品和服务，我方就本次投标有关事项郑重声明如下：</w:t>
      </w:r>
    </w:p>
    <w:p>
      <w:pPr>
        <w:snapToGrid w:val="0"/>
        <w:spacing w:line="40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1、我方向贵方提交的所有投标文件、资料都是准确的和真实的。</w:t>
      </w:r>
    </w:p>
    <w:p>
      <w:pPr>
        <w:snapToGrid w:val="0"/>
        <w:spacing w:before="156" w:beforeLines="50" w:line="40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40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3、我方与参加此次投标的其他投标人不存在单位负责人为同一人或者直接控股、管理关系，也没有为本项目提供整体设计、规范编制或者项目管理、监理、检测等服务。</w:t>
      </w:r>
    </w:p>
    <w:p>
      <w:pPr>
        <w:spacing w:line="40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4、我方参加政府采购活动前三年内在经营活动中重大违法记录和不良信用记录情况：</w:t>
      </w:r>
      <w:r>
        <w:rPr>
          <w:rFonts w:hint="eastAsia" w:ascii="宋体" w:hAnsi="宋体" w:eastAsia="宋体" w:cs="宋体"/>
          <w:color w:val="auto"/>
          <w:szCs w:val="21"/>
          <w:highlight w:val="none"/>
          <w:u w:val="single"/>
        </w:rPr>
        <w:t>　</w:t>
      </w:r>
      <w:r>
        <w:rPr>
          <w:rFonts w:hint="eastAsia" w:ascii="宋体" w:hAnsi="宋体" w:eastAsia="宋体" w:cs="宋体"/>
          <w:b/>
          <w:color w:val="auto"/>
          <w:szCs w:val="21"/>
          <w:highlight w:val="none"/>
          <w:u w:val="single"/>
        </w:rPr>
        <w:t>　　　　　　</w:t>
      </w:r>
      <w:r>
        <w:rPr>
          <w:rFonts w:hint="eastAsia" w:ascii="宋体" w:hAnsi="宋体" w:eastAsia="宋体" w:cs="宋体"/>
          <w:color w:val="auto"/>
          <w:szCs w:val="21"/>
          <w:highlight w:val="none"/>
          <w:u w:val="single"/>
        </w:rPr>
        <w:t>　　　　　　　　　　　　　　　　　　　　　</w:t>
      </w:r>
    </w:p>
    <w:p>
      <w:pPr>
        <w:snapToGrid w:val="0"/>
        <w:spacing w:before="156" w:beforeLines="50" w:line="40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5、以上事项如有虚假或隐瞒，我方愿意承担一切后果。</w:t>
      </w:r>
    </w:p>
    <w:p>
      <w:pPr>
        <w:snapToGrid w:val="0"/>
        <w:spacing w:before="156" w:beforeLines="50" w:after="50" w:line="408" w:lineRule="auto"/>
        <w:ind w:firstLine="3570" w:firstLineChars="1700"/>
        <w:rPr>
          <w:rFonts w:hint="eastAsia" w:ascii="宋体" w:hAnsi="宋体" w:eastAsia="宋体" w:cs="宋体"/>
          <w:color w:val="auto"/>
          <w:szCs w:val="21"/>
          <w:highlight w:val="none"/>
        </w:rPr>
      </w:pPr>
    </w:p>
    <w:p>
      <w:pPr>
        <w:snapToGrid w:val="0"/>
        <w:spacing w:before="156" w:beforeLines="50" w:after="50"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投标人（公章）：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before="156" w:beforeLines="50" w:after="50"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法定代表人或授权委托代理人（签字）：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before="156" w:beforeLines="50" w:after="50" w:line="408"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napToGrid w:val="0"/>
        <w:spacing w:before="50" w:after="156" w:afterLines="50" w:line="408" w:lineRule="auto"/>
        <w:jc w:val="left"/>
        <w:rPr>
          <w:rFonts w:hint="eastAsia" w:ascii="宋体" w:hAnsi="宋体" w:eastAsia="宋体" w:cs="宋体"/>
          <w:b/>
          <w:color w:val="auto"/>
          <w:szCs w:val="21"/>
          <w:highlight w:val="none"/>
        </w:rPr>
      </w:pPr>
    </w:p>
    <w:p>
      <w:pPr>
        <w:pStyle w:val="2"/>
        <w:ind w:firstLine="643"/>
        <w:rPr>
          <w:rFonts w:hint="eastAsia" w:ascii="宋体" w:hAnsi="宋体" w:eastAsia="宋体" w:cs="宋体"/>
          <w:b/>
          <w:color w:val="auto"/>
          <w:szCs w:val="21"/>
          <w:highlight w:val="none"/>
        </w:rPr>
      </w:pPr>
    </w:p>
    <w:p>
      <w:pPr>
        <w:pStyle w:val="2"/>
        <w:ind w:firstLine="643"/>
        <w:rPr>
          <w:rFonts w:hint="eastAsia" w:ascii="宋体" w:hAnsi="宋体" w:eastAsia="宋体" w:cs="宋体"/>
          <w:b/>
          <w:color w:val="auto"/>
          <w:szCs w:val="21"/>
          <w:highlight w:val="none"/>
        </w:rPr>
      </w:pPr>
    </w:p>
    <w:p>
      <w:pPr>
        <w:adjustRightInd w:val="0"/>
        <w:snapToGrid w:val="0"/>
        <w:spacing w:line="408" w:lineRule="auto"/>
        <w:jc w:val="left"/>
        <w:outlineLvl w:val="3"/>
        <w:rPr>
          <w:rFonts w:hint="eastAsia" w:ascii="宋体" w:hAnsi="宋体" w:eastAsia="宋体" w:cs="宋体"/>
          <w:b/>
          <w:color w:val="auto"/>
          <w:highlight w:val="none"/>
        </w:rPr>
      </w:pPr>
    </w:p>
    <w:p>
      <w:pPr>
        <w:adjustRightInd w:val="0"/>
        <w:snapToGrid w:val="0"/>
        <w:spacing w:line="408" w:lineRule="auto"/>
        <w:jc w:val="left"/>
        <w:outlineLvl w:val="3"/>
        <w:rPr>
          <w:rFonts w:hint="eastAsia" w:ascii="宋体" w:hAnsi="宋体" w:eastAsia="宋体" w:cs="宋体"/>
          <w:b/>
          <w:color w:val="auto"/>
          <w:highlight w:val="none"/>
        </w:rPr>
      </w:pPr>
      <w:r>
        <w:rPr>
          <w:rFonts w:hint="eastAsia" w:ascii="宋体" w:hAnsi="宋体" w:eastAsia="宋体" w:cs="宋体"/>
          <w:b/>
          <w:color w:val="auto"/>
          <w:highlight w:val="none"/>
        </w:rPr>
        <w:t>　　</w:t>
      </w:r>
    </w:p>
    <w:p>
      <w:pPr>
        <w:adjustRightInd w:val="0"/>
        <w:snapToGrid w:val="0"/>
        <w:spacing w:line="408" w:lineRule="auto"/>
        <w:jc w:val="left"/>
        <w:outlineLvl w:val="3"/>
        <w:rPr>
          <w:rFonts w:hint="eastAsia" w:ascii="宋体" w:hAnsi="宋体" w:eastAsia="宋体" w:cs="宋体"/>
          <w:b/>
          <w:color w:val="auto"/>
          <w:szCs w:val="21"/>
          <w:highlight w:val="none"/>
        </w:rPr>
      </w:pPr>
      <w:r>
        <w:rPr>
          <w:rFonts w:hint="eastAsia" w:ascii="宋体" w:hAnsi="宋体" w:cs="宋体"/>
          <w:b/>
          <w:color w:val="auto"/>
          <w:highlight w:val="none"/>
          <w:lang w:val="en-US" w:eastAsia="zh-CN"/>
        </w:rPr>
        <w:t>9</w:t>
      </w:r>
      <w:r>
        <w:rPr>
          <w:rFonts w:hint="eastAsia" w:ascii="宋体" w:hAnsi="宋体" w:eastAsia="宋体" w:cs="宋体"/>
          <w:b/>
          <w:color w:val="auto"/>
          <w:highlight w:val="none"/>
        </w:rPr>
        <w:t>、</w:t>
      </w:r>
      <w:r>
        <w:rPr>
          <w:rFonts w:hint="eastAsia" w:ascii="宋体" w:hAnsi="宋体" w:eastAsia="宋体" w:cs="宋体"/>
          <w:b/>
          <w:color w:val="auto"/>
          <w:szCs w:val="21"/>
          <w:highlight w:val="none"/>
        </w:rPr>
        <w:t>信用声明函；（必须提供）；</w:t>
      </w:r>
    </w:p>
    <w:p>
      <w:pPr>
        <w:pStyle w:val="37"/>
        <w:rPr>
          <w:rFonts w:hint="eastAsia" w:ascii="宋体" w:hAnsi="宋体" w:eastAsia="宋体" w:cs="宋体"/>
          <w:b/>
          <w:color w:val="auto"/>
          <w:sz w:val="30"/>
          <w:szCs w:val="30"/>
          <w:highlight w:val="none"/>
        </w:rPr>
      </w:pPr>
    </w:p>
    <w:p>
      <w:pPr>
        <w:adjustRightInd w:val="0"/>
        <w:snapToGrid w:val="0"/>
        <w:spacing w:line="408" w:lineRule="auto"/>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t>信用声明函</w:t>
      </w:r>
      <w:r>
        <w:rPr>
          <w:rFonts w:hint="eastAsia" w:ascii="宋体" w:hAnsi="宋体" w:eastAsia="宋体" w:cs="宋体"/>
          <w:b/>
          <w:color w:val="auto"/>
          <w:sz w:val="24"/>
          <w:highlight w:val="none"/>
        </w:rPr>
        <w:t>（格式）</w:t>
      </w:r>
    </w:p>
    <w:p>
      <w:pPr>
        <w:adjustRightInd w:val="0"/>
        <w:snapToGrid w:val="0"/>
        <w:spacing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（采购代理机构） </w:t>
      </w:r>
    </w:p>
    <w:p>
      <w:pPr>
        <w:tabs>
          <w:tab w:val="left" w:pos="72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我方愿意参加贵方组织的</w:t>
      </w:r>
      <w:r>
        <w:rPr>
          <w:rFonts w:hint="eastAsia" w:ascii="宋体" w:hAnsi="宋体" w:eastAsia="宋体" w:cs="宋体"/>
          <w:color w:val="auto"/>
          <w:highlight w:val="none"/>
          <w:u w:val="single"/>
          <w:shd w:val="clear" w:color="auto" w:fill="FFFFFF"/>
        </w:rPr>
        <w:t xml:space="preserve">     （项目名称）         </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rPr>
        <w:t>）项目的投标，为便于贵方公正、择优地确定中标人，我方就本次投标有关事项郑重声明如下：</w:t>
      </w:r>
    </w:p>
    <w:p>
      <w:pPr>
        <w:adjustRightInd w:val="0"/>
        <w:snapToGrid w:val="0"/>
        <w:spacing w:line="40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1、我公司在近三年内在经营活动中没有重大违法记录（包括：因违法经营受到刑事处罚或者责令停产停业，吊销许可证或者执照、较大数额罚款等行政处罚）和不良行为记录，特此声明。</w:t>
      </w:r>
    </w:p>
    <w:p>
      <w:pPr>
        <w:adjustRightInd w:val="0"/>
        <w:snapToGrid w:val="0"/>
        <w:spacing w:line="40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2、</w:t>
      </w:r>
      <w:r>
        <w:rPr>
          <w:rFonts w:hint="eastAsia" w:ascii="宋体" w:hAnsi="宋体" w:eastAsia="宋体" w:cs="宋体"/>
          <w:color w:val="auto"/>
          <w:highlight w:val="none"/>
        </w:rPr>
        <w:t>以上事项如有虚假或隐瞒，</w:t>
      </w:r>
      <w:r>
        <w:rPr>
          <w:rFonts w:hint="eastAsia" w:ascii="宋体" w:hAnsi="宋体" w:eastAsia="宋体" w:cs="宋体"/>
          <w:color w:val="auto"/>
          <w:szCs w:val="21"/>
          <w:highlight w:val="none"/>
        </w:rPr>
        <w:t>我方将无条件地退出本项目的投标，承担因此引起的一切后果，并不再寻求任何旨在减轻或免除法律责任的辩解。</w:t>
      </w:r>
    </w:p>
    <w:p>
      <w:pPr>
        <w:pStyle w:val="2"/>
        <w:ind w:firstLine="640"/>
        <w:rPr>
          <w:rFonts w:hint="eastAsia" w:ascii="宋体" w:hAnsi="宋体" w:eastAsia="宋体" w:cs="宋体"/>
          <w:color w:val="auto"/>
          <w:highlight w:val="none"/>
        </w:rPr>
      </w:pPr>
    </w:p>
    <w:p>
      <w:pPr>
        <w:adjustRightInd w:val="0"/>
        <w:snapToGrid w:val="0"/>
        <w:spacing w:line="408" w:lineRule="auto"/>
        <w:ind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投标人（公章）：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408" w:lineRule="auto"/>
        <w:ind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法定代表人（负责人）（签字）：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408" w:lineRule="auto"/>
        <w:ind w:firstLine="315" w:firstLineChars="150"/>
        <w:jc w:val="left"/>
        <w:rPr>
          <w:rFonts w:hint="eastAsia" w:ascii="宋体" w:hAnsi="宋体" w:eastAsia="宋体" w:cs="宋体"/>
          <w:color w:val="auto"/>
          <w:highlight w:val="none"/>
        </w:rPr>
      </w:pPr>
      <w:r>
        <w:rPr>
          <w:rFonts w:hint="eastAsia" w:ascii="宋体" w:hAnsi="宋体" w:eastAsia="宋体" w:cs="宋体"/>
          <w:color w:val="auto"/>
          <w:szCs w:val="21"/>
          <w:highlight w:val="none"/>
        </w:rPr>
        <w:t>　　　　　　　　　　　　　　　　　　　　日期：</w:t>
      </w:r>
      <w:r>
        <w:rPr>
          <w:rFonts w:hint="eastAsia" w:ascii="宋体" w:hAnsi="宋体" w:eastAsia="宋体" w:cs="宋体"/>
          <w:color w:val="auto"/>
          <w:szCs w:val="21"/>
          <w:highlight w:val="none"/>
          <w:u w:val="single"/>
        </w:rPr>
        <w:t xml:space="preserve">                               </w:t>
      </w:r>
    </w:p>
    <w:p>
      <w:pPr>
        <w:widowControl/>
        <w:spacing w:before="100" w:beforeAutospacing="1" w:after="100" w:afterAutospacing="1" w:line="408"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　</w:t>
      </w: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adjustRightInd w:val="0"/>
        <w:snapToGrid w:val="0"/>
        <w:spacing w:line="408" w:lineRule="auto"/>
        <w:jc w:val="left"/>
        <w:outlineLvl w:val="3"/>
        <w:rPr>
          <w:rFonts w:hint="eastAsia" w:ascii="宋体" w:hAnsi="宋体" w:eastAsia="宋体" w:cs="宋体"/>
          <w:b/>
          <w:color w:val="auto"/>
          <w:szCs w:val="21"/>
          <w:highlight w:val="none"/>
        </w:rPr>
      </w:pPr>
    </w:p>
    <w:p>
      <w:pPr>
        <w:adjustRightInd w:val="0"/>
        <w:snapToGrid w:val="0"/>
        <w:spacing w:line="408" w:lineRule="auto"/>
        <w:jc w:val="left"/>
        <w:outlineLvl w:val="3"/>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10</w:t>
      </w:r>
      <w:r>
        <w:rPr>
          <w:rFonts w:hint="eastAsia" w:ascii="宋体" w:hAnsi="宋体" w:eastAsia="宋体" w:cs="宋体"/>
          <w:b/>
          <w:color w:val="auto"/>
          <w:szCs w:val="21"/>
          <w:highlight w:val="none"/>
        </w:rPr>
        <w:t>、投标人直接控股、管理关系信息表；（必须提供，否则作无效投标处理）</w:t>
      </w:r>
    </w:p>
    <w:p>
      <w:pPr>
        <w:snapToGrid w:val="0"/>
        <w:spacing w:before="50" w:after="156" w:afterLines="50"/>
        <w:jc w:val="center"/>
        <w:rPr>
          <w:rFonts w:hint="eastAsia" w:ascii="宋体" w:hAnsi="宋体" w:eastAsia="宋体" w:cs="宋体"/>
          <w:b/>
          <w:color w:val="auto"/>
          <w:sz w:val="28"/>
          <w:szCs w:val="28"/>
          <w:highlight w:val="none"/>
        </w:rPr>
      </w:pPr>
    </w:p>
    <w:p>
      <w:pPr>
        <w:snapToGrid w:val="0"/>
        <w:spacing w:before="50" w:after="156"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投标人直接控股股东信息表</w:t>
      </w:r>
    </w:p>
    <w:tbl>
      <w:tblPr>
        <w:tblStyle w:val="5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r>
    </w:tbl>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line="400" w:lineRule="exact"/>
        <w:jc w:val="left"/>
        <w:rPr>
          <w:rFonts w:hint="eastAsia" w:ascii="宋体" w:hAnsi="宋体" w:eastAsia="宋体" w:cs="宋体"/>
          <w:color w:val="auto"/>
          <w:szCs w:val="21"/>
          <w:highlight w:val="none"/>
        </w:rPr>
      </w:pPr>
    </w:p>
    <w:p>
      <w:pPr>
        <w:snapToGrid w:val="0"/>
        <w:spacing w:line="400" w:lineRule="exact"/>
        <w:jc w:val="left"/>
        <w:rPr>
          <w:rFonts w:hint="eastAsia" w:ascii="宋体" w:hAnsi="宋体" w:eastAsia="宋体" w:cs="宋体"/>
          <w:color w:val="auto"/>
          <w:szCs w:val="21"/>
          <w:highlight w:val="none"/>
        </w:rPr>
      </w:pPr>
    </w:p>
    <w:p>
      <w:pPr>
        <w:snapToGrid w:val="0"/>
        <w:spacing w:line="400" w:lineRule="exact"/>
        <w:jc w:val="left"/>
        <w:rPr>
          <w:rFonts w:hint="eastAsia" w:ascii="宋体" w:hAnsi="宋体" w:eastAsia="宋体" w:cs="宋体"/>
          <w:color w:val="auto"/>
          <w:szCs w:val="21"/>
          <w:highlight w:val="none"/>
        </w:rPr>
      </w:pPr>
    </w:p>
    <w:p>
      <w:pPr>
        <w:snapToGrid w:val="0"/>
        <w:spacing w:line="400" w:lineRule="exact"/>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投标人（公章）：</w:t>
      </w:r>
      <w:r>
        <w:rPr>
          <w:rFonts w:hint="eastAsia" w:ascii="宋体" w:hAnsi="宋体" w:eastAsia="宋体" w:cs="宋体"/>
          <w:color w:val="auto"/>
          <w:szCs w:val="21"/>
          <w:highlight w:val="none"/>
          <w:u w:val="single"/>
        </w:rPr>
        <w:t xml:space="preserve">       　　　　　　　　　          </w:t>
      </w:r>
    </w:p>
    <w:p>
      <w:pPr>
        <w:snapToGrid w:val="0"/>
        <w:spacing w:line="400" w:lineRule="exact"/>
        <w:ind w:right="480" w:firstLine="3471" w:firstLineChars="1653"/>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法定代表人或授权委托代理人（签字）：</w:t>
      </w:r>
      <w:r>
        <w:rPr>
          <w:rFonts w:hint="eastAsia" w:ascii="宋体" w:hAnsi="宋体" w:eastAsia="宋体" w:cs="宋体"/>
          <w:color w:val="auto"/>
          <w:szCs w:val="21"/>
          <w:highlight w:val="none"/>
          <w:u w:val="single"/>
        </w:rPr>
        <w:t xml:space="preserve">                </w:t>
      </w:r>
    </w:p>
    <w:p>
      <w:pPr>
        <w:snapToGrid w:val="0"/>
        <w:spacing w:line="400" w:lineRule="exact"/>
        <w:ind w:right="480"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年    月    日</w:t>
      </w:r>
    </w:p>
    <w:p>
      <w:pPr>
        <w:pStyle w:val="2"/>
        <w:ind w:firstLine="643"/>
        <w:rPr>
          <w:rFonts w:hint="eastAsia" w:ascii="宋体" w:hAnsi="宋体" w:eastAsia="宋体" w:cs="宋体"/>
          <w:b/>
          <w:color w:val="auto"/>
          <w:szCs w:val="21"/>
          <w:highlight w:val="none"/>
        </w:rPr>
      </w:pPr>
    </w:p>
    <w:p>
      <w:pPr>
        <w:pStyle w:val="2"/>
        <w:ind w:firstLine="643"/>
        <w:rPr>
          <w:rFonts w:hint="eastAsia" w:ascii="宋体" w:hAnsi="宋体" w:eastAsia="宋体" w:cs="宋体"/>
          <w:b/>
          <w:color w:val="auto"/>
          <w:szCs w:val="21"/>
          <w:highlight w:val="none"/>
        </w:rPr>
      </w:pPr>
    </w:p>
    <w:p>
      <w:pPr>
        <w:pStyle w:val="2"/>
        <w:ind w:firstLine="643"/>
        <w:rPr>
          <w:rFonts w:hint="eastAsia" w:ascii="宋体" w:hAnsi="宋体" w:eastAsia="宋体" w:cs="宋体"/>
          <w:b/>
          <w:color w:val="auto"/>
          <w:szCs w:val="21"/>
          <w:highlight w:val="none"/>
        </w:rPr>
      </w:pPr>
    </w:p>
    <w:p>
      <w:pPr>
        <w:pStyle w:val="2"/>
        <w:ind w:firstLine="643"/>
        <w:rPr>
          <w:rFonts w:hint="eastAsia" w:ascii="宋体" w:hAnsi="宋体" w:eastAsia="宋体" w:cs="宋体"/>
          <w:b/>
          <w:color w:val="auto"/>
          <w:szCs w:val="21"/>
          <w:highlight w:val="none"/>
        </w:rPr>
      </w:pPr>
    </w:p>
    <w:p>
      <w:pPr>
        <w:pStyle w:val="2"/>
        <w:ind w:firstLine="643"/>
        <w:rPr>
          <w:rFonts w:hint="eastAsia" w:ascii="宋体" w:hAnsi="宋体" w:eastAsia="宋体" w:cs="宋体"/>
          <w:b/>
          <w:color w:val="auto"/>
          <w:szCs w:val="21"/>
          <w:highlight w:val="none"/>
        </w:rPr>
      </w:pPr>
    </w:p>
    <w:p>
      <w:pPr>
        <w:pStyle w:val="2"/>
        <w:ind w:firstLine="643"/>
        <w:rPr>
          <w:rFonts w:hint="eastAsia" w:ascii="宋体" w:hAnsi="宋体" w:eastAsia="宋体" w:cs="宋体"/>
          <w:b/>
          <w:color w:val="auto"/>
          <w:szCs w:val="21"/>
          <w:highlight w:val="none"/>
        </w:rPr>
      </w:pPr>
    </w:p>
    <w:p>
      <w:pPr>
        <w:pStyle w:val="2"/>
        <w:rPr>
          <w:rFonts w:hint="eastAsia" w:ascii="宋体" w:hAnsi="宋体" w:eastAsia="宋体" w:cs="宋体"/>
          <w:b/>
          <w:color w:val="auto"/>
          <w:szCs w:val="21"/>
          <w:highlight w:val="none"/>
        </w:rPr>
      </w:pPr>
    </w:p>
    <w:p>
      <w:pPr>
        <w:pStyle w:val="2"/>
        <w:ind w:left="0" w:leftChars="0" w:firstLine="0" w:firstLineChars="0"/>
        <w:rPr>
          <w:rFonts w:hint="eastAsia" w:ascii="宋体" w:hAnsi="宋体" w:eastAsia="宋体" w:cs="宋体"/>
          <w:b/>
          <w:color w:val="auto"/>
          <w:sz w:val="28"/>
          <w:szCs w:val="28"/>
          <w:highlight w:val="none"/>
        </w:rPr>
      </w:pPr>
    </w:p>
    <w:p>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投标人直接管理关系信息表</w:t>
      </w:r>
    </w:p>
    <w:p>
      <w:pPr>
        <w:pStyle w:val="2"/>
        <w:ind w:firstLine="640"/>
        <w:rPr>
          <w:rFonts w:hint="eastAsia" w:ascii="宋体" w:hAnsi="宋体" w:eastAsia="宋体" w:cs="宋体"/>
          <w:color w:val="auto"/>
          <w:highlight w:val="none"/>
        </w:rPr>
      </w:pPr>
    </w:p>
    <w:tbl>
      <w:tblPr>
        <w:tblStyle w:val="58"/>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关系</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Cs w:val="21"/>
                <w:highlight w:val="none"/>
              </w:rPr>
            </w:pPr>
          </w:p>
        </w:tc>
      </w:tr>
    </w:tbl>
    <w:p>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pPr>
        <w:pStyle w:val="2"/>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2.本表所指的管理关系仅限于直接管理关系，不包括间接的管理关系。</w:t>
      </w:r>
    </w:p>
    <w:p>
      <w:pPr>
        <w:pStyle w:val="2"/>
        <w:ind w:left="0" w:leftChars="0" w:firstLine="0" w:firstLineChars="0"/>
        <w:rPr>
          <w:rFonts w:hint="eastAsia" w:ascii="宋体" w:hAnsi="宋体" w:eastAsia="宋体" w:cs="宋体"/>
          <w:color w:val="auto"/>
          <w:sz w:val="21"/>
          <w:szCs w:val="21"/>
          <w:highlight w:val="none"/>
        </w:rPr>
      </w:pPr>
    </w:p>
    <w:p>
      <w:pPr>
        <w:pStyle w:val="2"/>
        <w:ind w:left="0" w:leftChars="0" w:firstLine="0" w:firstLineChars="0"/>
        <w:rPr>
          <w:rFonts w:hint="eastAsia" w:ascii="宋体" w:hAnsi="宋体" w:eastAsia="宋体" w:cs="宋体"/>
          <w:color w:val="auto"/>
          <w:sz w:val="21"/>
          <w:szCs w:val="21"/>
          <w:highlight w:val="none"/>
        </w:rPr>
      </w:pPr>
    </w:p>
    <w:p>
      <w:pPr>
        <w:snapToGrid w:val="0"/>
        <w:spacing w:line="400" w:lineRule="exact"/>
        <w:jc w:val="left"/>
        <w:rPr>
          <w:rFonts w:hint="eastAsia" w:ascii="宋体" w:hAnsi="宋体" w:eastAsia="宋体" w:cs="宋体"/>
          <w:color w:val="auto"/>
          <w:szCs w:val="21"/>
          <w:highlight w:val="none"/>
        </w:rPr>
      </w:pPr>
    </w:p>
    <w:p>
      <w:pPr>
        <w:snapToGrid w:val="0"/>
        <w:spacing w:line="400" w:lineRule="exact"/>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投标人（公章）：</w:t>
      </w:r>
      <w:r>
        <w:rPr>
          <w:rFonts w:hint="eastAsia" w:ascii="宋体" w:hAnsi="宋体" w:eastAsia="宋体" w:cs="宋体"/>
          <w:color w:val="auto"/>
          <w:szCs w:val="21"/>
          <w:highlight w:val="none"/>
          <w:u w:val="single"/>
        </w:rPr>
        <w:t xml:space="preserve">       　　　　　　　　          </w:t>
      </w:r>
    </w:p>
    <w:p>
      <w:pPr>
        <w:snapToGrid w:val="0"/>
        <w:spacing w:line="400" w:lineRule="exact"/>
        <w:ind w:right="480" w:firstLine="3471" w:firstLineChars="1653"/>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法定代表人或授权委托代理人（签字）：</w:t>
      </w:r>
      <w:r>
        <w:rPr>
          <w:rFonts w:hint="eastAsia" w:ascii="宋体" w:hAnsi="宋体" w:eastAsia="宋体" w:cs="宋体"/>
          <w:color w:val="auto"/>
          <w:szCs w:val="21"/>
          <w:highlight w:val="none"/>
          <w:u w:val="single"/>
        </w:rPr>
        <w:t xml:space="preserve">              </w:t>
      </w:r>
    </w:p>
    <w:p>
      <w:pPr>
        <w:pStyle w:val="53"/>
        <w:widowControl w:val="0"/>
        <w:adjustRightInd w:val="0"/>
        <w:snapToGrid w:val="0"/>
        <w:spacing w:before="0" w:beforeAutospacing="0" w:after="0" w:afterAutospacing="0" w:line="408" w:lineRule="auto"/>
        <w:jc w:val="center"/>
        <w:rPr>
          <w:rFonts w:hint="eastAsia" w:ascii="宋体" w:hAnsi="宋体" w:eastAsia="宋体" w:cs="宋体"/>
          <w:b/>
          <w:color w:val="auto"/>
          <w:kern w:val="2"/>
          <w:sz w:val="30"/>
          <w:szCs w:val="30"/>
          <w:highlight w:val="none"/>
        </w:rPr>
      </w:pPr>
    </w:p>
    <w:p>
      <w:pPr>
        <w:pStyle w:val="53"/>
        <w:widowControl w:val="0"/>
        <w:adjustRightInd w:val="0"/>
        <w:snapToGrid w:val="0"/>
        <w:spacing w:before="0" w:beforeAutospacing="0" w:after="0" w:afterAutospacing="0" w:line="408" w:lineRule="auto"/>
        <w:jc w:val="center"/>
        <w:rPr>
          <w:rFonts w:hint="eastAsia" w:ascii="宋体" w:hAnsi="宋体" w:eastAsia="宋体" w:cs="宋体"/>
          <w:b/>
          <w:color w:val="auto"/>
          <w:kern w:val="2"/>
          <w:sz w:val="30"/>
          <w:szCs w:val="30"/>
          <w:highlight w:val="none"/>
        </w:rPr>
      </w:pPr>
    </w:p>
    <w:p>
      <w:pPr>
        <w:pStyle w:val="53"/>
        <w:widowControl w:val="0"/>
        <w:adjustRightInd w:val="0"/>
        <w:snapToGrid w:val="0"/>
        <w:spacing w:before="0" w:beforeAutospacing="0" w:after="0" w:afterAutospacing="0" w:line="408" w:lineRule="auto"/>
        <w:jc w:val="center"/>
        <w:rPr>
          <w:rFonts w:hint="eastAsia" w:ascii="宋体" w:hAnsi="宋体" w:eastAsia="宋体" w:cs="宋体"/>
          <w:b/>
          <w:color w:val="auto"/>
          <w:kern w:val="2"/>
          <w:sz w:val="30"/>
          <w:szCs w:val="30"/>
          <w:highlight w:val="none"/>
        </w:rPr>
      </w:pPr>
    </w:p>
    <w:p>
      <w:pPr>
        <w:pStyle w:val="53"/>
        <w:widowControl w:val="0"/>
        <w:adjustRightInd w:val="0"/>
        <w:snapToGrid w:val="0"/>
        <w:spacing w:before="0" w:beforeAutospacing="0" w:after="0" w:afterAutospacing="0" w:line="408" w:lineRule="auto"/>
        <w:jc w:val="center"/>
        <w:rPr>
          <w:rFonts w:hint="eastAsia" w:ascii="宋体" w:hAnsi="宋体" w:eastAsia="宋体" w:cs="宋体"/>
          <w:b/>
          <w:color w:val="auto"/>
          <w:kern w:val="2"/>
          <w:sz w:val="30"/>
          <w:szCs w:val="30"/>
          <w:highlight w:val="none"/>
        </w:rPr>
      </w:pPr>
    </w:p>
    <w:p>
      <w:pPr>
        <w:pStyle w:val="53"/>
        <w:widowControl w:val="0"/>
        <w:adjustRightInd w:val="0"/>
        <w:snapToGrid w:val="0"/>
        <w:spacing w:before="0" w:beforeAutospacing="0" w:after="0" w:afterAutospacing="0" w:line="408" w:lineRule="auto"/>
        <w:jc w:val="center"/>
        <w:rPr>
          <w:rFonts w:hint="eastAsia" w:ascii="宋体" w:hAnsi="宋体" w:eastAsia="宋体" w:cs="宋体"/>
          <w:b/>
          <w:color w:val="auto"/>
          <w:kern w:val="2"/>
          <w:sz w:val="30"/>
          <w:szCs w:val="30"/>
          <w:highlight w:val="none"/>
        </w:rPr>
      </w:pPr>
    </w:p>
    <w:p>
      <w:pPr>
        <w:pStyle w:val="53"/>
        <w:widowControl w:val="0"/>
        <w:adjustRightInd w:val="0"/>
        <w:snapToGrid w:val="0"/>
        <w:spacing w:before="0" w:beforeAutospacing="0" w:after="0" w:afterAutospacing="0" w:line="408" w:lineRule="auto"/>
        <w:jc w:val="center"/>
        <w:rPr>
          <w:rFonts w:hint="eastAsia" w:ascii="宋体" w:hAnsi="宋体" w:eastAsia="宋体" w:cs="宋体"/>
          <w:b/>
          <w:color w:val="auto"/>
          <w:kern w:val="2"/>
          <w:sz w:val="30"/>
          <w:szCs w:val="30"/>
          <w:highlight w:val="none"/>
        </w:rPr>
      </w:pPr>
    </w:p>
    <w:p>
      <w:pPr>
        <w:pStyle w:val="53"/>
        <w:widowControl w:val="0"/>
        <w:adjustRightInd w:val="0"/>
        <w:snapToGrid w:val="0"/>
        <w:spacing w:before="0" w:beforeAutospacing="0" w:after="0" w:afterAutospacing="0" w:line="408" w:lineRule="auto"/>
        <w:jc w:val="center"/>
        <w:rPr>
          <w:rFonts w:hint="eastAsia" w:ascii="宋体" w:hAnsi="宋体" w:eastAsia="宋体" w:cs="宋体"/>
          <w:b/>
          <w:color w:val="auto"/>
          <w:kern w:val="2"/>
          <w:sz w:val="30"/>
          <w:szCs w:val="30"/>
          <w:highlight w:val="none"/>
        </w:rPr>
      </w:pPr>
    </w:p>
    <w:p>
      <w:pPr>
        <w:pStyle w:val="53"/>
        <w:widowControl w:val="0"/>
        <w:adjustRightInd w:val="0"/>
        <w:snapToGrid w:val="0"/>
        <w:spacing w:before="0" w:beforeAutospacing="0" w:after="0" w:afterAutospacing="0" w:line="408" w:lineRule="auto"/>
        <w:jc w:val="center"/>
        <w:rPr>
          <w:rFonts w:hint="eastAsia" w:ascii="宋体" w:hAnsi="宋体" w:eastAsia="宋体" w:cs="宋体"/>
          <w:b/>
          <w:color w:val="auto"/>
          <w:kern w:val="2"/>
          <w:sz w:val="30"/>
          <w:szCs w:val="30"/>
          <w:highlight w:val="none"/>
        </w:rPr>
      </w:pPr>
    </w:p>
    <w:p>
      <w:pPr>
        <w:pStyle w:val="53"/>
        <w:widowControl w:val="0"/>
        <w:adjustRightInd w:val="0"/>
        <w:snapToGrid w:val="0"/>
        <w:spacing w:before="0" w:beforeAutospacing="0" w:after="0" w:afterAutospacing="0" w:line="408" w:lineRule="auto"/>
        <w:jc w:val="both"/>
        <w:rPr>
          <w:rFonts w:hint="eastAsia" w:ascii="宋体" w:hAnsi="宋体" w:eastAsia="宋体" w:cs="宋体"/>
          <w:b/>
          <w:color w:val="auto"/>
          <w:kern w:val="2"/>
          <w:sz w:val="30"/>
          <w:szCs w:val="30"/>
          <w:highlight w:val="none"/>
        </w:rPr>
      </w:pPr>
    </w:p>
    <w:p>
      <w:pPr>
        <w:wordWrap w:val="0"/>
        <w:snapToGrid w:val="0"/>
        <w:spacing w:line="380" w:lineRule="exact"/>
        <w:jc w:val="left"/>
        <w:rPr>
          <w:rFonts w:hint="eastAsia" w:ascii="宋体" w:hAnsi="宋体" w:eastAsia="宋体" w:cs="宋体"/>
          <w:b/>
          <w:color w:val="auto"/>
          <w:szCs w:val="21"/>
          <w:highlight w:val="none"/>
        </w:rPr>
      </w:pPr>
    </w:p>
    <w:p>
      <w:pPr>
        <w:wordWrap w:val="0"/>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rPr>
        <w:t>、除招标文件规定必须提供以外，投标人认为需要提供的其他证明材料。</w:t>
      </w: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b/>
          <w:color w:val="auto"/>
          <w:szCs w:val="21"/>
          <w:highlight w:val="none"/>
        </w:rPr>
      </w:pPr>
    </w:p>
    <w:p>
      <w:pPr>
        <w:snapToGrid w:val="0"/>
        <w:spacing w:line="408"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（三）</w:t>
      </w:r>
      <w:r>
        <w:rPr>
          <w:rFonts w:hint="eastAsia" w:ascii="宋体" w:hAnsi="宋体" w:eastAsia="宋体" w:cs="宋体"/>
          <w:b/>
          <w:bCs/>
          <w:color w:val="auto"/>
          <w:szCs w:val="21"/>
          <w:highlight w:val="none"/>
        </w:rPr>
        <w:t>商务文件部分（格式）</w:t>
      </w:r>
      <w:r>
        <w:rPr>
          <w:rFonts w:hint="eastAsia" w:ascii="宋体" w:hAnsi="宋体" w:eastAsia="宋体" w:cs="宋体"/>
          <w:color w:val="auto"/>
          <w:sz w:val="24"/>
          <w:highlight w:val="none"/>
        </w:rPr>
        <w:t xml:space="preserve">  </w:t>
      </w:r>
    </w:p>
    <w:p>
      <w:pPr>
        <w:snapToGrid w:val="0"/>
        <w:spacing w:line="40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1、商务文件封面格式</w:t>
      </w:r>
    </w:p>
    <w:p>
      <w:pPr>
        <w:snapToGrid w:val="0"/>
        <w:spacing w:line="40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08"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Cs w:val="21"/>
          <w:highlight w:val="none"/>
        </w:rPr>
        <w:t>（正/副本）</w:t>
      </w:r>
    </w:p>
    <w:p>
      <w:pPr>
        <w:snapToGrid w:val="0"/>
        <w:spacing w:line="408" w:lineRule="auto"/>
        <w:jc w:val="center"/>
        <w:rPr>
          <w:rFonts w:hint="eastAsia" w:ascii="宋体" w:hAnsi="宋体" w:eastAsia="宋体" w:cs="宋体"/>
          <w:bCs/>
          <w:color w:val="auto"/>
          <w:sz w:val="32"/>
          <w:szCs w:val="32"/>
          <w:highlight w:val="none"/>
        </w:rPr>
      </w:pPr>
    </w:p>
    <w:p>
      <w:pPr>
        <w:snapToGrid w:val="0"/>
        <w:spacing w:line="408"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商务文件</w:t>
      </w:r>
    </w:p>
    <w:p>
      <w:pPr>
        <w:pStyle w:val="2"/>
        <w:ind w:firstLine="640"/>
        <w:rPr>
          <w:rFonts w:hint="eastAsia" w:ascii="宋体" w:hAnsi="宋体" w:eastAsia="宋体" w:cs="宋体"/>
          <w:color w:val="auto"/>
          <w:highlight w:val="none"/>
        </w:rPr>
      </w:pP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项目名称： </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　　　期：</w:t>
      </w: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4"/>
        <w:tabs>
          <w:tab w:val="left" w:pos="1303"/>
        </w:tabs>
        <w:spacing w:line="268" w:lineRule="exact"/>
        <w:ind w:left="884"/>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spacing w:line="408" w:lineRule="auto"/>
        <w:jc w:val="left"/>
        <w:rPr>
          <w:rFonts w:hint="eastAsia" w:ascii="宋体" w:hAnsi="宋体" w:eastAsia="宋体" w:cs="宋体"/>
          <w:b/>
          <w:color w:val="auto"/>
          <w:szCs w:val="21"/>
          <w:highlight w:val="none"/>
        </w:rPr>
      </w:pPr>
    </w:p>
    <w:p>
      <w:pPr>
        <w:snapToGrid w:val="0"/>
        <w:spacing w:before="156" w:beforeLines="50" w:after="50" w:line="408" w:lineRule="auto"/>
        <w:jc w:val="center"/>
        <w:outlineLvl w:val="1"/>
        <w:rPr>
          <w:rFonts w:hint="eastAsia" w:ascii="宋体" w:hAnsi="宋体" w:eastAsia="宋体" w:cs="宋体"/>
          <w:b/>
          <w:color w:val="auto"/>
          <w:szCs w:val="21"/>
          <w:highlight w:val="none"/>
        </w:rPr>
      </w:pPr>
    </w:p>
    <w:p>
      <w:pPr>
        <w:pStyle w:val="2"/>
        <w:ind w:firstLine="643"/>
        <w:rPr>
          <w:rFonts w:hint="eastAsia" w:ascii="宋体" w:hAnsi="宋体" w:eastAsia="宋体" w:cs="宋体"/>
          <w:b/>
          <w:color w:val="auto"/>
          <w:szCs w:val="21"/>
          <w:highlight w:val="none"/>
        </w:rPr>
      </w:pPr>
    </w:p>
    <w:p>
      <w:pPr>
        <w:pStyle w:val="2"/>
        <w:ind w:firstLine="643"/>
        <w:rPr>
          <w:rFonts w:hint="eastAsia" w:ascii="宋体" w:hAnsi="宋体" w:eastAsia="宋体" w:cs="宋体"/>
          <w:b/>
          <w:color w:val="auto"/>
          <w:szCs w:val="21"/>
          <w:highlight w:val="none"/>
        </w:rPr>
      </w:pPr>
    </w:p>
    <w:p>
      <w:pPr>
        <w:pStyle w:val="2"/>
        <w:ind w:firstLine="643"/>
        <w:rPr>
          <w:rFonts w:hint="eastAsia" w:ascii="宋体" w:hAnsi="宋体" w:eastAsia="宋体" w:cs="宋体"/>
          <w:b/>
          <w:color w:val="auto"/>
          <w:szCs w:val="21"/>
          <w:highlight w:val="none"/>
        </w:rPr>
      </w:pPr>
    </w:p>
    <w:p>
      <w:pPr>
        <w:pStyle w:val="2"/>
        <w:ind w:firstLine="643"/>
        <w:rPr>
          <w:rFonts w:hint="eastAsia" w:ascii="宋体" w:hAnsi="宋体" w:eastAsia="宋体" w:cs="宋体"/>
          <w:b/>
          <w:color w:val="auto"/>
          <w:szCs w:val="21"/>
          <w:highlight w:val="none"/>
        </w:rPr>
      </w:pPr>
    </w:p>
    <w:p>
      <w:pPr>
        <w:pStyle w:val="2"/>
        <w:ind w:left="0" w:leftChars="0" w:firstLine="0" w:firstLineChars="0"/>
        <w:rPr>
          <w:rFonts w:hint="eastAsia" w:ascii="宋体" w:hAnsi="宋体" w:eastAsia="宋体" w:cs="宋体"/>
          <w:b w:val="0"/>
          <w:bCs/>
          <w:color w:val="auto"/>
          <w:kern w:val="2"/>
          <w:sz w:val="21"/>
          <w:szCs w:val="21"/>
          <w:highlight w:val="none"/>
        </w:rPr>
      </w:pPr>
    </w:p>
    <w:p>
      <w:pPr>
        <w:pStyle w:val="2"/>
        <w:ind w:left="0" w:leftChars="0" w:firstLine="0" w:firstLineChars="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2、商务文件目录</w:t>
      </w:r>
    </w:p>
    <w:p>
      <w:pPr>
        <w:pStyle w:val="2"/>
        <w:ind w:firstLine="422"/>
        <w:rPr>
          <w:rFonts w:hint="eastAsia" w:ascii="宋体" w:hAnsi="宋体" w:eastAsia="宋体" w:cs="宋体"/>
          <w:b/>
          <w:color w:val="auto"/>
          <w:kern w:val="2"/>
          <w:sz w:val="21"/>
          <w:szCs w:val="21"/>
          <w:highlight w:val="none"/>
        </w:rPr>
      </w:pPr>
      <w:r>
        <w:rPr>
          <w:rFonts w:hint="eastAsia" w:ascii="宋体" w:hAnsi="宋体" w:eastAsia="宋体" w:cs="宋体"/>
          <w:b w:val="0"/>
          <w:bCs/>
          <w:color w:val="auto"/>
          <w:kern w:val="2"/>
          <w:sz w:val="21"/>
          <w:szCs w:val="21"/>
          <w:highlight w:val="none"/>
        </w:rPr>
        <w:t>根据招标文件规定及投标人提供的材料自行编写目录。</w:t>
      </w: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pStyle w:val="2"/>
        <w:ind w:firstLine="422"/>
        <w:rPr>
          <w:rFonts w:hint="eastAsia" w:ascii="宋体" w:hAnsi="宋体" w:eastAsia="宋体" w:cs="宋体"/>
          <w:b/>
          <w:color w:val="auto"/>
          <w:kern w:val="2"/>
          <w:sz w:val="21"/>
          <w:szCs w:val="21"/>
          <w:highlight w:val="none"/>
        </w:rPr>
      </w:pPr>
    </w:p>
    <w:p>
      <w:pPr>
        <w:snapToGrid w:val="0"/>
        <w:spacing w:before="50" w:after="156" w:afterLines="50" w:line="408" w:lineRule="auto"/>
        <w:jc w:val="left"/>
        <w:rPr>
          <w:rFonts w:hint="eastAsia" w:ascii="宋体" w:hAnsi="宋体" w:eastAsia="宋体" w:cs="宋体"/>
          <w:b/>
          <w:color w:val="auto"/>
          <w:szCs w:val="21"/>
          <w:highlight w:val="none"/>
        </w:rPr>
      </w:pPr>
    </w:p>
    <w:p>
      <w:pPr>
        <w:snapToGrid w:val="0"/>
        <w:spacing w:before="156" w:beforeLines="50" w:after="50" w:line="408" w:lineRule="auto"/>
        <w:ind w:firstLine="210" w:firstLineChars="100"/>
        <w:rPr>
          <w:rFonts w:hint="eastAsia" w:ascii="宋体" w:hAnsi="宋体" w:eastAsia="宋体" w:cs="宋体"/>
          <w:color w:val="auto"/>
          <w:szCs w:val="21"/>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pStyle w:val="167"/>
        <w:rPr>
          <w:rFonts w:hint="eastAsia" w:ascii="宋体" w:hAnsi="宋体" w:eastAsia="宋体" w:cs="宋体"/>
          <w:color w:val="auto"/>
          <w:highlight w:val="none"/>
        </w:rPr>
      </w:pPr>
    </w:p>
    <w:p>
      <w:pPr>
        <w:snapToGrid w:val="0"/>
        <w:spacing w:before="50" w:line="408" w:lineRule="auto"/>
        <w:jc w:val="left"/>
        <w:rPr>
          <w:rFonts w:hint="eastAsia" w:ascii="宋体" w:hAnsi="宋体" w:eastAsia="宋体" w:cs="宋体"/>
          <w:b/>
          <w:color w:val="auto"/>
          <w:szCs w:val="21"/>
          <w:highlight w:val="none"/>
        </w:rPr>
      </w:pPr>
      <w:r>
        <w:rPr>
          <w:rFonts w:hint="eastAsia" w:ascii="宋体" w:hAnsi="宋体" w:eastAsia="宋体" w:cs="宋体"/>
          <w:b/>
          <w:bCs/>
          <w:color w:val="auto"/>
          <w:highlight w:val="none"/>
        </w:rPr>
        <w:t>3、</w:t>
      </w:r>
      <w:r>
        <w:rPr>
          <w:rFonts w:hint="eastAsia" w:ascii="宋体" w:hAnsi="宋体" w:eastAsia="宋体" w:cs="宋体"/>
          <w:b/>
          <w:color w:val="auto"/>
          <w:szCs w:val="21"/>
          <w:highlight w:val="none"/>
        </w:rPr>
        <w:t>商务响应表格式：</w:t>
      </w:r>
    </w:p>
    <w:p>
      <w:pPr>
        <w:snapToGrid w:val="0"/>
        <w:spacing w:before="50" w:line="408" w:lineRule="auto"/>
        <w:jc w:val="left"/>
        <w:rPr>
          <w:rFonts w:hint="eastAsia" w:ascii="宋体" w:hAnsi="宋体" w:eastAsia="宋体" w:cs="宋体"/>
          <w:b/>
          <w:color w:val="auto"/>
          <w:szCs w:val="21"/>
          <w:highlight w:val="none"/>
        </w:rPr>
      </w:pPr>
    </w:p>
    <w:p>
      <w:pPr>
        <w:snapToGrid w:val="0"/>
        <w:spacing w:before="50" w:line="408" w:lineRule="auto"/>
        <w:jc w:val="center"/>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商务响应表</w:t>
      </w:r>
    </w:p>
    <w:tbl>
      <w:tblPr>
        <w:tblStyle w:val="58"/>
        <w:tblpPr w:leftFromText="180" w:rightFromText="180" w:vertAnchor="text" w:horzAnchor="margin" w:tblpXSpec="center" w:tblpY="94"/>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820"/>
        <w:gridCol w:w="2055"/>
        <w:gridCol w:w="1845"/>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 w:val="24"/>
                <w:szCs w:val="20"/>
                <w:highlight w:val="none"/>
              </w:rPr>
              <w:t>序号</w:t>
            </w:r>
          </w:p>
        </w:tc>
        <w:tc>
          <w:tcPr>
            <w:tcW w:w="2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t>商务条款名称</w:t>
            </w:r>
          </w:p>
        </w:tc>
        <w:tc>
          <w:tcPr>
            <w:tcW w:w="205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t>招标文件的商务要求</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t>投标文件响应内容</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82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项目名称</w:t>
            </w:r>
          </w:p>
        </w:tc>
        <w:tc>
          <w:tcPr>
            <w:tcW w:w="205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184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2211" w:type="dxa"/>
            <w:tcBorders>
              <w:top w:val="single" w:color="auto" w:sz="4" w:space="0"/>
              <w:left w:val="single" w:color="auto" w:sz="4" w:space="0"/>
              <w:bottom w:val="single" w:color="auto" w:sz="4" w:space="0"/>
              <w:right w:val="single" w:color="auto" w:sz="4" w:space="0"/>
            </w:tcBorders>
          </w:tcPr>
          <w:p>
            <w:pPr>
              <w:pStyle w:val="31"/>
              <w:spacing w:line="300" w:lineRule="exact"/>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2</w:t>
            </w:r>
          </w:p>
        </w:tc>
        <w:tc>
          <w:tcPr>
            <w:tcW w:w="282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服务地点</w:t>
            </w:r>
          </w:p>
        </w:tc>
        <w:tc>
          <w:tcPr>
            <w:tcW w:w="205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184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2211" w:type="dxa"/>
            <w:tcBorders>
              <w:top w:val="single" w:color="auto" w:sz="4" w:space="0"/>
              <w:left w:val="single" w:color="auto" w:sz="4" w:space="0"/>
              <w:bottom w:val="single" w:color="auto" w:sz="4" w:space="0"/>
              <w:right w:val="single" w:color="auto" w:sz="4" w:space="0"/>
            </w:tcBorders>
          </w:tcPr>
          <w:p>
            <w:pPr>
              <w:pStyle w:val="31"/>
              <w:spacing w:line="300" w:lineRule="exact"/>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6"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p>
        </w:tc>
        <w:tc>
          <w:tcPr>
            <w:tcW w:w="282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服务范围</w:t>
            </w:r>
            <w:r>
              <w:rPr>
                <w:rFonts w:hint="eastAsia" w:ascii="宋体" w:hAnsi="宋体" w:eastAsia="宋体" w:cs="宋体"/>
                <w:color w:val="auto"/>
                <w:sz w:val="21"/>
                <w:highlight w:val="none"/>
                <w:lang w:eastAsia="zh-CN"/>
              </w:rPr>
              <w:t>及内容</w:t>
            </w:r>
          </w:p>
        </w:tc>
        <w:tc>
          <w:tcPr>
            <w:tcW w:w="205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184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2211" w:type="dxa"/>
            <w:tcBorders>
              <w:top w:val="single" w:color="auto" w:sz="4" w:space="0"/>
              <w:left w:val="single" w:color="auto" w:sz="4" w:space="0"/>
              <w:bottom w:val="single" w:color="auto" w:sz="4" w:space="0"/>
              <w:right w:val="single" w:color="auto" w:sz="4" w:space="0"/>
            </w:tcBorders>
          </w:tcPr>
          <w:p>
            <w:pPr>
              <w:pStyle w:val="31"/>
              <w:spacing w:line="300" w:lineRule="exact"/>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6"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p>
        </w:tc>
        <w:tc>
          <w:tcPr>
            <w:tcW w:w="282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服务期限</w:t>
            </w:r>
          </w:p>
        </w:tc>
        <w:tc>
          <w:tcPr>
            <w:tcW w:w="205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184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2211" w:type="dxa"/>
            <w:tcBorders>
              <w:top w:val="single" w:color="auto" w:sz="4" w:space="0"/>
              <w:left w:val="single" w:color="auto" w:sz="4" w:space="0"/>
              <w:bottom w:val="single" w:color="auto" w:sz="4" w:space="0"/>
              <w:right w:val="single" w:color="auto" w:sz="4" w:space="0"/>
            </w:tcBorders>
          </w:tcPr>
          <w:p>
            <w:pPr>
              <w:pStyle w:val="31"/>
              <w:spacing w:line="300" w:lineRule="exact"/>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6"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服务</w:t>
            </w:r>
            <w:r>
              <w:rPr>
                <w:rFonts w:hint="eastAsia" w:ascii="宋体" w:hAnsi="宋体" w:eastAsia="宋体" w:cs="宋体"/>
                <w:color w:val="auto"/>
                <w:kern w:val="0"/>
                <w:szCs w:val="21"/>
                <w:highlight w:val="none"/>
                <w:lang w:eastAsia="zh-CN"/>
              </w:rPr>
              <w:t>质量和标准</w:t>
            </w:r>
          </w:p>
        </w:tc>
        <w:tc>
          <w:tcPr>
            <w:tcW w:w="205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184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2211" w:type="dxa"/>
            <w:tcBorders>
              <w:top w:val="single" w:color="auto" w:sz="4" w:space="0"/>
              <w:left w:val="single" w:color="auto" w:sz="4" w:space="0"/>
              <w:bottom w:val="single" w:color="auto" w:sz="4" w:space="0"/>
              <w:right w:val="single" w:color="auto" w:sz="4" w:space="0"/>
            </w:tcBorders>
          </w:tcPr>
          <w:p>
            <w:pPr>
              <w:pStyle w:val="31"/>
              <w:spacing w:line="300" w:lineRule="exact"/>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6"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jc w:val="center"/>
              <w:rPr>
                <w:rFonts w:hint="eastAsia" w:ascii="宋体" w:hAnsi="宋体" w:eastAsia="宋体" w:cs="宋体"/>
                <w:color w:val="auto"/>
                <w:sz w:val="21"/>
                <w:highlight w:val="none"/>
              </w:rPr>
            </w:pPr>
          </w:p>
        </w:tc>
        <w:tc>
          <w:tcPr>
            <w:tcW w:w="282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05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1845" w:type="dxa"/>
            <w:tcBorders>
              <w:top w:val="single" w:color="auto" w:sz="4" w:space="0"/>
              <w:left w:val="single" w:color="auto" w:sz="4" w:space="0"/>
              <w:bottom w:val="single" w:color="auto" w:sz="4" w:space="0"/>
              <w:right w:val="single" w:color="auto" w:sz="4" w:space="0"/>
            </w:tcBorders>
          </w:tcPr>
          <w:p>
            <w:pPr>
              <w:pStyle w:val="31"/>
              <w:spacing w:line="340" w:lineRule="exact"/>
              <w:rPr>
                <w:rFonts w:hint="eastAsia" w:ascii="宋体" w:hAnsi="宋体" w:eastAsia="宋体" w:cs="宋体"/>
                <w:color w:val="auto"/>
                <w:sz w:val="21"/>
                <w:highlight w:val="none"/>
              </w:rPr>
            </w:pPr>
          </w:p>
        </w:tc>
        <w:tc>
          <w:tcPr>
            <w:tcW w:w="2211" w:type="dxa"/>
            <w:tcBorders>
              <w:top w:val="single" w:color="auto" w:sz="4" w:space="0"/>
              <w:left w:val="single" w:color="auto" w:sz="4" w:space="0"/>
              <w:bottom w:val="single" w:color="auto" w:sz="4" w:space="0"/>
              <w:right w:val="single" w:color="auto" w:sz="4" w:space="0"/>
            </w:tcBorders>
          </w:tcPr>
          <w:p>
            <w:pPr>
              <w:pStyle w:val="31"/>
              <w:spacing w:line="300" w:lineRule="exact"/>
              <w:rPr>
                <w:rFonts w:hint="eastAsia" w:ascii="宋体" w:hAnsi="宋体" w:eastAsia="宋体" w:cs="宋体"/>
                <w:color w:val="auto"/>
                <w:sz w:val="21"/>
                <w:highlight w:val="none"/>
              </w:rPr>
            </w:pPr>
          </w:p>
        </w:tc>
      </w:tr>
    </w:tbl>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注：（1）本表根据第三章“招标项目采购需求”内容填写，进行逐项响应；</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（2）本表内容必须如实填写，并根据响应情况在“偏离说明”栏填写正偏离或负偏离及原因，完全符合的填写“无偏离”。</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（3）本表可扩展。</w:t>
      </w: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snapToGrid w:val="0"/>
        <w:spacing w:before="50" w:after="50" w:line="408" w:lineRule="auto"/>
        <w:rPr>
          <w:rFonts w:hint="eastAsia" w:ascii="宋体" w:hAnsi="宋体" w:eastAsia="宋体" w:cs="宋体"/>
          <w:color w:val="auto"/>
          <w:spacing w:val="20"/>
          <w:szCs w:val="21"/>
          <w:highlight w:val="none"/>
        </w:rPr>
      </w:pPr>
    </w:p>
    <w:p>
      <w:pPr>
        <w:snapToGrid w:val="0"/>
        <w:spacing w:before="50" w:after="50" w:line="408"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　　　　　　　　　　　　　　　投标人（公章）：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w:t>
      </w:r>
    </w:p>
    <w:p>
      <w:pPr>
        <w:snapToGrid w:val="0"/>
        <w:spacing w:before="50" w:after="50" w:line="408"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 xml:space="preserve">        　　　　　　　　　　 </w:t>
      </w:r>
      <w:r>
        <w:rPr>
          <w:rFonts w:hint="eastAsia" w:ascii="宋体" w:hAnsi="宋体" w:eastAsia="宋体" w:cs="宋体"/>
          <w:color w:val="auto"/>
          <w:szCs w:val="21"/>
          <w:highlight w:val="none"/>
        </w:rPr>
        <w:t>法定代表人或授权委托代理人（签字）</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pPr>
        <w:snapToGrid w:val="0"/>
        <w:spacing w:before="50" w:after="50" w:line="408" w:lineRule="auto"/>
        <w:rPr>
          <w:rFonts w:hint="eastAsia" w:ascii="宋体" w:hAnsi="宋体" w:eastAsia="宋体" w:cs="宋体"/>
          <w:color w:val="auto"/>
          <w:highlight w:val="none"/>
        </w:rPr>
      </w:pP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pPr>
        <w:pStyle w:val="2"/>
        <w:ind w:left="0" w:leftChars="0" w:firstLine="0" w:firstLineChars="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adjustRightInd w:val="0"/>
        <w:snapToGrid w:val="0"/>
        <w:spacing w:line="408" w:lineRule="auto"/>
        <w:rPr>
          <w:rFonts w:hint="eastAsia" w:ascii="宋体" w:hAnsi="宋体" w:eastAsia="宋体" w:cs="宋体"/>
          <w:b/>
          <w:color w:val="auto"/>
          <w:szCs w:val="21"/>
          <w:highlight w:val="none"/>
        </w:rPr>
      </w:pPr>
    </w:p>
    <w:p>
      <w:pPr>
        <w:adjustRightInd w:val="0"/>
        <w:snapToGrid w:val="0"/>
        <w:spacing w:line="40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4、法定代表人（负责人）身份证明书格式如下：</w:t>
      </w:r>
    </w:p>
    <w:p>
      <w:pPr>
        <w:adjustRightInd w:val="0"/>
        <w:snapToGrid w:val="0"/>
        <w:spacing w:line="408" w:lineRule="auto"/>
        <w:rPr>
          <w:rFonts w:hint="eastAsia" w:ascii="宋体" w:hAnsi="宋体" w:eastAsia="宋体" w:cs="宋体"/>
          <w:b/>
          <w:color w:val="auto"/>
          <w:sz w:val="32"/>
          <w:szCs w:val="32"/>
          <w:highlight w:val="none"/>
        </w:rPr>
      </w:pPr>
    </w:p>
    <w:p>
      <w:pPr>
        <w:adjustRightInd w:val="0"/>
        <w:snapToGrid w:val="0"/>
        <w:spacing w:line="408" w:lineRule="auto"/>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法定代表人（负责人）身份证明书</w:t>
      </w:r>
    </w:p>
    <w:p>
      <w:pPr>
        <w:pStyle w:val="31"/>
        <w:spacing w:line="360" w:lineRule="exact"/>
        <w:ind w:firstLine="277"/>
        <w:rPr>
          <w:rFonts w:hint="eastAsia" w:ascii="宋体" w:hAnsi="宋体" w:eastAsia="宋体" w:cs="宋体"/>
          <w:color w:val="auto"/>
          <w:sz w:val="21"/>
          <w:highlight w:val="none"/>
        </w:rPr>
      </w:pPr>
    </w:p>
    <w:p>
      <w:pPr>
        <w:pStyle w:val="31"/>
        <w:spacing w:line="500" w:lineRule="exact"/>
        <w:ind w:firstLine="278"/>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单位名称：</w:t>
      </w:r>
      <w:r>
        <w:rPr>
          <w:rFonts w:hint="eastAsia" w:ascii="宋体" w:hAnsi="宋体" w:eastAsia="宋体" w:cs="宋体"/>
          <w:color w:val="auto"/>
          <w:sz w:val="21"/>
          <w:highlight w:val="none"/>
          <w:u w:val="single"/>
        </w:rPr>
        <w:t xml:space="preserve">                         </w:t>
      </w:r>
    </w:p>
    <w:p>
      <w:pPr>
        <w:pStyle w:val="31"/>
        <w:spacing w:line="500" w:lineRule="exact"/>
        <w:ind w:firstLine="278"/>
        <w:rPr>
          <w:rFonts w:hint="eastAsia" w:ascii="宋体" w:hAnsi="宋体" w:eastAsia="宋体" w:cs="宋体"/>
          <w:color w:val="auto"/>
          <w:sz w:val="21"/>
          <w:highlight w:val="none"/>
        </w:rPr>
      </w:pPr>
      <w:r>
        <w:rPr>
          <w:rFonts w:hint="eastAsia" w:ascii="宋体" w:hAnsi="宋体" w:eastAsia="宋体" w:cs="宋体"/>
          <w:color w:val="auto"/>
          <w:sz w:val="21"/>
          <w:highlight w:val="none"/>
        </w:rPr>
        <w:t>单位性质：</w:t>
      </w:r>
      <w:r>
        <w:rPr>
          <w:rFonts w:hint="eastAsia" w:ascii="宋体" w:hAnsi="宋体" w:eastAsia="宋体" w:cs="宋体"/>
          <w:color w:val="auto"/>
          <w:sz w:val="21"/>
          <w:highlight w:val="none"/>
          <w:u w:val="single"/>
        </w:rPr>
        <w:t xml:space="preserve">                         </w:t>
      </w:r>
    </w:p>
    <w:p>
      <w:pPr>
        <w:pStyle w:val="31"/>
        <w:spacing w:line="500" w:lineRule="exact"/>
        <w:ind w:firstLine="278"/>
        <w:rPr>
          <w:rFonts w:hint="eastAsia" w:ascii="宋体" w:hAnsi="宋体" w:eastAsia="宋体" w:cs="宋体"/>
          <w:color w:val="auto"/>
          <w:sz w:val="21"/>
          <w:highlight w:val="none"/>
        </w:rPr>
      </w:pPr>
      <w:r>
        <w:rPr>
          <w:rFonts w:hint="eastAsia" w:ascii="宋体" w:hAnsi="宋体" w:eastAsia="宋体" w:cs="宋体"/>
          <w:color w:val="auto"/>
          <w:sz w:val="21"/>
          <w:highlight w:val="none"/>
        </w:rPr>
        <w:t>地    址：</w:t>
      </w:r>
      <w:r>
        <w:rPr>
          <w:rFonts w:hint="eastAsia" w:ascii="宋体" w:hAnsi="宋体" w:eastAsia="宋体" w:cs="宋体"/>
          <w:color w:val="auto"/>
          <w:sz w:val="21"/>
          <w:highlight w:val="none"/>
          <w:u w:val="single"/>
        </w:rPr>
        <w:t xml:space="preserve">                         </w:t>
      </w:r>
    </w:p>
    <w:p>
      <w:pPr>
        <w:pStyle w:val="31"/>
        <w:spacing w:line="500" w:lineRule="exact"/>
        <w:ind w:firstLine="278"/>
        <w:rPr>
          <w:rFonts w:hint="eastAsia" w:ascii="宋体" w:hAnsi="宋体" w:eastAsia="宋体" w:cs="宋体"/>
          <w:color w:val="auto"/>
          <w:sz w:val="21"/>
          <w:highlight w:val="none"/>
        </w:rPr>
      </w:pPr>
      <w:r>
        <w:rPr>
          <w:rFonts w:hint="eastAsia" w:ascii="宋体" w:hAnsi="宋体" w:eastAsia="宋体" w:cs="宋体"/>
          <w:color w:val="auto"/>
          <w:sz w:val="21"/>
          <w:highlight w:val="none"/>
        </w:rPr>
        <w:t>成立时间：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日</w:t>
      </w:r>
    </w:p>
    <w:p>
      <w:pPr>
        <w:pStyle w:val="31"/>
        <w:spacing w:line="500" w:lineRule="exact"/>
        <w:ind w:firstLine="278"/>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经营期限：</w:t>
      </w:r>
      <w:r>
        <w:rPr>
          <w:rFonts w:hint="eastAsia" w:ascii="宋体" w:hAnsi="宋体" w:eastAsia="宋体" w:cs="宋体"/>
          <w:color w:val="auto"/>
          <w:sz w:val="21"/>
          <w:highlight w:val="none"/>
          <w:u w:val="single"/>
        </w:rPr>
        <w:t xml:space="preserve">                          </w:t>
      </w:r>
    </w:p>
    <w:p>
      <w:pPr>
        <w:pStyle w:val="31"/>
        <w:spacing w:line="500" w:lineRule="exact"/>
        <w:ind w:firstLine="278"/>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性别：</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年龄：</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职务：</w:t>
      </w:r>
      <w:r>
        <w:rPr>
          <w:rFonts w:hint="eastAsia" w:ascii="宋体" w:hAnsi="宋体" w:eastAsia="宋体" w:cs="宋体"/>
          <w:color w:val="auto"/>
          <w:sz w:val="21"/>
          <w:highlight w:val="none"/>
          <w:u w:val="single"/>
        </w:rPr>
        <w:t xml:space="preserve">       </w:t>
      </w:r>
    </w:p>
    <w:p>
      <w:pPr>
        <w:pStyle w:val="31"/>
        <w:spacing w:line="500" w:lineRule="exact"/>
        <w:ind w:firstLine="278"/>
        <w:rPr>
          <w:rFonts w:hint="eastAsia" w:ascii="宋体" w:hAnsi="宋体" w:eastAsia="宋体" w:cs="宋体"/>
          <w:color w:val="auto"/>
          <w:sz w:val="21"/>
          <w:highlight w:val="none"/>
        </w:rPr>
      </w:pPr>
      <w:r>
        <w:rPr>
          <w:rFonts w:hint="eastAsia" w:ascii="宋体" w:hAnsi="宋体" w:eastAsia="宋体" w:cs="宋体"/>
          <w:color w:val="auto"/>
          <w:sz w:val="21"/>
          <w:highlight w:val="none"/>
        </w:rPr>
        <w:t>系</w:t>
      </w:r>
      <w:r>
        <w:rPr>
          <w:rFonts w:hint="eastAsia" w:ascii="宋体" w:hAnsi="宋体" w:eastAsia="宋体" w:cs="宋体"/>
          <w:color w:val="auto"/>
          <w:sz w:val="21"/>
          <w:highlight w:val="none"/>
          <w:u w:val="single"/>
        </w:rPr>
        <w:t xml:space="preserve">     （投标人单位名称）  </w:t>
      </w:r>
      <w:r>
        <w:rPr>
          <w:rFonts w:hint="eastAsia" w:ascii="宋体" w:hAnsi="宋体" w:eastAsia="宋体" w:cs="宋体"/>
          <w:color w:val="auto"/>
          <w:sz w:val="21"/>
          <w:highlight w:val="none"/>
        </w:rPr>
        <w:t>的法定代表人（负责人）。</w:t>
      </w:r>
    </w:p>
    <w:p>
      <w:pPr>
        <w:pStyle w:val="31"/>
        <w:spacing w:line="500" w:lineRule="exact"/>
        <w:ind w:firstLine="278"/>
        <w:rPr>
          <w:rFonts w:hint="eastAsia" w:ascii="宋体" w:hAnsi="宋体" w:eastAsia="宋体" w:cs="宋体"/>
          <w:color w:val="auto"/>
          <w:sz w:val="21"/>
          <w:highlight w:val="none"/>
        </w:rPr>
      </w:pPr>
      <w:r>
        <w:rPr>
          <w:rFonts w:hint="eastAsia" w:ascii="宋体" w:hAnsi="宋体" w:eastAsia="宋体" w:cs="宋体"/>
          <w:color w:val="auto"/>
          <w:sz w:val="21"/>
          <w:highlight w:val="none"/>
        </w:rPr>
        <w:t>特此证明。</w:t>
      </w:r>
    </w:p>
    <w:p>
      <w:pPr>
        <w:adjustRightInd w:val="0"/>
        <w:snapToGrid w:val="0"/>
        <w:spacing w:line="408" w:lineRule="auto"/>
        <w:rPr>
          <w:rFonts w:hint="eastAsia" w:ascii="宋体" w:hAnsi="宋体" w:eastAsia="宋体" w:cs="宋体"/>
          <w:color w:val="auto"/>
          <w:szCs w:val="21"/>
          <w:highlight w:val="none"/>
        </w:rPr>
      </w:pPr>
    </w:p>
    <w:p>
      <w:pPr>
        <w:adjustRightInd w:val="0"/>
        <w:snapToGrid w:val="0"/>
        <w:spacing w:line="408" w:lineRule="auto"/>
        <w:ind w:firstLine="3885" w:firstLineChars="18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p>
    <w:p>
      <w:pPr>
        <w:adjustRightInd w:val="0"/>
        <w:snapToGrid w:val="0"/>
        <w:spacing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（单位公章）</w:t>
      </w:r>
    </w:p>
    <w:p>
      <w:pPr>
        <w:adjustRightInd w:val="0"/>
        <w:snapToGrid w:val="0"/>
        <w:spacing w:line="408" w:lineRule="auto"/>
        <w:rPr>
          <w:rFonts w:hint="eastAsia" w:ascii="宋体" w:hAnsi="宋体" w:eastAsia="宋体" w:cs="宋体"/>
          <w:color w:val="auto"/>
          <w:szCs w:val="21"/>
          <w:highlight w:val="none"/>
        </w:rPr>
      </w:pPr>
    </w:p>
    <w:p>
      <w:pPr>
        <w:adjustRightInd w:val="0"/>
        <w:snapToGrid w:val="0"/>
        <w:spacing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adjustRightInd w:val="0"/>
        <w:snapToGrid w:val="0"/>
        <w:spacing w:line="408" w:lineRule="auto"/>
        <w:rPr>
          <w:rFonts w:hint="eastAsia" w:ascii="宋体" w:hAnsi="宋体" w:eastAsia="宋体" w:cs="宋体"/>
          <w:color w:val="auto"/>
          <w:szCs w:val="21"/>
          <w:highlight w:val="none"/>
        </w:rPr>
      </w:pPr>
    </w:p>
    <w:p>
      <w:pPr>
        <w:pStyle w:val="31"/>
        <w:adjustRightInd w:val="0"/>
        <w:snapToGrid w:val="0"/>
        <w:spacing w:line="408" w:lineRule="auto"/>
        <w:ind w:firstLine="300" w:firstLineChars="150"/>
        <w:rPr>
          <w:rFonts w:hint="eastAsia" w:ascii="宋体" w:hAnsi="宋体" w:eastAsia="宋体" w:cs="宋体"/>
          <w:color w:val="auto"/>
          <w:sz w:val="21"/>
          <w:highlight w:val="none"/>
        </w:rPr>
      </w:pPr>
      <w:r>
        <w:rPr>
          <w:rFonts w:hint="eastAsia" w:ascii="宋体" w:hAnsi="宋体" w:eastAsia="宋体" w:cs="宋体"/>
          <w:color w:val="auto"/>
          <w:highlight w:val="none"/>
        </w:rPr>
        <w:t>　　</w:t>
      </w:r>
    </w:p>
    <w:p>
      <w:pPr>
        <w:pStyle w:val="31"/>
        <w:adjustRightInd w:val="0"/>
        <w:snapToGrid w:val="0"/>
        <w:spacing w:line="408" w:lineRule="auto"/>
        <w:rPr>
          <w:rFonts w:hint="eastAsia" w:ascii="宋体" w:hAnsi="宋体" w:eastAsia="宋体" w:cs="宋体"/>
          <w:color w:val="auto"/>
          <w:sz w:val="21"/>
          <w:highlight w:val="none"/>
        </w:rPr>
      </w:pPr>
    </w:p>
    <w:tbl>
      <w:tblPr>
        <w:tblStyle w:val="58"/>
        <w:tblW w:w="6100" w:type="dxa"/>
        <w:tblInd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100" w:type="dxa"/>
          </w:tcPr>
          <w:p>
            <w:pPr>
              <w:snapToGrid w:val="0"/>
              <w:spacing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贴附“法定代表人身份证复印件”（正反两面）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6100" w:type="dxa"/>
          </w:tcPr>
          <w:p>
            <w:pPr>
              <w:snapToGrid w:val="0"/>
              <w:spacing w:line="408" w:lineRule="auto"/>
              <w:rPr>
                <w:rFonts w:hint="eastAsia" w:ascii="宋体" w:hAnsi="宋体" w:eastAsia="宋体" w:cs="宋体"/>
                <w:color w:val="auto"/>
                <w:szCs w:val="21"/>
                <w:highlight w:val="none"/>
              </w:rPr>
            </w:pPr>
          </w:p>
          <w:p>
            <w:pPr>
              <w:snapToGrid w:val="0"/>
              <w:spacing w:line="408" w:lineRule="auto"/>
              <w:rPr>
                <w:rFonts w:hint="eastAsia" w:ascii="宋体" w:hAnsi="宋体" w:eastAsia="宋体" w:cs="宋体"/>
                <w:color w:val="auto"/>
                <w:szCs w:val="21"/>
                <w:highlight w:val="none"/>
              </w:rPr>
            </w:pPr>
          </w:p>
          <w:p>
            <w:pPr>
              <w:snapToGrid w:val="0"/>
              <w:spacing w:line="408" w:lineRule="auto"/>
              <w:rPr>
                <w:rFonts w:hint="eastAsia" w:ascii="宋体" w:hAnsi="宋体" w:eastAsia="宋体" w:cs="宋体"/>
                <w:color w:val="auto"/>
                <w:szCs w:val="21"/>
                <w:highlight w:val="none"/>
              </w:rPr>
            </w:pPr>
          </w:p>
        </w:tc>
      </w:tr>
    </w:tbl>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snapToGrid w:val="0"/>
        <w:spacing w:before="50" w:after="156" w:afterLines="50" w:line="408" w:lineRule="auto"/>
        <w:jc w:val="left"/>
        <w:rPr>
          <w:rFonts w:hint="eastAsia" w:ascii="宋体" w:hAnsi="宋体" w:eastAsia="宋体" w:cs="宋体"/>
          <w:b/>
          <w:color w:val="auto"/>
          <w:szCs w:val="21"/>
          <w:highlight w:val="none"/>
        </w:rPr>
      </w:pPr>
    </w:p>
    <w:p>
      <w:pPr>
        <w:snapToGrid w:val="0"/>
        <w:spacing w:before="50" w:after="156" w:afterLines="50" w:line="408" w:lineRule="auto"/>
        <w:jc w:val="left"/>
        <w:rPr>
          <w:rFonts w:hint="eastAsia" w:ascii="宋体" w:hAnsi="宋体" w:eastAsia="宋体" w:cs="宋体"/>
          <w:b/>
          <w:color w:val="auto"/>
          <w:sz w:val="30"/>
          <w:szCs w:val="30"/>
          <w:highlight w:val="none"/>
        </w:rPr>
      </w:pPr>
      <w:r>
        <w:rPr>
          <w:rFonts w:hint="eastAsia" w:ascii="宋体" w:hAnsi="宋体" w:eastAsia="宋体" w:cs="宋体"/>
          <w:b/>
          <w:color w:val="auto"/>
          <w:szCs w:val="21"/>
          <w:highlight w:val="none"/>
        </w:rPr>
        <w:t>5、法定代表人（负责人）授权委托书格式：</w:t>
      </w:r>
    </w:p>
    <w:p>
      <w:pPr>
        <w:snapToGrid w:val="0"/>
        <w:spacing w:before="156" w:beforeLines="50" w:after="50" w:line="408"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法定代表人（负责人）授权委托书</w:t>
      </w:r>
    </w:p>
    <w:p>
      <w:pPr>
        <w:snapToGrid w:val="0"/>
        <w:spacing w:before="156" w:beforeLines="50" w:after="50" w:line="408" w:lineRule="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highlight w:val="none"/>
          <w:u w:val="single"/>
        </w:rPr>
        <w:t>　　　　　　　　　　　　　（采购代理机构）</w:t>
      </w:r>
    </w:p>
    <w:p>
      <w:pPr>
        <w:snapToGrid w:val="0"/>
        <w:spacing w:before="156" w:beforeLines="50" w:after="50" w:line="408" w:lineRule="auto"/>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（投标人名称）的法定代表人（负责人），现授权委托本单位在职职工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项目的投标活动，并代表我方全权办理针对上述项目的投标、开标、评标、签约等具体事务和签署相关文件。</w:t>
      </w:r>
    </w:p>
    <w:p>
      <w:pPr>
        <w:snapToGrid w:val="0"/>
        <w:spacing w:before="156" w:beforeLines="50" w:after="50"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我方对被授权人的签名事项负全部责任。</w:t>
      </w:r>
    </w:p>
    <w:p>
      <w:pPr>
        <w:snapToGrid w:val="0"/>
        <w:spacing w:before="156" w:beforeLines="50" w:after="50"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在撤销授权的书面通知以前，本授权书一直有效。被授权人在授权书有效期内签署的所有文件不因授权的撤销而失效。</w:t>
      </w:r>
    </w:p>
    <w:p>
      <w:pPr>
        <w:snapToGrid w:val="0"/>
        <w:spacing w:before="156" w:beforeLines="50" w:after="50" w:line="408"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pPr>
        <w:snapToGrid w:val="0"/>
        <w:spacing w:before="156" w:beforeLines="50" w:after="50"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pPr>
        <w:snapToGrid w:val="0"/>
        <w:spacing w:before="156" w:beforeLines="50" w:after="50"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投标人（盖单位公章）：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before="156" w:beforeLines="50" w:after="50" w:line="408"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p>
    <w:p>
      <w:pPr>
        <w:snapToGrid w:val="0"/>
        <w:spacing w:before="156" w:beforeLines="50" w:after="50"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before="156" w:beforeLines="50" w:after="50"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before="156" w:beforeLines="50" w:after="50" w:line="408"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授权委托代理人身份证号码：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2"/>
        <w:ind w:firstLine="640"/>
        <w:rPr>
          <w:rFonts w:hint="eastAsia" w:ascii="宋体" w:hAnsi="宋体" w:eastAsia="宋体" w:cs="宋体"/>
          <w:color w:val="auto"/>
          <w:highlight w:val="none"/>
        </w:rPr>
      </w:pPr>
    </w:p>
    <w:tbl>
      <w:tblPr>
        <w:tblStyle w:val="58"/>
        <w:tblW w:w="5820" w:type="dxa"/>
        <w:tblInd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820" w:type="dxa"/>
          </w:tcPr>
          <w:p>
            <w:pPr>
              <w:snapToGrid w:val="0"/>
              <w:spacing w:line="40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贴附“法定代表人及委托代理人身份证复印件”（正反两面）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5820" w:type="dxa"/>
          </w:tcPr>
          <w:p>
            <w:pPr>
              <w:snapToGrid w:val="0"/>
              <w:spacing w:line="408" w:lineRule="auto"/>
              <w:rPr>
                <w:rFonts w:hint="eastAsia" w:ascii="宋体" w:hAnsi="宋体" w:eastAsia="宋体" w:cs="宋体"/>
                <w:color w:val="auto"/>
                <w:szCs w:val="21"/>
                <w:highlight w:val="none"/>
              </w:rPr>
            </w:pPr>
          </w:p>
          <w:p>
            <w:pPr>
              <w:snapToGrid w:val="0"/>
              <w:spacing w:line="408" w:lineRule="auto"/>
              <w:rPr>
                <w:rFonts w:hint="eastAsia" w:ascii="宋体" w:hAnsi="宋体" w:eastAsia="宋体" w:cs="宋体"/>
                <w:color w:val="auto"/>
                <w:szCs w:val="21"/>
                <w:highlight w:val="none"/>
              </w:rPr>
            </w:pPr>
          </w:p>
          <w:p>
            <w:pPr>
              <w:snapToGrid w:val="0"/>
              <w:spacing w:line="408" w:lineRule="auto"/>
              <w:rPr>
                <w:rFonts w:hint="eastAsia" w:ascii="宋体" w:hAnsi="宋体" w:eastAsia="宋体" w:cs="宋体"/>
                <w:color w:val="auto"/>
                <w:szCs w:val="21"/>
                <w:highlight w:val="none"/>
              </w:rPr>
            </w:pPr>
          </w:p>
        </w:tc>
      </w:tr>
    </w:tbl>
    <w:p>
      <w:pPr>
        <w:adjustRightInd w:val="0"/>
        <w:snapToGrid w:val="0"/>
        <w:spacing w:line="408" w:lineRule="auto"/>
        <w:jc w:val="left"/>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pPr>
        <w:adjustRightInd w:val="0"/>
        <w:snapToGrid w:val="0"/>
        <w:spacing w:line="408" w:lineRule="auto"/>
        <w:jc w:val="left"/>
        <w:outlineLvl w:val="3"/>
        <w:rPr>
          <w:rFonts w:hint="eastAsia" w:ascii="宋体" w:hAnsi="宋体" w:eastAsia="宋体" w:cs="宋体"/>
          <w:color w:val="auto"/>
          <w:szCs w:val="21"/>
          <w:highlight w:val="none"/>
        </w:rPr>
      </w:pPr>
    </w:p>
    <w:p>
      <w:pPr>
        <w:adjustRightInd w:val="0"/>
        <w:snapToGrid w:val="0"/>
        <w:spacing w:line="408" w:lineRule="auto"/>
        <w:jc w:val="left"/>
        <w:outlineLvl w:val="3"/>
        <w:rPr>
          <w:rFonts w:hint="eastAsia" w:ascii="宋体" w:hAnsi="宋体" w:eastAsia="宋体" w:cs="宋体"/>
          <w:color w:val="auto"/>
          <w:szCs w:val="21"/>
          <w:highlight w:val="none"/>
        </w:rPr>
      </w:pPr>
    </w:p>
    <w:p>
      <w:pPr>
        <w:adjustRightInd w:val="0"/>
        <w:snapToGrid w:val="0"/>
        <w:spacing w:line="408" w:lineRule="auto"/>
        <w:jc w:val="left"/>
        <w:outlineLvl w:val="3"/>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6、服务承诺书；</w:t>
      </w:r>
      <w:r>
        <w:rPr>
          <w:rFonts w:hint="eastAsia" w:ascii="宋体" w:hAnsi="宋体" w:eastAsia="宋体" w:cs="宋体"/>
          <w:b/>
          <w:color w:val="auto"/>
          <w:szCs w:val="21"/>
          <w:highlight w:val="none"/>
        </w:rPr>
        <w:t>（格式自拟，必须提供）。</w:t>
      </w: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7、无串通投标行为的承诺函</w:t>
      </w:r>
      <w:r>
        <w:rPr>
          <w:rFonts w:hint="eastAsia" w:ascii="宋体" w:hAnsi="宋体" w:eastAsia="宋体" w:cs="宋体"/>
          <w:b/>
          <w:bCs/>
          <w:color w:val="auto"/>
          <w:kern w:val="2"/>
          <w:sz w:val="21"/>
          <w:szCs w:val="21"/>
          <w:highlight w:val="none"/>
        </w:rPr>
        <w:t>（格式自拟，必须提供）。</w:t>
      </w:r>
    </w:p>
    <w:p>
      <w:pPr>
        <w:pStyle w:val="2"/>
        <w:ind w:left="0" w:leftChars="0"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8、投标承诺书（格式）</w:t>
      </w:r>
    </w:p>
    <w:p>
      <w:pPr>
        <w:pStyle w:val="2"/>
        <w:ind w:left="0" w:leftChars="0" w:firstLine="0" w:firstLineChars="0"/>
        <w:jc w:val="center"/>
        <w:rPr>
          <w:rFonts w:hint="eastAsia" w:ascii="宋体" w:hAnsi="宋体" w:eastAsia="宋体" w:cs="宋体"/>
          <w:color w:val="auto"/>
          <w:kern w:val="2"/>
          <w:sz w:val="21"/>
          <w:szCs w:val="21"/>
          <w:highlight w:val="none"/>
        </w:rPr>
      </w:pPr>
    </w:p>
    <w:p>
      <w:pPr>
        <w:pStyle w:val="2"/>
        <w:ind w:left="0" w:leftChars="0" w:firstLine="0" w:firstLineChars="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承诺书（1）</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我单位在投标和履行合同中主动接受有关行政监督部门依法依规实施的监督和查处，若出现以下情况，处以采购金额千分之五以上千分之十以下的罚款，列入</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"https://baike.sogou.com/lemma/ShowInnerLink.htm?lemmaId=10457926&amp;ss_c=ssc.citiao.link" \t "_blank"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不良行为记录</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名单，在一至三年内禁止参加政府采购活动，有违法所得的，并处没收违法所得，情节严重的，由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"https://baike.sogou.com/lemma/ShowInnerLink.htm?lemmaId=11024125&amp;ss_c=ssc.citiao.link" \t "_blank"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工商行政管理机关</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"https://baike.sogou.com/lemma/ShowInnerLink.htm?lemmaId=55325973&amp;ss_c=ssc.citiao.link" \t "_blank"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吊销营业执照</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；构成犯罪的，依法追究刑事责任：</w:t>
      </w:r>
    </w:p>
    <w:p>
      <w:pPr>
        <w:widowControl/>
        <w:shd w:val="clear" w:color="auto" w:fill="FFFFFF"/>
        <w:spacing w:before="100" w:beforeAutospacing="1" w:after="225" w:line="36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（一）提供虚假材料谋取中标、成交的；</w:t>
      </w:r>
    </w:p>
    <w:p>
      <w:pPr>
        <w:widowControl/>
        <w:shd w:val="clear" w:color="auto" w:fill="FFFFFF"/>
        <w:spacing w:before="100" w:beforeAutospacing="1" w:after="225" w:line="36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（二）采取不正当手段诋毁、排挤其他供应商的；</w:t>
      </w:r>
    </w:p>
    <w:p>
      <w:pPr>
        <w:widowControl/>
        <w:shd w:val="clear" w:color="auto" w:fill="FFFFFF"/>
        <w:spacing w:before="100" w:beforeAutospacing="1" w:after="225" w:line="36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（三）与采购人、其他供应商或者采购代理机构恶意串通的；</w:t>
      </w:r>
    </w:p>
    <w:p>
      <w:pPr>
        <w:widowControl/>
        <w:shd w:val="clear" w:color="auto" w:fill="FFFFFF"/>
        <w:spacing w:before="100" w:beforeAutospacing="1" w:after="225" w:line="36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（四）向采购人、采购代理机构行贿或者提供其他不正当利益的；</w:t>
      </w:r>
    </w:p>
    <w:p>
      <w:pPr>
        <w:widowControl/>
        <w:shd w:val="clear" w:color="auto" w:fill="FFFFFF"/>
        <w:spacing w:before="100" w:beforeAutospacing="1" w:after="225" w:line="36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（五）在招标过程中与采购人进行协商谈判的；</w:t>
      </w:r>
    </w:p>
    <w:p>
      <w:pPr>
        <w:widowControl/>
        <w:shd w:val="clear" w:color="auto" w:fill="FFFFFF"/>
        <w:spacing w:before="100" w:beforeAutospacing="1" w:after="225" w:line="36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（六）拒绝有关部门监督检查或者提供虚假情况的。</w:t>
      </w:r>
    </w:p>
    <w:p>
      <w:pPr>
        <w:widowControl/>
        <w:shd w:val="clear" w:color="auto" w:fill="FFFFFF"/>
        <w:spacing w:before="100" w:beforeAutospacing="1" w:after="225" w:line="36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若有出现前款第（一）至（五）项情形之一的，中标、成交无效。</w:t>
      </w: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pPr>
        <w:pStyle w:val="2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投标人（公章）：    　　　　　　　　　　　　　　   </w:t>
      </w:r>
    </w:p>
    <w:p>
      <w:pPr>
        <w:pStyle w:val="2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法定代表人（签字）： 　　  </w:t>
      </w:r>
    </w:p>
    <w:p>
      <w:pPr>
        <w:pStyle w:val="2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 </w:t>
      </w: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
        <w:ind w:left="0" w:leftChars="0" w:firstLine="0" w:firstLineChars="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承诺书（2）</w:t>
      </w: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现承诺我单位在本项目的投标文件使用的证件、证书、业绩、公章、印章、签字、复印件及有关答疑等材料均为真实、有效。如我单位提供上述的材料有变造、伪造等造假行为，招标人和有关行政监督部门可以取消我单位投标资格或中标资格。给招标人、招标代理机构造成损失的，依法承担赔偿责任；情节严重的，提供虚假材料谋取中标、成交的，即处以一至三年内禁止参加政府采购活动的处罚；构成犯罪的，接受依法追究刑事责任。 </w:t>
      </w:r>
    </w:p>
    <w:p>
      <w:pPr>
        <w:pStyle w:val="24"/>
        <w:rPr>
          <w:rFonts w:hint="eastAsia" w:ascii="宋体" w:hAnsi="宋体" w:eastAsia="宋体" w:cs="宋体"/>
          <w:color w:val="auto"/>
          <w:kern w:val="2"/>
          <w:sz w:val="21"/>
          <w:szCs w:val="21"/>
          <w:highlight w:val="none"/>
        </w:rPr>
      </w:pPr>
    </w:p>
    <w:p>
      <w:pPr>
        <w:pStyle w:val="24"/>
        <w:rPr>
          <w:rFonts w:hint="eastAsia" w:ascii="宋体" w:hAnsi="宋体" w:eastAsia="宋体" w:cs="宋体"/>
          <w:color w:val="auto"/>
          <w:kern w:val="2"/>
          <w:sz w:val="21"/>
          <w:szCs w:val="21"/>
          <w:highlight w:val="none"/>
        </w:rPr>
      </w:pPr>
    </w:p>
    <w:p>
      <w:pPr>
        <w:pStyle w:val="2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投标人（公章）：    　　　　　　　　　 </w:t>
      </w:r>
    </w:p>
    <w:p>
      <w:pPr>
        <w:pStyle w:val="2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法定代表人（签字）：</w:t>
      </w:r>
    </w:p>
    <w:p>
      <w:pPr>
        <w:pStyle w:val="2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highlight w:val="none"/>
        </w:rPr>
      </w:pPr>
    </w:p>
    <w:p>
      <w:pPr>
        <w:adjustRightInd w:val="0"/>
        <w:snapToGrid w:val="0"/>
        <w:spacing w:line="408" w:lineRule="auto"/>
        <w:ind w:firstLine="422" w:firstLineChars="200"/>
        <w:jc w:val="left"/>
        <w:rPr>
          <w:rFonts w:hint="eastAsia" w:ascii="宋体" w:hAnsi="宋体" w:eastAsia="宋体" w:cs="宋体"/>
          <w:b/>
          <w:color w:val="auto"/>
          <w:szCs w:val="21"/>
          <w:highlight w:val="none"/>
        </w:rPr>
      </w:pPr>
    </w:p>
    <w:p>
      <w:pPr>
        <w:adjustRightInd w:val="0"/>
        <w:snapToGrid w:val="0"/>
        <w:spacing w:line="408"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9、投标人情况介绍。（格式自拟）</w:t>
      </w:r>
    </w:p>
    <w:p>
      <w:pPr>
        <w:pStyle w:val="2"/>
        <w:ind w:firstLine="361"/>
        <w:rPr>
          <w:rFonts w:hint="eastAsia" w:ascii="宋体" w:hAnsi="宋体" w:eastAsia="宋体" w:cs="宋体"/>
          <w:color w:val="auto"/>
          <w:kern w:val="2"/>
          <w:sz w:val="21"/>
          <w:szCs w:val="21"/>
          <w:highlight w:val="none"/>
        </w:rPr>
      </w:pPr>
    </w:p>
    <w:p>
      <w:pPr>
        <w:pStyle w:val="2"/>
        <w:ind w:firstLine="361"/>
        <w:rPr>
          <w:rFonts w:hint="eastAsia" w:ascii="宋体" w:hAnsi="宋体" w:eastAsia="宋体" w:cs="宋体"/>
          <w:color w:val="auto"/>
          <w:kern w:val="2"/>
          <w:sz w:val="21"/>
          <w:szCs w:val="21"/>
          <w:highlight w:val="none"/>
        </w:rPr>
      </w:pPr>
    </w:p>
    <w:p>
      <w:pPr>
        <w:pStyle w:val="2"/>
        <w:ind w:firstLine="361"/>
        <w:rPr>
          <w:rFonts w:hint="eastAsia" w:ascii="宋体" w:hAnsi="宋体" w:eastAsia="宋体" w:cs="宋体"/>
          <w:color w:val="auto"/>
          <w:kern w:val="2"/>
          <w:sz w:val="21"/>
          <w:szCs w:val="21"/>
          <w:highlight w:val="none"/>
        </w:rPr>
      </w:pPr>
    </w:p>
    <w:p>
      <w:pPr>
        <w:pStyle w:val="2"/>
        <w:ind w:firstLine="361"/>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snapToGrid w:val="0"/>
        <w:spacing w:line="400" w:lineRule="exact"/>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投标人（公章）：</w:t>
      </w:r>
      <w:r>
        <w:rPr>
          <w:rFonts w:hint="eastAsia" w:ascii="宋体" w:hAnsi="宋体" w:eastAsia="宋体" w:cs="宋体"/>
          <w:color w:val="auto"/>
          <w:szCs w:val="21"/>
          <w:highlight w:val="none"/>
          <w:u w:val="single"/>
        </w:rPr>
        <w:t xml:space="preserve">       　　　　　　　　          </w:t>
      </w:r>
    </w:p>
    <w:p>
      <w:pPr>
        <w:snapToGrid w:val="0"/>
        <w:spacing w:line="400" w:lineRule="exact"/>
        <w:ind w:right="480" w:firstLine="3471" w:firstLineChars="1653"/>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法定代表人或授权委托代理人（签字）：</w:t>
      </w:r>
      <w:r>
        <w:rPr>
          <w:rFonts w:hint="eastAsia" w:ascii="宋体" w:hAnsi="宋体" w:eastAsia="宋体" w:cs="宋体"/>
          <w:color w:val="auto"/>
          <w:szCs w:val="21"/>
          <w:highlight w:val="none"/>
          <w:u w:val="single"/>
        </w:rPr>
        <w:t xml:space="preserve"> 　          </w:t>
      </w:r>
    </w:p>
    <w:p>
      <w:pPr>
        <w:snapToGrid w:val="0"/>
        <w:spacing w:line="400" w:lineRule="exact"/>
        <w:ind w:right="480"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年    月    日</w:t>
      </w: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10、除招标文件规定必须提供以外，投标人认为需要提供的其他证明材料。（如有）</w:t>
      </w:r>
    </w:p>
    <w:p>
      <w:pPr>
        <w:pStyle w:val="2"/>
        <w:ind w:left="0" w:leftChars="0" w:firstLine="0" w:firstLineChars="0"/>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pStyle w:val="2"/>
        <w:ind w:left="0" w:leftChars="0" w:firstLine="0" w:firstLineChars="0"/>
        <w:rPr>
          <w:rFonts w:hint="eastAsia" w:ascii="宋体" w:hAnsi="宋体" w:eastAsia="宋体" w:cs="宋体"/>
          <w:color w:val="auto"/>
          <w:kern w:val="2"/>
          <w:sz w:val="21"/>
          <w:szCs w:val="21"/>
          <w:highlight w:val="none"/>
        </w:rPr>
      </w:pPr>
    </w:p>
    <w:p>
      <w:pPr>
        <w:snapToGrid w:val="0"/>
        <w:spacing w:line="408"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（三）</w:t>
      </w:r>
      <w:r>
        <w:rPr>
          <w:rFonts w:hint="eastAsia" w:ascii="宋体" w:hAnsi="宋体" w:eastAsia="宋体" w:cs="宋体"/>
          <w:b/>
          <w:bCs/>
          <w:color w:val="auto"/>
          <w:szCs w:val="21"/>
          <w:highlight w:val="none"/>
        </w:rPr>
        <w:t>技术文件部分（格式）</w:t>
      </w:r>
      <w:r>
        <w:rPr>
          <w:rFonts w:hint="eastAsia" w:ascii="宋体" w:hAnsi="宋体" w:eastAsia="宋体" w:cs="宋体"/>
          <w:color w:val="auto"/>
          <w:sz w:val="24"/>
          <w:highlight w:val="none"/>
        </w:rPr>
        <w:t xml:space="preserve">  </w:t>
      </w:r>
    </w:p>
    <w:p>
      <w:pPr>
        <w:snapToGrid w:val="0"/>
        <w:spacing w:line="40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1、技术文件封面格式</w:t>
      </w:r>
    </w:p>
    <w:p>
      <w:pPr>
        <w:snapToGrid w:val="0"/>
        <w:spacing w:line="40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08"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Cs w:val="21"/>
          <w:highlight w:val="none"/>
        </w:rPr>
        <w:t>（正/副本）</w:t>
      </w:r>
    </w:p>
    <w:p>
      <w:pPr>
        <w:snapToGrid w:val="0"/>
        <w:spacing w:line="408" w:lineRule="auto"/>
        <w:jc w:val="center"/>
        <w:rPr>
          <w:rFonts w:hint="eastAsia" w:ascii="宋体" w:hAnsi="宋体" w:eastAsia="宋体" w:cs="宋体"/>
          <w:bCs/>
          <w:color w:val="auto"/>
          <w:sz w:val="32"/>
          <w:szCs w:val="32"/>
          <w:highlight w:val="none"/>
        </w:rPr>
      </w:pPr>
    </w:p>
    <w:p>
      <w:pPr>
        <w:snapToGrid w:val="0"/>
        <w:spacing w:line="408"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技术文件</w:t>
      </w:r>
    </w:p>
    <w:p>
      <w:pPr>
        <w:pStyle w:val="2"/>
        <w:ind w:firstLine="640"/>
        <w:rPr>
          <w:rFonts w:hint="eastAsia" w:ascii="宋体" w:hAnsi="宋体" w:eastAsia="宋体" w:cs="宋体"/>
          <w:color w:val="auto"/>
          <w:highlight w:val="none"/>
        </w:rPr>
      </w:pP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项目名称： </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pPr>
        <w:snapToGrid w:val="0"/>
        <w:spacing w:line="408"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　　　期：</w:t>
      </w:r>
    </w:p>
    <w:p>
      <w:pPr>
        <w:snapToGrid w:val="0"/>
        <w:spacing w:line="408" w:lineRule="auto"/>
        <w:ind w:firstLine="421"/>
        <w:jc w:val="center"/>
        <w:rPr>
          <w:rFonts w:hint="eastAsia" w:ascii="宋体" w:hAnsi="宋体" w:eastAsia="宋体" w:cs="宋体"/>
          <w:b/>
          <w:color w:val="auto"/>
          <w:sz w:val="44"/>
          <w:szCs w:val="44"/>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snapToGrid w:val="0"/>
        <w:spacing w:line="408" w:lineRule="auto"/>
        <w:ind w:firstLine="421"/>
        <w:jc w:val="left"/>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4"/>
        <w:rPr>
          <w:rFonts w:hint="eastAsia" w:ascii="宋体" w:hAnsi="宋体" w:eastAsia="宋体" w:cs="宋体"/>
          <w:b/>
          <w:color w:val="auto"/>
          <w:szCs w:val="21"/>
          <w:highlight w:val="none"/>
        </w:rPr>
      </w:pPr>
    </w:p>
    <w:p>
      <w:pPr>
        <w:pStyle w:val="2"/>
        <w:ind w:left="0" w:leftChars="0" w:firstLine="0" w:firstLineChars="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2、技术文件目录</w:t>
      </w:r>
    </w:p>
    <w:p>
      <w:pPr>
        <w:adjustRightInd w:val="0"/>
        <w:snapToGrid w:val="0"/>
        <w:spacing w:line="408"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根据招标文件规定及投标人提供的材料自行编写目录。</w:t>
      </w:r>
    </w:p>
    <w:p>
      <w:pPr>
        <w:pStyle w:val="24"/>
        <w:rPr>
          <w:rFonts w:hint="eastAsia" w:ascii="宋体" w:hAnsi="宋体" w:eastAsia="宋体" w:cs="宋体"/>
          <w:color w:val="auto"/>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pStyle w:val="2"/>
        <w:ind w:firstLine="640"/>
        <w:rPr>
          <w:rFonts w:hint="eastAsia" w:ascii="宋体" w:hAnsi="宋体" w:eastAsia="宋体" w:cs="宋体"/>
          <w:color w:val="auto"/>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ind w:firstLine="420" w:firstLineChars="200"/>
        <w:jc w:val="left"/>
        <w:rPr>
          <w:rFonts w:hint="eastAsia" w:ascii="宋体" w:hAnsi="宋体" w:eastAsia="宋体" w:cs="宋体"/>
          <w:color w:val="auto"/>
          <w:szCs w:val="21"/>
          <w:highlight w:val="none"/>
        </w:rPr>
      </w:pPr>
    </w:p>
    <w:p>
      <w:pPr>
        <w:adjustRightInd w:val="0"/>
        <w:snapToGrid w:val="0"/>
        <w:spacing w:line="40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3、技术服务响应表（格式）：</w:t>
      </w:r>
    </w:p>
    <w:p>
      <w:pPr>
        <w:adjustRightInd w:val="0"/>
        <w:snapToGrid w:val="0"/>
        <w:spacing w:line="408"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请根据所投服务的实际技术参数，逐条对应本项目招标文件</w:t>
      </w:r>
      <w:r>
        <w:rPr>
          <w:rFonts w:hint="eastAsia" w:ascii="宋体" w:hAnsi="宋体" w:eastAsia="宋体" w:cs="宋体"/>
          <w:color w:val="auto"/>
          <w:highlight w:val="none"/>
        </w:rPr>
        <w:t>第三章 “招标项目采购需求”</w:t>
      </w:r>
      <w:r>
        <w:rPr>
          <w:rFonts w:hint="eastAsia" w:ascii="宋体" w:hAnsi="宋体" w:eastAsia="宋体" w:cs="宋体"/>
          <w:bCs/>
          <w:color w:val="auto"/>
          <w:szCs w:val="21"/>
          <w:highlight w:val="none"/>
        </w:rPr>
        <w:t>中的服务内容及要求详细填写相应的具体内容。“偏离说明”一栏应当选择“正偏离”、“负偏离”或“无偏离”进行填写。</w:t>
      </w:r>
    </w:p>
    <w:p>
      <w:pPr>
        <w:adjustRightInd w:val="0"/>
        <w:snapToGrid w:val="0"/>
        <w:spacing w:line="408"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技术服务响应表</w:t>
      </w:r>
    </w:p>
    <w:tbl>
      <w:tblPr>
        <w:tblStyle w:val="58"/>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258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招标文件需求</w:t>
            </w:r>
          </w:p>
        </w:tc>
        <w:tc>
          <w:tcPr>
            <w:tcW w:w="41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所提供服务的内容</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609"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609"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609"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法定代表人或其委托代理人（签字或盖章）：</w:t>
            </w:r>
          </w:p>
        </w:tc>
      </w:tr>
    </w:tbl>
    <w:p>
      <w:pPr>
        <w:adjustRightInd w:val="0"/>
        <w:snapToGrid w:val="0"/>
        <w:spacing w:line="408"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pacing w:val="20"/>
          <w:szCs w:val="21"/>
          <w:highlight w:val="none"/>
        </w:rPr>
        <w:t>①</w:t>
      </w:r>
      <w:r>
        <w:rPr>
          <w:rFonts w:hint="eastAsia" w:ascii="宋体" w:hAnsi="宋体" w:eastAsia="宋体" w:cs="宋体"/>
          <w:bCs/>
          <w:color w:val="auto"/>
          <w:szCs w:val="21"/>
          <w:highlight w:val="none"/>
        </w:rPr>
        <w:t>表格内容均需按要求填写并盖章，不得留空，否则按投标无效处理。</w:t>
      </w:r>
    </w:p>
    <w:p>
      <w:pPr>
        <w:adjustRightInd w:val="0"/>
        <w:snapToGrid w:val="0"/>
        <w:spacing w:line="408" w:lineRule="auto"/>
        <w:ind w:firstLine="210"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②当投标文件的服务内容低于招标文件要求时，投标人应当如实写明“负偏离”，否则视为虚假应标。</w:t>
      </w:r>
    </w:p>
    <w:p>
      <w:pPr>
        <w:pStyle w:val="23"/>
        <w:spacing w:line="408" w:lineRule="auto"/>
        <w:ind w:firstLine="422" w:firstLineChars="200"/>
        <w:rPr>
          <w:rFonts w:hint="eastAsia" w:ascii="宋体" w:hAnsi="宋体" w:eastAsia="宋体" w:cs="宋体"/>
          <w:color w:val="auto"/>
          <w:sz w:val="21"/>
          <w:szCs w:val="21"/>
          <w:highlight w:val="none"/>
        </w:rPr>
      </w:pPr>
    </w:p>
    <w:p>
      <w:pPr>
        <w:snapToGrid w:val="0"/>
        <w:spacing w:before="50" w:after="50" w:line="408" w:lineRule="auto"/>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　　　　　　　　　　　　　　　　　</w:t>
      </w:r>
    </w:p>
    <w:p>
      <w:pPr>
        <w:snapToGrid w:val="0"/>
        <w:spacing w:before="50" w:after="50" w:line="408"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　　　　　　　　　　　　投标人（公章）：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w:t>
      </w:r>
    </w:p>
    <w:p>
      <w:pPr>
        <w:snapToGrid w:val="0"/>
        <w:spacing w:before="50" w:after="50" w:line="408"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 xml:space="preserve">        　　　　　　　 </w:t>
      </w:r>
      <w:r>
        <w:rPr>
          <w:rFonts w:hint="eastAsia" w:ascii="宋体" w:hAnsi="宋体" w:eastAsia="宋体" w:cs="宋体"/>
          <w:color w:val="auto"/>
          <w:szCs w:val="21"/>
          <w:highlight w:val="none"/>
        </w:rPr>
        <w:t>法定代表人或授权委托代理人（签字）</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pPr>
        <w:snapToGrid w:val="0"/>
        <w:spacing w:before="50" w:after="50" w:line="408" w:lineRule="auto"/>
        <w:rPr>
          <w:rFonts w:hint="eastAsia" w:ascii="宋体" w:hAnsi="宋体" w:eastAsia="宋体" w:cs="宋体"/>
          <w:color w:val="auto"/>
          <w:spacing w:val="20"/>
          <w:szCs w:val="21"/>
          <w:highlight w:val="none"/>
          <w:u w:val="single"/>
        </w:rPr>
      </w:pP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pPr>
        <w:adjustRightInd w:val="0"/>
        <w:snapToGrid w:val="0"/>
        <w:spacing w:line="408" w:lineRule="auto"/>
        <w:ind w:firstLine="630" w:firstLineChars="300"/>
        <w:jc w:val="left"/>
        <w:outlineLvl w:val="3"/>
        <w:rPr>
          <w:rFonts w:hint="eastAsia" w:ascii="宋体" w:hAnsi="宋体" w:eastAsia="宋体" w:cs="宋体"/>
          <w:bCs/>
          <w:color w:val="auto"/>
          <w:szCs w:val="21"/>
          <w:highlight w:val="none"/>
        </w:rPr>
      </w:pPr>
    </w:p>
    <w:p>
      <w:pPr>
        <w:pStyle w:val="2"/>
        <w:ind w:left="0" w:leftChars="0" w:firstLine="0" w:firstLineChars="0"/>
        <w:rPr>
          <w:rFonts w:hint="eastAsia" w:ascii="宋体" w:hAnsi="宋体" w:eastAsia="宋体" w:cs="宋体"/>
          <w:color w:val="auto"/>
          <w:highlight w:val="none"/>
        </w:rPr>
      </w:pPr>
    </w:p>
    <w:p>
      <w:pPr>
        <w:adjustRightInd w:val="0"/>
        <w:snapToGrid w:val="0"/>
        <w:spacing w:line="408" w:lineRule="auto"/>
        <w:ind w:left="420"/>
        <w:jc w:val="left"/>
        <w:outlineLvl w:val="3"/>
        <w:rPr>
          <w:rFonts w:hint="eastAsia" w:ascii="宋体" w:hAnsi="宋体" w:eastAsia="宋体" w:cs="宋体"/>
          <w:b/>
          <w:bCs/>
          <w:color w:val="auto"/>
          <w:szCs w:val="21"/>
          <w:highlight w:val="none"/>
        </w:rPr>
      </w:pPr>
    </w:p>
    <w:p>
      <w:pPr>
        <w:adjustRightInd w:val="0"/>
        <w:snapToGrid w:val="0"/>
        <w:spacing w:line="408" w:lineRule="auto"/>
        <w:jc w:val="left"/>
        <w:outlineLvl w:val="3"/>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4、项目中生活垃圾处理工艺（技术）操作流程方案；</w:t>
      </w:r>
      <w:r>
        <w:rPr>
          <w:rFonts w:hint="eastAsia" w:ascii="宋体" w:hAnsi="宋体" w:eastAsia="宋体" w:cs="宋体"/>
          <w:b/>
          <w:bCs/>
          <w:color w:val="auto"/>
          <w:highlight w:val="none"/>
        </w:rPr>
        <w:t>(必须提供)</w:t>
      </w:r>
    </w:p>
    <w:p>
      <w:pPr>
        <w:wordWrap w:val="0"/>
        <w:snapToGrid w:val="0"/>
        <w:spacing w:line="480" w:lineRule="exact"/>
        <w:ind w:left="142"/>
        <w:jc w:val="left"/>
        <w:rPr>
          <w:rFonts w:hint="eastAsia" w:ascii="宋体" w:hAnsi="宋体" w:eastAsia="宋体" w:cs="宋体"/>
          <w:b/>
          <w:color w:val="auto"/>
          <w:sz w:val="24"/>
          <w:highlight w:val="none"/>
        </w:rPr>
      </w:pPr>
    </w:p>
    <w:p>
      <w:pPr>
        <w:wordWrap w:val="0"/>
        <w:snapToGrid w:val="0"/>
        <w:spacing w:line="480" w:lineRule="exact"/>
        <w:ind w:left="14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w:t>
      </w:r>
      <w:r>
        <w:rPr>
          <w:rFonts w:hint="eastAsia" w:ascii="宋体" w:hAnsi="宋体" w:eastAsia="宋体" w:cs="宋体"/>
          <w:bCs/>
          <w:color w:val="auto"/>
          <w:szCs w:val="21"/>
          <w:highlight w:val="none"/>
        </w:rPr>
        <w:t>（投标人可根据项目需求及评标办法要求自行编写方案，格式自拟）</w:t>
      </w:r>
    </w:p>
    <w:p>
      <w:pPr>
        <w:wordWrap w:val="0"/>
        <w:snapToGrid w:val="0"/>
        <w:spacing w:line="480" w:lineRule="exact"/>
        <w:ind w:left="142"/>
        <w:jc w:val="left"/>
        <w:rPr>
          <w:rFonts w:hint="eastAsia" w:ascii="宋体" w:hAnsi="宋体" w:eastAsia="宋体" w:cs="宋体"/>
          <w:color w:val="auto"/>
          <w:sz w:val="24"/>
          <w:szCs w:val="20"/>
          <w:highlight w:val="none"/>
        </w:rPr>
      </w:pPr>
    </w:p>
    <w:p>
      <w:pPr>
        <w:wordWrap w:val="0"/>
        <w:snapToGrid w:val="0"/>
        <w:spacing w:line="480" w:lineRule="exact"/>
        <w:jc w:val="left"/>
        <w:rPr>
          <w:rFonts w:hint="eastAsia" w:ascii="宋体" w:hAnsi="宋体" w:eastAsia="宋体" w:cs="宋体"/>
          <w:color w:val="auto"/>
          <w:sz w:val="24"/>
          <w:szCs w:val="20"/>
          <w:highlight w:val="none"/>
        </w:rPr>
      </w:pPr>
    </w:p>
    <w:p>
      <w:pPr>
        <w:wordWrap w:val="0"/>
        <w:snapToGrid w:val="0"/>
        <w:spacing w:line="480" w:lineRule="exact"/>
        <w:ind w:firstLine="123" w:firstLineChars="5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投标人（公章）：</w:t>
      </w:r>
      <w:r>
        <w:rPr>
          <w:rFonts w:hint="eastAsia" w:ascii="宋体" w:hAnsi="宋体" w:eastAsia="宋体" w:cs="宋体"/>
          <w:color w:val="auto"/>
          <w:szCs w:val="21"/>
          <w:highlight w:val="none"/>
          <w:u w:val="single"/>
        </w:rPr>
        <w:t xml:space="preserve">    　　　　　　　　　　　　　　   </w:t>
      </w:r>
    </w:p>
    <w:p>
      <w:pPr>
        <w:wordWrap w:val="0"/>
        <w:snapToGrid w:val="0"/>
        <w:spacing w:line="480" w:lineRule="exact"/>
        <w:ind w:firstLine="123" w:firstLineChars="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法定代表人或授权委托代理人（签字）</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pPr>
        <w:wordWrap w:val="0"/>
        <w:snapToGrid w:val="0"/>
        <w:spacing w:line="480" w:lineRule="exact"/>
        <w:ind w:firstLine="123" w:firstLineChars="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日 期：</w:t>
      </w:r>
      <w:r>
        <w:rPr>
          <w:rFonts w:hint="eastAsia" w:ascii="宋体" w:hAnsi="宋体" w:eastAsia="宋体" w:cs="宋体"/>
          <w:color w:val="auto"/>
          <w:szCs w:val="21"/>
          <w:highlight w:val="none"/>
          <w:u w:val="single"/>
        </w:rPr>
        <w:t xml:space="preserve">   　　　　　　　　　　　　　　　　　      </w:t>
      </w:r>
    </w:p>
    <w:p>
      <w:pPr>
        <w:pStyle w:val="2"/>
        <w:ind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2"/>
        <w:ind w:left="0" w:leftChars="0" w:firstLine="0" w:firstLineChars="0"/>
        <w:rPr>
          <w:rFonts w:hint="eastAsia" w:ascii="宋体" w:hAnsi="宋体" w:eastAsia="宋体" w:cs="宋体"/>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adjustRightInd w:val="0"/>
        <w:snapToGrid w:val="0"/>
        <w:spacing w:line="408" w:lineRule="auto"/>
        <w:ind w:left="420"/>
        <w:jc w:val="left"/>
        <w:outlineLvl w:val="3"/>
        <w:rPr>
          <w:rFonts w:hint="eastAsia" w:ascii="宋体" w:hAnsi="宋体" w:eastAsia="宋体" w:cs="宋体"/>
          <w:b/>
          <w:bCs/>
          <w:color w:val="auto"/>
          <w:highlight w:val="none"/>
        </w:rPr>
      </w:pPr>
    </w:p>
    <w:p>
      <w:pPr>
        <w:pStyle w:val="24"/>
        <w:tabs>
          <w:tab w:val="left" w:pos="5314"/>
        </w:tabs>
        <w:rPr>
          <w:rFonts w:hint="eastAsia" w:ascii="宋体" w:hAnsi="宋体" w:eastAsia="宋体" w:cs="宋体"/>
          <w:b/>
          <w:bCs/>
          <w:color w:val="auto"/>
          <w:highlight w:val="none"/>
        </w:rPr>
      </w:pPr>
    </w:p>
    <w:p>
      <w:pPr>
        <w:pStyle w:val="24"/>
        <w:tabs>
          <w:tab w:val="left" w:pos="5314"/>
        </w:tabs>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5、项目管理规章制度；(必须提供)</w:t>
      </w:r>
    </w:p>
    <w:p>
      <w:pPr>
        <w:pStyle w:val="2"/>
        <w:ind w:firstLine="640"/>
        <w:rPr>
          <w:rFonts w:hint="eastAsia" w:ascii="宋体" w:hAnsi="宋体" w:eastAsia="宋体" w:cs="宋体"/>
          <w:color w:val="auto"/>
          <w:highlight w:val="none"/>
        </w:rPr>
      </w:pPr>
    </w:p>
    <w:p>
      <w:pPr>
        <w:wordWrap w:val="0"/>
        <w:snapToGrid w:val="0"/>
        <w:spacing w:line="480" w:lineRule="exact"/>
        <w:ind w:left="14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w:t>
      </w:r>
      <w:r>
        <w:rPr>
          <w:rFonts w:hint="eastAsia" w:ascii="宋体" w:hAnsi="宋体" w:eastAsia="宋体" w:cs="宋体"/>
          <w:bCs/>
          <w:color w:val="auto"/>
          <w:szCs w:val="21"/>
          <w:highlight w:val="none"/>
        </w:rPr>
        <w:t>（投标人可根据项目需求及评标办法要求自行编写方案，格式自拟）</w:t>
      </w:r>
    </w:p>
    <w:p>
      <w:pPr>
        <w:wordWrap w:val="0"/>
        <w:snapToGrid w:val="0"/>
        <w:spacing w:line="480" w:lineRule="exact"/>
        <w:ind w:left="142"/>
        <w:jc w:val="left"/>
        <w:rPr>
          <w:rFonts w:hint="eastAsia" w:ascii="宋体" w:hAnsi="宋体" w:eastAsia="宋体" w:cs="宋体"/>
          <w:color w:val="auto"/>
          <w:sz w:val="24"/>
          <w:szCs w:val="20"/>
          <w:highlight w:val="none"/>
        </w:rPr>
      </w:pPr>
    </w:p>
    <w:p>
      <w:pPr>
        <w:wordWrap w:val="0"/>
        <w:snapToGrid w:val="0"/>
        <w:spacing w:line="480" w:lineRule="exact"/>
        <w:jc w:val="left"/>
        <w:rPr>
          <w:rFonts w:hint="eastAsia" w:ascii="宋体" w:hAnsi="宋体" w:eastAsia="宋体" w:cs="宋体"/>
          <w:color w:val="auto"/>
          <w:sz w:val="24"/>
          <w:szCs w:val="20"/>
          <w:highlight w:val="none"/>
        </w:rPr>
      </w:pPr>
    </w:p>
    <w:p>
      <w:pPr>
        <w:wordWrap w:val="0"/>
        <w:snapToGrid w:val="0"/>
        <w:spacing w:line="480" w:lineRule="exact"/>
        <w:ind w:firstLine="123" w:firstLineChars="5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投标人（公章）：</w:t>
      </w:r>
      <w:r>
        <w:rPr>
          <w:rFonts w:hint="eastAsia" w:ascii="宋体" w:hAnsi="宋体" w:eastAsia="宋体" w:cs="宋体"/>
          <w:color w:val="auto"/>
          <w:szCs w:val="21"/>
          <w:highlight w:val="none"/>
          <w:u w:val="single"/>
        </w:rPr>
        <w:t xml:space="preserve">    　　　　　　　　　　　　　　   </w:t>
      </w:r>
    </w:p>
    <w:p>
      <w:pPr>
        <w:wordWrap w:val="0"/>
        <w:snapToGrid w:val="0"/>
        <w:spacing w:line="480" w:lineRule="exact"/>
        <w:ind w:firstLine="123" w:firstLineChars="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法定代表人或授权委托代理人（签字）</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zCs w:val="21"/>
          <w:highlight w:val="none"/>
          <w:u w:val="single"/>
        </w:rPr>
        <w:t xml:space="preserve"> </w:t>
      </w:r>
    </w:p>
    <w:p>
      <w:pPr>
        <w:wordWrap w:val="0"/>
        <w:snapToGrid w:val="0"/>
        <w:spacing w:line="480" w:lineRule="exact"/>
        <w:ind w:firstLine="123" w:firstLineChars="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日 期：</w:t>
      </w:r>
      <w:r>
        <w:rPr>
          <w:rFonts w:hint="eastAsia" w:ascii="宋体" w:hAnsi="宋体" w:eastAsia="宋体" w:cs="宋体"/>
          <w:color w:val="auto"/>
          <w:szCs w:val="21"/>
          <w:highlight w:val="none"/>
          <w:u w:val="single"/>
        </w:rPr>
        <w:t xml:space="preserve">   　　　　　　　　　　　　　　　　　      </w:t>
      </w:r>
    </w:p>
    <w:p>
      <w:pPr>
        <w:pStyle w:val="2"/>
        <w:ind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2"/>
        <w:ind w:leftChars="0" w:firstLine="0" w:firstLineChars="0"/>
        <w:rPr>
          <w:rFonts w:hint="eastAsia" w:ascii="宋体" w:hAnsi="宋体" w:eastAsia="宋体" w:cs="宋体"/>
          <w:color w:val="auto"/>
          <w:highlight w:val="none"/>
        </w:rPr>
      </w:pPr>
    </w:p>
    <w:p>
      <w:pPr>
        <w:pStyle w:val="2"/>
        <w:ind w:leftChars="0" w:firstLine="0" w:firstLineChars="0"/>
        <w:rPr>
          <w:rFonts w:hint="eastAsia" w:ascii="宋体" w:hAnsi="宋体" w:eastAsia="宋体" w:cs="宋体"/>
          <w:color w:val="auto"/>
          <w:highlight w:val="none"/>
        </w:rPr>
      </w:pPr>
    </w:p>
    <w:p>
      <w:pPr>
        <w:pStyle w:val="2"/>
        <w:ind w:leftChars="0" w:firstLine="0" w:firstLineChars="0"/>
        <w:rPr>
          <w:rFonts w:hint="eastAsia" w:ascii="宋体" w:hAnsi="宋体" w:eastAsia="宋体" w:cs="宋体"/>
          <w:color w:val="auto"/>
          <w:highlight w:val="none"/>
        </w:rPr>
      </w:pPr>
    </w:p>
    <w:p>
      <w:pPr>
        <w:pStyle w:val="2"/>
        <w:ind w:leftChars="0" w:firstLine="0" w:firstLineChars="0"/>
        <w:rPr>
          <w:rFonts w:hint="eastAsia" w:ascii="宋体" w:hAnsi="宋体" w:eastAsia="宋体" w:cs="宋体"/>
          <w:color w:val="auto"/>
          <w:highlight w:val="none"/>
        </w:rPr>
      </w:pPr>
    </w:p>
    <w:p>
      <w:pPr>
        <w:pStyle w:val="2"/>
        <w:ind w:leftChars="0" w:firstLine="0" w:firstLineChars="0"/>
        <w:rPr>
          <w:rFonts w:hint="eastAsia" w:ascii="宋体" w:hAnsi="宋体" w:eastAsia="宋体" w:cs="宋体"/>
          <w:color w:val="auto"/>
          <w:highlight w:val="none"/>
        </w:rPr>
      </w:pPr>
    </w:p>
    <w:p>
      <w:pPr>
        <w:pStyle w:val="2"/>
        <w:ind w:leftChars="0" w:firstLine="0" w:firstLineChars="0"/>
        <w:rPr>
          <w:rFonts w:hint="eastAsia" w:ascii="宋体" w:hAnsi="宋体" w:eastAsia="宋体" w:cs="宋体"/>
          <w:color w:val="auto"/>
          <w:highlight w:val="none"/>
        </w:rPr>
      </w:pPr>
    </w:p>
    <w:p>
      <w:pPr>
        <w:pStyle w:val="2"/>
        <w:ind w:leftChars="0" w:firstLine="0" w:firstLineChars="0"/>
        <w:rPr>
          <w:rFonts w:hint="eastAsia" w:ascii="宋体" w:hAnsi="宋体" w:eastAsia="宋体" w:cs="宋体"/>
          <w:color w:val="auto"/>
          <w:highlight w:val="none"/>
        </w:rPr>
      </w:pPr>
    </w:p>
    <w:p>
      <w:pPr>
        <w:pStyle w:val="2"/>
        <w:ind w:leftChars="0" w:firstLine="0" w:firstLineChars="0"/>
        <w:rPr>
          <w:rFonts w:hint="eastAsia" w:ascii="宋体" w:hAnsi="宋体" w:eastAsia="宋体" w:cs="宋体"/>
          <w:color w:val="auto"/>
          <w:highlight w:val="none"/>
        </w:rPr>
      </w:pPr>
    </w:p>
    <w:p>
      <w:pPr>
        <w:pStyle w:val="2"/>
        <w:ind w:leftChars="0" w:firstLine="0" w:firstLineChars="0"/>
        <w:rPr>
          <w:rFonts w:hint="eastAsia" w:ascii="宋体" w:hAnsi="宋体" w:eastAsia="宋体" w:cs="宋体"/>
          <w:color w:val="auto"/>
          <w:highlight w:val="none"/>
        </w:rPr>
      </w:pPr>
    </w:p>
    <w:p>
      <w:pPr>
        <w:pStyle w:val="2"/>
        <w:ind w:leftChars="0" w:firstLine="0" w:firstLineChars="0"/>
        <w:rPr>
          <w:rFonts w:hint="eastAsia" w:ascii="宋体" w:hAnsi="宋体" w:eastAsia="宋体" w:cs="宋体"/>
          <w:color w:val="auto"/>
          <w:highlight w:val="none"/>
        </w:rPr>
      </w:pPr>
    </w:p>
    <w:p>
      <w:pPr>
        <w:pStyle w:val="2"/>
        <w:ind w:leftChars="0" w:firstLine="0" w:firstLineChars="0"/>
        <w:rPr>
          <w:rFonts w:hint="eastAsia" w:ascii="宋体" w:hAnsi="宋体" w:eastAsia="宋体" w:cs="宋体"/>
          <w:color w:val="auto"/>
          <w:highlight w:val="none"/>
        </w:rPr>
      </w:pPr>
    </w:p>
    <w:p>
      <w:pPr>
        <w:pStyle w:val="2"/>
        <w:ind w:leftChars="0" w:firstLine="0" w:firstLineChars="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wordWrap w:val="0"/>
        <w:snapToGrid w:val="0"/>
        <w:spacing w:line="480" w:lineRule="exact"/>
        <w:ind w:firstLine="124" w:firstLineChars="59"/>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6、应急事件处理方案；(必须提供)</w:t>
      </w:r>
    </w:p>
    <w:p>
      <w:pPr>
        <w:pStyle w:val="2"/>
        <w:ind w:leftChars="0" w:firstLine="0" w:firstLineChars="0"/>
        <w:rPr>
          <w:rFonts w:hint="eastAsia" w:ascii="宋体" w:hAnsi="宋体" w:eastAsia="宋体" w:cs="宋体"/>
          <w:b/>
          <w:bCs/>
          <w:color w:val="auto"/>
          <w:kern w:val="2"/>
          <w:sz w:val="21"/>
          <w:highlight w:val="none"/>
        </w:rPr>
      </w:pPr>
    </w:p>
    <w:p>
      <w:pPr>
        <w:pStyle w:val="2"/>
        <w:ind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w:t>
      </w:r>
    </w:p>
    <w:p>
      <w:pPr>
        <w:wordWrap w:val="0"/>
        <w:snapToGrid w:val="0"/>
        <w:spacing w:line="480" w:lineRule="exact"/>
        <w:ind w:left="14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w:t>
      </w:r>
      <w:r>
        <w:rPr>
          <w:rFonts w:hint="eastAsia" w:ascii="宋体" w:hAnsi="宋体" w:eastAsia="宋体" w:cs="宋体"/>
          <w:bCs/>
          <w:color w:val="auto"/>
          <w:szCs w:val="21"/>
          <w:highlight w:val="none"/>
        </w:rPr>
        <w:t>（投标人可根据项目需求及评标办法要求自行编写方案，格式自拟）</w:t>
      </w:r>
    </w:p>
    <w:p>
      <w:pPr>
        <w:wordWrap w:val="0"/>
        <w:snapToGrid w:val="0"/>
        <w:spacing w:line="480" w:lineRule="exact"/>
        <w:ind w:left="142"/>
        <w:jc w:val="left"/>
        <w:rPr>
          <w:rFonts w:hint="eastAsia" w:ascii="宋体" w:hAnsi="宋体" w:eastAsia="宋体" w:cs="宋体"/>
          <w:color w:val="auto"/>
          <w:sz w:val="24"/>
          <w:szCs w:val="20"/>
          <w:highlight w:val="none"/>
        </w:rPr>
      </w:pPr>
    </w:p>
    <w:p>
      <w:pPr>
        <w:wordWrap w:val="0"/>
        <w:snapToGrid w:val="0"/>
        <w:spacing w:line="480" w:lineRule="exact"/>
        <w:jc w:val="left"/>
        <w:rPr>
          <w:rFonts w:hint="eastAsia" w:ascii="宋体" w:hAnsi="宋体" w:eastAsia="宋体" w:cs="宋体"/>
          <w:color w:val="auto"/>
          <w:sz w:val="24"/>
          <w:szCs w:val="20"/>
          <w:highlight w:val="none"/>
        </w:rPr>
      </w:pPr>
    </w:p>
    <w:p>
      <w:pPr>
        <w:wordWrap w:val="0"/>
        <w:snapToGrid w:val="0"/>
        <w:spacing w:line="480" w:lineRule="exact"/>
        <w:ind w:firstLine="123" w:firstLineChars="5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投标人（公章）：</w:t>
      </w:r>
      <w:r>
        <w:rPr>
          <w:rFonts w:hint="eastAsia" w:ascii="宋体" w:hAnsi="宋体" w:eastAsia="宋体" w:cs="宋体"/>
          <w:color w:val="auto"/>
          <w:szCs w:val="21"/>
          <w:highlight w:val="none"/>
          <w:u w:val="single"/>
        </w:rPr>
        <w:t xml:space="preserve">    　　　　　　　　　　　　　　   </w:t>
      </w:r>
    </w:p>
    <w:p>
      <w:pPr>
        <w:wordWrap w:val="0"/>
        <w:snapToGrid w:val="0"/>
        <w:spacing w:line="480" w:lineRule="exact"/>
        <w:ind w:firstLine="123" w:firstLineChars="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法定代表人或授权委托代理人（签字）</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pPr>
        <w:wordWrap w:val="0"/>
        <w:snapToGrid w:val="0"/>
        <w:spacing w:line="480" w:lineRule="exact"/>
        <w:ind w:firstLine="123" w:firstLineChars="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日 期：</w:t>
      </w:r>
      <w:r>
        <w:rPr>
          <w:rFonts w:hint="eastAsia" w:ascii="宋体" w:hAnsi="宋体" w:eastAsia="宋体" w:cs="宋体"/>
          <w:color w:val="auto"/>
          <w:szCs w:val="21"/>
          <w:highlight w:val="none"/>
          <w:u w:val="single"/>
        </w:rPr>
        <w:t xml:space="preserve">   　　　　　　　　　　　　　　　　　      </w:t>
      </w:r>
    </w:p>
    <w:p>
      <w:pPr>
        <w:adjustRightInd w:val="0"/>
        <w:snapToGrid w:val="0"/>
        <w:spacing w:line="408" w:lineRule="auto"/>
        <w:jc w:val="left"/>
        <w:rPr>
          <w:rFonts w:hint="eastAsia" w:ascii="宋体" w:hAnsi="宋体" w:eastAsia="宋体" w:cs="宋体"/>
          <w:b/>
          <w:bCs/>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w:t>
      </w:r>
      <w:r>
        <w:rPr>
          <w:rFonts w:hint="eastAsia" w:ascii="宋体" w:hAnsi="宋体" w:eastAsia="宋体" w:cs="宋体"/>
          <w:b/>
          <w:bCs/>
          <w:color w:val="auto"/>
          <w:kern w:val="2"/>
          <w:sz w:val="21"/>
          <w:szCs w:val="24"/>
          <w:highlight w:val="none"/>
          <w:lang w:val="en-US" w:eastAsia="zh-CN" w:bidi="ar-SA"/>
        </w:rPr>
        <w:t>、服务方案及承诺（必须提供）；</w:t>
      </w:r>
    </w:p>
    <w:p>
      <w:pPr>
        <w:wordWrap w:val="0"/>
        <w:snapToGrid w:val="0"/>
        <w:spacing w:line="480" w:lineRule="exact"/>
        <w:ind w:left="14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w:t>
      </w:r>
    </w:p>
    <w:p>
      <w:pPr>
        <w:pStyle w:val="24"/>
        <w:rPr>
          <w:rFonts w:hint="eastAsia" w:ascii="宋体" w:hAnsi="宋体" w:eastAsia="宋体" w:cs="宋体"/>
          <w:color w:val="auto"/>
          <w:highlight w:val="none"/>
        </w:rPr>
      </w:pPr>
    </w:p>
    <w:p>
      <w:pPr>
        <w:wordWrap w:val="0"/>
        <w:snapToGrid w:val="0"/>
        <w:spacing w:line="480" w:lineRule="exact"/>
        <w:ind w:left="142"/>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（投标人可根据项目需求及评标办法要求自行编写方案，格式自拟）</w:t>
      </w:r>
    </w:p>
    <w:p>
      <w:pPr>
        <w:pStyle w:val="24"/>
        <w:rPr>
          <w:rFonts w:hint="eastAsia" w:ascii="宋体" w:hAnsi="宋体" w:eastAsia="宋体" w:cs="宋体"/>
          <w:color w:val="auto"/>
          <w:highlight w:val="none"/>
        </w:rPr>
      </w:pPr>
    </w:p>
    <w:p>
      <w:pPr>
        <w:wordWrap w:val="0"/>
        <w:snapToGrid w:val="0"/>
        <w:spacing w:line="480" w:lineRule="exact"/>
        <w:jc w:val="left"/>
        <w:rPr>
          <w:rFonts w:hint="eastAsia" w:ascii="宋体" w:hAnsi="宋体" w:eastAsia="宋体" w:cs="宋体"/>
          <w:color w:val="auto"/>
          <w:sz w:val="24"/>
          <w:szCs w:val="20"/>
          <w:highlight w:val="none"/>
        </w:rPr>
      </w:pPr>
    </w:p>
    <w:p>
      <w:pPr>
        <w:wordWrap w:val="0"/>
        <w:snapToGrid w:val="0"/>
        <w:spacing w:line="480" w:lineRule="exact"/>
        <w:ind w:firstLine="123" w:firstLineChars="5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投标人（公章）：</w:t>
      </w:r>
      <w:r>
        <w:rPr>
          <w:rFonts w:hint="eastAsia" w:ascii="宋体" w:hAnsi="宋体" w:eastAsia="宋体" w:cs="宋体"/>
          <w:color w:val="auto"/>
          <w:szCs w:val="21"/>
          <w:highlight w:val="none"/>
          <w:u w:val="single"/>
        </w:rPr>
        <w:t xml:space="preserve">    　　　　　　　　　　　　　　   </w:t>
      </w:r>
    </w:p>
    <w:p>
      <w:pPr>
        <w:wordWrap w:val="0"/>
        <w:snapToGrid w:val="0"/>
        <w:spacing w:line="480" w:lineRule="exact"/>
        <w:ind w:firstLine="123" w:firstLineChars="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法定代表人或授权委托代理人（签字）</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zCs w:val="21"/>
          <w:highlight w:val="none"/>
          <w:u w:val="single"/>
        </w:rPr>
        <w:t xml:space="preserve"> </w:t>
      </w:r>
    </w:p>
    <w:p>
      <w:pPr>
        <w:wordWrap w:val="0"/>
        <w:snapToGrid w:val="0"/>
        <w:spacing w:line="480" w:lineRule="exact"/>
        <w:ind w:firstLine="123" w:firstLineChars="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日 期：</w:t>
      </w:r>
      <w:r>
        <w:rPr>
          <w:rFonts w:hint="eastAsia" w:ascii="宋体" w:hAnsi="宋体" w:eastAsia="宋体" w:cs="宋体"/>
          <w:color w:val="auto"/>
          <w:szCs w:val="21"/>
          <w:highlight w:val="none"/>
          <w:u w:val="single"/>
        </w:rPr>
        <w:t xml:space="preserve">   　　　　　　　　　　　　　　　　　      </w:t>
      </w: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1"/>
          <w:highlight w:val="none"/>
        </w:rPr>
      </w:pPr>
    </w:p>
    <w:p>
      <w:pPr>
        <w:pStyle w:val="2"/>
        <w:ind w:left="0" w:leftChars="0" w:firstLine="0" w:firstLineChars="0"/>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1"/>
          <w:highlight w:val="none"/>
        </w:rPr>
        <w:t>　</w:t>
      </w:r>
      <w:r>
        <w:rPr>
          <w:rFonts w:hint="eastAsia" w:ascii="宋体" w:hAnsi="宋体" w:eastAsia="宋体" w:cs="宋体"/>
          <w:b/>
          <w:bCs/>
          <w:color w:val="auto"/>
          <w:kern w:val="2"/>
          <w:sz w:val="21"/>
          <w:szCs w:val="24"/>
          <w:highlight w:val="none"/>
          <w:lang w:val="en-US" w:eastAsia="zh-CN" w:bidi="ar-SA"/>
        </w:rPr>
        <w:t>　8、投标人认为有必要提供的其他有关材料（格式自拟）</w:t>
      </w:r>
    </w:p>
    <w:p>
      <w:pPr>
        <w:wordWrap w:val="0"/>
        <w:snapToGrid w:val="0"/>
        <w:spacing w:line="480" w:lineRule="exact"/>
        <w:ind w:left="14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w:t>
      </w:r>
    </w:p>
    <w:p>
      <w:pPr>
        <w:wordWrap w:val="0"/>
        <w:snapToGrid w:val="0"/>
        <w:spacing w:line="480" w:lineRule="exact"/>
        <w:ind w:left="142"/>
        <w:jc w:val="left"/>
        <w:rPr>
          <w:rFonts w:hint="eastAsia" w:ascii="宋体" w:hAnsi="宋体" w:eastAsia="宋体" w:cs="宋体"/>
          <w:color w:val="auto"/>
          <w:sz w:val="24"/>
          <w:szCs w:val="20"/>
          <w:highlight w:val="none"/>
        </w:rPr>
      </w:pPr>
    </w:p>
    <w:p>
      <w:pPr>
        <w:pStyle w:val="24"/>
        <w:rPr>
          <w:rFonts w:hint="eastAsia" w:ascii="宋体" w:hAnsi="宋体" w:eastAsia="宋体" w:cs="宋体"/>
          <w:color w:val="auto"/>
          <w:highlight w:val="none"/>
        </w:rPr>
      </w:pPr>
    </w:p>
    <w:p>
      <w:pPr>
        <w:wordWrap w:val="0"/>
        <w:snapToGrid w:val="0"/>
        <w:spacing w:line="480" w:lineRule="exact"/>
        <w:jc w:val="left"/>
        <w:rPr>
          <w:rFonts w:hint="eastAsia" w:ascii="宋体" w:hAnsi="宋体" w:eastAsia="宋体" w:cs="宋体"/>
          <w:color w:val="auto"/>
          <w:sz w:val="24"/>
          <w:szCs w:val="20"/>
          <w:highlight w:val="none"/>
        </w:rPr>
      </w:pPr>
    </w:p>
    <w:p>
      <w:pPr>
        <w:wordWrap w:val="0"/>
        <w:snapToGrid w:val="0"/>
        <w:spacing w:line="480" w:lineRule="exact"/>
        <w:ind w:firstLine="123" w:firstLineChars="5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投标人（公章）：</w:t>
      </w:r>
      <w:r>
        <w:rPr>
          <w:rFonts w:hint="eastAsia" w:ascii="宋体" w:hAnsi="宋体" w:eastAsia="宋体" w:cs="宋体"/>
          <w:color w:val="auto"/>
          <w:szCs w:val="21"/>
          <w:highlight w:val="none"/>
          <w:u w:val="single"/>
        </w:rPr>
        <w:t xml:space="preserve">    　　　　　　　　　　　　　　   </w:t>
      </w:r>
    </w:p>
    <w:p>
      <w:pPr>
        <w:wordWrap w:val="0"/>
        <w:snapToGrid w:val="0"/>
        <w:spacing w:line="480" w:lineRule="exact"/>
        <w:ind w:firstLine="123" w:firstLineChars="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法定代表人或授权委托代理人（签字）</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zCs w:val="21"/>
          <w:highlight w:val="none"/>
          <w:u w:val="single"/>
        </w:rPr>
        <w:t xml:space="preserve"> </w:t>
      </w:r>
    </w:p>
    <w:p>
      <w:pPr>
        <w:wordWrap w:val="0"/>
        <w:snapToGrid w:val="0"/>
        <w:spacing w:line="480" w:lineRule="exact"/>
        <w:ind w:firstLine="123" w:firstLineChars="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日 期：</w:t>
      </w:r>
      <w:r>
        <w:rPr>
          <w:rFonts w:hint="eastAsia" w:ascii="宋体" w:hAnsi="宋体" w:eastAsia="宋体" w:cs="宋体"/>
          <w:color w:val="auto"/>
          <w:szCs w:val="21"/>
          <w:highlight w:val="none"/>
          <w:u w:val="single"/>
        </w:rPr>
        <w:t xml:space="preserve">   　　　　　　　　　　　　　　　　　      </w:t>
      </w:r>
    </w:p>
    <w:p>
      <w:pPr>
        <w:pStyle w:val="2"/>
        <w:ind w:firstLine="640"/>
        <w:rPr>
          <w:rFonts w:hint="eastAsia" w:ascii="宋体" w:hAnsi="宋体" w:eastAsia="宋体" w:cs="宋体"/>
          <w:color w:val="auto"/>
          <w:highlight w:val="none"/>
        </w:rPr>
      </w:pPr>
    </w:p>
    <w:p>
      <w:pPr>
        <w:pStyle w:val="2"/>
        <w:ind w:left="0" w:leftChars="0" w:firstLine="0" w:firstLineChars="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drawing>
          <wp:inline distT="0" distB="0" distL="114300" distR="114300">
            <wp:extent cx="5876925" cy="8277225"/>
            <wp:effectExtent l="0" t="0" r="9525" b="9525"/>
            <wp:docPr id="6" name="图片 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
                    <pic:cNvPicPr>
                      <a:picLocks noChangeAspect="1"/>
                    </pic:cNvPicPr>
                  </pic:nvPicPr>
                  <pic:blipFill>
                    <a:blip r:embed="rId13"/>
                    <a:stretch>
                      <a:fillRect/>
                    </a:stretch>
                  </pic:blipFill>
                  <pic:spPr>
                    <a:xfrm>
                      <a:off x="0" y="0"/>
                      <a:ext cx="5876925" cy="8277225"/>
                    </a:xfrm>
                    <a:prstGeom prst="rect">
                      <a:avLst/>
                    </a:prstGeom>
                  </pic:spPr>
                </pic:pic>
              </a:graphicData>
            </a:graphic>
          </wp:inline>
        </w:drawing>
      </w:r>
    </w:p>
    <w:p>
      <w:pPr>
        <w:pStyle w:val="2"/>
        <w:ind w:firstLine="640"/>
        <w:rPr>
          <w:rFonts w:hint="eastAsia" w:ascii="宋体" w:hAnsi="宋体" w:eastAsia="宋体" w:cs="宋体"/>
          <w:color w:val="auto"/>
          <w:highlight w:val="none"/>
        </w:rPr>
      </w:pPr>
    </w:p>
    <w:p>
      <w:pPr>
        <w:pStyle w:val="2"/>
        <w:ind w:firstLine="640"/>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sz w:val="24"/>
          <w:highlight w:val="none"/>
        </w:rPr>
      </w:pPr>
      <w:bookmarkStart w:id="121" w:name="_Toc27206_WPSOffice_Level1"/>
      <w:bookmarkStart w:id="122" w:name="_Toc531600013"/>
      <w:bookmarkStart w:id="123" w:name="_Toc4191"/>
      <w:bookmarkStart w:id="124" w:name="_Toc4372"/>
      <w:bookmarkStart w:id="125" w:name="_Toc15787"/>
      <w:bookmarkStart w:id="126" w:name="_Toc463706304"/>
      <w:bookmarkStart w:id="127" w:name="_Toc24707"/>
    </w:p>
    <w:bookmarkEnd w:id="121"/>
    <w:bookmarkEnd w:id="122"/>
    <w:bookmarkEnd w:id="123"/>
    <w:bookmarkEnd w:id="124"/>
    <w:bookmarkEnd w:id="125"/>
    <w:bookmarkEnd w:id="126"/>
    <w:bookmarkEnd w:id="127"/>
    <w:p>
      <w:pPr>
        <w:pStyle w:val="37"/>
        <w:spacing w:line="360" w:lineRule="auto"/>
        <w:rPr>
          <w:rFonts w:hint="eastAsia" w:ascii="宋体" w:hAnsi="宋体" w:eastAsia="宋体" w:cs="宋体"/>
          <w:color w:val="auto"/>
          <w:spacing w:val="6"/>
          <w:sz w:val="21"/>
          <w:szCs w:val="21"/>
          <w:highlight w:val="none"/>
        </w:rPr>
      </w:pPr>
    </w:p>
    <w:sectPr>
      <w:footerReference r:id="rId10" w:type="first"/>
      <w:footerReference r:id="rId9" w:type="default"/>
      <w:pgSz w:w="11906" w:h="16838"/>
      <w:pgMar w:top="1020" w:right="1134" w:bottom="1020" w:left="1304"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rFonts w:hint="eastAsia"/>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7"/>
                            <w:jc w:val="center"/>
                          </w:pPr>
                          <w:r>
                            <w:fldChar w:fldCharType="begin"/>
                          </w:r>
                          <w:r>
                            <w:instrText xml:space="preserve"> PAGE   \* MERGEFORMAT </w:instrText>
                          </w:r>
                          <w:r>
                            <w:fldChar w:fldCharType="separate"/>
                          </w:r>
                          <w:r>
                            <w:rPr>
                              <w:lang w:val="zh-CN"/>
                            </w:rPr>
                            <w:t>44</w:t>
                          </w:r>
                          <w:r>
                            <w:fldChar w:fldCharType="end"/>
                          </w:r>
                        </w:p>
                      </w:txbxContent>
                    </wps:txbx>
                    <wps:bodyPr wrap="none" lIns="0" tIns="0" rIns="0" bIns="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6/XG/OAQAAmQMAAA4AAAAAAAAAAQAgAAAAHgEAAGRycy9l&#10;Mm9Eb2MueG1sUEsFBgAAAAAGAAYAWQEAAF4FAAAAAA==&#10;">
              <v:fill on="f" focussize="0,0"/>
              <v:stroke on="f"/>
              <v:imagedata o:title=""/>
              <o:lock v:ext="edit" aspectratio="f"/>
              <v:textbox inset="0mm,0mm,0mm,0mm" style="mso-fit-shape-to-text:t;">
                <w:txbxContent>
                  <w:p>
                    <w:pPr>
                      <w:pStyle w:val="37"/>
                      <w:jc w:val="center"/>
                    </w:pPr>
                    <w:r>
                      <w:fldChar w:fldCharType="begin"/>
                    </w:r>
                    <w:r>
                      <w:instrText xml:space="preserve"> PAGE   \* MERGEFORMAT </w:instrText>
                    </w:r>
                    <w:r>
                      <w:fldChar w:fldCharType="separate"/>
                    </w:r>
                    <w:r>
                      <w:rPr>
                        <w:lang w:val="zh-CN"/>
                      </w:rP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7"/>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nvYGezAEAAJkDAAAOAAAAAAAAAAEAIAAAAB4BAABkcnMvZTJv&#10;RG9jLnhtbFBLBQYAAAAABgAGAFkBAABcBQAAAAA=&#10;">
              <v:fill on="f" focussize="0,0"/>
              <v:stroke on="f"/>
              <v:imagedata o:title=""/>
              <o:lock v:ext="edit" aspectratio="f"/>
              <v:textbox inset="0mm,0mm,0mm,0mm" style="mso-fit-shape-to-text:t;">
                <w:txbxContent>
                  <w:p>
                    <w:pPr>
                      <w:pStyle w:val="37"/>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7"/>
                            <w:jc w:val="center"/>
                          </w:pPr>
                          <w:r>
                            <w:fldChar w:fldCharType="begin"/>
                          </w:r>
                          <w:r>
                            <w:instrText xml:space="preserve"> PAGE   \* MERGEFORMAT </w:instrText>
                          </w:r>
                          <w:r>
                            <w:fldChar w:fldCharType="separate"/>
                          </w:r>
                          <w:r>
                            <w:rPr>
                              <w:lang w:val="zh-CN"/>
                            </w:rPr>
                            <w:t>44</w:t>
                          </w:r>
                          <w:r>
                            <w:fldChar w:fldCharType="end"/>
                          </w:r>
                        </w:p>
                      </w:txbxContent>
                    </wps:txbx>
                    <wps:bodyPr wrap="none" lIns="0" tIns="0" rIns="0" bIns="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z4lDbOAQAAmQMAAA4AAAAAAAAAAQAgAAAAHgEAAGRycy9l&#10;Mm9Eb2MueG1sUEsFBgAAAAAGAAYAWQEAAF4FAAAAAA==&#10;">
              <v:fill on="f" focussize="0,0"/>
              <v:stroke on="f"/>
              <v:imagedata o:title=""/>
              <o:lock v:ext="edit" aspectratio="f"/>
              <v:textbox inset="0mm,0mm,0mm,0mm" style="mso-fit-shape-to-text:t;">
                <w:txbxContent>
                  <w:p>
                    <w:pPr>
                      <w:pStyle w:val="37"/>
                      <w:jc w:val="center"/>
                    </w:pPr>
                    <w:r>
                      <w:fldChar w:fldCharType="begin"/>
                    </w:r>
                    <w:r>
                      <w:instrText xml:space="preserve"> PAGE   \* MERGEFORMAT </w:instrText>
                    </w:r>
                    <w:r>
                      <w:fldChar w:fldCharType="separate"/>
                    </w:r>
                    <w:r>
                      <w:rPr>
                        <w:lang w:val="zh-CN"/>
                      </w:rP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7"/>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fhzUOzAEAAJkDAAAOAAAAAAAAAAEAIAAAAB4BAABkcnMvZTJv&#10;RG9jLnhtbFBLBQYAAAAABgAGAFkBAABcBQAAAAA=&#10;">
              <v:fill on="f" focussize="0,0"/>
              <v:stroke on="f"/>
              <v:imagedata o:title=""/>
              <o:lock v:ext="edit" aspectratio="f"/>
              <v:textbox inset="0mm,0mm,0mm,0mm" style="mso-fit-shape-to-text:t;">
                <w:txbxContent>
                  <w:p>
                    <w:pPr>
                      <w:pStyle w:val="37"/>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p>
    <w:pPr>
      <w:pStyle w:val="11"/>
      <w:pBdr>
        <w:bottom w:val="none" w:color="auto" w:sz="0" w:space="1"/>
      </w:pBdr>
      <w:ind w:firstLine="4860" w:firstLineChars="270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D307A"/>
    <w:multiLevelType w:val="singleLevel"/>
    <w:tmpl w:val="99BD307A"/>
    <w:lvl w:ilvl="0" w:tentative="0">
      <w:start w:val="3"/>
      <w:numFmt w:val="chineseCounting"/>
      <w:suff w:val="space"/>
      <w:lvlText w:val="第%1章"/>
      <w:lvlJc w:val="left"/>
      <w:rPr>
        <w:rFonts w:hint="eastAsia"/>
      </w:rPr>
    </w:lvl>
  </w:abstractNum>
  <w:abstractNum w:abstractNumId="1">
    <w:nsid w:val="DCA41EF3"/>
    <w:multiLevelType w:val="singleLevel"/>
    <w:tmpl w:val="DCA41EF3"/>
    <w:lvl w:ilvl="0" w:tentative="0">
      <w:start w:val="1"/>
      <w:numFmt w:val="decimal"/>
      <w:suff w:val="nothing"/>
      <w:lvlText w:val="%1、"/>
      <w:lvlJc w:val="left"/>
    </w:lvl>
  </w:abstractNum>
  <w:abstractNum w:abstractNumId="2">
    <w:nsid w:val="E080BCF3"/>
    <w:multiLevelType w:val="singleLevel"/>
    <w:tmpl w:val="E080BCF3"/>
    <w:lvl w:ilvl="0" w:tentative="0">
      <w:start w:val="12"/>
      <w:numFmt w:val="decimal"/>
      <w:suff w:val="nothing"/>
      <w:lvlText w:val="%1、"/>
      <w:lvlJc w:val="left"/>
    </w:lvl>
  </w:abstractNum>
  <w:abstractNum w:abstractNumId="3">
    <w:nsid w:val="FD6A2103"/>
    <w:multiLevelType w:val="singleLevel"/>
    <w:tmpl w:val="FD6A2103"/>
    <w:lvl w:ilvl="0" w:tentative="0">
      <w:start w:val="5"/>
      <w:numFmt w:val="chineseCounting"/>
      <w:suff w:val="nothing"/>
      <w:lvlText w:val="%1、"/>
      <w:lvlJc w:val="left"/>
      <w:rPr>
        <w:rFonts w:hint="eastAsia"/>
      </w:r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2"/>
      <w:suff w:val="nothing"/>
      <w:lvlText w:val=""/>
      <w:lvlJc w:val="left"/>
      <w:pPr>
        <w:ind w:left="0" w:firstLine="0"/>
      </w:pPr>
      <w:rPr>
        <w:rFonts w:hint="eastAsia"/>
      </w:rPr>
    </w:lvl>
    <w:lvl w:ilvl="6" w:tentative="0">
      <w:start w:val="1"/>
      <w:numFmt w:val="none"/>
      <w:pStyle w:val="13"/>
      <w:suff w:val="nothing"/>
      <w:lvlText w:val=""/>
      <w:lvlJc w:val="left"/>
      <w:pPr>
        <w:ind w:left="0" w:firstLine="0"/>
      </w:pPr>
      <w:rPr>
        <w:rFonts w:hint="eastAsia"/>
      </w:rPr>
    </w:lvl>
    <w:lvl w:ilvl="7" w:tentative="0">
      <w:start w:val="1"/>
      <w:numFmt w:val="none"/>
      <w:pStyle w:val="14"/>
      <w:suff w:val="nothing"/>
      <w:lvlText w:val=""/>
      <w:lvlJc w:val="left"/>
      <w:pPr>
        <w:ind w:left="0" w:firstLine="0"/>
      </w:pPr>
      <w:rPr>
        <w:rFonts w:hint="eastAsia"/>
      </w:rPr>
    </w:lvl>
    <w:lvl w:ilvl="8" w:tentative="0">
      <w:start w:val="1"/>
      <w:numFmt w:val="none"/>
      <w:pStyle w:val="15"/>
      <w:suff w:val="nothing"/>
      <w:lvlText w:val=""/>
      <w:lvlJc w:val="left"/>
      <w:pPr>
        <w:ind w:left="0" w:firstLine="0"/>
      </w:pPr>
      <w:rPr>
        <w:rFonts w:hint="eastAsia"/>
      </w:r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瓶盖">
    <w15:presenceInfo w15:providerId="None" w15:userId="小瓶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97"/>
    <w:rsid w:val="0000005A"/>
    <w:rsid w:val="0000057B"/>
    <w:rsid w:val="00000AE8"/>
    <w:rsid w:val="00000F37"/>
    <w:rsid w:val="00002841"/>
    <w:rsid w:val="00005181"/>
    <w:rsid w:val="00006947"/>
    <w:rsid w:val="00006C95"/>
    <w:rsid w:val="00006E80"/>
    <w:rsid w:val="00007642"/>
    <w:rsid w:val="0001023C"/>
    <w:rsid w:val="000113D8"/>
    <w:rsid w:val="00011F74"/>
    <w:rsid w:val="0001298E"/>
    <w:rsid w:val="0001298F"/>
    <w:rsid w:val="000129FA"/>
    <w:rsid w:val="000164EE"/>
    <w:rsid w:val="00017282"/>
    <w:rsid w:val="00017F52"/>
    <w:rsid w:val="00020D9B"/>
    <w:rsid w:val="00021C56"/>
    <w:rsid w:val="00021DBE"/>
    <w:rsid w:val="00024000"/>
    <w:rsid w:val="00024E92"/>
    <w:rsid w:val="0002576D"/>
    <w:rsid w:val="00025843"/>
    <w:rsid w:val="000260E9"/>
    <w:rsid w:val="00026FF1"/>
    <w:rsid w:val="00030A33"/>
    <w:rsid w:val="00031ABE"/>
    <w:rsid w:val="00031FF3"/>
    <w:rsid w:val="00032717"/>
    <w:rsid w:val="0003300F"/>
    <w:rsid w:val="00033488"/>
    <w:rsid w:val="00033B64"/>
    <w:rsid w:val="00035627"/>
    <w:rsid w:val="000365D6"/>
    <w:rsid w:val="0004030A"/>
    <w:rsid w:val="00040F1D"/>
    <w:rsid w:val="00046EC8"/>
    <w:rsid w:val="00046FA5"/>
    <w:rsid w:val="0005287D"/>
    <w:rsid w:val="00052D5A"/>
    <w:rsid w:val="00055B43"/>
    <w:rsid w:val="00056857"/>
    <w:rsid w:val="00057B1A"/>
    <w:rsid w:val="00060D32"/>
    <w:rsid w:val="00061165"/>
    <w:rsid w:val="000616D7"/>
    <w:rsid w:val="0006454A"/>
    <w:rsid w:val="000655A8"/>
    <w:rsid w:val="00066D2F"/>
    <w:rsid w:val="00070D1A"/>
    <w:rsid w:val="0007304A"/>
    <w:rsid w:val="000736DF"/>
    <w:rsid w:val="00075FBD"/>
    <w:rsid w:val="00077875"/>
    <w:rsid w:val="00081386"/>
    <w:rsid w:val="000823DC"/>
    <w:rsid w:val="00082A21"/>
    <w:rsid w:val="00083904"/>
    <w:rsid w:val="000841B6"/>
    <w:rsid w:val="000847D4"/>
    <w:rsid w:val="000856EF"/>
    <w:rsid w:val="00085E79"/>
    <w:rsid w:val="00086180"/>
    <w:rsid w:val="0009110F"/>
    <w:rsid w:val="0009174D"/>
    <w:rsid w:val="000926F2"/>
    <w:rsid w:val="0009330F"/>
    <w:rsid w:val="000937F3"/>
    <w:rsid w:val="00093C04"/>
    <w:rsid w:val="0009465F"/>
    <w:rsid w:val="00095507"/>
    <w:rsid w:val="00095CD9"/>
    <w:rsid w:val="000A186C"/>
    <w:rsid w:val="000A2168"/>
    <w:rsid w:val="000A2C8E"/>
    <w:rsid w:val="000A3E46"/>
    <w:rsid w:val="000A3F5D"/>
    <w:rsid w:val="000A45EE"/>
    <w:rsid w:val="000A4D53"/>
    <w:rsid w:val="000A6489"/>
    <w:rsid w:val="000A6A87"/>
    <w:rsid w:val="000B21F1"/>
    <w:rsid w:val="000B4CAA"/>
    <w:rsid w:val="000B4D21"/>
    <w:rsid w:val="000B55D6"/>
    <w:rsid w:val="000B5CC9"/>
    <w:rsid w:val="000B6A39"/>
    <w:rsid w:val="000B7565"/>
    <w:rsid w:val="000B765C"/>
    <w:rsid w:val="000B7F73"/>
    <w:rsid w:val="000C0761"/>
    <w:rsid w:val="000C0821"/>
    <w:rsid w:val="000C0C55"/>
    <w:rsid w:val="000C2B5D"/>
    <w:rsid w:val="000C486E"/>
    <w:rsid w:val="000C679E"/>
    <w:rsid w:val="000C6822"/>
    <w:rsid w:val="000C6F70"/>
    <w:rsid w:val="000C705B"/>
    <w:rsid w:val="000C756D"/>
    <w:rsid w:val="000D003D"/>
    <w:rsid w:val="000D0733"/>
    <w:rsid w:val="000D1DF0"/>
    <w:rsid w:val="000D3DFA"/>
    <w:rsid w:val="000D3EE3"/>
    <w:rsid w:val="000D491C"/>
    <w:rsid w:val="000D4FD9"/>
    <w:rsid w:val="000D5A66"/>
    <w:rsid w:val="000D708C"/>
    <w:rsid w:val="000E5CED"/>
    <w:rsid w:val="000E75A9"/>
    <w:rsid w:val="000E7F77"/>
    <w:rsid w:val="000F0299"/>
    <w:rsid w:val="000F0FE0"/>
    <w:rsid w:val="000F2C6C"/>
    <w:rsid w:val="000F4978"/>
    <w:rsid w:val="000F558B"/>
    <w:rsid w:val="000F6AFD"/>
    <w:rsid w:val="00100DA0"/>
    <w:rsid w:val="00100F0A"/>
    <w:rsid w:val="0010136B"/>
    <w:rsid w:val="00102406"/>
    <w:rsid w:val="001028E8"/>
    <w:rsid w:val="00104452"/>
    <w:rsid w:val="00105FF6"/>
    <w:rsid w:val="001074B3"/>
    <w:rsid w:val="0011025A"/>
    <w:rsid w:val="00110625"/>
    <w:rsid w:val="00114C91"/>
    <w:rsid w:val="00115213"/>
    <w:rsid w:val="00115A8C"/>
    <w:rsid w:val="00121E2D"/>
    <w:rsid w:val="001250B0"/>
    <w:rsid w:val="00125216"/>
    <w:rsid w:val="00130BBD"/>
    <w:rsid w:val="00132E92"/>
    <w:rsid w:val="00132F4E"/>
    <w:rsid w:val="00134BC2"/>
    <w:rsid w:val="0013529F"/>
    <w:rsid w:val="00135E8E"/>
    <w:rsid w:val="0013741C"/>
    <w:rsid w:val="00140474"/>
    <w:rsid w:val="001408BB"/>
    <w:rsid w:val="001408C5"/>
    <w:rsid w:val="00140F50"/>
    <w:rsid w:val="001417BD"/>
    <w:rsid w:val="00143B49"/>
    <w:rsid w:val="0014406A"/>
    <w:rsid w:val="00144589"/>
    <w:rsid w:val="001445E1"/>
    <w:rsid w:val="001446C6"/>
    <w:rsid w:val="001449D1"/>
    <w:rsid w:val="001451ED"/>
    <w:rsid w:val="00150957"/>
    <w:rsid w:val="00150F92"/>
    <w:rsid w:val="001518B3"/>
    <w:rsid w:val="00156ADA"/>
    <w:rsid w:val="001574E5"/>
    <w:rsid w:val="001577D3"/>
    <w:rsid w:val="00161A6E"/>
    <w:rsid w:val="00161C9A"/>
    <w:rsid w:val="00161FD4"/>
    <w:rsid w:val="00162566"/>
    <w:rsid w:val="00162F97"/>
    <w:rsid w:val="00163D3A"/>
    <w:rsid w:val="00165222"/>
    <w:rsid w:val="00165724"/>
    <w:rsid w:val="00167923"/>
    <w:rsid w:val="0017052E"/>
    <w:rsid w:val="00170E37"/>
    <w:rsid w:val="0017143C"/>
    <w:rsid w:val="00172B63"/>
    <w:rsid w:val="001736F8"/>
    <w:rsid w:val="00175C6F"/>
    <w:rsid w:val="00176E73"/>
    <w:rsid w:val="0017728D"/>
    <w:rsid w:val="0017792D"/>
    <w:rsid w:val="001779B0"/>
    <w:rsid w:val="00177C0F"/>
    <w:rsid w:val="00181FA4"/>
    <w:rsid w:val="00183303"/>
    <w:rsid w:val="001857B3"/>
    <w:rsid w:val="00185F8D"/>
    <w:rsid w:val="001862C1"/>
    <w:rsid w:val="00190370"/>
    <w:rsid w:val="00190E9F"/>
    <w:rsid w:val="00192859"/>
    <w:rsid w:val="00194C02"/>
    <w:rsid w:val="00194F62"/>
    <w:rsid w:val="001953BB"/>
    <w:rsid w:val="00196B23"/>
    <w:rsid w:val="00196C69"/>
    <w:rsid w:val="001A26A6"/>
    <w:rsid w:val="001A3CF6"/>
    <w:rsid w:val="001A5886"/>
    <w:rsid w:val="001A58F9"/>
    <w:rsid w:val="001B0ABA"/>
    <w:rsid w:val="001B114C"/>
    <w:rsid w:val="001B1390"/>
    <w:rsid w:val="001B206E"/>
    <w:rsid w:val="001B2316"/>
    <w:rsid w:val="001B2962"/>
    <w:rsid w:val="001B38A3"/>
    <w:rsid w:val="001B3AAD"/>
    <w:rsid w:val="001B4683"/>
    <w:rsid w:val="001B6DDF"/>
    <w:rsid w:val="001B7382"/>
    <w:rsid w:val="001C015F"/>
    <w:rsid w:val="001C2067"/>
    <w:rsid w:val="001C24A6"/>
    <w:rsid w:val="001C2D1D"/>
    <w:rsid w:val="001C379D"/>
    <w:rsid w:val="001C3DCF"/>
    <w:rsid w:val="001C4009"/>
    <w:rsid w:val="001C425D"/>
    <w:rsid w:val="001C469F"/>
    <w:rsid w:val="001C4A9C"/>
    <w:rsid w:val="001C4C10"/>
    <w:rsid w:val="001C521B"/>
    <w:rsid w:val="001C5276"/>
    <w:rsid w:val="001C5601"/>
    <w:rsid w:val="001C5D25"/>
    <w:rsid w:val="001C65C5"/>
    <w:rsid w:val="001C6B49"/>
    <w:rsid w:val="001C7BE3"/>
    <w:rsid w:val="001D2060"/>
    <w:rsid w:val="001D2590"/>
    <w:rsid w:val="001D2A8E"/>
    <w:rsid w:val="001D34A8"/>
    <w:rsid w:val="001D51E5"/>
    <w:rsid w:val="001D64FE"/>
    <w:rsid w:val="001D7C3C"/>
    <w:rsid w:val="001E0FD4"/>
    <w:rsid w:val="001E3F2C"/>
    <w:rsid w:val="001E4F70"/>
    <w:rsid w:val="001E530E"/>
    <w:rsid w:val="001E5371"/>
    <w:rsid w:val="001E54EF"/>
    <w:rsid w:val="001E5FA7"/>
    <w:rsid w:val="001F13BD"/>
    <w:rsid w:val="001F1CF5"/>
    <w:rsid w:val="001F1D36"/>
    <w:rsid w:val="001F1ECC"/>
    <w:rsid w:val="001F3FFE"/>
    <w:rsid w:val="001F47BD"/>
    <w:rsid w:val="001F7199"/>
    <w:rsid w:val="001F73C5"/>
    <w:rsid w:val="00200775"/>
    <w:rsid w:val="002017C0"/>
    <w:rsid w:val="00201F0E"/>
    <w:rsid w:val="00202AA5"/>
    <w:rsid w:val="00204F47"/>
    <w:rsid w:val="00205000"/>
    <w:rsid w:val="00210021"/>
    <w:rsid w:val="00211F2D"/>
    <w:rsid w:val="00212158"/>
    <w:rsid w:val="00215E5D"/>
    <w:rsid w:val="002161C7"/>
    <w:rsid w:val="0021637B"/>
    <w:rsid w:val="0021685B"/>
    <w:rsid w:val="00221223"/>
    <w:rsid w:val="00223603"/>
    <w:rsid w:val="00225B4C"/>
    <w:rsid w:val="00226DC3"/>
    <w:rsid w:val="00227CA8"/>
    <w:rsid w:val="00231B66"/>
    <w:rsid w:val="0023599C"/>
    <w:rsid w:val="002455DB"/>
    <w:rsid w:val="00252A28"/>
    <w:rsid w:val="00252E73"/>
    <w:rsid w:val="00253DB5"/>
    <w:rsid w:val="002544F6"/>
    <w:rsid w:val="002547AB"/>
    <w:rsid w:val="00254866"/>
    <w:rsid w:val="00257042"/>
    <w:rsid w:val="002579FE"/>
    <w:rsid w:val="0026003C"/>
    <w:rsid w:val="00260FF8"/>
    <w:rsid w:val="0026211A"/>
    <w:rsid w:val="002627AB"/>
    <w:rsid w:val="002629F9"/>
    <w:rsid w:val="002639D6"/>
    <w:rsid w:val="00263D39"/>
    <w:rsid w:val="00264414"/>
    <w:rsid w:val="00264491"/>
    <w:rsid w:val="00264C05"/>
    <w:rsid w:val="002655B1"/>
    <w:rsid w:val="00265BBF"/>
    <w:rsid w:val="00270710"/>
    <w:rsid w:val="002766C1"/>
    <w:rsid w:val="002767D3"/>
    <w:rsid w:val="002770C9"/>
    <w:rsid w:val="00277983"/>
    <w:rsid w:val="002802C6"/>
    <w:rsid w:val="0028084B"/>
    <w:rsid w:val="002814D3"/>
    <w:rsid w:val="002818E2"/>
    <w:rsid w:val="00282095"/>
    <w:rsid w:val="00282C39"/>
    <w:rsid w:val="0028330F"/>
    <w:rsid w:val="00284376"/>
    <w:rsid w:val="002857D3"/>
    <w:rsid w:val="00287DDD"/>
    <w:rsid w:val="002903D1"/>
    <w:rsid w:val="002907CF"/>
    <w:rsid w:val="0029137F"/>
    <w:rsid w:val="00291BD9"/>
    <w:rsid w:val="00292E43"/>
    <w:rsid w:val="0029432A"/>
    <w:rsid w:val="00295BFB"/>
    <w:rsid w:val="00296CC6"/>
    <w:rsid w:val="002A1209"/>
    <w:rsid w:val="002A174B"/>
    <w:rsid w:val="002A1D59"/>
    <w:rsid w:val="002A2E69"/>
    <w:rsid w:val="002A35AA"/>
    <w:rsid w:val="002A451A"/>
    <w:rsid w:val="002A475F"/>
    <w:rsid w:val="002B06D1"/>
    <w:rsid w:val="002B0793"/>
    <w:rsid w:val="002B169B"/>
    <w:rsid w:val="002B2D5E"/>
    <w:rsid w:val="002B3E5D"/>
    <w:rsid w:val="002B3F2C"/>
    <w:rsid w:val="002B53F2"/>
    <w:rsid w:val="002B685C"/>
    <w:rsid w:val="002C07F3"/>
    <w:rsid w:val="002C2CCC"/>
    <w:rsid w:val="002C618F"/>
    <w:rsid w:val="002C677C"/>
    <w:rsid w:val="002C7849"/>
    <w:rsid w:val="002D0BBB"/>
    <w:rsid w:val="002D2290"/>
    <w:rsid w:val="002D309B"/>
    <w:rsid w:val="002D59FD"/>
    <w:rsid w:val="002D60EC"/>
    <w:rsid w:val="002D652E"/>
    <w:rsid w:val="002D6DBE"/>
    <w:rsid w:val="002D7C4D"/>
    <w:rsid w:val="002E29C0"/>
    <w:rsid w:val="002E3ED9"/>
    <w:rsid w:val="002E55A8"/>
    <w:rsid w:val="002E63F6"/>
    <w:rsid w:val="002E6AB8"/>
    <w:rsid w:val="002F02AA"/>
    <w:rsid w:val="002F1E18"/>
    <w:rsid w:val="002F2CFA"/>
    <w:rsid w:val="002F36D1"/>
    <w:rsid w:val="002F79DC"/>
    <w:rsid w:val="003019C0"/>
    <w:rsid w:val="003025E8"/>
    <w:rsid w:val="00304D13"/>
    <w:rsid w:val="00305B7F"/>
    <w:rsid w:val="00306C78"/>
    <w:rsid w:val="00306F36"/>
    <w:rsid w:val="003072DD"/>
    <w:rsid w:val="003073CE"/>
    <w:rsid w:val="0031009A"/>
    <w:rsid w:val="00311232"/>
    <w:rsid w:val="00311FCE"/>
    <w:rsid w:val="00313583"/>
    <w:rsid w:val="003173E8"/>
    <w:rsid w:val="003212CB"/>
    <w:rsid w:val="00321AA0"/>
    <w:rsid w:val="003228DA"/>
    <w:rsid w:val="00322F67"/>
    <w:rsid w:val="003240A6"/>
    <w:rsid w:val="0032431A"/>
    <w:rsid w:val="0032728C"/>
    <w:rsid w:val="00332776"/>
    <w:rsid w:val="003334C3"/>
    <w:rsid w:val="003347B4"/>
    <w:rsid w:val="00334E97"/>
    <w:rsid w:val="00335880"/>
    <w:rsid w:val="00335B42"/>
    <w:rsid w:val="00335DFC"/>
    <w:rsid w:val="00335FA5"/>
    <w:rsid w:val="00337BB1"/>
    <w:rsid w:val="00337F8A"/>
    <w:rsid w:val="00341144"/>
    <w:rsid w:val="00342E82"/>
    <w:rsid w:val="003448CD"/>
    <w:rsid w:val="00345CA0"/>
    <w:rsid w:val="00347218"/>
    <w:rsid w:val="0034729E"/>
    <w:rsid w:val="0035060B"/>
    <w:rsid w:val="003526EA"/>
    <w:rsid w:val="0035452C"/>
    <w:rsid w:val="00355508"/>
    <w:rsid w:val="0036060F"/>
    <w:rsid w:val="00362882"/>
    <w:rsid w:val="00362A15"/>
    <w:rsid w:val="00362C9B"/>
    <w:rsid w:val="00362EF3"/>
    <w:rsid w:val="0036342A"/>
    <w:rsid w:val="00363B93"/>
    <w:rsid w:val="00364FE2"/>
    <w:rsid w:val="00365DA2"/>
    <w:rsid w:val="003662C0"/>
    <w:rsid w:val="00366B32"/>
    <w:rsid w:val="00371590"/>
    <w:rsid w:val="003755FF"/>
    <w:rsid w:val="00376D30"/>
    <w:rsid w:val="0037724D"/>
    <w:rsid w:val="00377F89"/>
    <w:rsid w:val="00381F04"/>
    <w:rsid w:val="00382998"/>
    <w:rsid w:val="003832A5"/>
    <w:rsid w:val="003834D6"/>
    <w:rsid w:val="003862A5"/>
    <w:rsid w:val="003907F1"/>
    <w:rsid w:val="00393DC2"/>
    <w:rsid w:val="00393F2F"/>
    <w:rsid w:val="00397F88"/>
    <w:rsid w:val="003A0F74"/>
    <w:rsid w:val="003A28F4"/>
    <w:rsid w:val="003A3CAD"/>
    <w:rsid w:val="003A4151"/>
    <w:rsid w:val="003A5838"/>
    <w:rsid w:val="003A615D"/>
    <w:rsid w:val="003A75DE"/>
    <w:rsid w:val="003B0C4E"/>
    <w:rsid w:val="003B2780"/>
    <w:rsid w:val="003B6F22"/>
    <w:rsid w:val="003C1CFE"/>
    <w:rsid w:val="003C2D8E"/>
    <w:rsid w:val="003C33EC"/>
    <w:rsid w:val="003C37E4"/>
    <w:rsid w:val="003C427F"/>
    <w:rsid w:val="003C4751"/>
    <w:rsid w:val="003C795E"/>
    <w:rsid w:val="003D0144"/>
    <w:rsid w:val="003D0701"/>
    <w:rsid w:val="003D1F60"/>
    <w:rsid w:val="003D3AED"/>
    <w:rsid w:val="003D42F3"/>
    <w:rsid w:val="003D50F4"/>
    <w:rsid w:val="003D6132"/>
    <w:rsid w:val="003D6D3C"/>
    <w:rsid w:val="003D6DE7"/>
    <w:rsid w:val="003E2B4A"/>
    <w:rsid w:val="003E6156"/>
    <w:rsid w:val="003F19C3"/>
    <w:rsid w:val="003F3D1B"/>
    <w:rsid w:val="0040064C"/>
    <w:rsid w:val="00403E65"/>
    <w:rsid w:val="00404BC0"/>
    <w:rsid w:val="00404EF7"/>
    <w:rsid w:val="00406CDD"/>
    <w:rsid w:val="00407124"/>
    <w:rsid w:val="004078E3"/>
    <w:rsid w:val="00417833"/>
    <w:rsid w:val="00421E9A"/>
    <w:rsid w:val="00423BD9"/>
    <w:rsid w:val="00423D63"/>
    <w:rsid w:val="00424C01"/>
    <w:rsid w:val="004264E9"/>
    <w:rsid w:val="0042720A"/>
    <w:rsid w:val="00430B8B"/>
    <w:rsid w:val="00430C7F"/>
    <w:rsid w:val="0043132E"/>
    <w:rsid w:val="00432B01"/>
    <w:rsid w:val="00432D34"/>
    <w:rsid w:val="00437163"/>
    <w:rsid w:val="004411E9"/>
    <w:rsid w:val="004419B9"/>
    <w:rsid w:val="00443CC3"/>
    <w:rsid w:val="0044432F"/>
    <w:rsid w:val="00444BD3"/>
    <w:rsid w:val="0044533D"/>
    <w:rsid w:val="00446258"/>
    <w:rsid w:val="00447AD1"/>
    <w:rsid w:val="00451EC7"/>
    <w:rsid w:val="004539FC"/>
    <w:rsid w:val="004548D3"/>
    <w:rsid w:val="004555F5"/>
    <w:rsid w:val="00456429"/>
    <w:rsid w:val="0045665D"/>
    <w:rsid w:val="00461C15"/>
    <w:rsid w:val="00462BC8"/>
    <w:rsid w:val="00463406"/>
    <w:rsid w:val="00464AED"/>
    <w:rsid w:val="00465AC8"/>
    <w:rsid w:val="004676A5"/>
    <w:rsid w:val="00470547"/>
    <w:rsid w:val="0047262D"/>
    <w:rsid w:val="00472D94"/>
    <w:rsid w:val="00474085"/>
    <w:rsid w:val="0047468D"/>
    <w:rsid w:val="004746CF"/>
    <w:rsid w:val="0047494C"/>
    <w:rsid w:val="00474DFF"/>
    <w:rsid w:val="0047698C"/>
    <w:rsid w:val="00477F21"/>
    <w:rsid w:val="004814B9"/>
    <w:rsid w:val="00482FD2"/>
    <w:rsid w:val="0048700F"/>
    <w:rsid w:val="004871E3"/>
    <w:rsid w:val="00490BBE"/>
    <w:rsid w:val="00491216"/>
    <w:rsid w:val="0049440E"/>
    <w:rsid w:val="00495539"/>
    <w:rsid w:val="004972A9"/>
    <w:rsid w:val="004A0998"/>
    <w:rsid w:val="004A0D63"/>
    <w:rsid w:val="004A2E52"/>
    <w:rsid w:val="004A45A0"/>
    <w:rsid w:val="004A678D"/>
    <w:rsid w:val="004A6CC0"/>
    <w:rsid w:val="004A7D28"/>
    <w:rsid w:val="004B1BCF"/>
    <w:rsid w:val="004B1E8C"/>
    <w:rsid w:val="004B2278"/>
    <w:rsid w:val="004B24C9"/>
    <w:rsid w:val="004B2CF7"/>
    <w:rsid w:val="004B3559"/>
    <w:rsid w:val="004B3720"/>
    <w:rsid w:val="004B3C0B"/>
    <w:rsid w:val="004B4C40"/>
    <w:rsid w:val="004B4D5C"/>
    <w:rsid w:val="004B6CC4"/>
    <w:rsid w:val="004B7788"/>
    <w:rsid w:val="004C00A9"/>
    <w:rsid w:val="004C0DF6"/>
    <w:rsid w:val="004C42F0"/>
    <w:rsid w:val="004C4354"/>
    <w:rsid w:val="004C4B7C"/>
    <w:rsid w:val="004C67B1"/>
    <w:rsid w:val="004C7202"/>
    <w:rsid w:val="004D0D1B"/>
    <w:rsid w:val="004D0EBA"/>
    <w:rsid w:val="004D1EA0"/>
    <w:rsid w:val="004D4D4F"/>
    <w:rsid w:val="004D55A1"/>
    <w:rsid w:val="004D5860"/>
    <w:rsid w:val="004D743E"/>
    <w:rsid w:val="004D7A3A"/>
    <w:rsid w:val="004E0401"/>
    <w:rsid w:val="004E0C22"/>
    <w:rsid w:val="004E2D4E"/>
    <w:rsid w:val="004E310C"/>
    <w:rsid w:val="004E31BC"/>
    <w:rsid w:val="004E3F67"/>
    <w:rsid w:val="004E4BB3"/>
    <w:rsid w:val="004E65B6"/>
    <w:rsid w:val="004E73B2"/>
    <w:rsid w:val="004F0B62"/>
    <w:rsid w:val="004F3491"/>
    <w:rsid w:val="004F45C3"/>
    <w:rsid w:val="004F4708"/>
    <w:rsid w:val="0050048A"/>
    <w:rsid w:val="00500EC9"/>
    <w:rsid w:val="00503B6C"/>
    <w:rsid w:val="0050466A"/>
    <w:rsid w:val="0050553C"/>
    <w:rsid w:val="00510F35"/>
    <w:rsid w:val="00511A31"/>
    <w:rsid w:val="00512388"/>
    <w:rsid w:val="00512C38"/>
    <w:rsid w:val="005139EF"/>
    <w:rsid w:val="0051417D"/>
    <w:rsid w:val="00514A5F"/>
    <w:rsid w:val="005211DE"/>
    <w:rsid w:val="00521B82"/>
    <w:rsid w:val="00521DA3"/>
    <w:rsid w:val="00522144"/>
    <w:rsid w:val="0052222B"/>
    <w:rsid w:val="00522E5B"/>
    <w:rsid w:val="00523CB1"/>
    <w:rsid w:val="00524059"/>
    <w:rsid w:val="00524762"/>
    <w:rsid w:val="005276D4"/>
    <w:rsid w:val="0053060B"/>
    <w:rsid w:val="00531F20"/>
    <w:rsid w:val="00533074"/>
    <w:rsid w:val="0053372C"/>
    <w:rsid w:val="00535166"/>
    <w:rsid w:val="00535621"/>
    <w:rsid w:val="00536D4C"/>
    <w:rsid w:val="005373D4"/>
    <w:rsid w:val="0054133D"/>
    <w:rsid w:val="00541348"/>
    <w:rsid w:val="0054187F"/>
    <w:rsid w:val="00542985"/>
    <w:rsid w:val="00542E47"/>
    <w:rsid w:val="00543537"/>
    <w:rsid w:val="00545FDF"/>
    <w:rsid w:val="0054787C"/>
    <w:rsid w:val="0055089C"/>
    <w:rsid w:val="00550CDE"/>
    <w:rsid w:val="00552A11"/>
    <w:rsid w:val="005533FE"/>
    <w:rsid w:val="00555C72"/>
    <w:rsid w:val="005564DF"/>
    <w:rsid w:val="00557C68"/>
    <w:rsid w:val="00560924"/>
    <w:rsid w:val="0056121D"/>
    <w:rsid w:val="00562D1F"/>
    <w:rsid w:val="00566BF6"/>
    <w:rsid w:val="00566FC1"/>
    <w:rsid w:val="005672B2"/>
    <w:rsid w:val="00567B1D"/>
    <w:rsid w:val="0057186F"/>
    <w:rsid w:val="00571FB6"/>
    <w:rsid w:val="00574AE8"/>
    <w:rsid w:val="00576DB7"/>
    <w:rsid w:val="00576E7D"/>
    <w:rsid w:val="00577E80"/>
    <w:rsid w:val="0058154B"/>
    <w:rsid w:val="00582570"/>
    <w:rsid w:val="00582ADA"/>
    <w:rsid w:val="005834E4"/>
    <w:rsid w:val="005837DE"/>
    <w:rsid w:val="00584982"/>
    <w:rsid w:val="005861B0"/>
    <w:rsid w:val="00590346"/>
    <w:rsid w:val="00590464"/>
    <w:rsid w:val="00594C5F"/>
    <w:rsid w:val="005968DA"/>
    <w:rsid w:val="005968E1"/>
    <w:rsid w:val="00596968"/>
    <w:rsid w:val="0059698C"/>
    <w:rsid w:val="005969F9"/>
    <w:rsid w:val="0059762B"/>
    <w:rsid w:val="005A15EA"/>
    <w:rsid w:val="005A1C51"/>
    <w:rsid w:val="005A1EDE"/>
    <w:rsid w:val="005A34B0"/>
    <w:rsid w:val="005A4E4D"/>
    <w:rsid w:val="005A68D0"/>
    <w:rsid w:val="005A75D6"/>
    <w:rsid w:val="005A7C0E"/>
    <w:rsid w:val="005B0614"/>
    <w:rsid w:val="005B235E"/>
    <w:rsid w:val="005B2B60"/>
    <w:rsid w:val="005B35A3"/>
    <w:rsid w:val="005B47D8"/>
    <w:rsid w:val="005B65EE"/>
    <w:rsid w:val="005B6EA0"/>
    <w:rsid w:val="005B78E5"/>
    <w:rsid w:val="005C0BAD"/>
    <w:rsid w:val="005C1336"/>
    <w:rsid w:val="005C677B"/>
    <w:rsid w:val="005C723E"/>
    <w:rsid w:val="005C786F"/>
    <w:rsid w:val="005D1675"/>
    <w:rsid w:val="005D49BD"/>
    <w:rsid w:val="005D4E0E"/>
    <w:rsid w:val="005D6361"/>
    <w:rsid w:val="005D78A4"/>
    <w:rsid w:val="005E17EB"/>
    <w:rsid w:val="005E1E4F"/>
    <w:rsid w:val="005E2A51"/>
    <w:rsid w:val="005E492E"/>
    <w:rsid w:val="005E6BAF"/>
    <w:rsid w:val="005E72A6"/>
    <w:rsid w:val="005F13BE"/>
    <w:rsid w:val="005F2832"/>
    <w:rsid w:val="005F3063"/>
    <w:rsid w:val="005F3B39"/>
    <w:rsid w:val="005F4251"/>
    <w:rsid w:val="005F60AF"/>
    <w:rsid w:val="005F6626"/>
    <w:rsid w:val="005F6C19"/>
    <w:rsid w:val="005F6FC5"/>
    <w:rsid w:val="00600731"/>
    <w:rsid w:val="006016BD"/>
    <w:rsid w:val="00601D25"/>
    <w:rsid w:val="00603C5D"/>
    <w:rsid w:val="006043F1"/>
    <w:rsid w:val="00604B5D"/>
    <w:rsid w:val="00604BCF"/>
    <w:rsid w:val="00604D7E"/>
    <w:rsid w:val="00604F4A"/>
    <w:rsid w:val="00606321"/>
    <w:rsid w:val="0060691F"/>
    <w:rsid w:val="00606A41"/>
    <w:rsid w:val="0061300A"/>
    <w:rsid w:val="00614D55"/>
    <w:rsid w:val="00614D85"/>
    <w:rsid w:val="00615464"/>
    <w:rsid w:val="00615B5E"/>
    <w:rsid w:val="006241F8"/>
    <w:rsid w:val="00626224"/>
    <w:rsid w:val="00626BE2"/>
    <w:rsid w:val="00632E8D"/>
    <w:rsid w:val="00634039"/>
    <w:rsid w:val="00634430"/>
    <w:rsid w:val="006347CF"/>
    <w:rsid w:val="0063497D"/>
    <w:rsid w:val="00637CAA"/>
    <w:rsid w:val="006400A5"/>
    <w:rsid w:val="00640355"/>
    <w:rsid w:val="00641731"/>
    <w:rsid w:val="00641B3B"/>
    <w:rsid w:val="00642B97"/>
    <w:rsid w:val="0064380F"/>
    <w:rsid w:val="006446B2"/>
    <w:rsid w:val="00644F47"/>
    <w:rsid w:val="00650584"/>
    <w:rsid w:val="00651898"/>
    <w:rsid w:val="00651F54"/>
    <w:rsid w:val="00652A57"/>
    <w:rsid w:val="00657764"/>
    <w:rsid w:val="0066349C"/>
    <w:rsid w:val="00663C58"/>
    <w:rsid w:val="0066740D"/>
    <w:rsid w:val="006704BC"/>
    <w:rsid w:val="00671B56"/>
    <w:rsid w:val="00672145"/>
    <w:rsid w:val="00672230"/>
    <w:rsid w:val="00673CEB"/>
    <w:rsid w:val="00674CE2"/>
    <w:rsid w:val="00675828"/>
    <w:rsid w:val="00676220"/>
    <w:rsid w:val="00676DE5"/>
    <w:rsid w:val="006778C7"/>
    <w:rsid w:val="00681AC7"/>
    <w:rsid w:val="00684083"/>
    <w:rsid w:val="006841F6"/>
    <w:rsid w:val="00686ED6"/>
    <w:rsid w:val="006915A3"/>
    <w:rsid w:val="00693669"/>
    <w:rsid w:val="00694FA5"/>
    <w:rsid w:val="006956EC"/>
    <w:rsid w:val="006A393E"/>
    <w:rsid w:val="006A4715"/>
    <w:rsid w:val="006A50E7"/>
    <w:rsid w:val="006A5554"/>
    <w:rsid w:val="006B33F9"/>
    <w:rsid w:val="006B57EF"/>
    <w:rsid w:val="006B73D2"/>
    <w:rsid w:val="006B755E"/>
    <w:rsid w:val="006C1573"/>
    <w:rsid w:val="006C2132"/>
    <w:rsid w:val="006C3401"/>
    <w:rsid w:val="006C451F"/>
    <w:rsid w:val="006C5958"/>
    <w:rsid w:val="006C7F36"/>
    <w:rsid w:val="006D0BF7"/>
    <w:rsid w:val="006D0F0D"/>
    <w:rsid w:val="006D405B"/>
    <w:rsid w:val="006D43F7"/>
    <w:rsid w:val="006D4668"/>
    <w:rsid w:val="006D6641"/>
    <w:rsid w:val="006D6F37"/>
    <w:rsid w:val="006D7907"/>
    <w:rsid w:val="006E4A34"/>
    <w:rsid w:val="006E4F9E"/>
    <w:rsid w:val="006E636C"/>
    <w:rsid w:val="006E7451"/>
    <w:rsid w:val="006E75E9"/>
    <w:rsid w:val="006E77C5"/>
    <w:rsid w:val="006F09A0"/>
    <w:rsid w:val="006F152D"/>
    <w:rsid w:val="006F20FE"/>
    <w:rsid w:val="006F398C"/>
    <w:rsid w:val="006F5372"/>
    <w:rsid w:val="006F579F"/>
    <w:rsid w:val="006F57A4"/>
    <w:rsid w:val="006F5B56"/>
    <w:rsid w:val="006F6ECB"/>
    <w:rsid w:val="007007A1"/>
    <w:rsid w:val="00700E5D"/>
    <w:rsid w:val="0070453D"/>
    <w:rsid w:val="00706202"/>
    <w:rsid w:val="00706F71"/>
    <w:rsid w:val="00707039"/>
    <w:rsid w:val="0070719F"/>
    <w:rsid w:val="00707603"/>
    <w:rsid w:val="00707CA3"/>
    <w:rsid w:val="00710261"/>
    <w:rsid w:val="00711C97"/>
    <w:rsid w:val="00713590"/>
    <w:rsid w:val="0071389F"/>
    <w:rsid w:val="007141D0"/>
    <w:rsid w:val="007157E5"/>
    <w:rsid w:val="00716494"/>
    <w:rsid w:val="007209EF"/>
    <w:rsid w:val="007221D9"/>
    <w:rsid w:val="00724964"/>
    <w:rsid w:val="00725299"/>
    <w:rsid w:val="00726273"/>
    <w:rsid w:val="00730750"/>
    <w:rsid w:val="0073095C"/>
    <w:rsid w:val="00732371"/>
    <w:rsid w:val="00732389"/>
    <w:rsid w:val="0073321B"/>
    <w:rsid w:val="0073448B"/>
    <w:rsid w:val="007347C5"/>
    <w:rsid w:val="0073555C"/>
    <w:rsid w:val="007378CA"/>
    <w:rsid w:val="007427E1"/>
    <w:rsid w:val="00742DFA"/>
    <w:rsid w:val="00742EE5"/>
    <w:rsid w:val="0074568A"/>
    <w:rsid w:val="00746648"/>
    <w:rsid w:val="00751CDF"/>
    <w:rsid w:val="00752E8E"/>
    <w:rsid w:val="00753EAA"/>
    <w:rsid w:val="00753F2B"/>
    <w:rsid w:val="00760B5A"/>
    <w:rsid w:val="00761D81"/>
    <w:rsid w:val="00763330"/>
    <w:rsid w:val="0076628C"/>
    <w:rsid w:val="00767332"/>
    <w:rsid w:val="00767BA8"/>
    <w:rsid w:val="007711DD"/>
    <w:rsid w:val="00776607"/>
    <w:rsid w:val="00780E23"/>
    <w:rsid w:val="00781156"/>
    <w:rsid w:val="00782ACB"/>
    <w:rsid w:val="00782DA8"/>
    <w:rsid w:val="007831C5"/>
    <w:rsid w:val="007831CB"/>
    <w:rsid w:val="00783F71"/>
    <w:rsid w:val="00785775"/>
    <w:rsid w:val="00786594"/>
    <w:rsid w:val="00786899"/>
    <w:rsid w:val="00790B78"/>
    <w:rsid w:val="00791174"/>
    <w:rsid w:val="00793692"/>
    <w:rsid w:val="0079402E"/>
    <w:rsid w:val="00794314"/>
    <w:rsid w:val="00797480"/>
    <w:rsid w:val="007A19E2"/>
    <w:rsid w:val="007A493B"/>
    <w:rsid w:val="007A6B5D"/>
    <w:rsid w:val="007A6EB8"/>
    <w:rsid w:val="007A7245"/>
    <w:rsid w:val="007B1691"/>
    <w:rsid w:val="007B3857"/>
    <w:rsid w:val="007B4F6B"/>
    <w:rsid w:val="007B7C4E"/>
    <w:rsid w:val="007C0AE5"/>
    <w:rsid w:val="007C0CDA"/>
    <w:rsid w:val="007C2B22"/>
    <w:rsid w:val="007C35EC"/>
    <w:rsid w:val="007C4415"/>
    <w:rsid w:val="007C4FF6"/>
    <w:rsid w:val="007C55DF"/>
    <w:rsid w:val="007C6CAB"/>
    <w:rsid w:val="007C798C"/>
    <w:rsid w:val="007D0523"/>
    <w:rsid w:val="007D06B6"/>
    <w:rsid w:val="007D1896"/>
    <w:rsid w:val="007D63DD"/>
    <w:rsid w:val="007D693A"/>
    <w:rsid w:val="007E274A"/>
    <w:rsid w:val="007E2B26"/>
    <w:rsid w:val="007E2FBB"/>
    <w:rsid w:val="007E31D0"/>
    <w:rsid w:val="007E3534"/>
    <w:rsid w:val="007E4B51"/>
    <w:rsid w:val="007E6319"/>
    <w:rsid w:val="007E7B9F"/>
    <w:rsid w:val="007F03EB"/>
    <w:rsid w:val="007F0E03"/>
    <w:rsid w:val="007F2470"/>
    <w:rsid w:val="007F2653"/>
    <w:rsid w:val="007F3A46"/>
    <w:rsid w:val="007F4C21"/>
    <w:rsid w:val="007F6B51"/>
    <w:rsid w:val="00800112"/>
    <w:rsid w:val="008025DA"/>
    <w:rsid w:val="008026C9"/>
    <w:rsid w:val="00804A89"/>
    <w:rsid w:val="00805C56"/>
    <w:rsid w:val="00806DAD"/>
    <w:rsid w:val="008139FB"/>
    <w:rsid w:val="00814088"/>
    <w:rsid w:val="00815352"/>
    <w:rsid w:val="00815688"/>
    <w:rsid w:val="00815E03"/>
    <w:rsid w:val="008214DF"/>
    <w:rsid w:val="008219F7"/>
    <w:rsid w:val="00823871"/>
    <w:rsid w:val="008258E7"/>
    <w:rsid w:val="00825D50"/>
    <w:rsid w:val="00826F3B"/>
    <w:rsid w:val="0082732A"/>
    <w:rsid w:val="00830007"/>
    <w:rsid w:val="0083497B"/>
    <w:rsid w:val="0083559C"/>
    <w:rsid w:val="00835B96"/>
    <w:rsid w:val="00835FE6"/>
    <w:rsid w:val="0083608E"/>
    <w:rsid w:val="00836843"/>
    <w:rsid w:val="00840CB8"/>
    <w:rsid w:val="00841FB6"/>
    <w:rsid w:val="008424A7"/>
    <w:rsid w:val="0084449B"/>
    <w:rsid w:val="008505B6"/>
    <w:rsid w:val="00850DF6"/>
    <w:rsid w:val="008566C0"/>
    <w:rsid w:val="008576BF"/>
    <w:rsid w:val="008618BE"/>
    <w:rsid w:val="00861DC3"/>
    <w:rsid w:val="00862B99"/>
    <w:rsid w:val="00864D50"/>
    <w:rsid w:val="00866880"/>
    <w:rsid w:val="00866C53"/>
    <w:rsid w:val="008673E1"/>
    <w:rsid w:val="008708B3"/>
    <w:rsid w:val="00872744"/>
    <w:rsid w:val="0087425F"/>
    <w:rsid w:val="00874316"/>
    <w:rsid w:val="008753CA"/>
    <w:rsid w:val="008756FA"/>
    <w:rsid w:val="00876121"/>
    <w:rsid w:val="0087701C"/>
    <w:rsid w:val="0087783E"/>
    <w:rsid w:val="0088084F"/>
    <w:rsid w:val="008825C9"/>
    <w:rsid w:val="00885190"/>
    <w:rsid w:val="00885F67"/>
    <w:rsid w:val="00886DB5"/>
    <w:rsid w:val="008871D1"/>
    <w:rsid w:val="008930F8"/>
    <w:rsid w:val="00893327"/>
    <w:rsid w:val="008933C1"/>
    <w:rsid w:val="00895525"/>
    <w:rsid w:val="0089574B"/>
    <w:rsid w:val="008965A7"/>
    <w:rsid w:val="00896A4C"/>
    <w:rsid w:val="00896AC3"/>
    <w:rsid w:val="008A1802"/>
    <w:rsid w:val="008A1FDD"/>
    <w:rsid w:val="008A25BA"/>
    <w:rsid w:val="008A4CDB"/>
    <w:rsid w:val="008A648B"/>
    <w:rsid w:val="008A7221"/>
    <w:rsid w:val="008A76BB"/>
    <w:rsid w:val="008B02FC"/>
    <w:rsid w:val="008B1DF0"/>
    <w:rsid w:val="008B3893"/>
    <w:rsid w:val="008B5CB9"/>
    <w:rsid w:val="008B7675"/>
    <w:rsid w:val="008B7D4E"/>
    <w:rsid w:val="008C0665"/>
    <w:rsid w:val="008C14CC"/>
    <w:rsid w:val="008C37DE"/>
    <w:rsid w:val="008C3E40"/>
    <w:rsid w:val="008C48E5"/>
    <w:rsid w:val="008C6621"/>
    <w:rsid w:val="008D08E7"/>
    <w:rsid w:val="008D3293"/>
    <w:rsid w:val="008E12F5"/>
    <w:rsid w:val="008E131E"/>
    <w:rsid w:val="008E1B93"/>
    <w:rsid w:val="008E37B9"/>
    <w:rsid w:val="008E3EB7"/>
    <w:rsid w:val="008E4861"/>
    <w:rsid w:val="008E5399"/>
    <w:rsid w:val="008E598E"/>
    <w:rsid w:val="008E6A6C"/>
    <w:rsid w:val="008E72B1"/>
    <w:rsid w:val="008E7B9E"/>
    <w:rsid w:val="008E7E47"/>
    <w:rsid w:val="008F1A28"/>
    <w:rsid w:val="008F1F72"/>
    <w:rsid w:val="008F35E4"/>
    <w:rsid w:val="008F3F4C"/>
    <w:rsid w:val="008F4017"/>
    <w:rsid w:val="008F4196"/>
    <w:rsid w:val="008F5E63"/>
    <w:rsid w:val="008F67E7"/>
    <w:rsid w:val="008F6969"/>
    <w:rsid w:val="008F747F"/>
    <w:rsid w:val="0090082B"/>
    <w:rsid w:val="00901B81"/>
    <w:rsid w:val="00902F27"/>
    <w:rsid w:val="00904A29"/>
    <w:rsid w:val="009050C4"/>
    <w:rsid w:val="009062F0"/>
    <w:rsid w:val="00907142"/>
    <w:rsid w:val="009159CF"/>
    <w:rsid w:val="00915DEB"/>
    <w:rsid w:val="009168AE"/>
    <w:rsid w:val="00917EB6"/>
    <w:rsid w:val="00920DDA"/>
    <w:rsid w:val="00923158"/>
    <w:rsid w:val="0092466A"/>
    <w:rsid w:val="00925226"/>
    <w:rsid w:val="009257BB"/>
    <w:rsid w:val="00925C9E"/>
    <w:rsid w:val="0092755F"/>
    <w:rsid w:val="009307D6"/>
    <w:rsid w:val="00930D3E"/>
    <w:rsid w:val="00931A5F"/>
    <w:rsid w:val="00932BF4"/>
    <w:rsid w:val="00933B6D"/>
    <w:rsid w:val="00935B81"/>
    <w:rsid w:val="0093651C"/>
    <w:rsid w:val="0093710C"/>
    <w:rsid w:val="00940E4C"/>
    <w:rsid w:val="009418A0"/>
    <w:rsid w:val="00941F59"/>
    <w:rsid w:val="009437C1"/>
    <w:rsid w:val="0094439A"/>
    <w:rsid w:val="00946977"/>
    <w:rsid w:val="00951A22"/>
    <w:rsid w:val="00951F40"/>
    <w:rsid w:val="009529DF"/>
    <w:rsid w:val="0095304C"/>
    <w:rsid w:val="009531A6"/>
    <w:rsid w:val="009533AF"/>
    <w:rsid w:val="00953800"/>
    <w:rsid w:val="00953A29"/>
    <w:rsid w:val="0095408B"/>
    <w:rsid w:val="009540F0"/>
    <w:rsid w:val="00955211"/>
    <w:rsid w:val="00955CAD"/>
    <w:rsid w:val="00960F35"/>
    <w:rsid w:val="00962874"/>
    <w:rsid w:val="00962FD8"/>
    <w:rsid w:val="0096362B"/>
    <w:rsid w:val="00965165"/>
    <w:rsid w:val="00965AE3"/>
    <w:rsid w:val="00965B07"/>
    <w:rsid w:val="00965DD6"/>
    <w:rsid w:val="009662AE"/>
    <w:rsid w:val="009671FF"/>
    <w:rsid w:val="009717F5"/>
    <w:rsid w:val="0097349A"/>
    <w:rsid w:val="0097564A"/>
    <w:rsid w:val="0097607C"/>
    <w:rsid w:val="009801E6"/>
    <w:rsid w:val="009815BA"/>
    <w:rsid w:val="0098298E"/>
    <w:rsid w:val="00983049"/>
    <w:rsid w:val="00983723"/>
    <w:rsid w:val="00983B60"/>
    <w:rsid w:val="009851BA"/>
    <w:rsid w:val="00987146"/>
    <w:rsid w:val="009876E1"/>
    <w:rsid w:val="0099135D"/>
    <w:rsid w:val="0099256A"/>
    <w:rsid w:val="009939B2"/>
    <w:rsid w:val="009964E8"/>
    <w:rsid w:val="009A0157"/>
    <w:rsid w:val="009A4FE5"/>
    <w:rsid w:val="009A6161"/>
    <w:rsid w:val="009B0A0F"/>
    <w:rsid w:val="009B0E23"/>
    <w:rsid w:val="009B2B11"/>
    <w:rsid w:val="009B46F2"/>
    <w:rsid w:val="009B4EDF"/>
    <w:rsid w:val="009B6040"/>
    <w:rsid w:val="009B7AD6"/>
    <w:rsid w:val="009B7E18"/>
    <w:rsid w:val="009B7EF5"/>
    <w:rsid w:val="009C1703"/>
    <w:rsid w:val="009C32C5"/>
    <w:rsid w:val="009C4B50"/>
    <w:rsid w:val="009C6D1E"/>
    <w:rsid w:val="009C7F15"/>
    <w:rsid w:val="009D066A"/>
    <w:rsid w:val="009D07F3"/>
    <w:rsid w:val="009D14D3"/>
    <w:rsid w:val="009D19FE"/>
    <w:rsid w:val="009D587E"/>
    <w:rsid w:val="009E069E"/>
    <w:rsid w:val="009E0B96"/>
    <w:rsid w:val="009E0C80"/>
    <w:rsid w:val="009E10C8"/>
    <w:rsid w:val="009E2634"/>
    <w:rsid w:val="009E3488"/>
    <w:rsid w:val="009E3CDA"/>
    <w:rsid w:val="009E42C3"/>
    <w:rsid w:val="009E4579"/>
    <w:rsid w:val="009E46E0"/>
    <w:rsid w:val="009E4B07"/>
    <w:rsid w:val="009E6FF6"/>
    <w:rsid w:val="009E7BC8"/>
    <w:rsid w:val="009F34DC"/>
    <w:rsid w:val="009F3564"/>
    <w:rsid w:val="009F4E50"/>
    <w:rsid w:val="009F54B3"/>
    <w:rsid w:val="009F789F"/>
    <w:rsid w:val="00A0414E"/>
    <w:rsid w:val="00A0707E"/>
    <w:rsid w:val="00A074AA"/>
    <w:rsid w:val="00A107AC"/>
    <w:rsid w:val="00A1182D"/>
    <w:rsid w:val="00A12E3A"/>
    <w:rsid w:val="00A15B31"/>
    <w:rsid w:val="00A162D1"/>
    <w:rsid w:val="00A20B75"/>
    <w:rsid w:val="00A2165C"/>
    <w:rsid w:val="00A218B6"/>
    <w:rsid w:val="00A21CB1"/>
    <w:rsid w:val="00A22B10"/>
    <w:rsid w:val="00A23063"/>
    <w:rsid w:val="00A23116"/>
    <w:rsid w:val="00A231CC"/>
    <w:rsid w:val="00A23CDC"/>
    <w:rsid w:val="00A30651"/>
    <w:rsid w:val="00A3253B"/>
    <w:rsid w:val="00A33901"/>
    <w:rsid w:val="00A34237"/>
    <w:rsid w:val="00A3535C"/>
    <w:rsid w:val="00A35FE8"/>
    <w:rsid w:val="00A37A2B"/>
    <w:rsid w:val="00A4246F"/>
    <w:rsid w:val="00A43FF0"/>
    <w:rsid w:val="00A442FE"/>
    <w:rsid w:val="00A4567B"/>
    <w:rsid w:val="00A4729B"/>
    <w:rsid w:val="00A51D33"/>
    <w:rsid w:val="00A54CC0"/>
    <w:rsid w:val="00A57168"/>
    <w:rsid w:val="00A60C15"/>
    <w:rsid w:val="00A62C2A"/>
    <w:rsid w:val="00A70F9E"/>
    <w:rsid w:val="00A72324"/>
    <w:rsid w:val="00A7308A"/>
    <w:rsid w:val="00A741B3"/>
    <w:rsid w:val="00A77510"/>
    <w:rsid w:val="00A81C77"/>
    <w:rsid w:val="00A82D15"/>
    <w:rsid w:val="00A83184"/>
    <w:rsid w:val="00A83654"/>
    <w:rsid w:val="00A83EC6"/>
    <w:rsid w:val="00A84852"/>
    <w:rsid w:val="00A8581C"/>
    <w:rsid w:val="00A85E62"/>
    <w:rsid w:val="00A86446"/>
    <w:rsid w:val="00A87B10"/>
    <w:rsid w:val="00A91F14"/>
    <w:rsid w:val="00A922AC"/>
    <w:rsid w:val="00A925CD"/>
    <w:rsid w:val="00A928EC"/>
    <w:rsid w:val="00A938AA"/>
    <w:rsid w:val="00A93D85"/>
    <w:rsid w:val="00A946F6"/>
    <w:rsid w:val="00A95717"/>
    <w:rsid w:val="00A95824"/>
    <w:rsid w:val="00A970EF"/>
    <w:rsid w:val="00AA01DF"/>
    <w:rsid w:val="00AA2197"/>
    <w:rsid w:val="00AA4700"/>
    <w:rsid w:val="00AA4DED"/>
    <w:rsid w:val="00AA7D13"/>
    <w:rsid w:val="00AB10F7"/>
    <w:rsid w:val="00AB1D52"/>
    <w:rsid w:val="00AB2B3F"/>
    <w:rsid w:val="00AB3BCF"/>
    <w:rsid w:val="00AB4A65"/>
    <w:rsid w:val="00AB5D97"/>
    <w:rsid w:val="00AB5FCD"/>
    <w:rsid w:val="00AB7655"/>
    <w:rsid w:val="00AB7937"/>
    <w:rsid w:val="00AB79DD"/>
    <w:rsid w:val="00AC1966"/>
    <w:rsid w:val="00AC25D9"/>
    <w:rsid w:val="00AC3B42"/>
    <w:rsid w:val="00AC3D60"/>
    <w:rsid w:val="00AC5355"/>
    <w:rsid w:val="00AC628D"/>
    <w:rsid w:val="00AC7997"/>
    <w:rsid w:val="00AD3828"/>
    <w:rsid w:val="00AD3F27"/>
    <w:rsid w:val="00AD483B"/>
    <w:rsid w:val="00AD71B6"/>
    <w:rsid w:val="00AD7E44"/>
    <w:rsid w:val="00AE08FE"/>
    <w:rsid w:val="00AE110B"/>
    <w:rsid w:val="00AE3D05"/>
    <w:rsid w:val="00AE51E8"/>
    <w:rsid w:val="00AE7CCA"/>
    <w:rsid w:val="00AF0B2D"/>
    <w:rsid w:val="00AF0CEF"/>
    <w:rsid w:val="00AF4028"/>
    <w:rsid w:val="00AF4D5F"/>
    <w:rsid w:val="00AF535F"/>
    <w:rsid w:val="00AF6892"/>
    <w:rsid w:val="00B0011F"/>
    <w:rsid w:val="00B017A8"/>
    <w:rsid w:val="00B01B33"/>
    <w:rsid w:val="00B01B5A"/>
    <w:rsid w:val="00B02626"/>
    <w:rsid w:val="00B03754"/>
    <w:rsid w:val="00B0422F"/>
    <w:rsid w:val="00B04774"/>
    <w:rsid w:val="00B05791"/>
    <w:rsid w:val="00B059D2"/>
    <w:rsid w:val="00B073A3"/>
    <w:rsid w:val="00B123C6"/>
    <w:rsid w:val="00B13B79"/>
    <w:rsid w:val="00B153CD"/>
    <w:rsid w:val="00B15494"/>
    <w:rsid w:val="00B15813"/>
    <w:rsid w:val="00B163C9"/>
    <w:rsid w:val="00B17F04"/>
    <w:rsid w:val="00B218E7"/>
    <w:rsid w:val="00B24CD6"/>
    <w:rsid w:val="00B25D57"/>
    <w:rsid w:val="00B30484"/>
    <w:rsid w:val="00B30F01"/>
    <w:rsid w:val="00B320B5"/>
    <w:rsid w:val="00B346EE"/>
    <w:rsid w:val="00B357B8"/>
    <w:rsid w:val="00B364AE"/>
    <w:rsid w:val="00B376B6"/>
    <w:rsid w:val="00B40EE7"/>
    <w:rsid w:val="00B413A2"/>
    <w:rsid w:val="00B426F9"/>
    <w:rsid w:val="00B45502"/>
    <w:rsid w:val="00B465B8"/>
    <w:rsid w:val="00B508F4"/>
    <w:rsid w:val="00B52B61"/>
    <w:rsid w:val="00B56A34"/>
    <w:rsid w:val="00B60354"/>
    <w:rsid w:val="00B63054"/>
    <w:rsid w:val="00B631B9"/>
    <w:rsid w:val="00B64CA7"/>
    <w:rsid w:val="00B65AF2"/>
    <w:rsid w:val="00B66BA8"/>
    <w:rsid w:val="00B67AC0"/>
    <w:rsid w:val="00B70EA8"/>
    <w:rsid w:val="00B72E11"/>
    <w:rsid w:val="00B76289"/>
    <w:rsid w:val="00B776DA"/>
    <w:rsid w:val="00B81168"/>
    <w:rsid w:val="00B81550"/>
    <w:rsid w:val="00B82FDB"/>
    <w:rsid w:val="00B84E15"/>
    <w:rsid w:val="00B86C74"/>
    <w:rsid w:val="00B87082"/>
    <w:rsid w:val="00B903D1"/>
    <w:rsid w:val="00B90625"/>
    <w:rsid w:val="00B9072B"/>
    <w:rsid w:val="00B921E6"/>
    <w:rsid w:val="00B932A5"/>
    <w:rsid w:val="00B93883"/>
    <w:rsid w:val="00B97B02"/>
    <w:rsid w:val="00BA1999"/>
    <w:rsid w:val="00BA1BE8"/>
    <w:rsid w:val="00BA2676"/>
    <w:rsid w:val="00BA3F4F"/>
    <w:rsid w:val="00BA5189"/>
    <w:rsid w:val="00BA5992"/>
    <w:rsid w:val="00BA78E0"/>
    <w:rsid w:val="00BB0629"/>
    <w:rsid w:val="00BB1233"/>
    <w:rsid w:val="00BB2240"/>
    <w:rsid w:val="00BB2FB4"/>
    <w:rsid w:val="00BB30A0"/>
    <w:rsid w:val="00BB38F1"/>
    <w:rsid w:val="00BB5EDB"/>
    <w:rsid w:val="00BC0F08"/>
    <w:rsid w:val="00BC0F4D"/>
    <w:rsid w:val="00BC385C"/>
    <w:rsid w:val="00BC53EE"/>
    <w:rsid w:val="00BC5B2E"/>
    <w:rsid w:val="00BC5CE8"/>
    <w:rsid w:val="00BC7938"/>
    <w:rsid w:val="00BC7D34"/>
    <w:rsid w:val="00BD003A"/>
    <w:rsid w:val="00BD030F"/>
    <w:rsid w:val="00BD13B8"/>
    <w:rsid w:val="00BD1C23"/>
    <w:rsid w:val="00BD2A63"/>
    <w:rsid w:val="00BD666D"/>
    <w:rsid w:val="00BD787C"/>
    <w:rsid w:val="00BE0D40"/>
    <w:rsid w:val="00BE0E74"/>
    <w:rsid w:val="00BE134C"/>
    <w:rsid w:val="00BE20DC"/>
    <w:rsid w:val="00BE34AF"/>
    <w:rsid w:val="00BE54D1"/>
    <w:rsid w:val="00BE55A5"/>
    <w:rsid w:val="00BE7364"/>
    <w:rsid w:val="00BF115C"/>
    <w:rsid w:val="00BF22B4"/>
    <w:rsid w:val="00BF251E"/>
    <w:rsid w:val="00BF25B2"/>
    <w:rsid w:val="00BF2B0A"/>
    <w:rsid w:val="00BF2B0D"/>
    <w:rsid w:val="00BF2D8A"/>
    <w:rsid w:val="00BF51BC"/>
    <w:rsid w:val="00BF53C5"/>
    <w:rsid w:val="00BF617D"/>
    <w:rsid w:val="00BF7623"/>
    <w:rsid w:val="00BF7F59"/>
    <w:rsid w:val="00C0147E"/>
    <w:rsid w:val="00C046FC"/>
    <w:rsid w:val="00C05036"/>
    <w:rsid w:val="00C0581D"/>
    <w:rsid w:val="00C05C13"/>
    <w:rsid w:val="00C06FE7"/>
    <w:rsid w:val="00C1054C"/>
    <w:rsid w:val="00C11E02"/>
    <w:rsid w:val="00C135FC"/>
    <w:rsid w:val="00C1494E"/>
    <w:rsid w:val="00C1660A"/>
    <w:rsid w:val="00C21F27"/>
    <w:rsid w:val="00C23BCD"/>
    <w:rsid w:val="00C268DB"/>
    <w:rsid w:val="00C319CA"/>
    <w:rsid w:val="00C326D8"/>
    <w:rsid w:val="00C33898"/>
    <w:rsid w:val="00C34F3B"/>
    <w:rsid w:val="00C35A6E"/>
    <w:rsid w:val="00C37D2D"/>
    <w:rsid w:val="00C37DE9"/>
    <w:rsid w:val="00C40083"/>
    <w:rsid w:val="00C40FB7"/>
    <w:rsid w:val="00C411FE"/>
    <w:rsid w:val="00C41DB2"/>
    <w:rsid w:val="00C427D3"/>
    <w:rsid w:val="00C42CBC"/>
    <w:rsid w:val="00C43D73"/>
    <w:rsid w:val="00C44D3A"/>
    <w:rsid w:val="00C44DBB"/>
    <w:rsid w:val="00C46D79"/>
    <w:rsid w:val="00C47197"/>
    <w:rsid w:val="00C51192"/>
    <w:rsid w:val="00C53C5A"/>
    <w:rsid w:val="00C5439F"/>
    <w:rsid w:val="00C55AF5"/>
    <w:rsid w:val="00C565B2"/>
    <w:rsid w:val="00C574C8"/>
    <w:rsid w:val="00C57BC0"/>
    <w:rsid w:val="00C608F2"/>
    <w:rsid w:val="00C6311D"/>
    <w:rsid w:val="00C63401"/>
    <w:rsid w:val="00C65FBB"/>
    <w:rsid w:val="00C6610B"/>
    <w:rsid w:val="00C72548"/>
    <w:rsid w:val="00C7293F"/>
    <w:rsid w:val="00C72BAF"/>
    <w:rsid w:val="00C757E5"/>
    <w:rsid w:val="00C766A6"/>
    <w:rsid w:val="00C768E4"/>
    <w:rsid w:val="00C76C8D"/>
    <w:rsid w:val="00C773D9"/>
    <w:rsid w:val="00C80397"/>
    <w:rsid w:val="00C82B2C"/>
    <w:rsid w:val="00C84A08"/>
    <w:rsid w:val="00C851AD"/>
    <w:rsid w:val="00C85E08"/>
    <w:rsid w:val="00C8740B"/>
    <w:rsid w:val="00C8750E"/>
    <w:rsid w:val="00C9024A"/>
    <w:rsid w:val="00C90271"/>
    <w:rsid w:val="00C90334"/>
    <w:rsid w:val="00C90D42"/>
    <w:rsid w:val="00C91549"/>
    <w:rsid w:val="00C92B24"/>
    <w:rsid w:val="00C93018"/>
    <w:rsid w:val="00C9311C"/>
    <w:rsid w:val="00C93CB0"/>
    <w:rsid w:val="00C9778F"/>
    <w:rsid w:val="00CA029A"/>
    <w:rsid w:val="00CA0FCA"/>
    <w:rsid w:val="00CA1386"/>
    <w:rsid w:val="00CA1C0C"/>
    <w:rsid w:val="00CA232E"/>
    <w:rsid w:val="00CA3860"/>
    <w:rsid w:val="00CA447D"/>
    <w:rsid w:val="00CA5358"/>
    <w:rsid w:val="00CA67E9"/>
    <w:rsid w:val="00CA6854"/>
    <w:rsid w:val="00CA69A8"/>
    <w:rsid w:val="00CA6C35"/>
    <w:rsid w:val="00CB0346"/>
    <w:rsid w:val="00CB48A2"/>
    <w:rsid w:val="00CB48CC"/>
    <w:rsid w:val="00CB4D92"/>
    <w:rsid w:val="00CB5906"/>
    <w:rsid w:val="00CB5E85"/>
    <w:rsid w:val="00CB72D0"/>
    <w:rsid w:val="00CC0B53"/>
    <w:rsid w:val="00CC0D75"/>
    <w:rsid w:val="00CC18C2"/>
    <w:rsid w:val="00CC2784"/>
    <w:rsid w:val="00CC2DB9"/>
    <w:rsid w:val="00CC4373"/>
    <w:rsid w:val="00CC5016"/>
    <w:rsid w:val="00CC57CC"/>
    <w:rsid w:val="00CC5D9E"/>
    <w:rsid w:val="00CD0102"/>
    <w:rsid w:val="00CD207C"/>
    <w:rsid w:val="00CD3ACD"/>
    <w:rsid w:val="00CD3E77"/>
    <w:rsid w:val="00CD59BD"/>
    <w:rsid w:val="00CD643F"/>
    <w:rsid w:val="00CE05D2"/>
    <w:rsid w:val="00CE17B2"/>
    <w:rsid w:val="00CE3630"/>
    <w:rsid w:val="00CE48FB"/>
    <w:rsid w:val="00CE5DEE"/>
    <w:rsid w:val="00CF0A1C"/>
    <w:rsid w:val="00CF0BF9"/>
    <w:rsid w:val="00CF0EB1"/>
    <w:rsid w:val="00CF0FF6"/>
    <w:rsid w:val="00CF52C9"/>
    <w:rsid w:val="00CF582A"/>
    <w:rsid w:val="00CF5912"/>
    <w:rsid w:val="00CF5F49"/>
    <w:rsid w:val="00CF76A3"/>
    <w:rsid w:val="00CF7DE0"/>
    <w:rsid w:val="00CF7F2C"/>
    <w:rsid w:val="00D0187A"/>
    <w:rsid w:val="00D02F9A"/>
    <w:rsid w:val="00D0619A"/>
    <w:rsid w:val="00D06709"/>
    <w:rsid w:val="00D10668"/>
    <w:rsid w:val="00D108DD"/>
    <w:rsid w:val="00D11533"/>
    <w:rsid w:val="00D12150"/>
    <w:rsid w:val="00D1332D"/>
    <w:rsid w:val="00D14249"/>
    <w:rsid w:val="00D1522F"/>
    <w:rsid w:val="00D16125"/>
    <w:rsid w:val="00D169AF"/>
    <w:rsid w:val="00D21BD0"/>
    <w:rsid w:val="00D23FC2"/>
    <w:rsid w:val="00D25FCA"/>
    <w:rsid w:val="00D25FFE"/>
    <w:rsid w:val="00D265E1"/>
    <w:rsid w:val="00D266C7"/>
    <w:rsid w:val="00D26B07"/>
    <w:rsid w:val="00D26F35"/>
    <w:rsid w:val="00D27E37"/>
    <w:rsid w:val="00D30B67"/>
    <w:rsid w:val="00D31AA5"/>
    <w:rsid w:val="00D31D6D"/>
    <w:rsid w:val="00D32545"/>
    <w:rsid w:val="00D33502"/>
    <w:rsid w:val="00D35402"/>
    <w:rsid w:val="00D3631B"/>
    <w:rsid w:val="00D36B0D"/>
    <w:rsid w:val="00D37626"/>
    <w:rsid w:val="00D41C51"/>
    <w:rsid w:val="00D457D4"/>
    <w:rsid w:val="00D51BA3"/>
    <w:rsid w:val="00D51F9C"/>
    <w:rsid w:val="00D53CD9"/>
    <w:rsid w:val="00D5459D"/>
    <w:rsid w:val="00D6022C"/>
    <w:rsid w:val="00D60D5D"/>
    <w:rsid w:val="00D619EC"/>
    <w:rsid w:val="00D62536"/>
    <w:rsid w:val="00D63D8B"/>
    <w:rsid w:val="00D64885"/>
    <w:rsid w:val="00D711A7"/>
    <w:rsid w:val="00D71C49"/>
    <w:rsid w:val="00D71F23"/>
    <w:rsid w:val="00D720FB"/>
    <w:rsid w:val="00D722E9"/>
    <w:rsid w:val="00D75760"/>
    <w:rsid w:val="00D76A13"/>
    <w:rsid w:val="00D77487"/>
    <w:rsid w:val="00D81D46"/>
    <w:rsid w:val="00D84D34"/>
    <w:rsid w:val="00D87319"/>
    <w:rsid w:val="00D87584"/>
    <w:rsid w:val="00D968BC"/>
    <w:rsid w:val="00D97D49"/>
    <w:rsid w:val="00DA2835"/>
    <w:rsid w:val="00DA3C3A"/>
    <w:rsid w:val="00DA653C"/>
    <w:rsid w:val="00DA6F84"/>
    <w:rsid w:val="00DB18A3"/>
    <w:rsid w:val="00DB3073"/>
    <w:rsid w:val="00DB34A2"/>
    <w:rsid w:val="00DB3E62"/>
    <w:rsid w:val="00DB40BA"/>
    <w:rsid w:val="00DB4128"/>
    <w:rsid w:val="00DB7D36"/>
    <w:rsid w:val="00DC0072"/>
    <w:rsid w:val="00DC1186"/>
    <w:rsid w:val="00DC279D"/>
    <w:rsid w:val="00DC3AA1"/>
    <w:rsid w:val="00DC4566"/>
    <w:rsid w:val="00DC48F4"/>
    <w:rsid w:val="00DC53FC"/>
    <w:rsid w:val="00DC541B"/>
    <w:rsid w:val="00DC6834"/>
    <w:rsid w:val="00DC79A1"/>
    <w:rsid w:val="00DD4159"/>
    <w:rsid w:val="00DD674C"/>
    <w:rsid w:val="00DD68D5"/>
    <w:rsid w:val="00DD6FD0"/>
    <w:rsid w:val="00DE0914"/>
    <w:rsid w:val="00DE0AE2"/>
    <w:rsid w:val="00DE0F16"/>
    <w:rsid w:val="00DE5BED"/>
    <w:rsid w:val="00DE5D69"/>
    <w:rsid w:val="00DE7386"/>
    <w:rsid w:val="00DE7C78"/>
    <w:rsid w:val="00DF0BE5"/>
    <w:rsid w:val="00DF2431"/>
    <w:rsid w:val="00DF25E7"/>
    <w:rsid w:val="00DF2E3C"/>
    <w:rsid w:val="00DF3182"/>
    <w:rsid w:val="00DF33A7"/>
    <w:rsid w:val="00DF4841"/>
    <w:rsid w:val="00DF5F42"/>
    <w:rsid w:val="00DF65FA"/>
    <w:rsid w:val="00DF71E2"/>
    <w:rsid w:val="00DF7243"/>
    <w:rsid w:val="00DF7FAC"/>
    <w:rsid w:val="00E0073C"/>
    <w:rsid w:val="00E00A2C"/>
    <w:rsid w:val="00E0250A"/>
    <w:rsid w:val="00E04ACB"/>
    <w:rsid w:val="00E04BD2"/>
    <w:rsid w:val="00E05249"/>
    <w:rsid w:val="00E06C0B"/>
    <w:rsid w:val="00E06C65"/>
    <w:rsid w:val="00E101D4"/>
    <w:rsid w:val="00E10C50"/>
    <w:rsid w:val="00E1144B"/>
    <w:rsid w:val="00E11CD5"/>
    <w:rsid w:val="00E11EF8"/>
    <w:rsid w:val="00E1275C"/>
    <w:rsid w:val="00E13F0D"/>
    <w:rsid w:val="00E1463F"/>
    <w:rsid w:val="00E14A5C"/>
    <w:rsid w:val="00E15B05"/>
    <w:rsid w:val="00E2244C"/>
    <w:rsid w:val="00E22B52"/>
    <w:rsid w:val="00E23D21"/>
    <w:rsid w:val="00E24BF7"/>
    <w:rsid w:val="00E25CB9"/>
    <w:rsid w:val="00E25DD9"/>
    <w:rsid w:val="00E274BD"/>
    <w:rsid w:val="00E2753E"/>
    <w:rsid w:val="00E311CE"/>
    <w:rsid w:val="00E31341"/>
    <w:rsid w:val="00E32B0B"/>
    <w:rsid w:val="00E32C4D"/>
    <w:rsid w:val="00E3321E"/>
    <w:rsid w:val="00E335E1"/>
    <w:rsid w:val="00E34E93"/>
    <w:rsid w:val="00E351D3"/>
    <w:rsid w:val="00E36981"/>
    <w:rsid w:val="00E4256A"/>
    <w:rsid w:val="00E42741"/>
    <w:rsid w:val="00E43976"/>
    <w:rsid w:val="00E43DB5"/>
    <w:rsid w:val="00E4485B"/>
    <w:rsid w:val="00E47B60"/>
    <w:rsid w:val="00E47F41"/>
    <w:rsid w:val="00E51042"/>
    <w:rsid w:val="00E55408"/>
    <w:rsid w:val="00E554C6"/>
    <w:rsid w:val="00E5720D"/>
    <w:rsid w:val="00E601D8"/>
    <w:rsid w:val="00E62052"/>
    <w:rsid w:val="00E62CED"/>
    <w:rsid w:val="00E6347B"/>
    <w:rsid w:val="00E651E1"/>
    <w:rsid w:val="00E65972"/>
    <w:rsid w:val="00E6644A"/>
    <w:rsid w:val="00E66EE5"/>
    <w:rsid w:val="00E70794"/>
    <w:rsid w:val="00E716F9"/>
    <w:rsid w:val="00E73388"/>
    <w:rsid w:val="00E7408F"/>
    <w:rsid w:val="00E7522F"/>
    <w:rsid w:val="00E76309"/>
    <w:rsid w:val="00E76509"/>
    <w:rsid w:val="00E77063"/>
    <w:rsid w:val="00E80629"/>
    <w:rsid w:val="00E81D1A"/>
    <w:rsid w:val="00E830D7"/>
    <w:rsid w:val="00E844D0"/>
    <w:rsid w:val="00E84B52"/>
    <w:rsid w:val="00E862B0"/>
    <w:rsid w:val="00E90B76"/>
    <w:rsid w:val="00E91733"/>
    <w:rsid w:val="00E93DBC"/>
    <w:rsid w:val="00E96A53"/>
    <w:rsid w:val="00E96E42"/>
    <w:rsid w:val="00E97E5A"/>
    <w:rsid w:val="00EA05D4"/>
    <w:rsid w:val="00EA08EE"/>
    <w:rsid w:val="00EA101F"/>
    <w:rsid w:val="00EA4380"/>
    <w:rsid w:val="00EA56D3"/>
    <w:rsid w:val="00EA5FE3"/>
    <w:rsid w:val="00EA6817"/>
    <w:rsid w:val="00EA6913"/>
    <w:rsid w:val="00EA6FAA"/>
    <w:rsid w:val="00EB0EA3"/>
    <w:rsid w:val="00EB148D"/>
    <w:rsid w:val="00EB4392"/>
    <w:rsid w:val="00EB4F2B"/>
    <w:rsid w:val="00EB4FA0"/>
    <w:rsid w:val="00EB573E"/>
    <w:rsid w:val="00EB7D71"/>
    <w:rsid w:val="00EC148F"/>
    <w:rsid w:val="00EC15FE"/>
    <w:rsid w:val="00EC3084"/>
    <w:rsid w:val="00EC37E7"/>
    <w:rsid w:val="00EC5BE6"/>
    <w:rsid w:val="00ED0EF2"/>
    <w:rsid w:val="00ED1639"/>
    <w:rsid w:val="00ED1DEB"/>
    <w:rsid w:val="00ED26CC"/>
    <w:rsid w:val="00ED2A2F"/>
    <w:rsid w:val="00ED2F54"/>
    <w:rsid w:val="00ED2FB9"/>
    <w:rsid w:val="00ED3720"/>
    <w:rsid w:val="00ED3FEF"/>
    <w:rsid w:val="00ED4688"/>
    <w:rsid w:val="00ED4DC9"/>
    <w:rsid w:val="00ED5C1F"/>
    <w:rsid w:val="00ED7EB8"/>
    <w:rsid w:val="00EE0300"/>
    <w:rsid w:val="00EE0E1D"/>
    <w:rsid w:val="00EE10CA"/>
    <w:rsid w:val="00EE268E"/>
    <w:rsid w:val="00EE3782"/>
    <w:rsid w:val="00EE4538"/>
    <w:rsid w:val="00EE52F2"/>
    <w:rsid w:val="00EE5711"/>
    <w:rsid w:val="00EE5F24"/>
    <w:rsid w:val="00EF014C"/>
    <w:rsid w:val="00EF12B1"/>
    <w:rsid w:val="00EF2A61"/>
    <w:rsid w:val="00EF46A9"/>
    <w:rsid w:val="00EF506B"/>
    <w:rsid w:val="00EF62B6"/>
    <w:rsid w:val="00EF66C4"/>
    <w:rsid w:val="00EF7E14"/>
    <w:rsid w:val="00F00E5C"/>
    <w:rsid w:val="00F02470"/>
    <w:rsid w:val="00F061D0"/>
    <w:rsid w:val="00F07ACC"/>
    <w:rsid w:val="00F1065F"/>
    <w:rsid w:val="00F10BF0"/>
    <w:rsid w:val="00F12E9B"/>
    <w:rsid w:val="00F14EEC"/>
    <w:rsid w:val="00F15723"/>
    <w:rsid w:val="00F161DE"/>
    <w:rsid w:val="00F20AAF"/>
    <w:rsid w:val="00F2127E"/>
    <w:rsid w:val="00F22589"/>
    <w:rsid w:val="00F23330"/>
    <w:rsid w:val="00F24732"/>
    <w:rsid w:val="00F25705"/>
    <w:rsid w:val="00F27CE3"/>
    <w:rsid w:val="00F27EF0"/>
    <w:rsid w:val="00F3176D"/>
    <w:rsid w:val="00F33F32"/>
    <w:rsid w:val="00F367AA"/>
    <w:rsid w:val="00F400E1"/>
    <w:rsid w:val="00F401A5"/>
    <w:rsid w:val="00F40A5B"/>
    <w:rsid w:val="00F4117C"/>
    <w:rsid w:val="00F4140E"/>
    <w:rsid w:val="00F4361E"/>
    <w:rsid w:val="00F43C3E"/>
    <w:rsid w:val="00F43CC4"/>
    <w:rsid w:val="00F43EDE"/>
    <w:rsid w:val="00F476E6"/>
    <w:rsid w:val="00F51733"/>
    <w:rsid w:val="00F53C17"/>
    <w:rsid w:val="00F55D29"/>
    <w:rsid w:val="00F56133"/>
    <w:rsid w:val="00F56E9C"/>
    <w:rsid w:val="00F6146C"/>
    <w:rsid w:val="00F61963"/>
    <w:rsid w:val="00F61AA1"/>
    <w:rsid w:val="00F620D8"/>
    <w:rsid w:val="00F625BF"/>
    <w:rsid w:val="00F62B42"/>
    <w:rsid w:val="00F63C40"/>
    <w:rsid w:val="00F63CCB"/>
    <w:rsid w:val="00F63D91"/>
    <w:rsid w:val="00F63FCD"/>
    <w:rsid w:val="00F63FEA"/>
    <w:rsid w:val="00F65553"/>
    <w:rsid w:val="00F739C0"/>
    <w:rsid w:val="00F73DDA"/>
    <w:rsid w:val="00F75586"/>
    <w:rsid w:val="00F80EEC"/>
    <w:rsid w:val="00F81157"/>
    <w:rsid w:val="00F817AD"/>
    <w:rsid w:val="00F81A5E"/>
    <w:rsid w:val="00F81FE1"/>
    <w:rsid w:val="00F83BEA"/>
    <w:rsid w:val="00F840EA"/>
    <w:rsid w:val="00F85AAC"/>
    <w:rsid w:val="00F875BE"/>
    <w:rsid w:val="00F906CB"/>
    <w:rsid w:val="00F91841"/>
    <w:rsid w:val="00F918B7"/>
    <w:rsid w:val="00F91EE7"/>
    <w:rsid w:val="00F91F32"/>
    <w:rsid w:val="00F94DA7"/>
    <w:rsid w:val="00F94E1B"/>
    <w:rsid w:val="00F94F69"/>
    <w:rsid w:val="00F95658"/>
    <w:rsid w:val="00F95765"/>
    <w:rsid w:val="00F97130"/>
    <w:rsid w:val="00FA03F1"/>
    <w:rsid w:val="00FA0512"/>
    <w:rsid w:val="00FA0AFB"/>
    <w:rsid w:val="00FA0F74"/>
    <w:rsid w:val="00FA102B"/>
    <w:rsid w:val="00FA2134"/>
    <w:rsid w:val="00FA2FBF"/>
    <w:rsid w:val="00FA3BDF"/>
    <w:rsid w:val="00FA3ECF"/>
    <w:rsid w:val="00FA5BE7"/>
    <w:rsid w:val="00FA7608"/>
    <w:rsid w:val="00FA7672"/>
    <w:rsid w:val="00FA7EDF"/>
    <w:rsid w:val="00FB0435"/>
    <w:rsid w:val="00FB2AE7"/>
    <w:rsid w:val="00FB42AB"/>
    <w:rsid w:val="00FB48D3"/>
    <w:rsid w:val="00FB5DBA"/>
    <w:rsid w:val="00FB62CE"/>
    <w:rsid w:val="00FC021F"/>
    <w:rsid w:val="00FC1907"/>
    <w:rsid w:val="00FC2751"/>
    <w:rsid w:val="00FC2D69"/>
    <w:rsid w:val="00FC490F"/>
    <w:rsid w:val="00FC7C4D"/>
    <w:rsid w:val="00FD0BD4"/>
    <w:rsid w:val="00FD102C"/>
    <w:rsid w:val="00FD1825"/>
    <w:rsid w:val="00FD2318"/>
    <w:rsid w:val="00FD33F4"/>
    <w:rsid w:val="00FD3618"/>
    <w:rsid w:val="00FD5097"/>
    <w:rsid w:val="00FD583D"/>
    <w:rsid w:val="00FD658E"/>
    <w:rsid w:val="00FE0E10"/>
    <w:rsid w:val="00FE1154"/>
    <w:rsid w:val="00FE1766"/>
    <w:rsid w:val="00FE1830"/>
    <w:rsid w:val="00FE2910"/>
    <w:rsid w:val="00FE2FDF"/>
    <w:rsid w:val="00FE39A1"/>
    <w:rsid w:val="00FE682F"/>
    <w:rsid w:val="00FF0F37"/>
    <w:rsid w:val="00FF1757"/>
    <w:rsid w:val="00FF214F"/>
    <w:rsid w:val="00FF3B19"/>
    <w:rsid w:val="00FF527F"/>
    <w:rsid w:val="00FF7544"/>
    <w:rsid w:val="00FF754C"/>
    <w:rsid w:val="00FF7945"/>
    <w:rsid w:val="00FF7CD9"/>
    <w:rsid w:val="01036428"/>
    <w:rsid w:val="0109699B"/>
    <w:rsid w:val="010B790A"/>
    <w:rsid w:val="010C6F34"/>
    <w:rsid w:val="01100340"/>
    <w:rsid w:val="0116704C"/>
    <w:rsid w:val="011A1D5E"/>
    <w:rsid w:val="011B2DC5"/>
    <w:rsid w:val="012D2D30"/>
    <w:rsid w:val="01335204"/>
    <w:rsid w:val="013A2AFF"/>
    <w:rsid w:val="013B0EAF"/>
    <w:rsid w:val="014D6C4F"/>
    <w:rsid w:val="016A7BE4"/>
    <w:rsid w:val="017B5493"/>
    <w:rsid w:val="01825C00"/>
    <w:rsid w:val="019308E5"/>
    <w:rsid w:val="01947A7B"/>
    <w:rsid w:val="019877BA"/>
    <w:rsid w:val="01B372D9"/>
    <w:rsid w:val="01B9356D"/>
    <w:rsid w:val="01C47F6F"/>
    <w:rsid w:val="01C67679"/>
    <w:rsid w:val="01D05E2A"/>
    <w:rsid w:val="01D1743A"/>
    <w:rsid w:val="01DC5F6B"/>
    <w:rsid w:val="01E25679"/>
    <w:rsid w:val="01E52BEE"/>
    <w:rsid w:val="02073F34"/>
    <w:rsid w:val="020944A4"/>
    <w:rsid w:val="020F6102"/>
    <w:rsid w:val="02200E27"/>
    <w:rsid w:val="022E208E"/>
    <w:rsid w:val="022E2D8C"/>
    <w:rsid w:val="02353A6E"/>
    <w:rsid w:val="02416386"/>
    <w:rsid w:val="0287349D"/>
    <w:rsid w:val="02893C09"/>
    <w:rsid w:val="028D4012"/>
    <w:rsid w:val="029849DE"/>
    <w:rsid w:val="029A4A77"/>
    <w:rsid w:val="02A01395"/>
    <w:rsid w:val="02A873D9"/>
    <w:rsid w:val="02AE6097"/>
    <w:rsid w:val="02B12FFE"/>
    <w:rsid w:val="02B51B13"/>
    <w:rsid w:val="02B81BE3"/>
    <w:rsid w:val="02C25983"/>
    <w:rsid w:val="02C94BF9"/>
    <w:rsid w:val="02CA6978"/>
    <w:rsid w:val="02CB7316"/>
    <w:rsid w:val="02CF685B"/>
    <w:rsid w:val="02DB5A3E"/>
    <w:rsid w:val="02E23F6F"/>
    <w:rsid w:val="02E86FC9"/>
    <w:rsid w:val="02ED221B"/>
    <w:rsid w:val="030339C2"/>
    <w:rsid w:val="0303503A"/>
    <w:rsid w:val="031256FD"/>
    <w:rsid w:val="03204C8F"/>
    <w:rsid w:val="03335C2D"/>
    <w:rsid w:val="033903C6"/>
    <w:rsid w:val="03542662"/>
    <w:rsid w:val="03545076"/>
    <w:rsid w:val="035F0E87"/>
    <w:rsid w:val="03653C9B"/>
    <w:rsid w:val="03670C9F"/>
    <w:rsid w:val="038E4FA4"/>
    <w:rsid w:val="039056F9"/>
    <w:rsid w:val="03A30077"/>
    <w:rsid w:val="03AC4E0C"/>
    <w:rsid w:val="03AC55BC"/>
    <w:rsid w:val="03AD4B71"/>
    <w:rsid w:val="03AD66D6"/>
    <w:rsid w:val="03C66EC3"/>
    <w:rsid w:val="03E44C52"/>
    <w:rsid w:val="03E746E8"/>
    <w:rsid w:val="04116AC3"/>
    <w:rsid w:val="04171EB0"/>
    <w:rsid w:val="041A78EB"/>
    <w:rsid w:val="0422286F"/>
    <w:rsid w:val="04512953"/>
    <w:rsid w:val="045C7445"/>
    <w:rsid w:val="0478319D"/>
    <w:rsid w:val="048117E7"/>
    <w:rsid w:val="04867713"/>
    <w:rsid w:val="048B48C2"/>
    <w:rsid w:val="04A7433E"/>
    <w:rsid w:val="04B54A3B"/>
    <w:rsid w:val="04B90BF6"/>
    <w:rsid w:val="04BF0A75"/>
    <w:rsid w:val="04C07BFF"/>
    <w:rsid w:val="04D52BC0"/>
    <w:rsid w:val="04DD437D"/>
    <w:rsid w:val="04E30798"/>
    <w:rsid w:val="04E94C27"/>
    <w:rsid w:val="04F65556"/>
    <w:rsid w:val="05137E39"/>
    <w:rsid w:val="05163E2A"/>
    <w:rsid w:val="051F2D1F"/>
    <w:rsid w:val="051F4418"/>
    <w:rsid w:val="054B71FD"/>
    <w:rsid w:val="05535373"/>
    <w:rsid w:val="05573673"/>
    <w:rsid w:val="05767681"/>
    <w:rsid w:val="057B08E4"/>
    <w:rsid w:val="058C416A"/>
    <w:rsid w:val="058D4DC3"/>
    <w:rsid w:val="058E588F"/>
    <w:rsid w:val="059C139B"/>
    <w:rsid w:val="05A35845"/>
    <w:rsid w:val="05B758B1"/>
    <w:rsid w:val="05BE55AE"/>
    <w:rsid w:val="05C21C8B"/>
    <w:rsid w:val="05C5162E"/>
    <w:rsid w:val="05EE741E"/>
    <w:rsid w:val="060E21E4"/>
    <w:rsid w:val="06120206"/>
    <w:rsid w:val="061B2BC8"/>
    <w:rsid w:val="061D1D07"/>
    <w:rsid w:val="062124B4"/>
    <w:rsid w:val="062920ED"/>
    <w:rsid w:val="062F2BCD"/>
    <w:rsid w:val="063376CD"/>
    <w:rsid w:val="06415EF4"/>
    <w:rsid w:val="06423299"/>
    <w:rsid w:val="06477BA5"/>
    <w:rsid w:val="06481CB3"/>
    <w:rsid w:val="064F4BCD"/>
    <w:rsid w:val="06501298"/>
    <w:rsid w:val="065E69E0"/>
    <w:rsid w:val="0669635D"/>
    <w:rsid w:val="066D466F"/>
    <w:rsid w:val="066D5E24"/>
    <w:rsid w:val="067E4D8A"/>
    <w:rsid w:val="06885FC2"/>
    <w:rsid w:val="068942CF"/>
    <w:rsid w:val="06956E16"/>
    <w:rsid w:val="069A688E"/>
    <w:rsid w:val="06A138C5"/>
    <w:rsid w:val="06A512B4"/>
    <w:rsid w:val="06B0228F"/>
    <w:rsid w:val="06B46ABE"/>
    <w:rsid w:val="06B46B99"/>
    <w:rsid w:val="06BD2654"/>
    <w:rsid w:val="06CA4945"/>
    <w:rsid w:val="06D501D8"/>
    <w:rsid w:val="06DC58F3"/>
    <w:rsid w:val="06DC6D16"/>
    <w:rsid w:val="06E65252"/>
    <w:rsid w:val="06FE2693"/>
    <w:rsid w:val="0705421D"/>
    <w:rsid w:val="070B52B2"/>
    <w:rsid w:val="07100C39"/>
    <w:rsid w:val="0719170E"/>
    <w:rsid w:val="0721138A"/>
    <w:rsid w:val="07255CAF"/>
    <w:rsid w:val="07391795"/>
    <w:rsid w:val="073A1743"/>
    <w:rsid w:val="07472323"/>
    <w:rsid w:val="075D5F39"/>
    <w:rsid w:val="07621207"/>
    <w:rsid w:val="077F010F"/>
    <w:rsid w:val="07A81010"/>
    <w:rsid w:val="07C22298"/>
    <w:rsid w:val="07C72555"/>
    <w:rsid w:val="07DF1FC2"/>
    <w:rsid w:val="07E01CB6"/>
    <w:rsid w:val="07E67042"/>
    <w:rsid w:val="07E74F4B"/>
    <w:rsid w:val="07F05E3A"/>
    <w:rsid w:val="07FC4A57"/>
    <w:rsid w:val="07FF10E8"/>
    <w:rsid w:val="08042ECC"/>
    <w:rsid w:val="08057C61"/>
    <w:rsid w:val="0806262D"/>
    <w:rsid w:val="08080977"/>
    <w:rsid w:val="080E1211"/>
    <w:rsid w:val="08247A54"/>
    <w:rsid w:val="08382E8D"/>
    <w:rsid w:val="08390EE3"/>
    <w:rsid w:val="08521717"/>
    <w:rsid w:val="08551AA8"/>
    <w:rsid w:val="0859383C"/>
    <w:rsid w:val="085C0463"/>
    <w:rsid w:val="08791DE4"/>
    <w:rsid w:val="08840F5B"/>
    <w:rsid w:val="0891726E"/>
    <w:rsid w:val="0894299C"/>
    <w:rsid w:val="08A76097"/>
    <w:rsid w:val="08AB223F"/>
    <w:rsid w:val="08C95D24"/>
    <w:rsid w:val="090E7996"/>
    <w:rsid w:val="09166AA3"/>
    <w:rsid w:val="092553F8"/>
    <w:rsid w:val="092564CC"/>
    <w:rsid w:val="09306E90"/>
    <w:rsid w:val="093F1861"/>
    <w:rsid w:val="09445553"/>
    <w:rsid w:val="09471006"/>
    <w:rsid w:val="094730A2"/>
    <w:rsid w:val="09491E6A"/>
    <w:rsid w:val="095040E4"/>
    <w:rsid w:val="096024FA"/>
    <w:rsid w:val="09605C25"/>
    <w:rsid w:val="096C1D6B"/>
    <w:rsid w:val="09872683"/>
    <w:rsid w:val="09A376A0"/>
    <w:rsid w:val="09A72100"/>
    <w:rsid w:val="09B00317"/>
    <w:rsid w:val="09C475D8"/>
    <w:rsid w:val="09C645F3"/>
    <w:rsid w:val="09CC3E90"/>
    <w:rsid w:val="09D21A82"/>
    <w:rsid w:val="09D465DA"/>
    <w:rsid w:val="09D645CD"/>
    <w:rsid w:val="09EB4F71"/>
    <w:rsid w:val="09ED00DA"/>
    <w:rsid w:val="09F450E6"/>
    <w:rsid w:val="0A244022"/>
    <w:rsid w:val="0A433A3E"/>
    <w:rsid w:val="0A4751CC"/>
    <w:rsid w:val="0A5F38AB"/>
    <w:rsid w:val="0A616C3D"/>
    <w:rsid w:val="0A9E33FA"/>
    <w:rsid w:val="0A9F16A2"/>
    <w:rsid w:val="0AAB5C9E"/>
    <w:rsid w:val="0AB67258"/>
    <w:rsid w:val="0AB82B45"/>
    <w:rsid w:val="0ABD5745"/>
    <w:rsid w:val="0AC85BD5"/>
    <w:rsid w:val="0AD6514D"/>
    <w:rsid w:val="0AD7586F"/>
    <w:rsid w:val="0ADF5BC4"/>
    <w:rsid w:val="0AF3612F"/>
    <w:rsid w:val="0AF907CA"/>
    <w:rsid w:val="0AFB0BAC"/>
    <w:rsid w:val="0B077006"/>
    <w:rsid w:val="0B08021A"/>
    <w:rsid w:val="0B1066F0"/>
    <w:rsid w:val="0B4B3581"/>
    <w:rsid w:val="0B4E1EDD"/>
    <w:rsid w:val="0B565F45"/>
    <w:rsid w:val="0B791C1D"/>
    <w:rsid w:val="0B811A4D"/>
    <w:rsid w:val="0B8356CD"/>
    <w:rsid w:val="0B891869"/>
    <w:rsid w:val="0B95504D"/>
    <w:rsid w:val="0B9C3B34"/>
    <w:rsid w:val="0BAE1D73"/>
    <w:rsid w:val="0BBD41F6"/>
    <w:rsid w:val="0BE65B87"/>
    <w:rsid w:val="0C0D774A"/>
    <w:rsid w:val="0C13139F"/>
    <w:rsid w:val="0C2242AC"/>
    <w:rsid w:val="0C2A2C2F"/>
    <w:rsid w:val="0C2D741E"/>
    <w:rsid w:val="0C3F3FC2"/>
    <w:rsid w:val="0C5049C9"/>
    <w:rsid w:val="0C656F57"/>
    <w:rsid w:val="0C66764F"/>
    <w:rsid w:val="0C9455BE"/>
    <w:rsid w:val="0C9D488C"/>
    <w:rsid w:val="0CA04B0E"/>
    <w:rsid w:val="0CB95A3D"/>
    <w:rsid w:val="0CBC5A22"/>
    <w:rsid w:val="0CC069CE"/>
    <w:rsid w:val="0CD230FA"/>
    <w:rsid w:val="0CDD3DDB"/>
    <w:rsid w:val="0CDE2C3A"/>
    <w:rsid w:val="0CE17165"/>
    <w:rsid w:val="0CE5296A"/>
    <w:rsid w:val="0CF973D0"/>
    <w:rsid w:val="0CF97B2A"/>
    <w:rsid w:val="0D10312A"/>
    <w:rsid w:val="0D153204"/>
    <w:rsid w:val="0D1663CB"/>
    <w:rsid w:val="0D1B4F48"/>
    <w:rsid w:val="0D2857CD"/>
    <w:rsid w:val="0D2E6C96"/>
    <w:rsid w:val="0D3570CA"/>
    <w:rsid w:val="0D46605E"/>
    <w:rsid w:val="0D4A4802"/>
    <w:rsid w:val="0D4D54F4"/>
    <w:rsid w:val="0D5C0C56"/>
    <w:rsid w:val="0D6A2D73"/>
    <w:rsid w:val="0D6C40F1"/>
    <w:rsid w:val="0D6C4D13"/>
    <w:rsid w:val="0D6F5ECD"/>
    <w:rsid w:val="0D792621"/>
    <w:rsid w:val="0D795FE4"/>
    <w:rsid w:val="0D86177C"/>
    <w:rsid w:val="0D920595"/>
    <w:rsid w:val="0D9C72D3"/>
    <w:rsid w:val="0D9D7350"/>
    <w:rsid w:val="0DA11AFF"/>
    <w:rsid w:val="0DA3577D"/>
    <w:rsid w:val="0DCD0108"/>
    <w:rsid w:val="0DD0182E"/>
    <w:rsid w:val="0DD400AC"/>
    <w:rsid w:val="0DD50AA6"/>
    <w:rsid w:val="0DEC69D0"/>
    <w:rsid w:val="0DF006AE"/>
    <w:rsid w:val="0DF25D71"/>
    <w:rsid w:val="0DF53AAA"/>
    <w:rsid w:val="0DF72443"/>
    <w:rsid w:val="0E0B7767"/>
    <w:rsid w:val="0E313A63"/>
    <w:rsid w:val="0E371E9C"/>
    <w:rsid w:val="0E3A2012"/>
    <w:rsid w:val="0E424040"/>
    <w:rsid w:val="0E425C07"/>
    <w:rsid w:val="0E437656"/>
    <w:rsid w:val="0E4639C0"/>
    <w:rsid w:val="0E4A53D6"/>
    <w:rsid w:val="0E5858BC"/>
    <w:rsid w:val="0E6607F3"/>
    <w:rsid w:val="0E705890"/>
    <w:rsid w:val="0E766227"/>
    <w:rsid w:val="0E79651A"/>
    <w:rsid w:val="0E8471EA"/>
    <w:rsid w:val="0EA26469"/>
    <w:rsid w:val="0EBB5667"/>
    <w:rsid w:val="0EC40E15"/>
    <w:rsid w:val="0EC56ABF"/>
    <w:rsid w:val="0EC8524D"/>
    <w:rsid w:val="0ED16C20"/>
    <w:rsid w:val="0EDD1784"/>
    <w:rsid w:val="0EE37110"/>
    <w:rsid w:val="0EEE188F"/>
    <w:rsid w:val="0EF150E4"/>
    <w:rsid w:val="0EF15FF9"/>
    <w:rsid w:val="0EF35098"/>
    <w:rsid w:val="0F04572B"/>
    <w:rsid w:val="0F052E2C"/>
    <w:rsid w:val="0F0750C1"/>
    <w:rsid w:val="0F107801"/>
    <w:rsid w:val="0F194081"/>
    <w:rsid w:val="0F2840F1"/>
    <w:rsid w:val="0F492093"/>
    <w:rsid w:val="0F510BF4"/>
    <w:rsid w:val="0F53761B"/>
    <w:rsid w:val="0F5A19C4"/>
    <w:rsid w:val="0F5F218E"/>
    <w:rsid w:val="0F821CCC"/>
    <w:rsid w:val="0F855786"/>
    <w:rsid w:val="0F927A09"/>
    <w:rsid w:val="0F975882"/>
    <w:rsid w:val="0F9F0573"/>
    <w:rsid w:val="0FA20CE0"/>
    <w:rsid w:val="0FAC0293"/>
    <w:rsid w:val="0FB00B36"/>
    <w:rsid w:val="0FBB589A"/>
    <w:rsid w:val="0FD440C8"/>
    <w:rsid w:val="0FE42C25"/>
    <w:rsid w:val="0FEE17F2"/>
    <w:rsid w:val="0FF2113A"/>
    <w:rsid w:val="10040A96"/>
    <w:rsid w:val="100777DB"/>
    <w:rsid w:val="10085116"/>
    <w:rsid w:val="101C467A"/>
    <w:rsid w:val="101E5709"/>
    <w:rsid w:val="103932BA"/>
    <w:rsid w:val="103B742C"/>
    <w:rsid w:val="103B7CF4"/>
    <w:rsid w:val="10422491"/>
    <w:rsid w:val="1045571E"/>
    <w:rsid w:val="104E50C3"/>
    <w:rsid w:val="105817D8"/>
    <w:rsid w:val="105C24CF"/>
    <w:rsid w:val="1061167E"/>
    <w:rsid w:val="10700531"/>
    <w:rsid w:val="107A63CA"/>
    <w:rsid w:val="107B7DAA"/>
    <w:rsid w:val="109521A1"/>
    <w:rsid w:val="10B821A1"/>
    <w:rsid w:val="10B875F1"/>
    <w:rsid w:val="10C24B85"/>
    <w:rsid w:val="10D72AAB"/>
    <w:rsid w:val="10DB2452"/>
    <w:rsid w:val="10DD1BBD"/>
    <w:rsid w:val="110E493A"/>
    <w:rsid w:val="11252CA8"/>
    <w:rsid w:val="11266796"/>
    <w:rsid w:val="112B22E3"/>
    <w:rsid w:val="112E1730"/>
    <w:rsid w:val="1131444A"/>
    <w:rsid w:val="113E2A31"/>
    <w:rsid w:val="114800FB"/>
    <w:rsid w:val="114F6F05"/>
    <w:rsid w:val="115F5BC4"/>
    <w:rsid w:val="11637C6F"/>
    <w:rsid w:val="11763B18"/>
    <w:rsid w:val="118D6E1B"/>
    <w:rsid w:val="11924AF7"/>
    <w:rsid w:val="1192574A"/>
    <w:rsid w:val="1194588B"/>
    <w:rsid w:val="11B44B32"/>
    <w:rsid w:val="11D131AD"/>
    <w:rsid w:val="11D42E1F"/>
    <w:rsid w:val="11D673EA"/>
    <w:rsid w:val="11DE21DA"/>
    <w:rsid w:val="11DF1746"/>
    <w:rsid w:val="11E01D88"/>
    <w:rsid w:val="11F27813"/>
    <w:rsid w:val="12097B24"/>
    <w:rsid w:val="121506E1"/>
    <w:rsid w:val="12200B7C"/>
    <w:rsid w:val="12392350"/>
    <w:rsid w:val="124738B1"/>
    <w:rsid w:val="125C11D4"/>
    <w:rsid w:val="12700736"/>
    <w:rsid w:val="12766937"/>
    <w:rsid w:val="127720BA"/>
    <w:rsid w:val="127B5197"/>
    <w:rsid w:val="127C69E7"/>
    <w:rsid w:val="127C7771"/>
    <w:rsid w:val="1282739F"/>
    <w:rsid w:val="12835A9D"/>
    <w:rsid w:val="128F0F68"/>
    <w:rsid w:val="12975479"/>
    <w:rsid w:val="12B20B5E"/>
    <w:rsid w:val="12BD5D97"/>
    <w:rsid w:val="12BE68FB"/>
    <w:rsid w:val="12C536A1"/>
    <w:rsid w:val="12C54391"/>
    <w:rsid w:val="12CD724A"/>
    <w:rsid w:val="12D34E5C"/>
    <w:rsid w:val="12F67E93"/>
    <w:rsid w:val="13084610"/>
    <w:rsid w:val="130949B9"/>
    <w:rsid w:val="130B46EA"/>
    <w:rsid w:val="131333B6"/>
    <w:rsid w:val="1318246C"/>
    <w:rsid w:val="131B530B"/>
    <w:rsid w:val="131C3C7F"/>
    <w:rsid w:val="1327636F"/>
    <w:rsid w:val="132A4234"/>
    <w:rsid w:val="133F06C9"/>
    <w:rsid w:val="134F5E8C"/>
    <w:rsid w:val="13543FD1"/>
    <w:rsid w:val="135E0968"/>
    <w:rsid w:val="1364417F"/>
    <w:rsid w:val="136F4340"/>
    <w:rsid w:val="13742681"/>
    <w:rsid w:val="137F409B"/>
    <w:rsid w:val="1382114A"/>
    <w:rsid w:val="139E0E00"/>
    <w:rsid w:val="139F002A"/>
    <w:rsid w:val="13A81BA1"/>
    <w:rsid w:val="13B41195"/>
    <w:rsid w:val="13C4036C"/>
    <w:rsid w:val="13C95CF8"/>
    <w:rsid w:val="13C97E9D"/>
    <w:rsid w:val="13E55B56"/>
    <w:rsid w:val="13E72E86"/>
    <w:rsid w:val="141752BC"/>
    <w:rsid w:val="14271450"/>
    <w:rsid w:val="14416530"/>
    <w:rsid w:val="144F1F66"/>
    <w:rsid w:val="145273DD"/>
    <w:rsid w:val="145B783F"/>
    <w:rsid w:val="145E14A4"/>
    <w:rsid w:val="14646B59"/>
    <w:rsid w:val="146C4D19"/>
    <w:rsid w:val="14704429"/>
    <w:rsid w:val="14704BD7"/>
    <w:rsid w:val="147E34E2"/>
    <w:rsid w:val="147F6D17"/>
    <w:rsid w:val="148371F5"/>
    <w:rsid w:val="14905014"/>
    <w:rsid w:val="149126A2"/>
    <w:rsid w:val="1497078A"/>
    <w:rsid w:val="14AA3900"/>
    <w:rsid w:val="14AF7034"/>
    <w:rsid w:val="14B07C40"/>
    <w:rsid w:val="14B566F9"/>
    <w:rsid w:val="14B77352"/>
    <w:rsid w:val="14C47607"/>
    <w:rsid w:val="14C52274"/>
    <w:rsid w:val="14CC7F74"/>
    <w:rsid w:val="14D81E48"/>
    <w:rsid w:val="14DC6FAE"/>
    <w:rsid w:val="14F21A7A"/>
    <w:rsid w:val="14F3727E"/>
    <w:rsid w:val="15104803"/>
    <w:rsid w:val="15324F1E"/>
    <w:rsid w:val="153F4B53"/>
    <w:rsid w:val="15691007"/>
    <w:rsid w:val="15693D93"/>
    <w:rsid w:val="157922A1"/>
    <w:rsid w:val="157D1E8A"/>
    <w:rsid w:val="15824091"/>
    <w:rsid w:val="1593625E"/>
    <w:rsid w:val="15A13C78"/>
    <w:rsid w:val="15A52EEA"/>
    <w:rsid w:val="15A53C23"/>
    <w:rsid w:val="15A84021"/>
    <w:rsid w:val="15AA74C8"/>
    <w:rsid w:val="15AB1768"/>
    <w:rsid w:val="15AD54CE"/>
    <w:rsid w:val="15B07495"/>
    <w:rsid w:val="15BB2FB5"/>
    <w:rsid w:val="15BB7682"/>
    <w:rsid w:val="15D82B19"/>
    <w:rsid w:val="15DB4F59"/>
    <w:rsid w:val="15E270A9"/>
    <w:rsid w:val="15E75010"/>
    <w:rsid w:val="15FA0D2C"/>
    <w:rsid w:val="15FD373C"/>
    <w:rsid w:val="16037B27"/>
    <w:rsid w:val="1607751B"/>
    <w:rsid w:val="161B46CF"/>
    <w:rsid w:val="161D666C"/>
    <w:rsid w:val="16266A8F"/>
    <w:rsid w:val="162D634F"/>
    <w:rsid w:val="162D7A45"/>
    <w:rsid w:val="163338BD"/>
    <w:rsid w:val="163C0BFC"/>
    <w:rsid w:val="16477FB1"/>
    <w:rsid w:val="164F15BD"/>
    <w:rsid w:val="1657204B"/>
    <w:rsid w:val="165E1C70"/>
    <w:rsid w:val="16630B36"/>
    <w:rsid w:val="166465F8"/>
    <w:rsid w:val="16661826"/>
    <w:rsid w:val="166722FC"/>
    <w:rsid w:val="166D4B4E"/>
    <w:rsid w:val="167015DB"/>
    <w:rsid w:val="16726AD5"/>
    <w:rsid w:val="16985A0E"/>
    <w:rsid w:val="16993488"/>
    <w:rsid w:val="16A75FC3"/>
    <w:rsid w:val="16A82504"/>
    <w:rsid w:val="16AA29AD"/>
    <w:rsid w:val="16AB0943"/>
    <w:rsid w:val="16AD2C41"/>
    <w:rsid w:val="16B25B7A"/>
    <w:rsid w:val="16BD1FA2"/>
    <w:rsid w:val="16C00F60"/>
    <w:rsid w:val="16C55ED1"/>
    <w:rsid w:val="16C83FB3"/>
    <w:rsid w:val="16CF4563"/>
    <w:rsid w:val="16DA1D77"/>
    <w:rsid w:val="16FA448E"/>
    <w:rsid w:val="16FE6720"/>
    <w:rsid w:val="16FF0600"/>
    <w:rsid w:val="171167D8"/>
    <w:rsid w:val="17152C42"/>
    <w:rsid w:val="172D1413"/>
    <w:rsid w:val="1733794E"/>
    <w:rsid w:val="174A7153"/>
    <w:rsid w:val="175E54CB"/>
    <w:rsid w:val="17602920"/>
    <w:rsid w:val="17613155"/>
    <w:rsid w:val="1765436A"/>
    <w:rsid w:val="17686B23"/>
    <w:rsid w:val="176A7A53"/>
    <w:rsid w:val="17777C16"/>
    <w:rsid w:val="17811857"/>
    <w:rsid w:val="17814D59"/>
    <w:rsid w:val="17826520"/>
    <w:rsid w:val="178C17B0"/>
    <w:rsid w:val="178F64CC"/>
    <w:rsid w:val="179703D9"/>
    <w:rsid w:val="17A1446F"/>
    <w:rsid w:val="17A36A30"/>
    <w:rsid w:val="17A9364D"/>
    <w:rsid w:val="17AE2FD6"/>
    <w:rsid w:val="17B51455"/>
    <w:rsid w:val="17B62C69"/>
    <w:rsid w:val="17BF1811"/>
    <w:rsid w:val="17D04DB6"/>
    <w:rsid w:val="17D1062E"/>
    <w:rsid w:val="17D475B6"/>
    <w:rsid w:val="17D8279F"/>
    <w:rsid w:val="17F60EC1"/>
    <w:rsid w:val="18123FE0"/>
    <w:rsid w:val="181A43E7"/>
    <w:rsid w:val="18362DC1"/>
    <w:rsid w:val="18382FD9"/>
    <w:rsid w:val="18455CDF"/>
    <w:rsid w:val="18477B6A"/>
    <w:rsid w:val="184C0B40"/>
    <w:rsid w:val="184E67BD"/>
    <w:rsid w:val="18500B2B"/>
    <w:rsid w:val="185D0418"/>
    <w:rsid w:val="18634FB3"/>
    <w:rsid w:val="186B198A"/>
    <w:rsid w:val="187837EE"/>
    <w:rsid w:val="187B4217"/>
    <w:rsid w:val="187B4E88"/>
    <w:rsid w:val="187D2391"/>
    <w:rsid w:val="18927A78"/>
    <w:rsid w:val="189343FB"/>
    <w:rsid w:val="1897408F"/>
    <w:rsid w:val="189A3E3B"/>
    <w:rsid w:val="18A32AC2"/>
    <w:rsid w:val="18A44423"/>
    <w:rsid w:val="18A83936"/>
    <w:rsid w:val="18AC6D6F"/>
    <w:rsid w:val="18B4439E"/>
    <w:rsid w:val="18B51DF1"/>
    <w:rsid w:val="18C1230E"/>
    <w:rsid w:val="18C536A3"/>
    <w:rsid w:val="18CE7571"/>
    <w:rsid w:val="18D94D07"/>
    <w:rsid w:val="18DE668B"/>
    <w:rsid w:val="18F123AB"/>
    <w:rsid w:val="18FA33ED"/>
    <w:rsid w:val="1913549B"/>
    <w:rsid w:val="19184AA0"/>
    <w:rsid w:val="19381C94"/>
    <w:rsid w:val="194600ED"/>
    <w:rsid w:val="194A3C77"/>
    <w:rsid w:val="194B28B3"/>
    <w:rsid w:val="194C02A1"/>
    <w:rsid w:val="194E2136"/>
    <w:rsid w:val="1952539B"/>
    <w:rsid w:val="196B79D2"/>
    <w:rsid w:val="19734B9F"/>
    <w:rsid w:val="197500E9"/>
    <w:rsid w:val="197873C2"/>
    <w:rsid w:val="197D668C"/>
    <w:rsid w:val="1999732E"/>
    <w:rsid w:val="19A14D9B"/>
    <w:rsid w:val="19AA0172"/>
    <w:rsid w:val="19BE25E7"/>
    <w:rsid w:val="19BF7B25"/>
    <w:rsid w:val="19C449B3"/>
    <w:rsid w:val="19C9377B"/>
    <w:rsid w:val="19EE7E38"/>
    <w:rsid w:val="19EF01E4"/>
    <w:rsid w:val="19F21937"/>
    <w:rsid w:val="19F46490"/>
    <w:rsid w:val="1A095FF4"/>
    <w:rsid w:val="1A0C4FBE"/>
    <w:rsid w:val="1A116794"/>
    <w:rsid w:val="1A1F31AD"/>
    <w:rsid w:val="1A402B40"/>
    <w:rsid w:val="1A4324F9"/>
    <w:rsid w:val="1A4367F9"/>
    <w:rsid w:val="1A4F48E6"/>
    <w:rsid w:val="1A664EAD"/>
    <w:rsid w:val="1A666362"/>
    <w:rsid w:val="1A677A55"/>
    <w:rsid w:val="1A6B5818"/>
    <w:rsid w:val="1A9F4BF9"/>
    <w:rsid w:val="1AB36BE2"/>
    <w:rsid w:val="1AB55A6D"/>
    <w:rsid w:val="1ACE791D"/>
    <w:rsid w:val="1AE15B00"/>
    <w:rsid w:val="1AF60FC3"/>
    <w:rsid w:val="1AF83AF2"/>
    <w:rsid w:val="1B08136E"/>
    <w:rsid w:val="1B1228A7"/>
    <w:rsid w:val="1B3917DF"/>
    <w:rsid w:val="1B4704DE"/>
    <w:rsid w:val="1B4B6658"/>
    <w:rsid w:val="1B6470D3"/>
    <w:rsid w:val="1B673B14"/>
    <w:rsid w:val="1B730645"/>
    <w:rsid w:val="1B7A2EC2"/>
    <w:rsid w:val="1B7E74AD"/>
    <w:rsid w:val="1B88412A"/>
    <w:rsid w:val="1B8E3FB2"/>
    <w:rsid w:val="1BA76331"/>
    <w:rsid w:val="1BA9512E"/>
    <w:rsid w:val="1BAD188F"/>
    <w:rsid w:val="1BB35287"/>
    <w:rsid w:val="1BB409B7"/>
    <w:rsid w:val="1BCD01FC"/>
    <w:rsid w:val="1BD04754"/>
    <w:rsid w:val="1BD52768"/>
    <w:rsid w:val="1BD74325"/>
    <w:rsid w:val="1BD76DE9"/>
    <w:rsid w:val="1BDB562F"/>
    <w:rsid w:val="1BDC52ED"/>
    <w:rsid w:val="1BE15D30"/>
    <w:rsid w:val="1BE20F04"/>
    <w:rsid w:val="1BE55712"/>
    <w:rsid w:val="1BE7121E"/>
    <w:rsid w:val="1C0548D9"/>
    <w:rsid w:val="1C182F52"/>
    <w:rsid w:val="1C2D324B"/>
    <w:rsid w:val="1C4E7BC7"/>
    <w:rsid w:val="1C600116"/>
    <w:rsid w:val="1C653783"/>
    <w:rsid w:val="1C6B5FAD"/>
    <w:rsid w:val="1C6E3EDA"/>
    <w:rsid w:val="1C6F3E21"/>
    <w:rsid w:val="1C77242E"/>
    <w:rsid w:val="1C8E4E78"/>
    <w:rsid w:val="1CA37FFA"/>
    <w:rsid w:val="1CB70F5C"/>
    <w:rsid w:val="1CBC4AB3"/>
    <w:rsid w:val="1CC80E60"/>
    <w:rsid w:val="1CC9749F"/>
    <w:rsid w:val="1CD40822"/>
    <w:rsid w:val="1CE24978"/>
    <w:rsid w:val="1CEA71F5"/>
    <w:rsid w:val="1CF16D6D"/>
    <w:rsid w:val="1CF43457"/>
    <w:rsid w:val="1CF66C01"/>
    <w:rsid w:val="1CFA1458"/>
    <w:rsid w:val="1D025EA8"/>
    <w:rsid w:val="1D0463B2"/>
    <w:rsid w:val="1D07766B"/>
    <w:rsid w:val="1D184450"/>
    <w:rsid w:val="1D25493C"/>
    <w:rsid w:val="1D263F8D"/>
    <w:rsid w:val="1D2C2511"/>
    <w:rsid w:val="1D2E575C"/>
    <w:rsid w:val="1D3068AA"/>
    <w:rsid w:val="1D384CA8"/>
    <w:rsid w:val="1D4D32C4"/>
    <w:rsid w:val="1D61453A"/>
    <w:rsid w:val="1D823CBC"/>
    <w:rsid w:val="1D8439C9"/>
    <w:rsid w:val="1D996B97"/>
    <w:rsid w:val="1DA24865"/>
    <w:rsid w:val="1DA41F34"/>
    <w:rsid w:val="1DA74FDB"/>
    <w:rsid w:val="1DB13915"/>
    <w:rsid w:val="1DC657DC"/>
    <w:rsid w:val="1DC83761"/>
    <w:rsid w:val="1DCC6678"/>
    <w:rsid w:val="1DD365A2"/>
    <w:rsid w:val="1DDB23B6"/>
    <w:rsid w:val="1DE0425D"/>
    <w:rsid w:val="1DE74D12"/>
    <w:rsid w:val="1DF61E56"/>
    <w:rsid w:val="1DFA7CF6"/>
    <w:rsid w:val="1DFB0A72"/>
    <w:rsid w:val="1E13769D"/>
    <w:rsid w:val="1E1C767E"/>
    <w:rsid w:val="1E1F7BCE"/>
    <w:rsid w:val="1E231380"/>
    <w:rsid w:val="1E2619D6"/>
    <w:rsid w:val="1E286BBF"/>
    <w:rsid w:val="1E2A252F"/>
    <w:rsid w:val="1E2A5F0F"/>
    <w:rsid w:val="1E3461D6"/>
    <w:rsid w:val="1E391C16"/>
    <w:rsid w:val="1E4C63A7"/>
    <w:rsid w:val="1E503778"/>
    <w:rsid w:val="1E584960"/>
    <w:rsid w:val="1E59089A"/>
    <w:rsid w:val="1E5B4504"/>
    <w:rsid w:val="1E5F27BD"/>
    <w:rsid w:val="1E604651"/>
    <w:rsid w:val="1E6868B6"/>
    <w:rsid w:val="1E8B58DA"/>
    <w:rsid w:val="1E98223A"/>
    <w:rsid w:val="1E9B7A99"/>
    <w:rsid w:val="1EAD416F"/>
    <w:rsid w:val="1EAD6229"/>
    <w:rsid w:val="1EB42874"/>
    <w:rsid w:val="1ECD2619"/>
    <w:rsid w:val="1ED51048"/>
    <w:rsid w:val="1ED76F74"/>
    <w:rsid w:val="1EF14A27"/>
    <w:rsid w:val="1F204A98"/>
    <w:rsid w:val="1F205A6E"/>
    <w:rsid w:val="1F2833D5"/>
    <w:rsid w:val="1F36142A"/>
    <w:rsid w:val="1F3A165C"/>
    <w:rsid w:val="1F503F16"/>
    <w:rsid w:val="1F566724"/>
    <w:rsid w:val="1F5A116A"/>
    <w:rsid w:val="1F5F097D"/>
    <w:rsid w:val="1F633CCC"/>
    <w:rsid w:val="1F67458F"/>
    <w:rsid w:val="1F695840"/>
    <w:rsid w:val="1F87764D"/>
    <w:rsid w:val="1F8D2687"/>
    <w:rsid w:val="1F9E4B39"/>
    <w:rsid w:val="1FA20FB9"/>
    <w:rsid w:val="1FB31816"/>
    <w:rsid w:val="1FB67729"/>
    <w:rsid w:val="1FD0318F"/>
    <w:rsid w:val="1FE46C57"/>
    <w:rsid w:val="1FEC32C5"/>
    <w:rsid w:val="1FEF01E3"/>
    <w:rsid w:val="1FF416A6"/>
    <w:rsid w:val="1FF5667D"/>
    <w:rsid w:val="2004676C"/>
    <w:rsid w:val="20133DC1"/>
    <w:rsid w:val="2034255B"/>
    <w:rsid w:val="20377ABB"/>
    <w:rsid w:val="20490419"/>
    <w:rsid w:val="204B1478"/>
    <w:rsid w:val="204D6277"/>
    <w:rsid w:val="20532B8D"/>
    <w:rsid w:val="205E09CA"/>
    <w:rsid w:val="206F4D88"/>
    <w:rsid w:val="20705DB8"/>
    <w:rsid w:val="20752C42"/>
    <w:rsid w:val="20817D3E"/>
    <w:rsid w:val="208A7F60"/>
    <w:rsid w:val="208F381E"/>
    <w:rsid w:val="20945770"/>
    <w:rsid w:val="20982D93"/>
    <w:rsid w:val="209A3045"/>
    <w:rsid w:val="209B5F99"/>
    <w:rsid w:val="209E5921"/>
    <w:rsid w:val="20B95580"/>
    <w:rsid w:val="20C71CE1"/>
    <w:rsid w:val="20D86628"/>
    <w:rsid w:val="20DF633D"/>
    <w:rsid w:val="20F3627C"/>
    <w:rsid w:val="20FB1DB4"/>
    <w:rsid w:val="2105443F"/>
    <w:rsid w:val="21283533"/>
    <w:rsid w:val="212A4055"/>
    <w:rsid w:val="21375930"/>
    <w:rsid w:val="213A64C9"/>
    <w:rsid w:val="214B2292"/>
    <w:rsid w:val="2154347B"/>
    <w:rsid w:val="215B0584"/>
    <w:rsid w:val="21611B3A"/>
    <w:rsid w:val="21663811"/>
    <w:rsid w:val="216D5919"/>
    <w:rsid w:val="216E4070"/>
    <w:rsid w:val="216E6803"/>
    <w:rsid w:val="21701E51"/>
    <w:rsid w:val="21753E1F"/>
    <w:rsid w:val="217D6D90"/>
    <w:rsid w:val="217E31A8"/>
    <w:rsid w:val="218248D8"/>
    <w:rsid w:val="218D7FFE"/>
    <w:rsid w:val="21A00FA3"/>
    <w:rsid w:val="21AB4C5A"/>
    <w:rsid w:val="21AC3540"/>
    <w:rsid w:val="21AE353A"/>
    <w:rsid w:val="21BD5E47"/>
    <w:rsid w:val="21C80C89"/>
    <w:rsid w:val="21CB7904"/>
    <w:rsid w:val="21CF13F8"/>
    <w:rsid w:val="21D87C9E"/>
    <w:rsid w:val="21F44101"/>
    <w:rsid w:val="21FC5A46"/>
    <w:rsid w:val="21FF2508"/>
    <w:rsid w:val="2202244F"/>
    <w:rsid w:val="221262C7"/>
    <w:rsid w:val="22181D8C"/>
    <w:rsid w:val="221B4EEE"/>
    <w:rsid w:val="221E646E"/>
    <w:rsid w:val="222505AB"/>
    <w:rsid w:val="22341473"/>
    <w:rsid w:val="223B4C2C"/>
    <w:rsid w:val="22483306"/>
    <w:rsid w:val="22562546"/>
    <w:rsid w:val="22575279"/>
    <w:rsid w:val="2263665C"/>
    <w:rsid w:val="22702CD4"/>
    <w:rsid w:val="22785F2E"/>
    <w:rsid w:val="227B34E0"/>
    <w:rsid w:val="22831562"/>
    <w:rsid w:val="229D6FB8"/>
    <w:rsid w:val="22B24D44"/>
    <w:rsid w:val="22CB603F"/>
    <w:rsid w:val="22DA29BC"/>
    <w:rsid w:val="22E1007A"/>
    <w:rsid w:val="22E6510E"/>
    <w:rsid w:val="22E67EDC"/>
    <w:rsid w:val="22E91280"/>
    <w:rsid w:val="22EC07CD"/>
    <w:rsid w:val="22EF02AB"/>
    <w:rsid w:val="22EF70FD"/>
    <w:rsid w:val="22FE0C11"/>
    <w:rsid w:val="230676B9"/>
    <w:rsid w:val="2310474D"/>
    <w:rsid w:val="2317648C"/>
    <w:rsid w:val="23271687"/>
    <w:rsid w:val="232D55C9"/>
    <w:rsid w:val="23393809"/>
    <w:rsid w:val="23447A4B"/>
    <w:rsid w:val="23640271"/>
    <w:rsid w:val="236752F7"/>
    <w:rsid w:val="236A2D15"/>
    <w:rsid w:val="236D5CA3"/>
    <w:rsid w:val="236E798E"/>
    <w:rsid w:val="23830922"/>
    <w:rsid w:val="23843911"/>
    <w:rsid w:val="238C4B60"/>
    <w:rsid w:val="239A6D54"/>
    <w:rsid w:val="23A076B9"/>
    <w:rsid w:val="23A81755"/>
    <w:rsid w:val="23BA2E34"/>
    <w:rsid w:val="23BE581F"/>
    <w:rsid w:val="23E74004"/>
    <w:rsid w:val="23E92AFA"/>
    <w:rsid w:val="23F902E6"/>
    <w:rsid w:val="23FF3901"/>
    <w:rsid w:val="241A5688"/>
    <w:rsid w:val="242A2450"/>
    <w:rsid w:val="2438246E"/>
    <w:rsid w:val="243C0F6C"/>
    <w:rsid w:val="243D527A"/>
    <w:rsid w:val="24405CCD"/>
    <w:rsid w:val="24454244"/>
    <w:rsid w:val="244B581D"/>
    <w:rsid w:val="245A5738"/>
    <w:rsid w:val="24630455"/>
    <w:rsid w:val="247610FA"/>
    <w:rsid w:val="24A30FE7"/>
    <w:rsid w:val="24A85C36"/>
    <w:rsid w:val="24AC4793"/>
    <w:rsid w:val="24B20CD0"/>
    <w:rsid w:val="24B80964"/>
    <w:rsid w:val="24B80B7D"/>
    <w:rsid w:val="24BD5182"/>
    <w:rsid w:val="24BF6751"/>
    <w:rsid w:val="24C01698"/>
    <w:rsid w:val="2501545E"/>
    <w:rsid w:val="25081AEA"/>
    <w:rsid w:val="25097EF4"/>
    <w:rsid w:val="250E1EDD"/>
    <w:rsid w:val="25161905"/>
    <w:rsid w:val="251B293D"/>
    <w:rsid w:val="25276F97"/>
    <w:rsid w:val="2529668E"/>
    <w:rsid w:val="252F2521"/>
    <w:rsid w:val="2530097D"/>
    <w:rsid w:val="25394FD3"/>
    <w:rsid w:val="253B34BC"/>
    <w:rsid w:val="253E7B6B"/>
    <w:rsid w:val="25460B78"/>
    <w:rsid w:val="254C75DB"/>
    <w:rsid w:val="2550100D"/>
    <w:rsid w:val="25503E8C"/>
    <w:rsid w:val="25577E37"/>
    <w:rsid w:val="25615A6D"/>
    <w:rsid w:val="25623D07"/>
    <w:rsid w:val="25640B66"/>
    <w:rsid w:val="256620C0"/>
    <w:rsid w:val="25706BF4"/>
    <w:rsid w:val="257162EF"/>
    <w:rsid w:val="2577550F"/>
    <w:rsid w:val="25812B27"/>
    <w:rsid w:val="25845C37"/>
    <w:rsid w:val="25854FC9"/>
    <w:rsid w:val="25870A25"/>
    <w:rsid w:val="25873E29"/>
    <w:rsid w:val="258A2F37"/>
    <w:rsid w:val="258F347A"/>
    <w:rsid w:val="259677A5"/>
    <w:rsid w:val="259A0384"/>
    <w:rsid w:val="25A27C22"/>
    <w:rsid w:val="25B67713"/>
    <w:rsid w:val="25C33FC5"/>
    <w:rsid w:val="25C9283C"/>
    <w:rsid w:val="25CA440B"/>
    <w:rsid w:val="25CA69E5"/>
    <w:rsid w:val="25D3441E"/>
    <w:rsid w:val="25D35FFC"/>
    <w:rsid w:val="25EC00F4"/>
    <w:rsid w:val="260E43FE"/>
    <w:rsid w:val="261C3629"/>
    <w:rsid w:val="26274456"/>
    <w:rsid w:val="262852AB"/>
    <w:rsid w:val="262E311F"/>
    <w:rsid w:val="262E757B"/>
    <w:rsid w:val="26341273"/>
    <w:rsid w:val="26342758"/>
    <w:rsid w:val="26527517"/>
    <w:rsid w:val="26627A9C"/>
    <w:rsid w:val="266418B2"/>
    <w:rsid w:val="266967B6"/>
    <w:rsid w:val="266D6EE3"/>
    <w:rsid w:val="26760B28"/>
    <w:rsid w:val="267730D0"/>
    <w:rsid w:val="269C4EA0"/>
    <w:rsid w:val="269D1E03"/>
    <w:rsid w:val="269D5EF9"/>
    <w:rsid w:val="26A373C9"/>
    <w:rsid w:val="26B90B00"/>
    <w:rsid w:val="26BE11BE"/>
    <w:rsid w:val="26C255CE"/>
    <w:rsid w:val="26CC33C6"/>
    <w:rsid w:val="26D409EA"/>
    <w:rsid w:val="26D62A17"/>
    <w:rsid w:val="26E11001"/>
    <w:rsid w:val="26EE0A4F"/>
    <w:rsid w:val="26F33D4C"/>
    <w:rsid w:val="26FC0F10"/>
    <w:rsid w:val="27093A1A"/>
    <w:rsid w:val="270A4339"/>
    <w:rsid w:val="27243A83"/>
    <w:rsid w:val="2736148A"/>
    <w:rsid w:val="27654ECF"/>
    <w:rsid w:val="27757BA7"/>
    <w:rsid w:val="27794DD5"/>
    <w:rsid w:val="27851F8C"/>
    <w:rsid w:val="27976495"/>
    <w:rsid w:val="27AC449A"/>
    <w:rsid w:val="27C36C28"/>
    <w:rsid w:val="27CB687F"/>
    <w:rsid w:val="27CD6479"/>
    <w:rsid w:val="27D40207"/>
    <w:rsid w:val="27D767B4"/>
    <w:rsid w:val="27E5245D"/>
    <w:rsid w:val="28093DC7"/>
    <w:rsid w:val="280E1199"/>
    <w:rsid w:val="2810670E"/>
    <w:rsid w:val="2813689C"/>
    <w:rsid w:val="28211DD9"/>
    <w:rsid w:val="28296794"/>
    <w:rsid w:val="2831398B"/>
    <w:rsid w:val="28357A72"/>
    <w:rsid w:val="283F1D2F"/>
    <w:rsid w:val="28470D36"/>
    <w:rsid w:val="28555532"/>
    <w:rsid w:val="28564250"/>
    <w:rsid w:val="285D6CDD"/>
    <w:rsid w:val="286F361E"/>
    <w:rsid w:val="28867A42"/>
    <w:rsid w:val="28883D84"/>
    <w:rsid w:val="28940B84"/>
    <w:rsid w:val="28A10076"/>
    <w:rsid w:val="28C961CE"/>
    <w:rsid w:val="28CA56B1"/>
    <w:rsid w:val="28D81667"/>
    <w:rsid w:val="28E2299A"/>
    <w:rsid w:val="28E47636"/>
    <w:rsid w:val="28E80B05"/>
    <w:rsid w:val="28EB09FF"/>
    <w:rsid w:val="29084E73"/>
    <w:rsid w:val="291D0BC4"/>
    <w:rsid w:val="29223D3B"/>
    <w:rsid w:val="29255226"/>
    <w:rsid w:val="293F72C9"/>
    <w:rsid w:val="294366A1"/>
    <w:rsid w:val="29453E30"/>
    <w:rsid w:val="2945474A"/>
    <w:rsid w:val="2956080B"/>
    <w:rsid w:val="296638DF"/>
    <w:rsid w:val="29701D17"/>
    <w:rsid w:val="297D07DF"/>
    <w:rsid w:val="297E64DA"/>
    <w:rsid w:val="2982451D"/>
    <w:rsid w:val="299F225F"/>
    <w:rsid w:val="29AC53B1"/>
    <w:rsid w:val="29B662D0"/>
    <w:rsid w:val="29BD05A2"/>
    <w:rsid w:val="29C66821"/>
    <w:rsid w:val="29CC407A"/>
    <w:rsid w:val="29D2204F"/>
    <w:rsid w:val="29D24A09"/>
    <w:rsid w:val="29E26BB4"/>
    <w:rsid w:val="29E7028D"/>
    <w:rsid w:val="29ED1B05"/>
    <w:rsid w:val="29EF35B1"/>
    <w:rsid w:val="29FF008F"/>
    <w:rsid w:val="2A0E4E78"/>
    <w:rsid w:val="2A1351A7"/>
    <w:rsid w:val="2A45216F"/>
    <w:rsid w:val="2A487BC7"/>
    <w:rsid w:val="2A5509C2"/>
    <w:rsid w:val="2A6F786C"/>
    <w:rsid w:val="2A721631"/>
    <w:rsid w:val="2A7562F8"/>
    <w:rsid w:val="2A7E53F3"/>
    <w:rsid w:val="2A8A0E62"/>
    <w:rsid w:val="2A9C6E26"/>
    <w:rsid w:val="2AB5216E"/>
    <w:rsid w:val="2AB97BE7"/>
    <w:rsid w:val="2ABC4543"/>
    <w:rsid w:val="2ABE1707"/>
    <w:rsid w:val="2AC20756"/>
    <w:rsid w:val="2ADA3600"/>
    <w:rsid w:val="2AE339D8"/>
    <w:rsid w:val="2AE37572"/>
    <w:rsid w:val="2AFB3BA5"/>
    <w:rsid w:val="2B095613"/>
    <w:rsid w:val="2B0C342A"/>
    <w:rsid w:val="2B143080"/>
    <w:rsid w:val="2B191D3B"/>
    <w:rsid w:val="2B1F0569"/>
    <w:rsid w:val="2B261E3D"/>
    <w:rsid w:val="2B41734E"/>
    <w:rsid w:val="2B5C565B"/>
    <w:rsid w:val="2B5E366D"/>
    <w:rsid w:val="2B5F6974"/>
    <w:rsid w:val="2B6F0728"/>
    <w:rsid w:val="2B792818"/>
    <w:rsid w:val="2B84688E"/>
    <w:rsid w:val="2B8F64E3"/>
    <w:rsid w:val="2B9136D0"/>
    <w:rsid w:val="2B9336BC"/>
    <w:rsid w:val="2B961821"/>
    <w:rsid w:val="2B9714C6"/>
    <w:rsid w:val="2B990242"/>
    <w:rsid w:val="2BAB1DD1"/>
    <w:rsid w:val="2BBA3E63"/>
    <w:rsid w:val="2BC96AC2"/>
    <w:rsid w:val="2BD13344"/>
    <w:rsid w:val="2BE3259F"/>
    <w:rsid w:val="2BE578DD"/>
    <w:rsid w:val="2BED5228"/>
    <w:rsid w:val="2BF84C1A"/>
    <w:rsid w:val="2C03724E"/>
    <w:rsid w:val="2C051E43"/>
    <w:rsid w:val="2C0C0BD3"/>
    <w:rsid w:val="2C155366"/>
    <w:rsid w:val="2C1A380F"/>
    <w:rsid w:val="2C35237E"/>
    <w:rsid w:val="2C383215"/>
    <w:rsid w:val="2C3A373E"/>
    <w:rsid w:val="2C4063AA"/>
    <w:rsid w:val="2C4267E6"/>
    <w:rsid w:val="2C4369C3"/>
    <w:rsid w:val="2C497A22"/>
    <w:rsid w:val="2C4B3F8B"/>
    <w:rsid w:val="2C4B577E"/>
    <w:rsid w:val="2C4D246B"/>
    <w:rsid w:val="2C5174D1"/>
    <w:rsid w:val="2C654C88"/>
    <w:rsid w:val="2C7F0F49"/>
    <w:rsid w:val="2C8C3838"/>
    <w:rsid w:val="2C9241F8"/>
    <w:rsid w:val="2C934E13"/>
    <w:rsid w:val="2CAE537D"/>
    <w:rsid w:val="2CB4215A"/>
    <w:rsid w:val="2CCF783E"/>
    <w:rsid w:val="2CD41FC8"/>
    <w:rsid w:val="2CDD47E1"/>
    <w:rsid w:val="2CE7445A"/>
    <w:rsid w:val="2D063422"/>
    <w:rsid w:val="2D2F69B6"/>
    <w:rsid w:val="2D362405"/>
    <w:rsid w:val="2D380BBE"/>
    <w:rsid w:val="2D387C77"/>
    <w:rsid w:val="2D3B733E"/>
    <w:rsid w:val="2D420185"/>
    <w:rsid w:val="2D445CAE"/>
    <w:rsid w:val="2D522105"/>
    <w:rsid w:val="2D61240E"/>
    <w:rsid w:val="2D63026F"/>
    <w:rsid w:val="2D7D7B08"/>
    <w:rsid w:val="2D7F03B9"/>
    <w:rsid w:val="2D8760CB"/>
    <w:rsid w:val="2D8B1311"/>
    <w:rsid w:val="2D8B5999"/>
    <w:rsid w:val="2D9646B1"/>
    <w:rsid w:val="2D971605"/>
    <w:rsid w:val="2D98649B"/>
    <w:rsid w:val="2DAC0D53"/>
    <w:rsid w:val="2DB63267"/>
    <w:rsid w:val="2DBC7BFD"/>
    <w:rsid w:val="2DBD7A94"/>
    <w:rsid w:val="2DCA1ECA"/>
    <w:rsid w:val="2DEB2753"/>
    <w:rsid w:val="2DFE5C9F"/>
    <w:rsid w:val="2E08450F"/>
    <w:rsid w:val="2E102227"/>
    <w:rsid w:val="2E12083F"/>
    <w:rsid w:val="2E131EFE"/>
    <w:rsid w:val="2E196578"/>
    <w:rsid w:val="2E1D68C1"/>
    <w:rsid w:val="2E2D5308"/>
    <w:rsid w:val="2E2F61BC"/>
    <w:rsid w:val="2E3329DD"/>
    <w:rsid w:val="2E34358D"/>
    <w:rsid w:val="2E3D5C87"/>
    <w:rsid w:val="2E3E6C12"/>
    <w:rsid w:val="2E3F69A7"/>
    <w:rsid w:val="2E412354"/>
    <w:rsid w:val="2E421AD2"/>
    <w:rsid w:val="2E542F6D"/>
    <w:rsid w:val="2E5575DE"/>
    <w:rsid w:val="2E5C5A23"/>
    <w:rsid w:val="2E5F367B"/>
    <w:rsid w:val="2E613DA4"/>
    <w:rsid w:val="2E7106C3"/>
    <w:rsid w:val="2E76081B"/>
    <w:rsid w:val="2EA463C6"/>
    <w:rsid w:val="2EA754B2"/>
    <w:rsid w:val="2EAE434E"/>
    <w:rsid w:val="2EB44530"/>
    <w:rsid w:val="2EB56006"/>
    <w:rsid w:val="2EC0149A"/>
    <w:rsid w:val="2ECD11AE"/>
    <w:rsid w:val="2ECF529F"/>
    <w:rsid w:val="2EF745E6"/>
    <w:rsid w:val="2EFF12F7"/>
    <w:rsid w:val="2F5750DA"/>
    <w:rsid w:val="2F585830"/>
    <w:rsid w:val="2F5C3997"/>
    <w:rsid w:val="2F615D95"/>
    <w:rsid w:val="2F6372DA"/>
    <w:rsid w:val="2F77455C"/>
    <w:rsid w:val="2F925122"/>
    <w:rsid w:val="2F935EC9"/>
    <w:rsid w:val="2F945B7E"/>
    <w:rsid w:val="2F9F0958"/>
    <w:rsid w:val="2FA20A9A"/>
    <w:rsid w:val="2FA57E36"/>
    <w:rsid w:val="2FC73949"/>
    <w:rsid w:val="2FCE31C0"/>
    <w:rsid w:val="2FCF107B"/>
    <w:rsid w:val="2FD13124"/>
    <w:rsid w:val="2FD172E2"/>
    <w:rsid w:val="2FE57C34"/>
    <w:rsid w:val="2FE66B4A"/>
    <w:rsid w:val="2FEC156C"/>
    <w:rsid w:val="2FEC4E1C"/>
    <w:rsid w:val="2FFD1CF1"/>
    <w:rsid w:val="30144400"/>
    <w:rsid w:val="301F41D3"/>
    <w:rsid w:val="3022503A"/>
    <w:rsid w:val="30233F0C"/>
    <w:rsid w:val="30296FF7"/>
    <w:rsid w:val="304729CD"/>
    <w:rsid w:val="30534953"/>
    <w:rsid w:val="305F0883"/>
    <w:rsid w:val="30713A25"/>
    <w:rsid w:val="3079570F"/>
    <w:rsid w:val="307B21BF"/>
    <w:rsid w:val="30830F73"/>
    <w:rsid w:val="30995C2A"/>
    <w:rsid w:val="30A031E4"/>
    <w:rsid w:val="30AC210D"/>
    <w:rsid w:val="30AD5FDF"/>
    <w:rsid w:val="30BA2C1A"/>
    <w:rsid w:val="30BB4F62"/>
    <w:rsid w:val="30BE006C"/>
    <w:rsid w:val="30DD724A"/>
    <w:rsid w:val="30E10905"/>
    <w:rsid w:val="30E33591"/>
    <w:rsid w:val="30F6447F"/>
    <w:rsid w:val="31105F83"/>
    <w:rsid w:val="31141C9B"/>
    <w:rsid w:val="311A28A1"/>
    <w:rsid w:val="31374B9D"/>
    <w:rsid w:val="31377669"/>
    <w:rsid w:val="313D0161"/>
    <w:rsid w:val="31536284"/>
    <w:rsid w:val="315735EC"/>
    <w:rsid w:val="3158033D"/>
    <w:rsid w:val="315A0855"/>
    <w:rsid w:val="315D7955"/>
    <w:rsid w:val="31604303"/>
    <w:rsid w:val="3168458D"/>
    <w:rsid w:val="316B0A79"/>
    <w:rsid w:val="317C6D13"/>
    <w:rsid w:val="31825326"/>
    <w:rsid w:val="31943881"/>
    <w:rsid w:val="319F1C02"/>
    <w:rsid w:val="31A01D67"/>
    <w:rsid w:val="31A762FE"/>
    <w:rsid w:val="31A82480"/>
    <w:rsid w:val="31AF05E5"/>
    <w:rsid w:val="31C92E57"/>
    <w:rsid w:val="31D55A4C"/>
    <w:rsid w:val="31E2771E"/>
    <w:rsid w:val="31F54D60"/>
    <w:rsid w:val="31F64664"/>
    <w:rsid w:val="32012A2C"/>
    <w:rsid w:val="320D53D9"/>
    <w:rsid w:val="321D6C64"/>
    <w:rsid w:val="3221752C"/>
    <w:rsid w:val="322A6DF3"/>
    <w:rsid w:val="3235796E"/>
    <w:rsid w:val="323E3CF9"/>
    <w:rsid w:val="32462F44"/>
    <w:rsid w:val="32481A3B"/>
    <w:rsid w:val="324B538E"/>
    <w:rsid w:val="3255059A"/>
    <w:rsid w:val="325A5EAC"/>
    <w:rsid w:val="32654BDC"/>
    <w:rsid w:val="327166AE"/>
    <w:rsid w:val="32733677"/>
    <w:rsid w:val="329B0F8B"/>
    <w:rsid w:val="32C00500"/>
    <w:rsid w:val="32C33B7D"/>
    <w:rsid w:val="32C757DB"/>
    <w:rsid w:val="32D85B69"/>
    <w:rsid w:val="32DE61E1"/>
    <w:rsid w:val="32EC1261"/>
    <w:rsid w:val="32F03BEA"/>
    <w:rsid w:val="32F40C0D"/>
    <w:rsid w:val="32F84BBD"/>
    <w:rsid w:val="32F84E75"/>
    <w:rsid w:val="3302432B"/>
    <w:rsid w:val="330E35E8"/>
    <w:rsid w:val="33154771"/>
    <w:rsid w:val="331D1CA8"/>
    <w:rsid w:val="33317DA3"/>
    <w:rsid w:val="33362ED9"/>
    <w:rsid w:val="33423430"/>
    <w:rsid w:val="33472B95"/>
    <w:rsid w:val="33510B2E"/>
    <w:rsid w:val="3356436A"/>
    <w:rsid w:val="335804A3"/>
    <w:rsid w:val="33582C38"/>
    <w:rsid w:val="335F2767"/>
    <w:rsid w:val="33603100"/>
    <w:rsid w:val="3364503C"/>
    <w:rsid w:val="336F095B"/>
    <w:rsid w:val="33702F57"/>
    <w:rsid w:val="33852C46"/>
    <w:rsid w:val="33A043AB"/>
    <w:rsid w:val="33A548E0"/>
    <w:rsid w:val="33A75DD7"/>
    <w:rsid w:val="33B03D95"/>
    <w:rsid w:val="33B84E10"/>
    <w:rsid w:val="33C72815"/>
    <w:rsid w:val="33EB012E"/>
    <w:rsid w:val="33EF2AB5"/>
    <w:rsid w:val="33F81514"/>
    <w:rsid w:val="33F821C0"/>
    <w:rsid w:val="340B2E6B"/>
    <w:rsid w:val="3421365F"/>
    <w:rsid w:val="342B551A"/>
    <w:rsid w:val="343400E2"/>
    <w:rsid w:val="343476E8"/>
    <w:rsid w:val="34391A33"/>
    <w:rsid w:val="343E1AA2"/>
    <w:rsid w:val="34403074"/>
    <w:rsid w:val="344F4630"/>
    <w:rsid w:val="34650947"/>
    <w:rsid w:val="346B2D08"/>
    <w:rsid w:val="347211D4"/>
    <w:rsid w:val="347A68FF"/>
    <w:rsid w:val="347E0062"/>
    <w:rsid w:val="34833D0D"/>
    <w:rsid w:val="349A359D"/>
    <w:rsid w:val="349C4C2D"/>
    <w:rsid w:val="34AE61CA"/>
    <w:rsid w:val="34B253C2"/>
    <w:rsid w:val="34B70AFB"/>
    <w:rsid w:val="34BB35F7"/>
    <w:rsid w:val="34C01EF8"/>
    <w:rsid w:val="34CF3523"/>
    <w:rsid w:val="34D31CE5"/>
    <w:rsid w:val="34D770A8"/>
    <w:rsid w:val="34DF5633"/>
    <w:rsid w:val="34EA207C"/>
    <w:rsid w:val="34F3203E"/>
    <w:rsid w:val="34F83330"/>
    <w:rsid w:val="34FB41D3"/>
    <w:rsid w:val="350E6BB5"/>
    <w:rsid w:val="35306B07"/>
    <w:rsid w:val="35392626"/>
    <w:rsid w:val="35470547"/>
    <w:rsid w:val="35472169"/>
    <w:rsid w:val="355239C9"/>
    <w:rsid w:val="35541BF8"/>
    <w:rsid w:val="355D4601"/>
    <w:rsid w:val="355D56CD"/>
    <w:rsid w:val="35631836"/>
    <w:rsid w:val="35653FFD"/>
    <w:rsid w:val="357142F7"/>
    <w:rsid w:val="35724348"/>
    <w:rsid w:val="357B58FB"/>
    <w:rsid w:val="357F020E"/>
    <w:rsid w:val="35853103"/>
    <w:rsid w:val="358B6D6C"/>
    <w:rsid w:val="359A58EA"/>
    <w:rsid w:val="359A6AD5"/>
    <w:rsid w:val="35AB46F5"/>
    <w:rsid w:val="35B44DDA"/>
    <w:rsid w:val="35BF6517"/>
    <w:rsid w:val="35D613F4"/>
    <w:rsid w:val="35D731B2"/>
    <w:rsid w:val="35DB0CFF"/>
    <w:rsid w:val="35E67EDC"/>
    <w:rsid w:val="35EE57D9"/>
    <w:rsid w:val="36084DD3"/>
    <w:rsid w:val="361938EC"/>
    <w:rsid w:val="362F0664"/>
    <w:rsid w:val="3641750D"/>
    <w:rsid w:val="36651E04"/>
    <w:rsid w:val="36657982"/>
    <w:rsid w:val="366D6247"/>
    <w:rsid w:val="36764C4C"/>
    <w:rsid w:val="36831DAD"/>
    <w:rsid w:val="36874166"/>
    <w:rsid w:val="368F2DFC"/>
    <w:rsid w:val="369B7085"/>
    <w:rsid w:val="36A704FD"/>
    <w:rsid w:val="36B44E7C"/>
    <w:rsid w:val="36BA509F"/>
    <w:rsid w:val="36D13FE7"/>
    <w:rsid w:val="36D26AA1"/>
    <w:rsid w:val="36D92AE1"/>
    <w:rsid w:val="36DE4133"/>
    <w:rsid w:val="36E44D52"/>
    <w:rsid w:val="36E47AFC"/>
    <w:rsid w:val="36EB0C7D"/>
    <w:rsid w:val="36ED699D"/>
    <w:rsid w:val="36FB01ED"/>
    <w:rsid w:val="3709716E"/>
    <w:rsid w:val="370B580B"/>
    <w:rsid w:val="3719360A"/>
    <w:rsid w:val="372000D9"/>
    <w:rsid w:val="37226356"/>
    <w:rsid w:val="372C30EA"/>
    <w:rsid w:val="37306881"/>
    <w:rsid w:val="373551BC"/>
    <w:rsid w:val="37360E45"/>
    <w:rsid w:val="37362258"/>
    <w:rsid w:val="37473DBE"/>
    <w:rsid w:val="374A4438"/>
    <w:rsid w:val="375B67AF"/>
    <w:rsid w:val="37646BF1"/>
    <w:rsid w:val="376A59D9"/>
    <w:rsid w:val="37713CE8"/>
    <w:rsid w:val="37721780"/>
    <w:rsid w:val="377B1252"/>
    <w:rsid w:val="377E1F25"/>
    <w:rsid w:val="3788399A"/>
    <w:rsid w:val="379000AC"/>
    <w:rsid w:val="37AF1EFB"/>
    <w:rsid w:val="37BF1BE2"/>
    <w:rsid w:val="37BF1CD4"/>
    <w:rsid w:val="37C2648E"/>
    <w:rsid w:val="37C6493E"/>
    <w:rsid w:val="37D25A44"/>
    <w:rsid w:val="37D33516"/>
    <w:rsid w:val="37D6008B"/>
    <w:rsid w:val="37F93D88"/>
    <w:rsid w:val="37F9533F"/>
    <w:rsid w:val="3806075F"/>
    <w:rsid w:val="380A0B0E"/>
    <w:rsid w:val="38197913"/>
    <w:rsid w:val="3826061E"/>
    <w:rsid w:val="3827315A"/>
    <w:rsid w:val="382A3BBB"/>
    <w:rsid w:val="382E1E49"/>
    <w:rsid w:val="383D31D3"/>
    <w:rsid w:val="38434CE9"/>
    <w:rsid w:val="38486DAB"/>
    <w:rsid w:val="386774AC"/>
    <w:rsid w:val="387243CE"/>
    <w:rsid w:val="387A6A5B"/>
    <w:rsid w:val="387F2542"/>
    <w:rsid w:val="38843DA0"/>
    <w:rsid w:val="389F5363"/>
    <w:rsid w:val="38B558DD"/>
    <w:rsid w:val="38BA28E8"/>
    <w:rsid w:val="38C047BD"/>
    <w:rsid w:val="38CC310E"/>
    <w:rsid w:val="38DE2E24"/>
    <w:rsid w:val="38FC16E6"/>
    <w:rsid w:val="3907718F"/>
    <w:rsid w:val="390E25B9"/>
    <w:rsid w:val="391259EE"/>
    <w:rsid w:val="3915497A"/>
    <w:rsid w:val="39174012"/>
    <w:rsid w:val="391A745A"/>
    <w:rsid w:val="392719A3"/>
    <w:rsid w:val="392F5026"/>
    <w:rsid w:val="392F5A00"/>
    <w:rsid w:val="393A1C75"/>
    <w:rsid w:val="393E51B2"/>
    <w:rsid w:val="39491F12"/>
    <w:rsid w:val="39497395"/>
    <w:rsid w:val="395740A2"/>
    <w:rsid w:val="395D1911"/>
    <w:rsid w:val="39643006"/>
    <w:rsid w:val="39646082"/>
    <w:rsid w:val="396A49A3"/>
    <w:rsid w:val="396E4585"/>
    <w:rsid w:val="39784FD1"/>
    <w:rsid w:val="399C1149"/>
    <w:rsid w:val="399C6332"/>
    <w:rsid w:val="399D644B"/>
    <w:rsid w:val="39A16C3D"/>
    <w:rsid w:val="39A7361C"/>
    <w:rsid w:val="39C7321A"/>
    <w:rsid w:val="39DF6F2F"/>
    <w:rsid w:val="39E253BF"/>
    <w:rsid w:val="39F62D92"/>
    <w:rsid w:val="39F642C7"/>
    <w:rsid w:val="3A0D6EBC"/>
    <w:rsid w:val="3A1226B2"/>
    <w:rsid w:val="3A1A66C1"/>
    <w:rsid w:val="3A1B507C"/>
    <w:rsid w:val="3A1E04F2"/>
    <w:rsid w:val="3A246486"/>
    <w:rsid w:val="3A322F6C"/>
    <w:rsid w:val="3A3858CE"/>
    <w:rsid w:val="3A3A3685"/>
    <w:rsid w:val="3A46692A"/>
    <w:rsid w:val="3A493A14"/>
    <w:rsid w:val="3A512A2C"/>
    <w:rsid w:val="3A54634D"/>
    <w:rsid w:val="3A5A0431"/>
    <w:rsid w:val="3A607313"/>
    <w:rsid w:val="3A65031A"/>
    <w:rsid w:val="3A7C3E07"/>
    <w:rsid w:val="3A827B60"/>
    <w:rsid w:val="3A987D26"/>
    <w:rsid w:val="3A9B1E69"/>
    <w:rsid w:val="3A9D3379"/>
    <w:rsid w:val="3A9F74BB"/>
    <w:rsid w:val="3AA2739B"/>
    <w:rsid w:val="3AAE7161"/>
    <w:rsid w:val="3AB10757"/>
    <w:rsid w:val="3AB855DC"/>
    <w:rsid w:val="3AC36ABE"/>
    <w:rsid w:val="3ACA4DB2"/>
    <w:rsid w:val="3AD20756"/>
    <w:rsid w:val="3ADD10EC"/>
    <w:rsid w:val="3AE14442"/>
    <w:rsid w:val="3AF12923"/>
    <w:rsid w:val="3AF4536A"/>
    <w:rsid w:val="3AF56983"/>
    <w:rsid w:val="3B076968"/>
    <w:rsid w:val="3B0B0E43"/>
    <w:rsid w:val="3B105FF0"/>
    <w:rsid w:val="3B185DF3"/>
    <w:rsid w:val="3B190BD9"/>
    <w:rsid w:val="3B310BF7"/>
    <w:rsid w:val="3B3A3FF9"/>
    <w:rsid w:val="3B3D39AA"/>
    <w:rsid w:val="3B4903DB"/>
    <w:rsid w:val="3B4F45EA"/>
    <w:rsid w:val="3B507EC4"/>
    <w:rsid w:val="3B5B2F4D"/>
    <w:rsid w:val="3B795395"/>
    <w:rsid w:val="3B852ED4"/>
    <w:rsid w:val="3B873027"/>
    <w:rsid w:val="3B8D6DE0"/>
    <w:rsid w:val="3B9B7AA3"/>
    <w:rsid w:val="3B9C7B7A"/>
    <w:rsid w:val="3BAF427E"/>
    <w:rsid w:val="3BB160F9"/>
    <w:rsid w:val="3BB16175"/>
    <w:rsid w:val="3BBC06BA"/>
    <w:rsid w:val="3BBC1843"/>
    <w:rsid w:val="3BBE69AC"/>
    <w:rsid w:val="3BC02CFB"/>
    <w:rsid w:val="3BD96A10"/>
    <w:rsid w:val="3BE05834"/>
    <w:rsid w:val="3BE34A17"/>
    <w:rsid w:val="3BEA05AB"/>
    <w:rsid w:val="3C045FF5"/>
    <w:rsid w:val="3C0706F6"/>
    <w:rsid w:val="3C0F1F39"/>
    <w:rsid w:val="3C1628BC"/>
    <w:rsid w:val="3C1D17C0"/>
    <w:rsid w:val="3C2D348D"/>
    <w:rsid w:val="3C327B02"/>
    <w:rsid w:val="3C435993"/>
    <w:rsid w:val="3C443282"/>
    <w:rsid w:val="3C6B2525"/>
    <w:rsid w:val="3C7D7C22"/>
    <w:rsid w:val="3C806228"/>
    <w:rsid w:val="3C8C4301"/>
    <w:rsid w:val="3C9E2AFA"/>
    <w:rsid w:val="3CA45935"/>
    <w:rsid w:val="3CB051BA"/>
    <w:rsid w:val="3CD95DBE"/>
    <w:rsid w:val="3CDE73C5"/>
    <w:rsid w:val="3CEE4F88"/>
    <w:rsid w:val="3CF0348A"/>
    <w:rsid w:val="3CF87C78"/>
    <w:rsid w:val="3CFD178A"/>
    <w:rsid w:val="3D161A42"/>
    <w:rsid w:val="3D2B0468"/>
    <w:rsid w:val="3D403CB4"/>
    <w:rsid w:val="3D4363BB"/>
    <w:rsid w:val="3D4E4328"/>
    <w:rsid w:val="3D5220E1"/>
    <w:rsid w:val="3D581F57"/>
    <w:rsid w:val="3D595B27"/>
    <w:rsid w:val="3D5F2EBB"/>
    <w:rsid w:val="3D61535B"/>
    <w:rsid w:val="3D665E25"/>
    <w:rsid w:val="3D702066"/>
    <w:rsid w:val="3D752C2F"/>
    <w:rsid w:val="3D830036"/>
    <w:rsid w:val="3D8F727B"/>
    <w:rsid w:val="3D9D1E19"/>
    <w:rsid w:val="3DA32CD6"/>
    <w:rsid w:val="3DAA5431"/>
    <w:rsid w:val="3DBA61C9"/>
    <w:rsid w:val="3DBF7B37"/>
    <w:rsid w:val="3DC74B2C"/>
    <w:rsid w:val="3DD077C4"/>
    <w:rsid w:val="3DD91E93"/>
    <w:rsid w:val="3DE374AB"/>
    <w:rsid w:val="3DE4195C"/>
    <w:rsid w:val="3DEB225F"/>
    <w:rsid w:val="3E0466E8"/>
    <w:rsid w:val="3E092C61"/>
    <w:rsid w:val="3E2546A6"/>
    <w:rsid w:val="3E2D5E1D"/>
    <w:rsid w:val="3E3440D1"/>
    <w:rsid w:val="3E354514"/>
    <w:rsid w:val="3E365479"/>
    <w:rsid w:val="3E373DAD"/>
    <w:rsid w:val="3E374CDB"/>
    <w:rsid w:val="3E4B7B70"/>
    <w:rsid w:val="3E634C0C"/>
    <w:rsid w:val="3E666EA6"/>
    <w:rsid w:val="3E711D2E"/>
    <w:rsid w:val="3E716313"/>
    <w:rsid w:val="3E736A8F"/>
    <w:rsid w:val="3E7D7135"/>
    <w:rsid w:val="3E7E3A56"/>
    <w:rsid w:val="3E8654A2"/>
    <w:rsid w:val="3E8C6006"/>
    <w:rsid w:val="3E950550"/>
    <w:rsid w:val="3E987C62"/>
    <w:rsid w:val="3EA53502"/>
    <w:rsid w:val="3EAA28B4"/>
    <w:rsid w:val="3EAE082E"/>
    <w:rsid w:val="3EB4576C"/>
    <w:rsid w:val="3EB95A23"/>
    <w:rsid w:val="3EBB1F25"/>
    <w:rsid w:val="3EC05DFE"/>
    <w:rsid w:val="3EC70FEA"/>
    <w:rsid w:val="3ED332FB"/>
    <w:rsid w:val="3EDC112A"/>
    <w:rsid w:val="3EE31DFA"/>
    <w:rsid w:val="3F1B1AA9"/>
    <w:rsid w:val="3F241B93"/>
    <w:rsid w:val="3F3115DE"/>
    <w:rsid w:val="3F4461B4"/>
    <w:rsid w:val="3F541259"/>
    <w:rsid w:val="3F565BCA"/>
    <w:rsid w:val="3F62482E"/>
    <w:rsid w:val="3F63786C"/>
    <w:rsid w:val="3F6F27EB"/>
    <w:rsid w:val="3F7A2450"/>
    <w:rsid w:val="3F840031"/>
    <w:rsid w:val="3F883543"/>
    <w:rsid w:val="3F8E67ED"/>
    <w:rsid w:val="3FA164F3"/>
    <w:rsid w:val="3FA318FA"/>
    <w:rsid w:val="3FAA3C60"/>
    <w:rsid w:val="3FBD178B"/>
    <w:rsid w:val="3FDD56BE"/>
    <w:rsid w:val="3FE63CC8"/>
    <w:rsid w:val="3FED25B9"/>
    <w:rsid w:val="3FF81526"/>
    <w:rsid w:val="400F4ECC"/>
    <w:rsid w:val="402729EE"/>
    <w:rsid w:val="4036452A"/>
    <w:rsid w:val="40385F11"/>
    <w:rsid w:val="403F0CD6"/>
    <w:rsid w:val="4046263B"/>
    <w:rsid w:val="40474E8C"/>
    <w:rsid w:val="404A3C14"/>
    <w:rsid w:val="404D2EC2"/>
    <w:rsid w:val="40524C8D"/>
    <w:rsid w:val="405319D7"/>
    <w:rsid w:val="40545B6D"/>
    <w:rsid w:val="4062009A"/>
    <w:rsid w:val="40623FD0"/>
    <w:rsid w:val="40664975"/>
    <w:rsid w:val="406A17A7"/>
    <w:rsid w:val="406A34AA"/>
    <w:rsid w:val="40741163"/>
    <w:rsid w:val="407D7D3C"/>
    <w:rsid w:val="408E6D97"/>
    <w:rsid w:val="4096539E"/>
    <w:rsid w:val="409C5858"/>
    <w:rsid w:val="40AC58DC"/>
    <w:rsid w:val="40AD5EFC"/>
    <w:rsid w:val="40BF266B"/>
    <w:rsid w:val="40BF6EF8"/>
    <w:rsid w:val="40C02D05"/>
    <w:rsid w:val="40C851B5"/>
    <w:rsid w:val="40CB39D4"/>
    <w:rsid w:val="40D00737"/>
    <w:rsid w:val="40D44BA5"/>
    <w:rsid w:val="40ED0EB3"/>
    <w:rsid w:val="40F916BA"/>
    <w:rsid w:val="40F93F71"/>
    <w:rsid w:val="41201B36"/>
    <w:rsid w:val="412D1BF4"/>
    <w:rsid w:val="41405CB1"/>
    <w:rsid w:val="4160276F"/>
    <w:rsid w:val="41605F3C"/>
    <w:rsid w:val="41642A05"/>
    <w:rsid w:val="416B61D0"/>
    <w:rsid w:val="417304AA"/>
    <w:rsid w:val="41767E56"/>
    <w:rsid w:val="418A2132"/>
    <w:rsid w:val="418D59F6"/>
    <w:rsid w:val="4193592F"/>
    <w:rsid w:val="41B20BEB"/>
    <w:rsid w:val="41CC4D1A"/>
    <w:rsid w:val="41D74ABA"/>
    <w:rsid w:val="41EB5D02"/>
    <w:rsid w:val="41EC5D68"/>
    <w:rsid w:val="41F24842"/>
    <w:rsid w:val="42146FB6"/>
    <w:rsid w:val="421759D0"/>
    <w:rsid w:val="422312CD"/>
    <w:rsid w:val="422578DA"/>
    <w:rsid w:val="42286A7C"/>
    <w:rsid w:val="42292449"/>
    <w:rsid w:val="42344639"/>
    <w:rsid w:val="423B4704"/>
    <w:rsid w:val="423E3BAF"/>
    <w:rsid w:val="423F43C2"/>
    <w:rsid w:val="42445A9E"/>
    <w:rsid w:val="424A3326"/>
    <w:rsid w:val="424B50A8"/>
    <w:rsid w:val="427233D5"/>
    <w:rsid w:val="42741D73"/>
    <w:rsid w:val="427448B6"/>
    <w:rsid w:val="427B7308"/>
    <w:rsid w:val="427E65AB"/>
    <w:rsid w:val="42A579BE"/>
    <w:rsid w:val="42B557F1"/>
    <w:rsid w:val="42BB68FB"/>
    <w:rsid w:val="42BD7B89"/>
    <w:rsid w:val="42C55A39"/>
    <w:rsid w:val="42CB6226"/>
    <w:rsid w:val="42D83E19"/>
    <w:rsid w:val="42F7708C"/>
    <w:rsid w:val="430219CC"/>
    <w:rsid w:val="430E378D"/>
    <w:rsid w:val="430E524C"/>
    <w:rsid w:val="431479AA"/>
    <w:rsid w:val="431E6604"/>
    <w:rsid w:val="43254CBA"/>
    <w:rsid w:val="43293BD5"/>
    <w:rsid w:val="432A47B8"/>
    <w:rsid w:val="432E5F19"/>
    <w:rsid w:val="43334ACA"/>
    <w:rsid w:val="433671F1"/>
    <w:rsid w:val="43386934"/>
    <w:rsid w:val="433A0F1D"/>
    <w:rsid w:val="43414DE7"/>
    <w:rsid w:val="434C4EC3"/>
    <w:rsid w:val="434D6F22"/>
    <w:rsid w:val="43525C67"/>
    <w:rsid w:val="4354565A"/>
    <w:rsid w:val="435C52B1"/>
    <w:rsid w:val="43650E6D"/>
    <w:rsid w:val="437F6BBB"/>
    <w:rsid w:val="4381462A"/>
    <w:rsid w:val="43871001"/>
    <w:rsid w:val="438A2CCD"/>
    <w:rsid w:val="43955692"/>
    <w:rsid w:val="439D20E6"/>
    <w:rsid w:val="43B57432"/>
    <w:rsid w:val="43B61A05"/>
    <w:rsid w:val="43BC03CD"/>
    <w:rsid w:val="43BD0C25"/>
    <w:rsid w:val="43BD29FA"/>
    <w:rsid w:val="43C45C37"/>
    <w:rsid w:val="43D049D6"/>
    <w:rsid w:val="43D5709E"/>
    <w:rsid w:val="43DA240C"/>
    <w:rsid w:val="43E067B3"/>
    <w:rsid w:val="43E61BF8"/>
    <w:rsid w:val="4401418B"/>
    <w:rsid w:val="44035F36"/>
    <w:rsid w:val="44173102"/>
    <w:rsid w:val="441D3480"/>
    <w:rsid w:val="442219F0"/>
    <w:rsid w:val="444937BC"/>
    <w:rsid w:val="444A741F"/>
    <w:rsid w:val="44511ECA"/>
    <w:rsid w:val="44551057"/>
    <w:rsid w:val="445B788E"/>
    <w:rsid w:val="44604172"/>
    <w:rsid w:val="44653E53"/>
    <w:rsid w:val="446F511E"/>
    <w:rsid w:val="447D5414"/>
    <w:rsid w:val="448C69CC"/>
    <w:rsid w:val="448F7299"/>
    <w:rsid w:val="44975012"/>
    <w:rsid w:val="44BB4740"/>
    <w:rsid w:val="44D2646A"/>
    <w:rsid w:val="44E102B2"/>
    <w:rsid w:val="44EC568B"/>
    <w:rsid w:val="44F03A31"/>
    <w:rsid w:val="44F8231A"/>
    <w:rsid w:val="4502112D"/>
    <w:rsid w:val="45070A34"/>
    <w:rsid w:val="451D63D4"/>
    <w:rsid w:val="452569B7"/>
    <w:rsid w:val="45306938"/>
    <w:rsid w:val="453D04FB"/>
    <w:rsid w:val="4541052A"/>
    <w:rsid w:val="45435A74"/>
    <w:rsid w:val="454E03DB"/>
    <w:rsid w:val="45590BDD"/>
    <w:rsid w:val="455C0EEB"/>
    <w:rsid w:val="45627E46"/>
    <w:rsid w:val="456F6487"/>
    <w:rsid w:val="45793EF3"/>
    <w:rsid w:val="45AF02FF"/>
    <w:rsid w:val="45B71B72"/>
    <w:rsid w:val="45C027E2"/>
    <w:rsid w:val="45C755A1"/>
    <w:rsid w:val="45D83BDB"/>
    <w:rsid w:val="45E5589C"/>
    <w:rsid w:val="45E85D07"/>
    <w:rsid w:val="45EA060F"/>
    <w:rsid w:val="45F27D2A"/>
    <w:rsid w:val="45F520B2"/>
    <w:rsid w:val="45FB1D82"/>
    <w:rsid w:val="460B4615"/>
    <w:rsid w:val="460C1224"/>
    <w:rsid w:val="461371B9"/>
    <w:rsid w:val="461371E8"/>
    <w:rsid w:val="46155B08"/>
    <w:rsid w:val="461702F1"/>
    <w:rsid w:val="462B766A"/>
    <w:rsid w:val="462D51DB"/>
    <w:rsid w:val="463E2306"/>
    <w:rsid w:val="463F66E2"/>
    <w:rsid w:val="46402818"/>
    <w:rsid w:val="46411454"/>
    <w:rsid w:val="4649472C"/>
    <w:rsid w:val="465233B5"/>
    <w:rsid w:val="46633876"/>
    <w:rsid w:val="46654D93"/>
    <w:rsid w:val="466B4F51"/>
    <w:rsid w:val="466B7B9F"/>
    <w:rsid w:val="4672380B"/>
    <w:rsid w:val="46860B8B"/>
    <w:rsid w:val="468A218B"/>
    <w:rsid w:val="468B02B7"/>
    <w:rsid w:val="469B3E70"/>
    <w:rsid w:val="46A6702E"/>
    <w:rsid w:val="46B41F74"/>
    <w:rsid w:val="46B91024"/>
    <w:rsid w:val="46BD4154"/>
    <w:rsid w:val="46C312E9"/>
    <w:rsid w:val="46C418E8"/>
    <w:rsid w:val="46CC1FF5"/>
    <w:rsid w:val="46DE2186"/>
    <w:rsid w:val="46E02021"/>
    <w:rsid w:val="46EB428B"/>
    <w:rsid w:val="470B39F1"/>
    <w:rsid w:val="4711442C"/>
    <w:rsid w:val="47115797"/>
    <w:rsid w:val="47192F8B"/>
    <w:rsid w:val="471D78F3"/>
    <w:rsid w:val="472D76F3"/>
    <w:rsid w:val="473D6D0A"/>
    <w:rsid w:val="47412FF9"/>
    <w:rsid w:val="47470210"/>
    <w:rsid w:val="47470550"/>
    <w:rsid w:val="4747796A"/>
    <w:rsid w:val="474C371C"/>
    <w:rsid w:val="4758629B"/>
    <w:rsid w:val="47632299"/>
    <w:rsid w:val="477918CC"/>
    <w:rsid w:val="477D7555"/>
    <w:rsid w:val="479122D4"/>
    <w:rsid w:val="479E3979"/>
    <w:rsid w:val="47A7589E"/>
    <w:rsid w:val="47AD4036"/>
    <w:rsid w:val="47B02338"/>
    <w:rsid w:val="47B04AB3"/>
    <w:rsid w:val="47C60213"/>
    <w:rsid w:val="47C84318"/>
    <w:rsid w:val="47D50C27"/>
    <w:rsid w:val="47D64975"/>
    <w:rsid w:val="47D86AB9"/>
    <w:rsid w:val="47E33BBF"/>
    <w:rsid w:val="47EB4225"/>
    <w:rsid w:val="47F17DF5"/>
    <w:rsid w:val="47FE7392"/>
    <w:rsid w:val="480D3539"/>
    <w:rsid w:val="480F134A"/>
    <w:rsid w:val="48112B52"/>
    <w:rsid w:val="481432C7"/>
    <w:rsid w:val="48152163"/>
    <w:rsid w:val="4818020C"/>
    <w:rsid w:val="4827568B"/>
    <w:rsid w:val="482D1BC4"/>
    <w:rsid w:val="48365DE3"/>
    <w:rsid w:val="483F4BB9"/>
    <w:rsid w:val="48463139"/>
    <w:rsid w:val="485C0DE6"/>
    <w:rsid w:val="485E752A"/>
    <w:rsid w:val="48631181"/>
    <w:rsid w:val="486339DC"/>
    <w:rsid w:val="48652541"/>
    <w:rsid w:val="486676DA"/>
    <w:rsid w:val="486D7324"/>
    <w:rsid w:val="487B4CBE"/>
    <w:rsid w:val="487F12CA"/>
    <w:rsid w:val="48801271"/>
    <w:rsid w:val="48853463"/>
    <w:rsid w:val="48883389"/>
    <w:rsid w:val="48C36DAE"/>
    <w:rsid w:val="48C455F9"/>
    <w:rsid w:val="48CE614E"/>
    <w:rsid w:val="48E0172E"/>
    <w:rsid w:val="48E07872"/>
    <w:rsid w:val="48EC587E"/>
    <w:rsid w:val="48F16034"/>
    <w:rsid w:val="49004687"/>
    <w:rsid w:val="49016229"/>
    <w:rsid w:val="4904787A"/>
    <w:rsid w:val="490D31D0"/>
    <w:rsid w:val="49157F30"/>
    <w:rsid w:val="493121FF"/>
    <w:rsid w:val="4932220E"/>
    <w:rsid w:val="493A4F92"/>
    <w:rsid w:val="493B3AD3"/>
    <w:rsid w:val="49602B33"/>
    <w:rsid w:val="4964593E"/>
    <w:rsid w:val="49672F73"/>
    <w:rsid w:val="49687D05"/>
    <w:rsid w:val="497B0DFF"/>
    <w:rsid w:val="498C2D4B"/>
    <w:rsid w:val="498F11AB"/>
    <w:rsid w:val="49945F7D"/>
    <w:rsid w:val="49994332"/>
    <w:rsid w:val="49B15959"/>
    <w:rsid w:val="49B3654F"/>
    <w:rsid w:val="49B80556"/>
    <w:rsid w:val="49C447D5"/>
    <w:rsid w:val="49C5313C"/>
    <w:rsid w:val="49C70B45"/>
    <w:rsid w:val="49CC5C5A"/>
    <w:rsid w:val="49ED7C92"/>
    <w:rsid w:val="49F246A8"/>
    <w:rsid w:val="49FE0229"/>
    <w:rsid w:val="4A01189B"/>
    <w:rsid w:val="4A01306C"/>
    <w:rsid w:val="4A040956"/>
    <w:rsid w:val="4A05404A"/>
    <w:rsid w:val="4A0C1AE1"/>
    <w:rsid w:val="4A146A94"/>
    <w:rsid w:val="4A1B71B7"/>
    <w:rsid w:val="4A3E1F06"/>
    <w:rsid w:val="4A493B97"/>
    <w:rsid w:val="4A5F5D29"/>
    <w:rsid w:val="4A602230"/>
    <w:rsid w:val="4A6E52FF"/>
    <w:rsid w:val="4A72772E"/>
    <w:rsid w:val="4A730ABC"/>
    <w:rsid w:val="4A927FD6"/>
    <w:rsid w:val="4A9D3400"/>
    <w:rsid w:val="4AA35761"/>
    <w:rsid w:val="4AA4721E"/>
    <w:rsid w:val="4AA5403E"/>
    <w:rsid w:val="4AB667B5"/>
    <w:rsid w:val="4AE713BB"/>
    <w:rsid w:val="4AF9344A"/>
    <w:rsid w:val="4AFA7ACA"/>
    <w:rsid w:val="4B09382F"/>
    <w:rsid w:val="4B0B3531"/>
    <w:rsid w:val="4B11120F"/>
    <w:rsid w:val="4B166BD1"/>
    <w:rsid w:val="4B20688A"/>
    <w:rsid w:val="4B235535"/>
    <w:rsid w:val="4B283ABA"/>
    <w:rsid w:val="4B4F32D6"/>
    <w:rsid w:val="4B6412E2"/>
    <w:rsid w:val="4B654240"/>
    <w:rsid w:val="4B6C2196"/>
    <w:rsid w:val="4B7E39BC"/>
    <w:rsid w:val="4B8F35CF"/>
    <w:rsid w:val="4B914CBD"/>
    <w:rsid w:val="4B921853"/>
    <w:rsid w:val="4B965D61"/>
    <w:rsid w:val="4B9F613F"/>
    <w:rsid w:val="4BA0511F"/>
    <w:rsid w:val="4BA72885"/>
    <w:rsid w:val="4BA91AED"/>
    <w:rsid w:val="4BB0186B"/>
    <w:rsid w:val="4BBF50C9"/>
    <w:rsid w:val="4BC344FF"/>
    <w:rsid w:val="4BD1357F"/>
    <w:rsid w:val="4BD17BBB"/>
    <w:rsid w:val="4BD84FEB"/>
    <w:rsid w:val="4C0534D3"/>
    <w:rsid w:val="4C112AFE"/>
    <w:rsid w:val="4C1719D5"/>
    <w:rsid w:val="4C1A0D94"/>
    <w:rsid w:val="4C413115"/>
    <w:rsid w:val="4C42349C"/>
    <w:rsid w:val="4C5108A2"/>
    <w:rsid w:val="4C52104E"/>
    <w:rsid w:val="4C526EA8"/>
    <w:rsid w:val="4C5473F5"/>
    <w:rsid w:val="4C5954DF"/>
    <w:rsid w:val="4C63657C"/>
    <w:rsid w:val="4C650E5C"/>
    <w:rsid w:val="4C8B2B08"/>
    <w:rsid w:val="4C8E4A00"/>
    <w:rsid w:val="4C962691"/>
    <w:rsid w:val="4C9E72E0"/>
    <w:rsid w:val="4CA6403E"/>
    <w:rsid w:val="4CA83FAF"/>
    <w:rsid w:val="4CA9223A"/>
    <w:rsid w:val="4CA932B4"/>
    <w:rsid w:val="4CB2240E"/>
    <w:rsid w:val="4CC0331F"/>
    <w:rsid w:val="4CC66AAF"/>
    <w:rsid w:val="4CCB7C95"/>
    <w:rsid w:val="4CF630EF"/>
    <w:rsid w:val="4CF678C9"/>
    <w:rsid w:val="4CFC324C"/>
    <w:rsid w:val="4CFF130D"/>
    <w:rsid w:val="4D092F1D"/>
    <w:rsid w:val="4D1020EE"/>
    <w:rsid w:val="4D1952AD"/>
    <w:rsid w:val="4D1F77EC"/>
    <w:rsid w:val="4D292492"/>
    <w:rsid w:val="4D3D6AE3"/>
    <w:rsid w:val="4D3E7146"/>
    <w:rsid w:val="4D3F3438"/>
    <w:rsid w:val="4D532DF9"/>
    <w:rsid w:val="4D584DEC"/>
    <w:rsid w:val="4D5E1586"/>
    <w:rsid w:val="4D877703"/>
    <w:rsid w:val="4D8F39CE"/>
    <w:rsid w:val="4D9941C9"/>
    <w:rsid w:val="4D9D4AED"/>
    <w:rsid w:val="4DA93F76"/>
    <w:rsid w:val="4DAB334C"/>
    <w:rsid w:val="4DAF3398"/>
    <w:rsid w:val="4DB364F6"/>
    <w:rsid w:val="4DB429B4"/>
    <w:rsid w:val="4DB721FF"/>
    <w:rsid w:val="4DB7352B"/>
    <w:rsid w:val="4DC83B7F"/>
    <w:rsid w:val="4DD96B15"/>
    <w:rsid w:val="4DE62395"/>
    <w:rsid w:val="4DF53B2C"/>
    <w:rsid w:val="4E042C30"/>
    <w:rsid w:val="4E1F0582"/>
    <w:rsid w:val="4E364B70"/>
    <w:rsid w:val="4E3A52F8"/>
    <w:rsid w:val="4E3D3C17"/>
    <w:rsid w:val="4E47748D"/>
    <w:rsid w:val="4E482C2E"/>
    <w:rsid w:val="4E4E696E"/>
    <w:rsid w:val="4E583E33"/>
    <w:rsid w:val="4E634492"/>
    <w:rsid w:val="4E6B0630"/>
    <w:rsid w:val="4E6E36E9"/>
    <w:rsid w:val="4E6F3737"/>
    <w:rsid w:val="4E8D13D7"/>
    <w:rsid w:val="4E940294"/>
    <w:rsid w:val="4E9537D2"/>
    <w:rsid w:val="4EA07845"/>
    <w:rsid w:val="4EA30371"/>
    <w:rsid w:val="4EA65456"/>
    <w:rsid w:val="4EA9616C"/>
    <w:rsid w:val="4EB83C2F"/>
    <w:rsid w:val="4EC26703"/>
    <w:rsid w:val="4ECF2D5F"/>
    <w:rsid w:val="4ED1549F"/>
    <w:rsid w:val="4ED42241"/>
    <w:rsid w:val="4ED87A79"/>
    <w:rsid w:val="4EDC4A57"/>
    <w:rsid w:val="4EF10DB7"/>
    <w:rsid w:val="4EF63747"/>
    <w:rsid w:val="4F1138D5"/>
    <w:rsid w:val="4F1872DA"/>
    <w:rsid w:val="4F213615"/>
    <w:rsid w:val="4F2942A0"/>
    <w:rsid w:val="4F3369EF"/>
    <w:rsid w:val="4F3958EC"/>
    <w:rsid w:val="4F3D4F20"/>
    <w:rsid w:val="4F471595"/>
    <w:rsid w:val="4F501466"/>
    <w:rsid w:val="4F5F02A9"/>
    <w:rsid w:val="4F5F441C"/>
    <w:rsid w:val="4F697933"/>
    <w:rsid w:val="4F6C2770"/>
    <w:rsid w:val="4F6C480B"/>
    <w:rsid w:val="4F707271"/>
    <w:rsid w:val="4F733E56"/>
    <w:rsid w:val="4F7C43C0"/>
    <w:rsid w:val="4F851E1A"/>
    <w:rsid w:val="4FC002BB"/>
    <w:rsid w:val="4FC9089B"/>
    <w:rsid w:val="4FD75F08"/>
    <w:rsid w:val="4FE03E2E"/>
    <w:rsid w:val="4FE3738B"/>
    <w:rsid w:val="4FFF271C"/>
    <w:rsid w:val="50025C67"/>
    <w:rsid w:val="50152790"/>
    <w:rsid w:val="50217055"/>
    <w:rsid w:val="50263595"/>
    <w:rsid w:val="50454C6E"/>
    <w:rsid w:val="5047238B"/>
    <w:rsid w:val="504B04EA"/>
    <w:rsid w:val="50573DC2"/>
    <w:rsid w:val="50597A67"/>
    <w:rsid w:val="505D51ED"/>
    <w:rsid w:val="50606154"/>
    <w:rsid w:val="50615759"/>
    <w:rsid w:val="50862ABA"/>
    <w:rsid w:val="50A52CA6"/>
    <w:rsid w:val="50AB1703"/>
    <w:rsid w:val="50AC5FFB"/>
    <w:rsid w:val="50B43D5C"/>
    <w:rsid w:val="50CB34C2"/>
    <w:rsid w:val="50CC11C3"/>
    <w:rsid w:val="50E517DB"/>
    <w:rsid w:val="50EE354B"/>
    <w:rsid w:val="50F35731"/>
    <w:rsid w:val="50FA5208"/>
    <w:rsid w:val="51050801"/>
    <w:rsid w:val="511420C5"/>
    <w:rsid w:val="51182C1B"/>
    <w:rsid w:val="51222EC5"/>
    <w:rsid w:val="512A4710"/>
    <w:rsid w:val="51310B5C"/>
    <w:rsid w:val="5134640B"/>
    <w:rsid w:val="51481AEB"/>
    <w:rsid w:val="5149684C"/>
    <w:rsid w:val="5152488F"/>
    <w:rsid w:val="51591133"/>
    <w:rsid w:val="51594B19"/>
    <w:rsid w:val="515B4235"/>
    <w:rsid w:val="515D1AE1"/>
    <w:rsid w:val="51613ECC"/>
    <w:rsid w:val="5164355A"/>
    <w:rsid w:val="51682D7F"/>
    <w:rsid w:val="51692137"/>
    <w:rsid w:val="516D2A1D"/>
    <w:rsid w:val="516F1DFB"/>
    <w:rsid w:val="51704CF9"/>
    <w:rsid w:val="51754555"/>
    <w:rsid w:val="517633C2"/>
    <w:rsid w:val="517E0474"/>
    <w:rsid w:val="517E1F90"/>
    <w:rsid w:val="518C4A71"/>
    <w:rsid w:val="518F70EF"/>
    <w:rsid w:val="51A54181"/>
    <w:rsid w:val="51A9507A"/>
    <w:rsid w:val="51AC3BD6"/>
    <w:rsid w:val="51B179F3"/>
    <w:rsid w:val="51B21E17"/>
    <w:rsid w:val="51D73CCA"/>
    <w:rsid w:val="51DD6067"/>
    <w:rsid w:val="51E43D3B"/>
    <w:rsid w:val="51E96A0F"/>
    <w:rsid w:val="51EA0894"/>
    <w:rsid w:val="51EB1218"/>
    <w:rsid w:val="51F7103B"/>
    <w:rsid w:val="51FC3FC7"/>
    <w:rsid w:val="52136F50"/>
    <w:rsid w:val="521F3BAC"/>
    <w:rsid w:val="52230625"/>
    <w:rsid w:val="522F351D"/>
    <w:rsid w:val="52461CE1"/>
    <w:rsid w:val="525E2500"/>
    <w:rsid w:val="52812634"/>
    <w:rsid w:val="528B2E6E"/>
    <w:rsid w:val="52914714"/>
    <w:rsid w:val="52A13D9D"/>
    <w:rsid w:val="52AE2C66"/>
    <w:rsid w:val="52BD221A"/>
    <w:rsid w:val="52C04C5A"/>
    <w:rsid w:val="52C5701A"/>
    <w:rsid w:val="52D3184D"/>
    <w:rsid w:val="52DB5A23"/>
    <w:rsid w:val="52E1110A"/>
    <w:rsid w:val="52FC71A3"/>
    <w:rsid w:val="530155FA"/>
    <w:rsid w:val="53073349"/>
    <w:rsid w:val="53175273"/>
    <w:rsid w:val="531B0632"/>
    <w:rsid w:val="531F69AD"/>
    <w:rsid w:val="533915E8"/>
    <w:rsid w:val="53410BAA"/>
    <w:rsid w:val="53460C3A"/>
    <w:rsid w:val="53512AD9"/>
    <w:rsid w:val="535F5D26"/>
    <w:rsid w:val="53745895"/>
    <w:rsid w:val="53815F0A"/>
    <w:rsid w:val="53853552"/>
    <w:rsid w:val="538863C6"/>
    <w:rsid w:val="53A23EBE"/>
    <w:rsid w:val="53AA358E"/>
    <w:rsid w:val="53AF726A"/>
    <w:rsid w:val="53B545B4"/>
    <w:rsid w:val="53B63177"/>
    <w:rsid w:val="53B80BA7"/>
    <w:rsid w:val="53B85DA0"/>
    <w:rsid w:val="53D16D1F"/>
    <w:rsid w:val="53D376B0"/>
    <w:rsid w:val="53DE2C1D"/>
    <w:rsid w:val="53E27D41"/>
    <w:rsid w:val="53E50D67"/>
    <w:rsid w:val="53F253C3"/>
    <w:rsid w:val="54170993"/>
    <w:rsid w:val="542D21A0"/>
    <w:rsid w:val="54341E38"/>
    <w:rsid w:val="544258EE"/>
    <w:rsid w:val="544C4646"/>
    <w:rsid w:val="545A499D"/>
    <w:rsid w:val="54621890"/>
    <w:rsid w:val="546223D7"/>
    <w:rsid w:val="54726A5B"/>
    <w:rsid w:val="547E3FFD"/>
    <w:rsid w:val="548F3783"/>
    <w:rsid w:val="54A34140"/>
    <w:rsid w:val="54AF25A3"/>
    <w:rsid w:val="54B50560"/>
    <w:rsid w:val="54C51098"/>
    <w:rsid w:val="54DD519E"/>
    <w:rsid w:val="54E55F1E"/>
    <w:rsid w:val="54F6035E"/>
    <w:rsid w:val="54F75BD4"/>
    <w:rsid w:val="54FD72B8"/>
    <w:rsid w:val="55032CB5"/>
    <w:rsid w:val="55156748"/>
    <w:rsid w:val="551978DF"/>
    <w:rsid w:val="55241D82"/>
    <w:rsid w:val="553268AE"/>
    <w:rsid w:val="55335102"/>
    <w:rsid w:val="553A40B0"/>
    <w:rsid w:val="554B4131"/>
    <w:rsid w:val="55576277"/>
    <w:rsid w:val="556F5E52"/>
    <w:rsid w:val="557B0AAB"/>
    <w:rsid w:val="55936532"/>
    <w:rsid w:val="55973D23"/>
    <w:rsid w:val="55A539FF"/>
    <w:rsid w:val="55B34809"/>
    <w:rsid w:val="55B434B3"/>
    <w:rsid w:val="55C22CEC"/>
    <w:rsid w:val="55C26CED"/>
    <w:rsid w:val="55D111C3"/>
    <w:rsid w:val="55D9405F"/>
    <w:rsid w:val="55F21F62"/>
    <w:rsid w:val="55F7050E"/>
    <w:rsid w:val="56024C56"/>
    <w:rsid w:val="560E6ADC"/>
    <w:rsid w:val="5615213F"/>
    <w:rsid w:val="563C2E1B"/>
    <w:rsid w:val="56424559"/>
    <w:rsid w:val="564575EC"/>
    <w:rsid w:val="564A3C5C"/>
    <w:rsid w:val="565A2387"/>
    <w:rsid w:val="567E23C0"/>
    <w:rsid w:val="569150C0"/>
    <w:rsid w:val="56B558EE"/>
    <w:rsid w:val="56B55924"/>
    <w:rsid w:val="56BF7CE1"/>
    <w:rsid w:val="56DF01C5"/>
    <w:rsid w:val="56FA0DF2"/>
    <w:rsid w:val="570D0AA3"/>
    <w:rsid w:val="57112C8F"/>
    <w:rsid w:val="57161448"/>
    <w:rsid w:val="571B0917"/>
    <w:rsid w:val="57287FCE"/>
    <w:rsid w:val="573937BA"/>
    <w:rsid w:val="57405AC9"/>
    <w:rsid w:val="57425D37"/>
    <w:rsid w:val="574A4B55"/>
    <w:rsid w:val="574E3D00"/>
    <w:rsid w:val="57620087"/>
    <w:rsid w:val="576502B5"/>
    <w:rsid w:val="5765496A"/>
    <w:rsid w:val="57710C21"/>
    <w:rsid w:val="577C3002"/>
    <w:rsid w:val="57846D22"/>
    <w:rsid w:val="578547D7"/>
    <w:rsid w:val="57860E5C"/>
    <w:rsid w:val="578D1D68"/>
    <w:rsid w:val="57A37F32"/>
    <w:rsid w:val="57B665DE"/>
    <w:rsid w:val="57C36760"/>
    <w:rsid w:val="57C8371B"/>
    <w:rsid w:val="57CA7616"/>
    <w:rsid w:val="57CE1E63"/>
    <w:rsid w:val="57CF0190"/>
    <w:rsid w:val="57CF0F1B"/>
    <w:rsid w:val="57D97CCD"/>
    <w:rsid w:val="57DC0FF2"/>
    <w:rsid w:val="57EE701E"/>
    <w:rsid w:val="57F15E26"/>
    <w:rsid w:val="57FA1409"/>
    <w:rsid w:val="57FD4493"/>
    <w:rsid w:val="58001354"/>
    <w:rsid w:val="580D5847"/>
    <w:rsid w:val="58253FE0"/>
    <w:rsid w:val="58294FB5"/>
    <w:rsid w:val="582E2129"/>
    <w:rsid w:val="583C5713"/>
    <w:rsid w:val="586023FD"/>
    <w:rsid w:val="58701D4C"/>
    <w:rsid w:val="58902D0B"/>
    <w:rsid w:val="58980752"/>
    <w:rsid w:val="589A4A31"/>
    <w:rsid w:val="589C4C50"/>
    <w:rsid w:val="589E5E22"/>
    <w:rsid w:val="589F69C3"/>
    <w:rsid w:val="58A21B07"/>
    <w:rsid w:val="58C13911"/>
    <w:rsid w:val="58D208CF"/>
    <w:rsid w:val="58EF2DA1"/>
    <w:rsid w:val="58F317E4"/>
    <w:rsid w:val="58F554A1"/>
    <w:rsid w:val="58F829C7"/>
    <w:rsid w:val="58FD7747"/>
    <w:rsid w:val="58FE2F6D"/>
    <w:rsid w:val="59077417"/>
    <w:rsid w:val="590D1371"/>
    <w:rsid w:val="59156265"/>
    <w:rsid w:val="591D3ED7"/>
    <w:rsid w:val="59221C23"/>
    <w:rsid w:val="592E76BA"/>
    <w:rsid w:val="59421596"/>
    <w:rsid w:val="5959621C"/>
    <w:rsid w:val="596C1457"/>
    <w:rsid w:val="59716920"/>
    <w:rsid w:val="597D55D3"/>
    <w:rsid w:val="59875EAD"/>
    <w:rsid w:val="598F6FA9"/>
    <w:rsid w:val="599275B4"/>
    <w:rsid w:val="599708A2"/>
    <w:rsid w:val="59A80D20"/>
    <w:rsid w:val="59AE060A"/>
    <w:rsid w:val="59C12C47"/>
    <w:rsid w:val="59CD0ADA"/>
    <w:rsid w:val="59CF6332"/>
    <w:rsid w:val="59D107D4"/>
    <w:rsid w:val="59D2614A"/>
    <w:rsid w:val="59D46468"/>
    <w:rsid w:val="59E774E3"/>
    <w:rsid w:val="59F5579A"/>
    <w:rsid w:val="59F5770C"/>
    <w:rsid w:val="5A04383A"/>
    <w:rsid w:val="5A0B37B1"/>
    <w:rsid w:val="5A1E7044"/>
    <w:rsid w:val="5A2F6E91"/>
    <w:rsid w:val="5A382956"/>
    <w:rsid w:val="5A4D2D4B"/>
    <w:rsid w:val="5A4F339A"/>
    <w:rsid w:val="5A615F12"/>
    <w:rsid w:val="5A643C9C"/>
    <w:rsid w:val="5A7014FE"/>
    <w:rsid w:val="5A726599"/>
    <w:rsid w:val="5A7524D4"/>
    <w:rsid w:val="5A7C7BC3"/>
    <w:rsid w:val="5A824DA4"/>
    <w:rsid w:val="5A9D6D21"/>
    <w:rsid w:val="5AA50806"/>
    <w:rsid w:val="5AB9550E"/>
    <w:rsid w:val="5ACA3B3A"/>
    <w:rsid w:val="5AEE3F61"/>
    <w:rsid w:val="5AF138DB"/>
    <w:rsid w:val="5B041C34"/>
    <w:rsid w:val="5B0D5997"/>
    <w:rsid w:val="5B14241F"/>
    <w:rsid w:val="5B166EEB"/>
    <w:rsid w:val="5B1B5B0C"/>
    <w:rsid w:val="5B246683"/>
    <w:rsid w:val="5B4B2C73"/>
    <w:rsid w:val="5B5A3D5F"/>
    <w:rsid w:val="5B5F61C8"/>
    <w:rsid w:val="5B601B48"/>
    <w:rsid w:val="5B623980"/>
    <w:rsid w:val="5B631E1E"/>
    <w:rsid w:val="5B793535"/>
    <w:rsid w:val="5B7D06AA"/>
    <w:rsid w:val="5B8207DD"/>
    <w:rsid w:val="5BA940E9"/>
    <w:rsid w:val="5BB73C4C"/>
    <w:rsid w:val="5BE34CBA"/>
    <w:rsid w:val="5BE4357E"/>
    <w:rsid w:val="5BE76922"/>
    <w:rsid w:val="5BF27706"/>
    <w:rsid w:val="5C0642A7"/>
    <w:rsid w:val="5C193547"/>
    <w:rsid w:val="5C203FD9"/>
    <w:rsid w:val="5C22625C"/>
    <w:rsid w:val="5C2E11F1"/>
    <w:rsid w:val="5C4050E4"/>
    <w:rsid w:val="5C462FD9"/>
    <w:rsid w:val="5C5D6EB0"/>
    <w:rsid w:val="5C602F4F"/>
    <w:rsid w:val="5C741544"/>
    <w:rsid w:val="5C76793E"/>
    <w:rsid w:val="5C7A7EA6"/>
    <w:rsid w:val="5C7F3F00"/>
    <w:rsid w:val="5C891A6C"/>
    <w:rsid w:val="5C8B7CD7"/>
    <w:rsid w:val="5C9111F4"/>
    <w:rsid w:val="5C955628"/>
    <w:rsid w:val="5C9939A0"/>
    <w:rsid w:val="5C9C44B8"/>
    <w:rsid w:val="5CA0700A"/>
    <w:rsid w:val="5CA53B66"/>
    <w:rsid w:val="5CA84899"/>
    <w:rsid w:val="5CB5002C"/>
    <w:rsid w:val="5CC426F7"/>
    <w:rsid w:val="5CCD5A8D"/>
    <w:rsid w:val="5CD1529A"/>
    <w:rsid w:val="5CE73928"/>
    <w:rsid w:val="5CFC210C"/>
    <w:rsid w:val="5CFE746F"/>
    <w:rsid w:val="5D13224A"/>
    <w:rsid w:val="5D1640F7"/>
    <w:rsid w:val="5D1A3B8A"/>
    <w:rsid w:val="5D1E13E7"/>
    <w:rsid w:val="5D250E5E"/>
    <w:rsid w:val="5D313D90"/>
    <w:rsid w:val="5D342595"/>
    <w:rsid w:val="5D3C5552"/>
    <w:rsid w:val="5D3E71D0"/>
    <w:rsid w:val="5D4D32D6"/>
    <w:rsid w:val="5D520A1D"/>
    <w:rsid w:val="5D545678"/>
    <w:rsid w:val="5D5A6A48"/>
    <w:rsid w:val="5D6B5CD3"/>
    <w:rsid w:val="5D6D6F46"/>
    <w:rsid w:val="5D776696"/>
    <w:rsid w:val="5D796BD2"/>
    <w:rsid w:val="5D7B4013"/>
    <w:rsid w:val="5D820199"/>
    <w:rsid w:val="5D841674"/>
    <w:rsid w:val="5D847BAD"/>
    <w:rsid w:val="5DBD408C"/>
    <w:rsid w:val="5DBE6997"/>
    <w:rsid w:val="5DC81609"/>
    <w:rsid w:val="5DD30533"/>
    <w:rsid w:val="5DD32E65"/>
    <w:rsid w:val="5DDD496B"/>
    <w:rsid w:val="5DE278B3"/>
    <w:rsid w:val="5DFF5472"/>
    <w:rsid w:val="5E075FA0"/>
    <w:rsid w:val="5E0C6B13"/>
    <w:rsid w:val="5E3637D2"/>
    <w:rsid w:val="5E3C49D1"/>
    <w:rsid w:val="5E411D07"/>
    <w:rsid w:val="5E622776"/>
    <w:rsid w:val="5E6621B1"/>
    <w:rsid w:val="5E9E695E"/>
    <w:rsid w:val="5EBF6E33"/>
    <w:rsid w:val="5EC34522"/>
    <w:rsid w:val="5EC73610"/>
    <w:rsid w:val="5EC972B9"/>
    <w:rsid w:val="5ECE6F0A"/>
    <w:rsid w:val="5ED94AAC"/>
    <w:rsid w:val="5EDA4CD7"/>
    <w:rsid w:val="5EE935B3"/>
    <w:rsid w:val="5F0C2F05"/>
    <w:rsid w:val="5F14360F"/>
    <w:rsid w:val="5F1C61C5"/>
    <w:rsid w:val="5F2A7B9F"/>
    <w:rsid w:val="5F2E3C61"/>
    <w:rsid w:val="5F2E5F4C"/>
    <w:rsid w:val="5F30502F"/>
    <w:rsid w:val="5F370C69"/>
    <w:rsid w:val="5F3F1BD7"/>
    <w:rsid w:val="5F4269F5"/>
    <w:rsid w:val="5F5E0DFE"/>
    <w:rsid w:val="5F6D0191"/>
    <w:rsid w:val="5F770CE0"/>
    <w:rsid w:val="5F931B7E"/>
    <w:rsid w:val="5F937EF6"/>
    <w:rsid w:val="5F966342"/>
    <w:rsid w:val="5F9D7FD4"/>
    <w:rsid w:val="5FA8657E"/>
    <w:rsid w:val="5FAC2332"/>
    <w:rsid w:val="5FB00554"/>
    <w:rsid w:val="5FB51C03"/>
    <w:rsid w:val="5FC47F88"/>
    <w:rsid w:val="5FC670F4"/>
    <w:rsid w:val="5FD10185"/>
    <w:rsid w:val="5FD320B5"/>
    <w:rsid w:val="5FD72A53"/>
    <w:rsid w:val="5FDA4E6A"/>
    <w:rsid w:val="5FE30F59"/>
    <w:rsid w:val="5FE437A3"/>
    <w:rsid w:val="5FE44FB9"/>
    <w:rsid w:val="5FE56F6F"/>
    <w:rsid w:val="5FFD36E2"/>
    <w:rsid w:val="5FFE30FC"/>
    <w:rsid w:val="60011FB5"/>
    <w:rsid w:val="60087BC3"/>
    <w:rsid w:val="602615F6"/>
    <w:rsid w:val="602B0360"/>
    <w:rsid w:val="602C4CDA"/>
    <w:rsid w:val="603A65A1"/>
    <w:rsid w:val="603B6CED"/>
    <w:rsid w:val="604015C1"/>
    <w:rsid w:val="60424AFF"/>
    <w:rsid w:val="604A4E79"/>
    <w:rsid w:val="604D21E1"/>
    <w:rsid w:val="604D7353"/>
    <w:rsid w:val="605526F8"/>
    <w:rsid w:val="60775BC2"/>
    <w:rsid w:val="607850E8"/>
    <w:rsid w:val="607921B2"/>
    <w:rsid w:val="607C22B1"/>
    <w:rsid w:val="60873AC7"/>
    <w:rsid w:val="6089345D"/>
    <w:rsid w:val="608C55EE"/>
    <w:rsid w:val="609D093C"/>
    <w:rsid w:val="609D514F"/>
    <w:rsid w:val="609E2D5C"/>
    <w:rsid w:val="60A66D15"/>
    <w:rsid w:val="60B819BB"/>
    <w:rsid w:val="60BD4844"/>
    <w:rsid w:val="60C172DB"/>
    <w:rsid w:val="60D84766"/>
    <w:rsid w:val="60DD603A"/>
    <w:rsid w:val="60FE0E8C"/>
    <w:rsid w:val="61157511"/>
    <w:rsid w:val="613F3767"/>
    <w:rsid w:val="6141436B"/>
    <w:rsid w:val="61593F4B"/>
    <w:rsid w:val="616B5B03"/>
    <w:rsid w:val="6174431E"/>
    <w:rsid w:val="61AD5BE8"/>
    <w:rsid w:val="61BE74B6"/>
    <w:rsid w:val="61BF135E"/>
    <w:rsid w:val="61C9552C"/>
    <w:rsid w:val="61DA63D6"/>
    <w:rsid w:val="61DF04D5"/>
    <w:rsid w:val="61E36D11"/>
    <w:rsid w:val="61E422E3"/>
    <w:rsid w:val="61EB3505"/>
    <w:rsid w:val="61F04D76"/>
    <w:rsid w:val="62080C29"/>
    <w:rsid w:val="620D12B2"/>
    <w:rsid w:val="620F3BC5"/>
    <w:rsid w:val="62102AEA"/>
    <w:rsid w:val="621D0109"/>
    <w:rsid w:val="62222A13"/>
    <w:rsid w:val="622C7DD4"/>
    <w:rsid w:val="62373741"/>
    <w:rsid w:val="62461ABC"/>
    <w:rsid w:val="624A1C98"/>
    <w:rsid w:val="624D52E1"/>
    <w:rsid w:val="624E20CF"/>
    <w:rsid w:val="62591032"/>
    <w:rsid w:val="625C78B2"/>
    <w:rsid w:val="62631E36"/>
    <w:rsid w:val="62634CAC"/>
    <w:rsid w:val="6279582D"/>
    <w:rsid w:val="627B5CAD"/>
    <w:rsid w:val="62853511"/>
    <w:rsid w:val="6286759D"/>
    <w:rsid w:val="62872FBC"/>
    <w:rsid w:val="628A2AB0"/>
    <w:rsid w:val="628D1540"/>
    <w:rsid w:val="628D2885"/>
    <w:rsid w:val="62964FB2"/>
    <w:rsid w:val="62A723D2"/>
    <w:rsid w:val="62AC5599"/>
    <w:rsid w:val="62AD333B"/>
    <w:rsid w:val="62B117C2"/>
    <w:rsid w:val="62B913A7"/>
    <w:rsid w:val="62C034FC"/>
    <w:rsid w:val="62CA2F71"/>
    <w:rsid w:val="62CB5C99"/>
    <w:rsid w:val="62CC4C3A"/>
    <w:rsid w:val="62E64D72"/>
    <w:rsid w:val="62EE00D4"/>
    <w:rsid w:val="62F6569A"/>
    <w:rsid w:val="62F668BF"/>
    <w:rsid w:val="630324D9"/>
    <w:rsid w:val="630964A5"/>
    <w:rsid w:val="630E39AB"/>
    <w:rsid w:val="63106729"/>
    <w:rsid w:val="63117B06"/>
    <w:rsid w:val="63151EB9"/>
    <w:rsid w:val="63290AF3"/>
    <w:rsid w:val="632B6C73"/>
    <w:rsid w:val="63510BFE"/>
    <w:rsid w:val="63516689"/>
    <w:rsid w:val="63561191"/>
    <w:rsid w:val="63637A8B"/>
    <w:rsid w:val="638D5214"/>
    <w:rsid w:val="639A03B7"/>
    <w:rsid w:val="63A738D8"/>
    <w:rsid w:val="63AB386B"/>
    <w:rsid w:val="63AB67EE"/>
    <w:rsid w:val="63BA6B28"/>
    <w:rsid w:val="63BC47A3"/>
    <w:rsid w:val="63C044E9"/>
    <w:rsid w:val="63C4648E"/>
    <w:rsid w:val="63C504DF"/>
    <w:rsid w:val="63DE771B"/>
    <w:rsid w:val="63DF0902"/>
    <w:rsid w:val="63EA0CBE"/>
    <w:rsid w:val="63F83C68"/>
    <w:rsid w:val="64095253"/>
    <w:rsid w:val="641C03FB"/>
    <w:rsid w:val="642458F0"/>
    <w:rsid w:val="64295CB0"/>
    <w:rsid w:val="642A787A"/>
    <w:rsid w:val="643004E1"/>
    <w:rsid w:val="64317F35"/>
    <w:rsid w:val="643A05F5"/>
    <w:rsid w:val="643D7512"/>
    <w:rsid w:val="64592C2D"/>
    <w:rsid w:val="64612DBC"/>
    <w:rsid w:val="646169A6"/>
    <w:rsid w:val="64660E31"/>
    <w:rsid w:val="64815CE2"/>
    <w:rsid w:val="64852614"/>
    <w:rsid w:val="648F64C9"/>
    <w:rsid w:val="64957BC1"/>
    <w:rsid w:val="6496660B"/>
    <w:rsid w:val="649A0C45"/>
    <w:rsid w:val="64A0516D"/>
    <w:rsid w:val="64B12716"/>
    <w:rsid w:val="64B33BE6"/>
    <w:rsid w:val="64B4727F"/>
    <w:rsid w:val="64C0436C"/>
    <w:rsid w:val="64C07112"/>
    <w:rsid w:val="64C07B32"/>
    <w:rsid w:val="64C417D1"/>
    <w:rsid w:val="64C870F3"/>
    <w:rsid w:val="64CD5B33"/>
    <w:rsid w:val="64CE69E2"/>
    <w:rsid w:val="64E26686"/>
    <w:rsid w:val="64E31722"/>
    <w:rsid w:val="64EC7390"/>
    <w:rsid w:val="64F10E29"/>
    <w:rsid w:val="64F216A2"/>
    <w:rsid w:val="65015EC7"/>
    <w:rsid w:val="65026F2A"/>
    <w:rsid w:val="650A2148"/>
    <w:rsid w:val="650B19C1"/>
    <w:rsid w:val="6513262B"/>
    <w:rsid w:val="651819DD"/>
    <w:rsid w:val="65221C35"/>
    <w:rsid w:val="65243627"/>
    <w:rsid w:val="65274217"/>
    <w:rsid w:val="65274429"/>
    <w:rsid w:val="6536613F"/>
    <w:rsid w:val="653B78C5"/>
    <w:rsid w:val="653D5800"/>
    <w:rsid w:val="653D5974"/>
    <w:rsid w:val="654E39D2"/>
    <w:rsid w:val="6551464B"/>
    <w:rsid w:val="655516A7"/>
    <w:rsid w:val="6561628B"/>
    <w:rsid w:val="656737F2"/>
    <w:rsid w:val="656D6482"/>
    <w:rsid w:val="656F62E5"/>
    <w:rsid w:val="65791E25"/>
    <w:rsid w:val="657960CC"/>
    <w:rsid w:val="658C0F24"/>
    <w:rsid w:val="65963AC6"/>
    <w:rsid w:val="65B94B80"/>
    <w:rsid w:val="65BD0CBF"/>
    <w:rsid w:val="65E43520"/>
    <w:rsid w:val="65E64E81"/>
    <w:rsid w:val="65E86BB8"/>
    <w:rsid w:val="65EF6FFC"/>
    <w:rsid w:val="65F24C75"/>
    <w:rsid w:val="6619007C"/>
    <w:rsid w:val="66251650"/>
    <w:rsid w:val="66381496"/>
    <w:rsid w:val="663E4F50"/>
    <w:rsid w:val="664F1995"/>
    <w:rsid w:val="66562560"/>
    <w:rsid w:val="666101E4"/>
    <w:rsid w:val="667171B5"/>
    <w:rsid w:val="667F3383"/>
    <w:rsid w:val="668E0967"/>
    <w:rsid w:val="669A4504"/>
    <w:rsid w:val="66A54CA2"/>
    <w:rsid w:val="66A92653"/>
    <w:rsid w:val="66A944E3"/>
    <w:rsid w:val="66C25AA4"/>
    <w:rsid w:val="66CD491D"/>
    <w:rsid w:val="66D2201C"/>
    <w:rsid w:val="66D35957"/>
    <w:rsid w:val="66E057A3"/>
    <w:rsid w:val="66E90D8D"/>
    <w:rsid w:val="66F62376"/>
    <w:rsid w:val="66FB7C5F"/>
    <w:rsid w:val="670733AF"/>
    <w:rsid w:val="670E16C5"/>
    <w:rsid w:val="67176BF9"/>
    <w:rsid w:val="67200B95"/>
    <w:rsid w:val="67250CF4"/>
    <w:rsid w:val="672627B7"/>
    <w:rsid w:val="67307805"/>
    <w:rsid w:val="673B0CCD"/>
    <w:rsid w:val="673E62A5"/>
    <w:rsid w:val="673F2CA1"/>
    <w:rsid w:val="6745027C"/>
    <w:rsid w:val="67527590"/>
    <w:rsid w:val="675E6ADE"/>
    <w:rsid w:val="6761652F"/>
    <w:rsid w:val="67750C4E"/>
    <w:rsid w:val="67765C02"/>
    <w:rsid w:val="677D7763"/>
    <w:rsid w:val="67891693"/>
    <w:rsid w:val="679D60B0"/>
    <w:rsid w:val="67B07B1A"/>
    <w:rsid w:val="67B448F1"/>
    <w:rsid w:val="67C20AE4"/>
    <w:rsid w:val="67D05296"/>
    <w:rsid w:val="67DF2093"/>
    <w:rsid w:val="67EC61D6"/>
    <w:rsid w:val="68013510"/>
    <w:rsid w:val="68034045"/>
    <w:rsid w:val="68110BA0"/>
    <w:rsid w:val="682A442C"/>
    <w:rsid w:val="683307EA"/>
    <w:rsid w:val="683B6EFF"/>
    <w:rsid w:val="683C6B3E"/>
    <w:rsid w:val="684D62F1"/>
    <w:rsid w:val="684F6BC4"/>
    <w:rsid w:val="68571CE8"/>
    <w:rsid w:val="685D0BB0"/>
    <w:rsid w:val="68606B8E"/>
    <w:rsid w:val="68622E4B"/>
    <w:rsid w:val="6873622A"/>
    <w:rsid w:val="687C763E"/>
    <w:rsid w:val="688D1CCE"/>
    <w:rsid w:val="689216CB"/>
    <w:rsid w:val="689C4915"/>
    <w:rsid w:val="68A7739E"/>
    <w:rsid w:val="68AD4F24"/>
    <w:rsid w:val="68C55F66"/>
    <w:rsid w:val="68C76C79"/>
    <w:rsid w:val="68CE3333"/>
    <w:rsid w:val="68CF1C6E"/>
    <w:rsid w:val="68D06968"/>
    <w:rsid w:val="68D768C8"/>
    <w:rsid w:val="68E240F3"/>
    <w:rsid w:val="68E6412F"/>
    <w:rsid w:val="68EB1615"/>
    <w:rsid w:val="690644FD"/>
    <w:rsid w:val="6915286D"/>
    <w:rsid w:val="69350809"/>
    <w:rsid w:val="69422101"/>
    <w:rsid w:val="697F07F7"/>
    <w:rsid w:val="697F7E83"/>
    <w:rsid w:val="69901C9C"/>
    <w:rsid w:val="69943F72"/>
    <w:rsid w:val="699F351D"/>
    <w:rsid w:val="69A50F66"/>
    <w:rsid w:val="69BD437E"/>
    <w:rsid w:val="69BF6326"/>
    <w:rsid w:val="69C507DB"/>
    <w:rsid w:val="69D16D72"/>
    <w:rsid w:val="69EA5765"/>
    <w:rsid w:val="69FF67C9"/>
    <w:rsid w:val="6A0159F7"/>
    <w:rsid w:val="6A05028D"/>
    <w:rsid w:val="6A195F1E"/>
    <w:rsid w:val="6A251D85"/>
    <w:rsid w:val="6A3130F5"/>
    <w:rsid w:val="6A412B52"/>
    <w:rsid w:val="6A4237B5"/>
    <w:rsid w:val="6A54471D"/>
    <w:rsid w:val="6A5618AD"/>
    <w:rsid w:val="6A623B70"/>
    <w:rsid w:val="6A6332F3"/>
    <w:rsid w:val="6A643EC9"/>
    <w:rsid w:val="6A652D4B"/>
    <w:rsid w:val="6A655F6C"/>
    <w:rsid w:val="6A6D4535"/>
    <w:rsid w:val="6A6E440E"/>
    <w:rsid w:val="6A6E6A03"/>
    <w:rsid w:val="6A7673E1"/>
    <w:rsid w:val="6A797F3F"/>
    <w:rsid w:val="6A7A723C"/>
    <w:rsid w:val="6AB12E28"/>
    <w:rsid w:val="6AB9517F"/>
    <w:rsid w:val="6ABB35FA"/>
    <w:rsid w:val="6ABC16A2"/>
    <w:rsid w:val="6ACC35A2"/>
    <w:rsid w:val="6AD2176A"/>
    <w:rsid w:val="6AD51F13"/>
    <w:rsid w:val="6AD741F2"/>
    <w:rsid w:val="6AE5205E"/>
    <w:rsid w:val="6AEA3410"/>
    <w:rsid w:val="6AF02873"/>
    <w:rsid w:val="6B02227C"/>
    <w:rsid w:val="6B290937"/>
    <w:rsid w:val="6B2F44F7"/>
    <w:rsid w:val="6B36172C"/>
    <w:rsid w:val="6B362009"/>
    <w:rsid w:val="6B432545"/>
    <w:rsid w:val="6B516D8C"/>
    <w:rsid w:val="6B6F38B4"/>
    <w:rsid w:val="6B702E43"/>
    <w:rsid w:val="6B7979A2"/>
    <w:rsid w:val="6B7A41A0"/>
    <w:rsid w:val="6B7A6F7D"/>
    <w:rsid w:val="6B8304F7"/>
    <w:rsid w:val="6B9D47EE"/>
    <w:rsid w:val="6BA72587"/>
    <w:rsid w:val="6BA97480"/>
    <w:rsid w:val="6BAB29D0"/>
    <w:rsid w:val="6BAB3D78"/>
    <w:rsid w:val="6BDB4266"/>
    <w:rsid w:val="6BDE6237"/>
    <w:rsid w:val="6BE95567"/>
    <w:rsid w:val="6BEC0FC9"/>
    <w:rsid w:val="6BEF40EA"/>
    <w:rsid w:val="6BF40142"/>
    <w:rsid w:val="6BFB7FE2"/>
    <w:rsid w:val="6C0F32D3"/>
    <w:rsid w:val="6C111B0F"/>
    <w:rsid w:val="6C1E6D28"/>
    <w:rsid w:val="6C2129A7"/>
    <w:rsid w:val="6C445082"/>
    <w:rsid w:val="6C5119FB"/>
    <w:rsid w:val="6C586875"/>
    <w:rsid w:val="6C5F500E"/>
    <w:rsid w:val="6C7064F5"/>
    <w:rsid w:val="6C814A05"/>
    <w:rsid w:val="6C841CCC"/>
    <w:rsid w:val="6C8B7C86"/>
    <w:rsid w:val="6C916E4B"/>
    <w:rsid w:val="6C941E5F"/>
    <w:rsid w:val="6C9844C0"/>
    <w:rsid w:val="6C9C5951"/>
    <w:rsid w:val="6C9F25BF"/>
    <w:rsid w:val="6CA05A08"/>
    <w:rsid w:val="6CA44AD9"/>
    <w:rsid w:val="6CB30A7F"/>
    <w:rsid w:val="6CB369F6"/>
    <w:rsid w:val="6CBF5149"/>
    <w:rsid w:val="6CCB0164"/>
    <w:rsid w:val="6CE804F5"/>
    <w:rsid w:val="6CEC697C"/>
    <w:rsid w:val="6CF22048"/>
    <w:rsid w:val="6D0A445A"/>
    <w:rsid w:val="6D1C66AE"/>
    <w:rsid w:val="6D32667F"/>
    <w:rsid w:val="6D3675AB"/>
    <w:rsid w:val="6D384B9A"/>
    <w:rsid w:val="6D3D5715"/>
    <w:rsid w:val="6D530F80"/>
    <w:rsid w:val="6D590CF2"/>
    <w:rsid w:val="6D5D1BD5"/>
    <w:rsid w:val="6D620ACA"/>
    <w:rsid w:val="6D6A0012"/>
    <w:rsid w:val="6D6A1A3F"/>
    <w:rsid w:val="6D7250E4"/>
    <w:rsid w:val="6D8C27DC"/>
    <w:rsid w:val="6D9030D1"/>
    <w:rsid w:val="6D92494A"/>
    <w:rsid w:val="6DA00C04"/>
    <w:rsid w:val="6DC110BC"/>
    <w:rsid w:val="6DC16B1E"/>
    <w:rsid w:val="6DC74CE3"/>
    <w:rsid w:val="6DC90876"/>
    <w:rsid w:val="6DEE7A86"/>
    <w:rsid w:val="6DF215A6"/>
    <w:rsid w:val="6DF73FFA"/>
    <w:rsid w:val="6E0150ED"/>
    <w:rsid w:val="6E0A376B"/>
    <w:rsid w:val="6E206606"/>
    <w:rsid w:val="6E22306E"/>
    <w:rsid w:val="6E2C7340"/>
    <w:rsid w:val="6E3B4B7A"/>
    <w:rsid w:val="6E3C326E"/>
    <w:rsid w:val="6E41465A"/>
    <w:rsid w:val="6E43501E"/>
    <w:rsid w:val="6E5A4E8F"/>
    <w:rsid w:val="6E675143"/>
    <w:rsid w:val="6E6F4F89"/>
    <w:rsid w:val="6E820935"/>
    <w:rsid w:val="6E92675B"/>
    <w:rsid w:val="6E9B65AC"/>
    <w:rsid w:val="6EA61C4E"/>
    <w:rsid w:val="6EA94C4A"/>
    <w:rsid w:val="6EAC72D1"/>
    <w:rsid w:val="6EE02754"/>
    <w:rsid w:val="6EE2482D"/>
    <w:rsid w:val="6EF459DC"/>
    <w:rsid w:val="6F0D4A45"/>
    <w:rsid w:val="6F0E1C6E"/>
    <w:rsid w:val="6F2015AA"/>
    <w:rsid w:val="6F234517"/>
    <w:rsid w:val="6F2949E6"/>
    <w:rsid w:val="6F346205"/>
    <w:rsid w:val="6F37234D"/>
    <w:rsid w:val="6F38149D"/>
    <w:rsid w:val="6F3D4203"/>
    <w:rsid w:val="6F3D5DCD"/>
    <w:rsid w:val="6F3E30E4"/>
    <w:rsid w:val="6F486C64"/>
    <w:rsid w:val="6F4938EF"/>
    <w:rsid w:val="6F497DD0"/>
    <w:rsid w:val="6F4C7C37"/>
    <w:rsid w:val="6F7056EE"/>
    <w:rsid w:val="6F887A24"/>
    <w:rsid w:val="6FA65128"/>
    <w:rsid w:val="6FA76C18"/>
    <w:rsid w:val="6FA92F9B"/>
    <w:rsid w:val="6FAA5EB8"/>
    <w:rsid w:val="6FAE4454"/>
    <w:rsid w:val="6FC53D79"/>
    <w:rsid w:val="6FCB2219"/>
    <w:rsid w:val="6FDF263D"/>
    <w:rsid w:val="6FE3538E"/>
    <w:rsid w:val="6FFA4788"/>
    <w:rsid w:val="6FFA4BFC"/>
    <w:rsid w:val="6FFA69FE"/>
    <w:rsid w:val="700F3E1E"/>
    <w:rsid w:val="70193750"/>
    <w:rsid w:val="703B2AB0"/>
    <w:rsid w:val="70444197"/>
    <w:rsid w:val="705B2277"/>
    <w:rsid w:val="7062416D"/>
    <w:rsid w:val="70681A86"/>
    <w:rsid w:val="706B6B6C"/>
    <w:rsid w:val="706D6001"/>
    <w:rsid w:val="706E76EA"/>
    <w:rsid w:val="70774DB6"/>
    <w:rsid w:val="707C2145"/>
    <w:rsid w:val="707D7F6F"/>
    <w:rsid w:val="70882305"/>
    <w:rsid w:val="70905343"/>
    <w:rsid w:val="70994C61"/>
    <w:rsid w:val="709D29AC"/>
    <w:rsid w:val="70A237B7"/>
    <w:rsid w:val="70A47085"/>
    <w:rsid w:val="70A50D4E"/>
    <w:rsid w:val="70BA7B13"/>
    <w:rsid w:val="70BE0D2F"/>
    <w:rsid w:val="70CD636B"/>
    <w:rsid w:val="70D43BE7"/>
    <w:rsid w:val="70E42C63"/>
    <w:rsid w:val="70F31D8C"/>
    <w:rsid w:val="70F533E8"/>
    <w:rsid w:val="710428A7"/>
    <w:rsid w:val="71063CCB"/>
    <w:rsid w:val="710872E2"/>
    <w:rsid w:val="710B14FC"/>
    <w:rsid w:val="710F6E84"/>
    <w:rsid w:val="711271AC"/>
    <w:rsid w:val="71341C4C"/>
    <w:rsid w:val="71523083"/>
    <w:rsid w:val="715C6C64"/>
    <w:rsid w:val="716179D6"/>
    <w:rsid w:val="71726FEF"/>
    <w:rsid w:val="71791718"/>
    <w:rsid w:val="718258FC"/>
    <w:rsid w:val="719027A2"/>
    <w:rsid w:val="719A0B1E"/>
    <w:rsid w:val="71A32E54"/>
    <w:rsid w:val="71A64DC8"/>
    <w:rsid w:val="71AD13A6"/>
    <w:rsid w:val="71AF7FA3"/>
    <w:rsid w:val="71C85E9D"/>
    <w:rsid w:val="71DD5073"/>
    <w:rsid w:val="71F23692"/>
    <w:rsid w:val="71F304DB"/>
    <w:rsid w:val="71FF73C0"/>
    <w:rsid w:val="720200FC"/>
    <w:rsid w:val="720D5991"/>
    <w:rsid w:val="72106FFA"/>
    <w:rsid w:val="72180AFB"/>
    <w:rsid w:val="721A7797"/>
    <w:rsid w:val="721F4F5A"/>
    <w:rsid w:val="724748D2"/>
    <w:rsid w:val="72550717"/>
    <w:rsid w:val="725B2577"/>
    <w:rsid w:val="72637FC7"/>
    <w:rsid w:val="726A5FA7"/>
    <w:rsid w:val="72716E48"/>
    <w:rsid w:val="728B0BDC"/>
    <w:rsid w:val="72914D45"/>
    <w:rsid w:val="72986504"/>
    <w:rsid w:val="729A4117"/>
    <w:rsid w:val="72AC14F5"/>
    <w:rsid w:val="72B02ED2"/>
    <w:rsid w:val="72BA4CBF"/>
    <w:rsid w:val="72BB0608"/>
    <w:rsid w:val="72BE30DD"/>
    <w:rsid w:val="72CA0AE7"/>
    <w:rsid w:val="730151F0"/>
    <w:rsid w:val="730C1B9B"/>
    <w:rsid w:val="731F0075"/>
    <w:rsid w:val="7323240D"/>
    <w:rsid w:val="73235732"/>
    <w:rsid w:val="73246FFB"/>
    <w:rsid w:val="73341DAE"/>
    <w:rsid w:val="733836C1"/>
    <w:rsid w:val="733F0D1A"/>
    <w:rsid w:val="7345789B"/>
    <w:rsid w:val="734E38AF"/>
    <w:rsid w:val="73505377"/>
    <w:rsid w:val="736B10F4"/>
    <w:rsid w:val="73773934"/>
    <w:rsid w:val="739C7831"/>
    <w:rsid w:val="73A17468"/>
    <w:rsid w:val="73A85949"/>
    <w:rsid w:val="73BF7486"/>
    <w:rsid w:val="73DA3671"/>
    <w:rsid w:val="73DA694E"/>
    <w:rsid w:val="73E77CAB"/>
    <w:rsid w:val="73ED79CE"/>
    <w:rsid w:val="73EE629E"/>
    <w:rsid w:val="74180EB7"/>
    <w:rsid w:val="74184C35"/>
    <w:rsid w:val="742475E4"/>
    <w:rsid w:val="74326018"/>
    <w:rsid w:val="74385461"/>
    <w:rsid w:val="743C43A1"/>
    <w:rsid w:val="744002E1"/>
    <w:rsid w:val="744200C1"/>
    <w:rsid w:val="744D3C1E"/>
    <w:rsid w:val="745603D7"/>
    <w:rsid w:val="74640ED8"/>
    <w:rsid w:val="746D42DC"/>
    <w:rsid w:val="748E1B75"/>
    <w:rsid w:val="748E507F"/>
    <w:rsid w:val="748F31D4"/>
    <w:rsid w:val="748F3D78"/>
    <w:rsid w:val="748F6A88"/>
    <w:rsid w:val="74977039"/>
    <w:rsid w:val="749C1318"/>
    <w:rsid w:val="74A069DE"/>
    <w:rsid w:val="74A5389E"/>
    <w:rsid w:val="74AC3DC7"/>
    <w:rsid w:val="74AC5F34"/>
    <w:rsid w:val="74B84674"/>
    <w:rsid w:val="74BC1B6B"/>
    <w:rsid w:val="74C1463D"/>
    <w:rsid w:val="74C96C9B"/>
    <w:rsid w:val="74D347E6"/>
    <w:rsid w:val="74D54599"/>
    <w:rsid w:val="74E014EA"/>
    <w:rsid w:val="74FC4B38"/>
    <w:rsid w:val="74FC5AAB"/>
    <w:rsid w:val="75220ECD"/>
    <w:rsid w:val="7528015E"/>
    <w:rsid w:val="752C7E4E"/>
    <w:rsid w:val="752F0829"/>
    <w:rsid w:val="75430E4E"/>
    <w:rsid w:val="75450299"/>
    <w:rsid w:val="75450A81"/>
    <w:rsid w:val="754B1B25"/>
    <w:rsid w:val="754F4404"/>
    <w:rsid w:val="756B5CF9"/>
    <w:rsid w:val="7573477F"/>
    <w:rsid w:val="757714CC"/>
    <w:rsid w:val="75910710"/>
    <w:rsid w:val="75A02139"/>
    <w:rsid w:val="75AC6528"/>
    <w:rsid w:val="75AF791D"/>
    <w:rsid w:val="75C134EB"/>
    <w:rsid w:val="75C418CB"/>
    <w:rsid w:val="75CF3FE1"/>
    <w:rsid w:val="75D70FDA"/>
    <w:rsid w:val="75F31DED"/>
    <w:rsid w:val="75F935DC"/>
    <w:rsid w:val="760B1BAA"/>
    <w:rsid w:val="761714A6"/>
    <w:rsid w:val="761930F9"/>
    <w:rsid w:val="76207C47"/>
    <w:rsid w:val="76345050"/>
    <w:rsid w:val="764330ED"/>
    <w:rsid w:val="76476FC9"/>
    <w:rsid w:val="76527C89"/>
    <w:rsid w:val="76555095"/>
    <w:rsid w:val="765E6689"/>
    <w:rsid w:val="76630A78"/>
    <w:rsid w:val="766B423A"/>
    <w:rsid w:val="76782784"/>
    <w:rsid w:val="767C56E4"/>
    <w:rsid w:val="768A45DD"/>
    <w:rsid w:val="768C3CA4"/>
    <w:rsid w:val="76902FB1"/>
    <w:rsid w:val="76A52D2E"/>
    <w:rsid w:val="76A863EE"/>
    <w:rsid w:val="76BA3E11"/>
    <w:rsid w:val="76C374BE"/>
    <w:rsid w:val="76C75C81"/>
    <w:rsid w:val="76D15B99"/>
    <w:rsid w:val="76D609FE"/>
    <w:rsid w:val="76E220E1"/>
    <w:rsid w:val="76E91545"/>
    <w:rsid w:val="77127E94"/>
    <w:rsid w:val="771530BE"/>
    <w:rsid w:val="77191AFA"/>
    <w:rsid w:val="772902D0"/>
    <w:rsid w:val="772B7599"/>
    <w:rsid w:val="772E294A"/>
    <w:rsid w:val="772F4C9D"/>
    <w:rsid w:val="7734193A"/>
    <w:rsid w:val="77353FB0"/>
    <w:rsid w:val="773D0C7A"/>
    <w:rsid w:val="773E1482"/>
    <w:rsid w:val="77494A07"/>
    <w:rsid w:val="774E5A45"/>
    <w:rsid w:val="77504AFC"/>
    <w:rsid w:val="775962B9"/>
    <w:rsid w:val="77630D48"/>
    <w:rsid w:val="77887812"/>
    <w:rsid w:val="778B2529"/>
    <w:rsid w:val="778D1AC1"/>
    <w:rsid w:val="77926A49"/>
    <w:rsid w:val="779B073B"/>
    <w:rsid w:val="77A80A56"/>
    <w:rsid w:val="77B41F7B"/>
    <w:rsid w:val="77B90CA5"/>
    <w:rsid w:val="77BC66F1"/>
    <w:rsid w:val="77C27553"/>
    <w:rsid w:val="77CB43FA"/>
    <w:rsid w:val="77CC1657"/>
    <w:rsid w:val="77D23F62"/>
    <w:rsid w:val="77D75883"/>
    <w:rsid w:val="77E068D4"/>
    <w:rsid w:val="77E5358D"/>
    <w:rsid w:val="77E62460"/>
    <w:rsid w:val="77E97686"/>
    <w:rsid w:val="77F74C0D"/>
    <w:rsid w:val="78066093"/>
    <w:rsid w:val="781573C3"/>
    <w:rsid w:val="782E5A26"/>
    <w:rsid w:val="784646B4"/>
    <w:rsid w:val="784F2690"/>
    <w:rsid w:val="785A0F45"/>
    <w:rsid w:val="785A6AA0"/>
    <w:rsid w:val="785D7AD0"/>
    <w:rsid w:val="78601685"/>
    <w:rsid w:val="78634235"/>
    <w:rsid w:val="78675139"/>
    <w:rsid w:val="7875732E"/>
    <w:rsid w:val="787646D6"/>
    <w:rsid w:val="788B5029"/>
    <w:rsid w:val="78991988"/>
    <w:rsid w:val="78A14659"/>
    <w:rsid w:val="78AC4095"/>
    <w:rsid w:val="78B5712F"/>
    <w:rsid w:val="78B575EE"/>
    <w:rsid w:val="78C656F2"/>
    <w:rsid w:val="78D0114B"/>
    <w:rsid w:val="78DA68E1"/>
    <w:rsid w:val="78E07957"/>
    <w:rsid w:val="78EA11CB"/>
    <w:rsid w:val="78EE0AC0"/>
    <w:rsid w:val="79084022"/>
    <w:rsid w:val="790A7AFF"/>
    <w:rsid w:val="791B5747"/>
    <w:rsid w:val="792503A9"/>
    <w:rsid w:val="7940220D"/>
    <w:rsid w:val="79402FF8"/>
    <w:rsid w:val="794B5086"/>
    <w:rsid w:val="79540164"/>
    <w:rsid w:val="796078FD"/>
    <w:rsid w:val="79633519"/>
    <w:rsid w:val="79661283"/>
    <w:rsid w:val="796F2B0E"/>
    <w:rsid w:val="7972683A"/>
    <w:rsid w:val="797772E5"/>
    <w:rsid w:val="79784621"/>
    <w:rsid w:val="797865A4"/>
    <w:rsid w:val="79824A0A"/>
    <w:rsid w:val="79917B32"/>
    <w:rsid w:val="799D5789"/>
    <w:rsid w:val="799E1186"/>
    <w:rsid w:val="79A13A7E"/>
    <w:rsid w:val="79A23750"/>
    <w:rsid w:val="79AF68C4"/>
    <w:rsid w:val="79BD7110"/>
    <w:rsid w:val="79C3569D"/>
    <w:rsid w:val="79F24D51"/>
    <w:rsid w:val="79FA451A"/>
    <w:rsid w:val="7A091F53"/>
    <w:rsid w:val="7A0D1E9F"/>
    <w:rsid w:val="7A33381D"/>
    <w:rsid w:val="7A344CEB"/>
    <w:rsid w:val="7A3E6D34"/>
    <w:rsid w:val="7A4045F2"/>
    <w:rsid w:val="7A56115A"/>
    <w:rsid w:val="7A594555"/>
    <w:rsid w:val="7A5F1864"/>
    <w:rsid w:val="7A755287"/>
    <w:rsid w:val="7A7E1CF0"/>
    <w:rsid w:val="7A846198"/>
    <w:rsid w:val="7A871E9A"/>
    <w:rsid w:val="7A9D16A6"/>
    <w:rsid w:val="7AA612D3"/>
    <w:rsid w:val="7AA62ACE"/>
    <w:rsid w:val="7AAE7C6B"/>
    <w:rsid w:val="7AB35551"/>
    <w:rsid w:val="7AC028D0"/>
    <w:rsid w:val="7AF04866"/>
    <w:rsid w:val="7AF5034E"/>
    <w:rsid w:val="7AF909AF"/>
    <w:rsid w:val="7B000C4A"/>
    <w:rsid w:val="7B013056"/>
    <w:rsid w:val="7B211F94"/>
    <w:rsid w:val="7B2C5D8F"/>
    <w:rsid w:val="7B30790D"/>
    <w:rsid w:val="7B377F38"/>
    <w:rsid w:val="7B3E40AD"/>
    <w:rsid w:val="7B4713CC"/>
    <w:rsid w:val="7B493C20"/>
    <w:rsid w:val="7B4944AD"/>
    <w:rsid w:val="7B4B123C"/>
    <w:rsid w:val="7B4C3173"/>
    <w:rsid w:val="7B4F1679"/>
    <w:rsid w:val="7B5172BB"/>
    <w:rsid w:val="7B5B79F2"/>
    <w:rsid w:val="7B635C69"/>
    <w:rsid w:val="7B687CB2"/>
    <w:rsid w:val="7B6E45D9"/>
    <w:rsid w:val="7B823E28"/>
    <w:rsid w:val="7B862DD3"/>
    <w:rsid w:val="7B991EA7"/>
    <w:rsid w:val="7BB74C10"/>
    <w:rsid w:val="7BB8405E"/>
    <w:rsid w:val="7BC07C13"/>
    <w:rsid w:val="7BD37D07"/>
    <w:rsid w:val="7BDB65EF"/>
    <w:rsid w:val="7BE44C87"/>
    <w:rsid w:val="7BFB7778"/>
    <w:rsid w:val="7C014FF0"/>
    <w:rsid w:val="7C083FE5"/>
    <w:rsid w:val="7C103935"/>
    <w:rsid w:val="7C2051E5"/>
    <w:rsid w:val="7C246D7A"/>
    <w:rsid w:val="7C276B1E"/>
    <w:rsid w:val="7C347DD3"/>
    <w:rsid w:val="7C366BBD"/>
    <w:rsid w:val="7C437CD2"/>
    <w:rsid w:val="7C5E5AF2"/>
    <w:rsid w:val="7C66324D"/>
    <w:rsid w:val="7C6B0634"/>
    <w:rsid w:val="7C7619F7"/>
    <w:rsid w:val="7C7B2E38"/>
    <w:rsid w:val="7C9E3DA4"/>
    <w:rsid w:val="7C9E6829"/>
    <w:rsid w:val="7CB1526F"/>
    <w:rsid w:val="7CB91C08"/>
    <w:rsid w:val="7CC00DB2"/>
    <w:rsid w:val="7CC8705C"/>
    <w:rsid w:val="7CC91B82"/>
    <w:rsid w:val="7CDC7BD1"/>
    <w:rsid w:val="7CE44E75"/>
    <w:rsid w:val="7CE84058"/>
    <w:rsid w:val="7CEE7CC7"/>
    <w:rsid w:val="7CF9572F"/>
    <w:rsid w:val="7D005A11"/>
    <w:rsid w:val="7D136C6E"/>
    <w:rsid w:val="7D2D3E1B"/>
    <w:rsid w:val="7D3E334F"/>
    <w:rsid w:val="7D40718C"/>
    <w:rsid w:val="7D501893"/>
    <w:rsid w:val="7D58135B"/>
    <w:rsid w:val="7D5C5598"/>
    <w:rsid w:val="7D646DC8"/>
    <w:rsid w:val="7D6F688E"/>
    <w:rsid w:val="7D7C5AA1"/>
    <w:rsid w:val="7D834A42"/>
    <w:rsid w:val="7D98051D"/>
    <w:rsid w:val="7D9A1B84"/>
    <w:rsid w:val="7DAF2F2F"/>
    <w:rsid w:val="7DB11AFB"/>
    <w:rsid w:val="7DB71539"/>
    <w:rsid w:val="7DBA4F32"/>
    <w:rsid w:val="7DC33F2E"/>
    <w:rsid w:val="7DC42BFE"/>
    <w:rsid w:val="7DE064E6"/>
    <w:rsid w:val="7DE42764"/>
    <w:rsid w:val="7DEC1877"/>
    <w:rsid w:val="7DED37AC"/>
    <w:rsid w:val="7DF008E3"/>
    <w:rsid w:val="7DF326D4"/>
    <w:rsid w:val="7DF34E18"/>
    <w:rsid w:val="7DFB4A92"/>
    <w:rsid w:val="7E0C3E5F"/>
    <w:rsid w:val="7E2E60FE"/>
    <w:rsid w:val="7E385A1E"/>
    <w:rsid w:val="7E3D53BF"/>
    <w:rsid w:val="7E453AE4"/>
    <w:rsid w:val="7E484547"/>
    <w:rsid w:val="7E4D07CA"/>
    <w:rsid w:val="7E5C6077"/>
    <w:rsid w:val="7E695C41"/>
    <w:rsid w:val="7E743470"/>
    <w:rsid w:val="7E782E59"/>
    <w:rsid w:val="7E785AF8"/>
    <w:rsid w:val="7E7E0A22"/>
    <w:rsid w:val="7E944527"/>
    <w:rsid w:val="7E9C379C"/>
    <w:rsid w:val="7EA36D5A"/>
    <w:rsid w:val="7EAD44E0"/>
    <w:rsid w:val="7EC1489C"/>
    <w:rsid w:val="7EC44B06"/>
    <w:rsid w:val="7EDD311F"/>
    <w:rsid w:val="7EE551F2"/>
    <w:rsid w:val="7EEA3404"/>
    <w:rsid w:val="7EEF21FD"/>
    <w:rsid w:val="7EF217F0"/>
    <w:rsid w:val="7EF23595"/>
    <w:rsid w:val="7EF47C96"/>
    <w:rsid w:val="7F096BA9"/>
    <w:rsid w:val="7F0A6E16"/>
    <w:rsid w:val="7F12566A"/>
    <w:rsid w:val="7F1D50E3"/>
    <w:rsid w:val="7F2964B6"/>
    <w:rsid w:val="7F2C778B"/>
    <w:rsid w:val="7F406A30"/>
    <w:rsid w:val="7F4C1FAD"/>
    <w:rsid w:val="7F4C2FC6"/>
    <w:rsid w:val="7F4D3241"/>
    <w:rsid w:val="7F5D2ECE"/>
    <w:rsid w:val="7F605793"/>
    <w:rsid w:val="7F631601"/>
    <w:rsid w:val="7F661899"/>
    <w:rsid w:val="7F6D2592"/>
    <w:rsid w:val="7F7250F3"/>
    <w:rsid w:val="7F7A53E3"/>
    <w:rsid w:val="7F8A5473"/>
    <w:rsid w:val="7F991B8A"/>
    <w:rsid w:val="7FA60B69"/>
    <w:rsid w:val="7FA95970"/>
    <w:rsid w:val="7FAC5AE3"/>
    <w:rsid w:val="7FB61F25"/>
    <w:rsid w:val="7FBB76E6"/>
    <w:rsid w:val="7FBF016E"/>
    <w:rsid w:val="7FC60807"/>
    <w:rsid w:val="7FC970A9"/>
    <w:rsid w:val="7FE0606D"/>
    <w:rsid w:val="7FE22A6D"/>
    <w:rsid w:val="7FED3D73"/>
    <w:rsid w:val="7FF01F77"/>
    <w:rsid w:val="7FF27F21"/>
    <w:rsid w:val="7FF538E4"/>
    <w:rsid w:val="7FF576EE"/>
    <w:rsid w:val="7FFC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nhideWhenUsed="0" w:uiPriority="0" w:semiHidden="0"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51"/>
    <w:qFormat/>
    <w:uiPriority w:val="0"/>
    <w:pPr>
      <w:keepNext/>
      <w:keepLines/>
      <w:spacing w:before="60" w:after="60" w:line="413" w:lineRule="auto"/>
      <w:outlineLvl w:val="1"/>
    </w:pPr>
    <w:rPr>
      <w:rFonts w:ascii="Arial" w:hAnsi="Arial" w:eastAsia="黑体"/>
      <w:b/>
      <w:bCs/>
      <w:kern w:val="0"/>
      <w:sz w:val="20"/>
      <w:szCs w:val="32"/>
    </w:rPr>
  </w:style>
  <w:style w:type="paragraph" w:styleId="7">
    <w:name w:val="heading 3"/>
    <w:basedOn w:val="1"/>
    <w:next w:val="1"/>
    <w:link w:val="370"/>
    <w:qFormat/>
    <w:uiPriority w:val="0"/>
    <w:pPr>
      <w:keepNext/>
      <w:keepLines/>
      <w:spacing w:line="360" w:lineRule="auto"/>
      <w:outlineLvl w:val="2"/>
    </w:pPr>
    <w:rPr>
      <w:rFonts w:eastAsia="黑体"/>
      <w:b/>
      <w:bCs/>
      <w:kern w:val="0"/>
      <w:sz w:val="20"/>
      <w:szCs w:val="32"/>
    </w:rPr>
  </w:style>
  <w:style w:type="paragraph" w:styleId="8">
    <w:name w:val="heading 4"/>
    <w:basedOn w:val="1"/>
    <w:next w:val="1"/>
    <w:link w:val="317"/>
    <w:qFormat/>
    <w:uiPriority w:val="0"/>
    <w:pPr>
      <w:keepNext/>
      <w:keepLines/>
      <w:spacing w:line="360" w:lineRule="auto"/>
      <w:outlineLvl w:val="3"/>
    </w:pPr>
    <w:rPr>
      <w:rFonts w:ascii="Arial" w:hAnsi="Arial"/>
      <w:b/>
      <w:bCs/>
      <w:kern w:val="0"/>
      <w:sz w:val="20"/>
      <w:szCs w:val="28"/>
    </w:rPr>
  </w:style>
  <w:style w:type="paragraph" w:styleId="9">
    <w:name w:val="heading 5"/>
    <w:basedOn w:val="1"/>
    <w:next w:val="10"/>
    <w:link w:val="220"/>
    <w:qFormat/>
    <w:uiPriority w:val="0"/>
    <w:pPr>
      <w:keepNext/>
      <w:keepLines/>
      <w:numPr>
        <w:ilvl w:val="4"/>
        <w:numId w:val="1"/>
      </w:numPr>
      <w:spacing w:before="280" w:after="290" w:line="376" w:lineRule="auto"/>
      <w:outlineLvl w:val="4"/>
    </w:pPr>
    <w:rPr>
      <w:b/>
      <w:kern w:val="0"/>
      <w:sz w:val="28"/>
    </w:rPr>
  </w:style>
  <w:style w:type="paragraph" w:styleId="12">
    <w:name w:val="heading 6"/>
    <w:basedOn w:val="1"/>
    <w:next w:val="10"/>
    <w:link w:val="307"/>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13">
    <w:name w:val="heading 7"/>
    <w:basedOn w:val="1"/>
    <w:next w:val="10"/>
    <w:link w:val="282"/>
    <w:qFormat/>
    <w:uiPriority w:val="0"/>
    <w:pPr>
      <w:keepNext/>
      <w:keepLines/>
      <w:numPr>
        <w:ilvl w:val="6"/>
        <w:numId w:val="1"/>
      </w:numPr>
      <w:spacing w:before="240" w:after="64" w:line="320" w:lineRule="auto"/>
      <w:outlineLvl w:val="6"/>
    </w:pPr>
    <w:rPr>
      <w:b/>
      <w:kern w:val="0"/>
      <w:sz w:val="24"/>
    </w:rPr>
  </w:style>
  <w:style w:type="paragraph" w:styleId="14">
    <w:name w:val="heading 8"/>
    <w:basedOn w:val="1"/>
    <w:next w:val="10"/>
    <w:link w:val="350"/>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5">
    <w:name w:val="heading 9"/>
    <w:basedOn w:val="1"/>
    <w:next w:val="10"/>
    <w:link w:val="342"/>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60">
    <w:name w:val="Default Paragraph Font"/>
    <w:link w:val="61"/>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33"/>
    <w:qFormat/>
    <w:uiPriority w:val="0"/>
    <w:pPr>
      <w:spacing w:after="120"/>
      <w:ind w:left="420" w:leftChars="200" w:firstLine="420" w:firstLineChars="200"/>
    </w:pPr>
    <w:rPr>
      <w:kern w:val="0"/>
      <w:sz w:val="32"/>
    </w:rPr>
  </w:style>
  <w:style w:type="paragraph" w:styleId="3">
    <w:name w:val="Body Text Indent"/>
    <w:basedOn w:val="1"/>
    <w:next w:val="4"/>
    <w:link w:val="366"/>
    <w:qFormat/>
    <w:uiPriority w:val="0"/>
    <w:pPr>
      <w:ind w:firstLine="830" w:firstLineChars="352"/>
    </w:pPr>
    <w:rPr>
      <w:rFonts w:ascii="仿宋_GB2312" w:eastAsia="仿宋_GB2312"/>
      <w:kern w:val="0"/>
      <w:sz w:val="32"/>
      <w:szCs w:val="20"/>
    </w:rPr>
  </w:style>
  <w:style w:type="paragraph" w:styleId="4">
    <w:name w:val="envelope return"/>
    <w:basedOn w:val="1"/>
    <w:unhideWhenUsed/>
    <w:qFormat/>
    <w:uiPriority w:val="99"/>
    <w:pPr>
      <w:snapToGrid w:val="0"/>
    </w:pPr>
    <w:rPr>
      <w:rFonts w:ascii="Arial" w:hAnsi="Arial"/>
    </w:rPr>
  </w:style>
  <w:style w:type="paragraph" w:styleId="10">
    <w:name w:val="Normal Indent"/>
    <w:basedOn w:val="1"/>
    <w:next w:val="11"/>
    <w:link w:val="380"/>
    <w:qFormat/>
    <w:uiPriority w:val="0"/>
    <w:pPr>
      <w:ind w:firstLine="420"/>
    </w:pPr>
    <w:rPr>
      <w:kern w:val="0"/>
      <w:sz w:val="20"/>
      <w:szCs w:val="20"/>
    </w:rPr>
  </w:style>
  <w:style w:type="paragraph" w:styleId="11">
    <w:name w:val="header"/>
    <w:basedOn w:val="1"/>
    <w:link w:val="324"/>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List 3"/>
    <w:basedOn w:val="1"/>
    <w:qFormat/>
    <w:uiPriority w:val="0"/>
    <w:pPr>
      <w:ind w:left="100" w:leftChars="400" w:hanging="200" w:hangingChars="200"/>
    </w:pPr>
  </w:style>
  <w:style w:type="paragraph" w:styleId="17">
    <w:name w:val="toc 7"/>
    <w:basedOn w:val="1"/>
    <w:next w:val="1"/>
    <w:qFormat/>
    <w:uiPriority w:val="39"/>
    <w:pPr>
      <w:ind w:left="2520" w:leftChars="1200"/>
    </w:pPr>
    <w:rPr>
      <w:rFonts w:ascii="Calibri" w:hAnsi="Calibri"/>
      <w:szCs w:val="22"/>
    </w:rPr>
  </w:style>
  <w:style w:type="paragraph" w:styleId="1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Document Map"/>
    <w:basedOn w:val="1"/>
    <w:link w:val="289"/>
    <w:semiHidden/>
    <w:qFormat/>
    <w:uiPriority w:val="0"/>
    <w:pPr>
      <w:shd w:val="clear" w:color="auto" w:fill="000080"/>
    </w:pPr>
    <w:rPr>
      <w:kern w:val="0"/>
      <w:sz w:val="20"/>
    </w:rPr>
  </w:style>
  <w:style w:type="paragraph" w:styleId="21">
    <w:name w:val="annotation text"/>
    <w:basedOn w:val="1"/>
    <w:link w:val="241"/>
    <w:unhideWhenUsed/>
    <w:qFormat/>
    <w:uiPriority w:val="0"/>
    <w:pPr>
      <w:jc w:val="left"/>
    </w:pPr>
    <w:rPr>
      <w:kern w:val="0"/>
      <w:sz w:val="20"/>
    </w:rPr>
  </w:style>
  <w:style w:type="paragraph" w:styleId="22">
    <w:name w:val="Salutation"/>
    <w:basedOn w:val="1"/>
    <w:next w:val="1"/>
    <w:link w:val="301"/>
    <w:qFormat/>
    <w:uiPriority w:val="0"/>
    <w:rPr>
      <w:kern w:val="0"/>
      <w:sz w:val="28"/>
    </w:rPr>
  </w:style>
  <w:style w:type="paragraph" w:styleId="23">
    <w:name w:val="Body Text 3"/>
    <w:basedOn w:val="1"/>
    <w:link w:val="292"/>
    <w:qFormat/>
    <w:uiPriority w:val="0"/>
    <w:pPr>
      <w:spacing w:line="500" w:lineRule="exact"/>
    </w:pPr>
    <w:rPr>
      <w:b/>
      <w:bCs/>
      <w:kern w:val="0"/>
      <w:sz w:val="24"/>
    </w:rPr>
  </w:style>
  <w:style w:type="paragraph" w:styleId="24">
    <w:name w:val="Body Text"/>
    <w:basedOn w:val="1"/>
    <w:link w:val="281"/>
    <w:qFormat/>
    <w:uiPriority w:val="0"/>
    <w:pPr>
      <w:spacing w:line="380" w:lineRule="exact"/>
    </w:pPr>
    <w:rPr>
      <w:kern w:val="0"/>
      <w:sz w:val="24"/>
    </w:rPr>
  </w:style>
  <w:style w:type="paragraph" w:styleId="25">
    <w:name w:val="List Number 3"/>
    <w:basedOn w:val="1"/>
    <w:qFormat/>
    <w:uiPriority w:val="0"/>
    <w:pPr>
      <w:tabs>
        <w:tab w:val="left" w:pos="1200"/>
      </w:tabs>
      <w:ind w:left="1200" w:leftChars="400" w:hanging="360" w:hangingChars="200"/>
    </w:pPr>
  </w:style>
  <w:style w:type="paragraph" w:styleId="26">
    <w:name w:val="List 2"/>
    <w:basedOn w:val="1"/>
    <w:qFormat/>
    <w:uiPriority w:val="0"/>
    <w:pPr>
      <w:ind w:left="100" w:leftChars="200" w:hanging="200" w:hangingChars="200"/>
    </w:pPr>
    <w:rPr>
      <w:sz w:val="28"/>
    </w:rPr>
  </w:style>
  <w:style w:type="paragraph" w:styleId="27">
    <w:name w:val="Block Text"/>
    <w:basedOn w:val="1"/>
    <w:qFormat/>
    <w:uiPriority w:val="0"/>
    <w:pPr>
      <w:adjustRightInd w:val="0"/>
      <w:ind w:left="420" w:right="33"/>
      <w:jc w:val="left"/>
      <w:textAlignment w:val="baseline"/>
    </w:pPr>
    <w:rPr>
      <w:kern w:val="0"/>
      <w:sz w:val="24"/>
      <w:szCs w:val="20"/>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1680" w:leftChars="800"/>
    </w:pPr>
    <w:rPr>
      <w:rFonts w:ascii="Calibri" w:hAnsi="Calibri"/>
      <w:szCs w:val="22"/>
    </w:rPr>
  </w:style>
  <w:style w:type="paragraph" w:styleId="30">
    <w:name w:val="toc 3"/>
    <w:basedOn w:val="1"/>
    <w:next w:val="1"/>
    <w:qFormat/>
    <w:uiPriority w:val="39"/>
    <w:pPr>
      <w:ind w:left="840" w:leftChars="400"/>
    </w:pPr>
  </w:style>
  <w:style w:type="paragraph" w:styleId="31">
    <w:name w:val="Plain Text"/>
    <w:basedOn w:val="1"/>
    <w:next w:val="1"/>
    <w:link w:val="323"/>
    <w:qFormat/>
    <w:uiPriority w:val="0"/>
    <w:rPr>
      <w:rFonts w:ascii="宋体" w:hAnsi="Courier New"/>
      <w:kern w:val="0"/>
      <w:sz w:val="20"/>
      <w:szCs w:val="21"/>
    </w:rPr>
  </w:style>
  <w:style w:type="paragraph" w:styleId="32">
    <w:name w:val="toc 8"/>
    <w:basedOn w:val="1"/>
    <w:next w:val="1"/>
    <w:qFormat/>
    <w:uiPriority w:val="39"/>
    <w:pPr>
      <w:ind w:left="2940" w:leftChars="1400"/>
    </w:pPr>
    <w:rPr>
      <w:rFonts w:ascii="Calibri" w:hAnsi="Calibri"/>
      <w:szCs w:val="22"/>
    </w:rPr>
  </w:style>
  <w:style w:type="paragraph" w:styleId="33">
    <w:name w:val="Date"/>
    <w:basedOn w:val="1"/>
    <w:next w:val="1"/>
    <w:link w:val="288"/>
    <w:qFormat/>
    <w:uiPriority w:val="0"/>
    <w:pPr>
      <w:ind w:left="100" w:leftChars="2500"/>
    </w:pPr>
    <w:rPr>
      <w:rFonts w:ascii="宋体" w:hAnsi="Courier New"/>
      <w:kern w:val="0"/>
      <w:sz w:val="20"/>
      <w:szCs w:val="21"/>
    </w:rPr>
  </w:style>
  <w:style w:type="paragraph" w:styleId="34">
    <w:name w:val="Body Text Indent 2"/>
    <w:basedOn w:val="1"/>
    <w:link w:val="313"/>
    <w:qFormat/>
    <w:uiPriority w:val="0"/>
    <w:pPr>
      <w:ind w:firstLine="630"/>
    </w:pPr>
    <w:rPr>
      <w:kern w:val="0"/>
      <w:sz w:val="32"/>
      <w:szCs w:val="20"/>
    </w:rPr>
  </w:style>
  <w:style w:type="paragraph" w:styleId="35">
    <w:name w:val="endnote text"/>
    <w:basedOn w:val="1"/>
    <w:link w:val="300"/>
    <w:unhideWhenUsed/>
    <w:qFormat/>
    <w:uiPriority w:val="0"/>
    <w:pPr>
      <w:snapToGrid w:val="0"/>
      <w:jc w:val="left"/>
    </w:pPr>
    <w:rPr>
      <w:rFonts w:ascii="Calibri" w:hAnsi="Calibri"/>
      <w:kern w:val="0"/>
      <w:sz w:val="20"/>
      <w:szCs w:val="20"/>
    </w:rPr>
  </w:style>
  <w:style w:type="paragraph" w:styleId="36">
    <w:name w:val="Balloon Text"/>
    <w:basedOn w:val="1"/>
    <w:link w:val="315"/>
    <w:semiHidden/>
    <w:qFormat/>
    <w:uiPriority w:val="0"/>
    <w:rPr>
      <w:kern w:val="0"/>
      <w:sz w:val="18"/>
      <w:szCs w:val="18"/>
    </w:rPr>
  </w:style>
  <w:style w:type="paragraph" w:styleId="37">
    <w:name w:val="footer"/>
    <w:basedOn w:val="1"/>
    <w:link w:val="316"/>
    <w:qFormat/>
    <w:uiPriority w:val="99"/>
    <w:pPr>
      <w:tabs>
        <w:tab w:val="center" w:pos="4153"/>
        <w:tab w:val="right" w:pos="8306"/>
      </w:tabs>
      <w:snapToGrid w:val="0"/>
      <w:jc w:val="left"/>
    </w:pPr>
    <w:rPr>
      <w:kern w:val="0"/>
      <w:sz w:val="18"/>
      <w:szCs w:val="18"/>
    </w:rPr>
  </w:style>
  <w:style w:type="paragraph" w:styleId="38">
    <w:name w:val="toc 1"/>
    <w:basedOn w:val="1"/>
    <w:next w:val="1"/>
    <w:qFormat/>
    <w:uiPriority w:val="39"/>
    <w:pPr>
      <w:tabs>
        <w:tab w:val="right" w:leader="dot" w:pos="9360"/>
      </w:tabs>
      <w:spacing w:line="600" w:lineRule="exact"/>
    </w:pPr>
    <w:rPr>
      <w:rFonts w:ascii="宋体" w:hAnsi="宋体"/>
      <w:b/>
      <w:szCs w:val="21"/>
    </w:rPr>
  </w:style>
  <w:style w:type="paragraph" w:styleId="39">
    <w:name w:val="toc 4"/>
    <w:basedOn w:val="1"/>
    <w:next w:val="1"/>
    <w:qFormat/>
    <w:uiPriority w:val="39"/>
    <w:pPr>
      <w:ind w:left="1260" w:leftChars="600"/>
    </w:pPr>
    <w:rPr>
      <w:rFonts w:ascii="Calibri" w:hAnsi="Calibri"/>
      <w:szCs w:val="22"/>
    </w:rPr>
  </w:style>
  <w:style w:type="paragraph" w:styleId="40">
    <w:name w:val="Subtitle"/>
    <w:basedOn w:val="1"/>
    <w:next w:val="1"/>
    <w:link w:val="274"/>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ind w:left="200" w:hanging="200" w:hangingChars="200"/>
    </w:pPr>
    <w:rPr>
      <w:sz w:val="28"/>
    </w:rPr>
  </w:style>
  <w:style w:type="paragraph" w:styleId="42">
    <w:name w:val="footnote text"/>
    <w:basedOn w:val="1"/>
    <w:link w:val="299"/>
    <w:qFormat/>
    <w:uiPriority w:val="0"/>
    <w:pPr>
      <w:adjustRightInd w:val="0"/>
      <w:spacing w:line="312" w:lineRule="atLeast"/>
      <w:jc w:val="left"/>
      <w:textAlignment w:val="baseline"/>
    </w:pPr>
    <w:rPr>
      <w:kern w:val="0"/>
      <w:sz w:val="18"/>
      <w:szCs w:val="20"/>
    </w:rPr>
  </w:style>
  <w:style w:type="paragraph" w:styleId="43">
    <w:name w:val="toc 6"/>
    <w:basedOn w:val="1"/>
    <w:next w:val="1"/>
    <w:qFormat/>
    <w:uiPriority w:val="39"/>
    <w:pPr>
      <w:ind w:left="2100" w:leftChars="1000"/>
    </w:pPr>
    <w:rPr>
      <w:rFonts w:ascii="Calibri" w:hAnsi="Calibri"/>
      <w:szCs w:val="22"/>
    </w:rPr>
  </w:style>
  <w:style w:type="paragraph" w:styleId="44">
    <w:name w:val="List 5"/>
    <w:basedOn w:val="1"/>
    <w:qFormat/>
    <w:uiPriority w:val="0"/>
    <w:pPr>
      <w:ind w:left="2100" w:hanging="420"/>
    </w:pPr>
    <w:rPr>
      <w:szCs w:val="20"/>
    </w:rPr>
  </w:style>
  <w:style w:type="paragraph" w:styleId="45">
    <w:name w:val="Body Text Indent 3"/>
    <w:basedOn w:val="1"/>
    <w:link w:val="223"/>
    <w:qFormat/>
    <w:uiPriority w:val="0"/>
    <w:pPr>
      <w:spacing w:after="120"/>
      <w:ind w:left="420" w:leftChars="200"/>
    </w:pPr>
    <w:rPr>
      <w:kern w:val="0"/>
      <w:sz w:val="16"/>
      <w:szCs w:val="16"/>
    </w:rPr>
  </w:style>
  <w:style w:type="paragraph" w:styleId="46">
    <w:name w:val="table of figures"/>
    <w:basedOn w:val="1"/>
    <w:next w:val="1"/>
    <w:semiHidden/>
    <w:qFormat/>
    <w:uiPriority w:val="0"/>
    <w:pPr>
      <w:ind w:left="420" w:hanging="420"/>
      <w:jc w:val="left"/>
    </w:pPr>
    <w:rPr>
      <w:smallCaps/>
      <w:sz w:val="20"/>
      <w:szCs w:val="20"/>
    </w:rPr>
  </w:style>
  <w:style w:type="paragraph" w:styleId="47">
    <w:name w:val="toc 2"/>
    <w:basedOn w:val="1"/>
    <w:next w:val="1"/>
    <w:qFormat/>
    <w:uiPriority w:val="39"/>
    <w:pPr>
      <w:tabs>
        <w:tab w:val="right" w:leader="dot" w:pos="9360"/>
      </w:tabs>
      <w:ind w:left="420" w:leftChars="200"/>
    </w:pPr>
  </w:style>
  <w:style w:type="paragraph" w:styleId="48">
    <w:name w:val="toc 9"/>
    <w:basedOn w:val="1"/>
    <w:next w:val="1"/>
    <w:qFormat/>
    <w:uiPriority w:val="39"/>
    <w:pPr>
      <w:ind w:left="3360" w:leftChars="1600"/>
    </w:pPr>
    <w:rPr>
      <w:rFonts w:ascii="Calibri" w:hAnsi="Calibri"/>
      <w:szCs w:val="22"/>
    </w:rPr>
  </w:style>
  <w:style w:type="paragraph" w:styleId="49">
    <w:name w:val="Body Text 2"/>
    <w:basedOn w:val="1"/>
    <w:link w:val="334"/>
    <w:qFormat/>
    <w:uiPriority w:val="0"/>
    <w:pPr>
      <w:spacing w:after="120" w:line="480" w:lineRule="auto"/>
    </w:pPr>
    <w:rPr>
      <w:kern w:val="0"/>
      <w:sz w:val="20"/>
    </w:rPr>
  </w:style>
  <w:style w:type="paragraph" w:styleId="50">
    <w:name w:val="List 4"/>
    <w:basedOn w:val="1"/>
    <w:qFormat/>
    <w:uiPriority w:val="0"/>
    <w:pPr>
      <w:ind w:left="100" w:leftChars="600" w:hanging="200" w:hangingChars="200"/>
    </w:pPr>
  </w:style>
  <w:style w:type="paragraph" w:styleId="51">
    <w:name w:val="List Continue 2"/>
    <w:basedOn w:val="1"/>
    <w:qFormat/>
    <w:uiPriority w:val="0"/>
    <w:pPr>
      <w:spacing w:after="120"/>
      <w:ind w:left="840" w:leftChars="400"/>
    </w:pPr>
  </w:style>
  <w:style w:type="paragraph" w:styleId="52">
    <w:name w:val="HTML Preformatted"/>
    <w:basedOn w:val="1"/>
    <w:link w:val="2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index 1"/>
    <w:basedOn w:val="1"/>
    <w:next w:val="1"/>
    <w:semiHidden/>
    <w:qFormat/>
    <w:uiPriority w:val="0"/>
    <w:pPr>
      <w:spacing w:line="400" w:lineRule="exact"/>
      <w:ind w:firstLine="420" w:firstLineChars="200"/>
    </w:pPr>
    <w:rPr>
      <w:rFonts w:ascii="宋体" w:hAnsi="Courier New"/>
      <w:b/>
      <w:szCs w:val="20"/>
    </w:rPr>
  </w:style>
  <w:style w:type="paragraph" w:styleId="55">
    <w:name w:val="Title"/>
    <w:basedOn w:val="1"/>
    <w:next w:val="1"/>
    <w:link w:val="302"/>
    <w:qFormat/>
    <w:uiPriority w:val="0"/>
    <w:pPr>
      <w:spacing w:before="240" w:after="60"/>
      <w:jc w:val="center"/>
      <w:outlineLvl w:val="0"/>
    </w:pPr>
    <w:rPr>
      <w:rFonts w:ascii="Cambria" w:hAnsi="Cambria"/>
      <w:b/>
      <w:bCs/>
      <w:kern w:val="0"/>
      <w:sz w:val="32"/>
      <w:szCs w:val="32"/>
    </w:rPr>
  </w:style>
  <w:style w:type="paragraph" w:styleId="56">
    <w:name w:val="annotation subject"/>
    <w:basedOn w:val="21"/>
    <w:next w:val="21"/>
    <w:link w:val="232"/>
    <w:qFormat/>
    <w:uiPriority w:val="0"/>
    <w:rPr>
      <w:b/>
      <w:bCs/>
    </w:rPr>
  </w:style>
  <w:style w:type="paragraph" w:styleId="57">
    <w:name w:val="Body Text First Indent"/>
    <w:basedOn w:val="24"/>
    <w:link w:val="304"/>
    <w:qFormat/>
    <w:uiPriority w:val="0"/>
    <w:pPr>
      <w:spacing w:after="120" w:line="240" w:lineRule="auto"/>
      <w:ind w:firstLine="420" w:firstLineChars="100"/>
    </w:pPr>
    <w:rPr>
      <w:sz w:val="21"/>
    </w:rPr>
  </w:style>
  <w:style w:type="table" w:styleId="59">
    <w:name w:val="Table Grid"/>
    <w:basedOn w:val="5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1">
    <w:name w:val="_Style 14"/>
    <w:basedOn w:val="1"/>
    <w:link w:val="60"/>
    <w:qFormat/>
    <w:uiPriority w:val="0"/>
  </w:style>
  <w:style w:type="character" w:styleId="62">
    <w:name w:val="Strong"/>
    <w:qFormat/>
    <w:uiPriority w:val="0"/>
    <w:rPr>
      <w:b/>
      <w:bCs/>
    </w:rPr>
  </w:style>
  <w:style w:type="character" w:styleId="63">
    <w:name w:val="page number"/>
    <w:basedOn w:val="60"/>
    <w:qFormat/>
    <w:uiPriority w:val="0"/>
  </w:style>
  <w:style w:type="character" w:styleId="64">
    <w:name w:val="FollowedHyperlink"/>
    <w:qFormat/>
    <w:uiPriority w:val="0"/>
    <w:rPr>
      <w:color w:val="800080"/>
      <w:u w:val="none"/>
    </w:rPr>
  </w:style>
  <w:style w:type="character" w:styleId="65">
    <w:name w:val="Emphasis"/>
    <w:qFormat/>
    <w:uiPriority w:val="20"/>
    <w:rPr>
      <w:i/>
      <w:iCs/>
    </w:rPr>
  </w:style>
  <w:style w:type="character" w:styleId="66">
    <w:name w:val="HTML Definition"/>
    <w:basedOn w:val="60"/>
    <w:semiHidden/>
    <w:unhideWhenUsed/>
    <w:qFormat/>
    <w:uiPriority w:val="99"/>
  </w:style>
  <w:style w:type="character" w:styleId="67">
    <w:name w:val="HTML Typewriter"/>
    <w:basedOn w:val="60"/>
    <w:semiHidden/>
    <w:unhideWhenUsed/>
    <w:qFormat/>
    <w:uiPriority w:val="99"/>
    <w:rPr>
      <w:rFonts w:ascii="monospace" w:hAnsi="monospace" w:eastAsia="monospace" w:cs="monospace"/>
      <w:sz w:val="20"/>
    </w:rPr>
  </w:style>
  <w:style w:type="character" w:styleId="68">
    <w:name w:val="HTML Acronym"/>
    <w:basedOn w:val="60"/>
    <w:semiHidden/>
    <w:unhideWhenUsed/>
    <w:qFormat/>
    <w:uiPriority w:val="99"/>
  </w:style>
  <w:style w:type="character" w:styleId="69">
    <w:name w:val="HTML Variable"/>
    <w:basedOn w:val="60"/>
    <w:semiHidden/>
    <w:unhideWhenUsed/>
    <w:qFormat/>
    <w:uiPriority w:val="99"/>
  </w:style>
  <w:style w:type="character" w:styleId="70">
    <w:name w:val="Hyperlink"/>
    <w:qFormat/>
    <w:uiPriority w:val="99"/>
    <w:rPr>
      <w:color w:val="0000FF"/>
      <w:u w:val="none"/>
    </w:rPr>
  </w:style>
  <w:style w:type="character" w:styleId="71">
    <w:name w:val="HTML Code"/>
    <w:qFormat/>
    <w:uiPriority w:val="0"/>
    <w:rPr>
      <w:rFonts w:ascii="宋体" w:hAnsi="宋体" w:eastAsia="宋体" w:cs="宋体"/>
      <w:sz w:val="24"/>
      <w:szCs w:val="24"/>
    </w:rPr>
  </w:style>
  <w:style w:type="character" w:styleId="72">
    <w:name w:val="annotation reference"/>
    <w:qFormat/>
    <w:uiPriority w:val="0"/>
    <w:rPr>
      <w:sz w:val="21"/>
      <w:szCs w:val="21"/>
    </w:rPr>
  </w:style>
  <w:style w:type="character" w:styleId="73">
    <w:name w:val="HTML Cite"/>
    <w:basedOn w:val="60"/>
    <w:semiHidden/>
    <w:unhideWhenUsed/>
    <w:qFormat/>
    <w:uiPriority w:val="99"/>
  </w:style>
  <w:style w:type="character" w:styleId="74">
    <w:name w:val="HTML Keyboard"/>
    <w:basedOn w:val="60"/>
    <w:semiHidden/>
    <w:unhideWhenUsed/>
    <w:qFormat/>
    <w:uiPriority w:val="99"/>
    <w:rPr>
      <w:rFonts w:hint="default" w:ascii="monospace" w:hAnsi="monospace" w:eastAsia="monospace" w:cs="monospace"/>
      <w:sz w:val="20"/>
    </w:rPr>
  </w:style>
  <w:style w:type="character" w:styleId="75">
    <w:name w:val="HTML Sample"/>
    <w:basedOn w:val="60"/>
    <w:semiHidden/>
    <w:unhideWhenUsed/>
    <w:qFormat/>
    <w:uiPriority w:val="99"/>
    <w:rPr>
      <w:rFonts w:hint="default" w:ascii="monospace" w:hAnsi="monospace" w:eastAsia="monospace" w:cs="monospace"/>
    </w:rPr>
  </w:style>
  <w:style w:type="paragraph" w:customStyle="1" w:styleId="76">
    <w:name w:val="2-2ji"/>
    <w:basedOn w:val="6"/>
    <w:qFormat/>
    <w:uiPriority w:val="0"/>
    <w:pPr>
      <w:spacing w:before="0" w:after="0" w:line="360" w:lineRule="auto"/>
      <w:jc w:val="center"/>
    </w:pPr>
    <w:rPr>
      <w:rFonts w:ascii="宋体" w:hAnsi="宋体" w:eastAsia="宋体"/>
      <w:sz w:val="36"/>
      <w:szCs w:val="24"/>
    </w:rPr>
  </w:style>
  <w:style w:type="paragraph" w:customStyle="1" w:styleId="77">
    <w:name w:val="纯文本1"/>
    <w:basedOn w:val="1"/>
    <w:link w:val="270"/>
    <w:qFormat/>
    <w:uiPriority w:val="0"/>
    <w:rPr>
      <w:rFonts w:ascii="宋体" w:hAnsi="Courier New"/>
      <w:kern w:val="0"/>
      <w:sz w:val="24"/>
      <w:szCs w:val="20"/>
    </w:rPr>
  </w:style>
  <w:style w:type="paragraph" w:customStyle="1" w:styleId="7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79">
    <w:name w:val="菲页2"/>
    <w:basedOn w:val="7"/>
    <w:qFormat/>
    <w:uiPriority w:val="0"/>
    <w:pPr>
      <w:widowControl/>
      <w:tabs>
        <w:tab w:val="left" w:pos="1800"/>
      </w:tabs>
      <w:spacing w:before="120" w:after="120"/>
      <w:ind w:left="1800" w:hanging="420"/>
      <w:jc w:val="center"/>
    </w:pPr>
    <w:rPr>
      <w:rFonts w:ascii="黑体" w:hAnsi="宋体"/>
      <w:b w:val="0"/>
      <w:bCs w:val="0"/>
      <w:sz w:val="44"/>
      <w:szCs w:val="20"/>
    </w:rPr>
  </w:style>
  <w:style w:type="paragraph" w:customStyle="1" w:styleId="8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8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2">
    <w:name w:val="_Style 37"/>
    <w:basedOn w:val="1"/>
    <w:next w:val="1"/>
    <w:qFormat/>
    <w:uiPriority w:val="0"/>
  </w:style>
  <w:style w:type="paragraph" w:customStyle="1" w:styleId="83">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1"/>
    <w:basedOn w:val="1"/>
    <w:next w:val="31"/>
    <w:qFormat/>
    <w:uiPriority w:val="0"/>
    <w:rPr>
      <w:rFonts w:ascii="宋体" w:hAnsi="Courier New"/>
      <w:szCs w:val="20"/>
    </w:rPr>
  </w:style>
  <w:style w:type="paragraph" w:customStyle="1" w:styleId="85">
    <w:name w:val="Char"/>
    <w:basedOn w:val="20"/>
    <w:qFormat/>
    <w:uiPriority w:val="0"/>
    <w:pPr>
      <w:widowControl/>
      <w:ind w:firstLine="454"/>
      <w:jc w:val="left"/>
    </w:pPr>
    <w:rPr>
      <w:rFonts w:ascii="Tahoma" w:hAnsi="Tahoma" w:cs="宋体"/>
      <w:sz w:val="24"/>
      <w:szCs w:val="20"/>
    </w:rPr>
  </w:style>
  <w:style w:type="paragraph" w:customStyle="1" w:styleId="86">
    <w:name w:val="Char1 Char Char Char Char Char Char"/>
    <w:basedOn w:val="1"/>
    <w:qFormat/>
    <w:uiPriority w:val="0"/>
    <w:rPr>
      <w:rFonts w:ascii="Tahoma" w:hAnsi="Tahoma"/>
      <w:sz w:val="24"/>
      <w:szCs w:val="20"/>
    </w:rPr>
  </w:style>
  <w:style w:type="paragraph" w:customStyle="1" w:styleId="87">
    <w:name w:val="Char Char Char Char Char Char Char Char Char Char Char Char Char"/>
    <w:basedOn w:val="20"/>
    <w:qFormat/>
    <w:uiPriority w:val="0"/>
    <w:rPr>
      <w:rFonts w:ascii="Tahoma" w:hAnsi="Tahoma"/>
      <w:sz w:val="24"/>
    </w:rPr>
  </w:style>
  <w:style w:type="paragraph" w:customStyle="1" w:styleId="88">
    <w:name w:val="Char Char Char Char Char Char Char1"/>
    <w:basedOn w:val="1"/>
    <w:qFormat/>
    <w:uiPriority w:val="0"/>
  </w:style>
  <w:style w:type="paragraph" w:customStyle="1" w:styleId="8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0">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91">
    <w:name w:val="tgt1"/>
    <w:basedOn w:val="1"/>
    <w:qFormat/>
    <w:uiPriority w:val="0"/>
    <w:pPr>
      <w:widowControl/>
      <w:spacing w:after="150"/>
      <w:jc w:val="left"/>
    </w:pPr>
    <w:rPr>
      <w:rFonts w:ascii="宋体" w:hAnsi="宋体" w:cs="宋体"/>
      <w:kern w:val="0"/>
      <w:sz w:val="24"/>
    </w:rPr>
  </w:style>
  <w:style w:type="paragraph" w:customStyle="1" w:styleId="92">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93">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p0"/>
    <w:basedOn w:val="1"/>
    <w:qFormat/>
    <w:uiPriority w:val="0"/>
    <w:pPr>
      <w:widowControl/>
    </w:pPr>
    <w:rPr>
      <w:rFonts w:ascii="Calibri" w:hAnsi="Calibri" w:cs="宋体"/>
      <w:kern w:val="0"/>
      <w:szCs w:val="21"/>
    </w:rPr>
  </w:style>
  <w:style w:type="paragraph" w:customStyle="1" w:styleId="96">
    <w:name w:val="正文文本缩进 Char Char Char Char"/>
    <w:basedOn w:val="1"/>
    <w:qFormat/>
    <w:uiPriority w:val="0"/>
    <w:pPr>
      <w:ind w:firstLine="540"/>
    </w:pPr>
    <w:rPr>
      <w:rFonts w:hint="eastAsia" w:ascii="宋体" w:hAnsi="Courier New"/>
      <w:szCs w:val="20"/>
    </w:rPr>
  </w:style>
  <w:style w:type="paragraph" w:customStyle="1" w:styleId="97">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98">
    <w:name w:val="样式 正文文字 + 小四 段后: 0 磅 行距: 1.5 倍行距"/>
    <w:basedOn w:val="24"/>
    <w:qFormat/>
    <w:uiPriority w:val="0"/>
    <w:pPr>
      <w:spacing w:line="360" w:lineRule="auto"/>
      <w:ind w:firstLine="480" w:firstLineChars="200"/>
    </w:pPr>
    <w:rPr>
      <w:rFonts w:cs="宋体"/>
      <w:szCs w:val="20"/>
    </w:rPr>
  </w:style>
  <w:style w:type="paragraph" w:customStyle="1" w:styleId="9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0">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1">
    <w:name w:val="样式 标题 2 + (西文) 宋体 非加粗 居中"/>
    <w:basedOn w:val="6"/>
    <w:qFormat/>
    <w:uiPriority w:val="0"/>
    <w:pPr>
      <w:spacing w:before="260" w:after="260" w:line="416" w:lineRule="auto"/>
      <w:jc w:val="center"/>
    </w:pPr>
    <w:rPr>
      <w:rFonts w:ascii="宋体" w:hAnsi="宋体" w:cs="宋体"/>
      <w:b w:val="0"/>
      <w:bCs w:val="0"/>
      <w:spacing w:val="2"/>
      <w:sz w:val="28"/>
      <w:szCs w:val="20"/>
    </w:rPr>
  </w:style>
  <w:style w:type="paragraph" w:customStyle="1" w:styleId="10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03">
    <w:name w:val="Char Char1 Char Char Char Char1"/>
    <w:basedOn w:val="20"/>
    <w:qFormat/>
    <w:uiPriority w:val="0"/>
    <w:rPr>
      <w:rFonts w:ascii="Tahoma" w:hAnsi="Tahoma"/>
      <w:sz w:val="24"/>
    </w:rPr>
  </w:style>
  <w:style w:type="paragraph" w:customStyle="1" w:styleId="10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106">
    <w:name w:val="F2"/>
    <w:basedOn w:val="1"/>
    <w:qFormat/>
    <w:uiPriority w:val="0"/>
    <w:pPr>
      <w:autoSpaceDE w:val="0"/>
      <w:autoSpaceDN w:val="0"/>
      <w:adjustRightInd w:val="0"/>
      <w:ind w:firstLine="601"/>
      <w:textAlignment w:val="baseline"/>
    </w:pPr>
    <w:rPr>
      <w:kern w:val="0"/>
      <w:sz w:val="24"/>
      <w:szCs w:val="20"/>
    </w:rPr>
  </w:style>
  <w:style w:type="paragraph" w:customStyle="1" w:styleId="1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8">
    <w:name w:val="五号正文（标准）"/>
    <w:basedOn w:val="1"/>
    <w:qFormat/>
    <w:uiPriority w:val="0"/>
    <w:pPr>
      <w:spacing w:line="360" w:lineRule="auto"/>
      <w:ind w:right="55" w:firstLine="560" w:firstLineChars="200"/>
    </w:pPr>
    <w:rPr>
      <w:rFonts w:eastAsia="仿宋_GB2312"/>
      <w:sz w:val="28"/>
      <w:szCs w:val="20"/>
    </w:rPr>
  </w:style>
  <w:style w:type="paragraph" w:customStyle="1" w:styleId="109">
    <w:name w:val="p16"/>
    <w:basedOn w:val="1"/>
    <w:qFormat/>
    <w:uiPriority w:val="0"/>
    <w:pPr>
      <w:widowControl/>
    </w:pPr>
    <w:rPr>
      <w:rFonts w:ascii="宋体" w:hAnsi="宋体" w:cs="宋体"/>
      <w:kern w:val="0"/>
      <w:szCs w:val="21"/>
    </w:rPr>
  </w:style>
  <w:style w:type="paragraph" w:customStyle="1" w:styleId="110">
    <w:name w:val="Char Char4 Char Char Char Char"/>
    <w:basedOn w:val="1"/>
    <w:qFormat/>
    <w:uiPriority w:val="0"/>
    <w:pPr>
      <w:widowControl/>
      <w:spacing w:after="160" w:line="240" w:lineRule="exact"/>
      <w:jc w:val="left"/>
    </w:pPr>
  </w:style>
  <w:style w:type="paragraph" w:customStyle="1" w:styleId="111">
    <w:name w:val="p15"/>
    <w:basedOn w:val="1"/>
    <w:qFormat/>
    <w:uiPriority w:val="0"/>
    <w:pPr>
      <w:widowControl/>
    </w:pPr>
    <w:rPr>
      <w:rFonts w:ascii="宋体" w:hAnsi="宋体" w:cs="宋体"/>
      <w:kern w:val="0"/>
      <w:szCs w:val="21"/>
    </w:rPr>
  </w:style>
  <w:style w:type="paragraph" w:customStyle="1" w:styleId="11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13">
    <w:name w:val="List Paragraph"/>
    <w:basedOn w:val="1"/>
    <w:qFormat/>
    <w:uiPriority w:val="0"/>
    <w:pPr>
      <w:spacing w:line="360" w:lineRule="auto"/>
      <w:ind w:firstLine="420" w:firstLineChars="200"/>
    </w:pPr>
    <w:rPr>
      <w:sz w:val="28"/>
    </w:rPr>
  </w:style>
  <w:style w:type="paragraph" w:customStyle="1" w:styleId="114">
    <w:name w:val="Char1"/>
    <w:basedOn w:val="1"/>
    <w:qFormat/>
    <w:uiPriority w:val="0"/>
    <w:rPr>
      <w:szCs w:val="21"/>
    </w:rPr>
  </w:style>
  <w:style w:type="paragraph" w:customStyle="1" w:styleId="115">
    <w:name w:val="List Paragraph1"/>
    <w:basedOn w:val="1"/>
    <w:qFormat/>
    <w:uiPriority w:val="0"/>
    <w:pPr>
      <w:ind w:firstLine="420" w:firstLineChars="200"/>
    </w:pPr>
    <w:rPr>
      <w:rFonts w:ascii="Calibri" w:hAnsi="Calibri"/>
      <w:szCs w:val="22"/>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菲页(卷)"/>
    <w:basedOn w:val="5"/>
    <w:next w:val="99"/>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119">
    <w:name w:val="文章附标题"/>
    <w:basedOn w:val="1"/>
    <w:next w:val="5"/>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20">
    <w:name w:val="文章总标题"/>
    <w:basedOn w:val="1"/>
    <w:next w:val="119"/>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21">
    <w:name w:val="标题5"/>
    <w:basedOn w:val="7"/>
    <w:link w:val="266"/>
    <w:qFormat/>
    <w:uiPriority w:val="0"/>
    <w:pPr>
      <w:spacing w:before="260" w:after="260" w:line="413" w:lineRule="auto"/>
    </w:pPr>
    <w:rPr>
      <w:rFonts w:ascii="Arial" w:hAnsi="Arial" w:eastAsia="宋体"/>
      <w:sz w:val="24"/>
    </w:rPr>
  </w:style>
  <w:style w:type="paragraph" w:customStyle="1" w:styleId="122">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3">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124">
    <w:name w:val="Char Char Char Char Char Char Char Char Char"/>
    <w:basedOn w:val="1"/>
    <w:qFormat/>
    <w:uiPriority w:val="0"/>
    <w:pPr>
      <w:widowControl/>
      <w:spacing w:after="160" w:line="240" w:lineRule="exact"/>
      <w:jc w:val="left"/>
    </w:pPr>
    <w:rPr>
      <w:szCs w:val="20"/>
    </w:rPr>
  </w:style>
  <w:style w:type="paragraph" w:customStyle="1" w:styleId="125">
    <w:name w:val="Table Paragraph"/>
    <w:basedOn w:val="1"/>
    <w:qFormat/>
    <w:uiPriority w:val="1"/>
    <w:rPr>
      <w:rFonts w:ascii="宋体" w:hAnsi="宋体" w:cs="宋体"/>
      <w:lang w:val="zh-CN" w:bidi="zh-CN"/>
    </w:rPr>
  </w:style>
  <w:style w:type="paragraph" w:customStyle="1" w:styleId="126">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127">
    <w:name w:val="自定义标题一"/>
    <w:basedOn w:val="5"/>
    <w:link w:val="314"/>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paragraph" w:customStyle="1" w:styleId="128">
    <w:name w:val="_Style 35"/>
    <w:basedOn w:val="20"/>
    <w:qFormat/>
    <w:uiPriority w:val="0"/>
    <w:pPr>
      <w:widowControl/>
      <w:ind w:firstLine="454"/>
      <w:jc w:val="left"/>
    </w:pPr>
  </w:style>
  <w:style w:type="paragraph" w:customStyle="1" w:styleId="129">
    <w:name w:val="_Style 5"/>
    <w:basedOn w:val="1"/>
    <w:qFormat/>
    <w:uiPriority w:val="0"/>
    <w:pPr>
      <w:spacing w:afterLines="25"/>
    </w:pPr>
    <w:rPr>
      <w:rFonts w:ascii="Arial" w:hAnsi="Arial"/>
    </w:rPr>
  </w:style>
  <w:style w:type="paragraph" w:customStyle="1" w:styleId="130">
    <w:name w:val="444"/>
    <w:basedOn w:val="1"/>
    <w:qFormat/>
    <w:uiPriority w:val="0"/>
    <w:pPr>
      <w:adjustRightInd w:val="0"/>
      <w:spacing w:line="312" w:lineRule="atLeast"/>
      <w:jc w:val="center"/>
      <w:textAlignment w:val="baseline"/>
    </w:pPr>
    <w:rPr>
      <w:b/>
      <w:kern w:val="0"/>
      <w:sz w:val="36"/>
      <w:szCs w:val="36"/>
    </w:rPr>
  </w:style>
  <w:style w:type="paragraph" w:customStyle="1" w:styleId="13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2">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6">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9">
    <w:name w:val="WPSOffice手动目录 1"/>
    <w:qFormat/>
    <w:uiPriority w:val="0"/>
    <w:rPr>
      <w:rFonts w:ascii="Times New Roman" w:hAnsi="Times New Roman" w:eastAsia="宋体" w:cs="Times New Roman"/>
      <w:lang w:val="en-US" w:eastAsia="zh-CN" w:bidi="ar-SA"/>
    </w:rPr>
  </w:style>
  <w:style w:type="paragraph" w:customStyle="1" w:styleId="140">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41">
    <w:name w:val="样式3"/>
    <w:basedOn w:val="24"/>
    <w:qFormat/>
    <w:uiPriority w:val="0"/>
    <w:pPr>
      <w:spacing w:after="120" w:line="360" w:lineRule="auto"/>
    </w:pPr>
    <w:rPr>
      <w:rFonts w:ascii="宋体"/>
      <w:sz w:val="21"/>
    </w:rPr>
  </w:style>
  <w:style w:type="paragraph" w:customStyle="1" w:styleId="142">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143">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44">
    <w:name w:val="Char3"/>
    <w:basedOn w:val="20"/>
    <w:qFormat/>
    <w:uiPriority w:val="0"/>
    <w:pPr>
      <w:widowControl/>
      <w:ind w:firstLine="454"/>
      <w:jc w:val="left"/>
    </w:pPr>
    <w:rPr>
      <w:rFonts w:ascii="Tahoma" w:hAnsi="Tahoma" w:cs="宋体"/>
      <w:sz w:val="24"/>
      <w:szCs w:val="20"/>
    </w:rPr>
  </w:style>
  <w:style w:type="paragraph" w:customStyle="1" w:styleId="145">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46">
    <w:name w:val="列出段落2"/>
    <w:basedOn w:val="1"/>
    <w:link w:val="253"/>
    <w:qFormat/>
    <w:uiPriority w:val="0"/>
    <w:pPr>
      <w:ind w:firstLine="420" w:firstLineChars="200"/>
    </w:pPr>
    <w:rPr>
      <w:rFonts w:ascii="Calibri" w:hAnsi="Calibri"/>
      <w:kern w:val="0"/>
      <w:sz w:val="20"/>
      <w:szCs w:val="20"/>
    </w:rPr>
  </w:style>
  <w:style w:type="paragraph" w:customStyle="1" w:styleId="147">
    <w:name w:val="1ji"/>
    <w:basedOn w:val="5"/>
    <w:link w:val="352"/>
    <w:qFormat/>
    <w:uiPriority w:val="0"/>
    <w:pPr>
      <w:keepLines w:val="0"/>
      <w:widowControl/>
      <w:spacing w:before="0" w:after="0" w:line="240" w:lineRule="auto"/>
      <w:jc w:val="center"/>
    </w:pPr>
    <w:rPr>
      <w:rFonts w:ascii="宋体" w:hAnsi="宋体"/>
      <w:sz w:val="36"/>
    </w:rPr>
  </w:style>
  <w:style w:type="paragraph" w:customStyle="1" w:styleId="148">
    <w:name w:val="正文段"/>
    <w:basedOn w:val="1"/>
    <w:qFormat/>
    <w:uiPriority w:val="0"/>
    <w:pPr>
      <w:widowControl/>
      <w:snapToGrid w:val="0"/>
      <w:spacing w:afterLines="50"/>
      <w:ind w:firstLine="200" w:firstLineChars="200"/>
    </w:pPr>
    <w:rPr>
      <w:kern w:val="0"/>
      <w:sz w:val="24"/>
      <w:szCs w:val="20"/>
    </w:rPr>
  </w:style>
  <w:style w:type="paragraph" w:customStyle="1" w:styleId="149">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正文2"/>
    <w:basedOn w:val="1"/>
    <w:qFormat/>
    <w:uiPriority w:val="0"/>
    <w:pPr>
      <w:spacing w:line="360" w:lineRule="auto"/>
      <w:ind w:firstLine="720" w:firstLineChars="200"/>
      <w:jc w:val="left"/>
    </w:pPr>
    <w:rPr>
      <w:rFonts w:hint="eastAsia" w:ascii="宋体" w:hAnsi="宋体"/>
      <w:sz w:val="24"/>
    </w:rPr>
  </w:style>
  <w:style w:type="paragraph" w:customStyle="1" w:styleId="151">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15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53">
    <w:name w:val="次小点说明 Char"/>
    <w:basedOn w:val="10"/>
    <w:qFormat/>
    <w:uiPriority w:val="0"/>
    <w:pPr>
      <w:ind w:firstLine="0"/>
    </w:pPr>
    <w:rPr>
      <w:sz w:val="24"/>
      <w:szCs w:val="24"/>
    </w:rPr>
  </w:style>
  <w:style w:type="paragraph" w:customStyle="1" w:styleId="154">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默认段落字体 Para Char Char Char Char Char Char Char Char Char Char"/>
    <w:basedOn w:val="1"/>
    <w:qFormat/>
    <w:uiPriority w:val="0"/>
    <w:rPr>
      <w:kern w:val="0"/>
      <w:szCs w:val="20"/>
    </w:rPr>
  </w:style>
  <w:style w:type="paragraph" w:customStyle="1" w:styleId="156">
    <w:name w:val="缺省文本"/>
    <w:basedOn w:val="1"/>
    <w:qFormat/>
    <w:uiPriority w:val="0"/>
    <w:pPr>
      <w:autoSpaceDE w:val="0"/>
      <w:autoSpaceDN w:val="0"/>
      <w:adjustRightInd w:val="0"/>
      <w:spacing w:line="360" w:lineRule="auto"/>
      <w:jc w:val="left"/>
    </w:pPr>
    <w:rPr>
      <w:kern w:val="0"/>
      <w:sz w:val="24"/>
      <w:szCs w:val="20"/>
    </w:rPr>
  </w:style>
  <w:style w:type="paragraph" w:customStyle="1" w:styleId="157">
    <w:name w:val="目录文字"/>
    <w:basedOn w:val="1"/>
    <w:link w:val="236"/>
    <w:qFormat/>
    <w:uiPriority w:val="0"/>
    <w:pPr>
      <w:widowControl/>
      <w:spacing w:line="480" w:lineRule="auto"/>
      <w:jc w:val="left"/>
    </w:pPr>
    <w:rPr>
      <w:rFonts w:ascii="宋体" w:hAnsi="宋体"/>
      <w:kern w:val="0"/>
      <w:sz w:val="24"/>
      <w:szCs w:val="20"/>
    </w:rPr>
  </w:style>
  <w:style w:type="paragraph" w:customStyle="1" w:styleId="158">
    <w:name w:val="Char Char Char Char Char Char1 Char1"/>
    <w:basedOn w:val="20"/>
    <w:qFormat/>
    <w:uiPriority w:val="0"/>
    <w:rPr>
      <w:rFonts w:ascii="Tahoma" w:hAnsi="Tahoma"/>
      <w:sz w:val="24"/>
    </w:rPr>
  </w:style>
  <w:style w:type="paragraph" w:customStyle="1" w:styleId="159">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160">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6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首行缩进两字符"/>
    <w:basedOn w:val="1"/>
    <w:qFormat/>
    <w:uiPriority w:val="0"/>
    <w:pPr>
      <w:spacing w:line="360" w:lineRule="auto"/>
      <w:ind w:firstLine="200" w:firstLineChars="200"/>
    </w:pPr>
  </w:style>
  <w:style w:type="paragraph" w:customStyle="1" w:styleId="163">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65">
    <w:name w:val="仿宋缩进2字符"/>
    <w:basedOn w:val="1"/>
    <w:link w:val="363"/>
    <w:qFormat/>
    <w:uiPriority w:val="0"/>
    <w:pPr>
      <w:spacing w:line="360" w:lineRule="auto"/>
      <w:ind w:firstLine="200" w:firstLineChars="200"/>
    </w:pPr>
    <w:rPr>
      <w:rFonts w:ascii="仿宋" w:hAnsi="仿宋" w:eastAsia="仿宋"/>
      <w:sz w:val="28"/>
      <w:szCs w:val="28"/>
    </w:rPr>
  </w:style>
  <w:style w:type="paragraph" w:customStyle="1" w:styleId="166">
    <w:name w:val="2ji"/>
    <w:basedOn w:val="6"/>
    <w:qFormat/>
    <w:uiPriority w:val="0"/>
    <w:pPr>
      <w:adjustRightInd w:val="0"/>
      <w:spacing w:before="0" w:after="0" w:line="360" w:lineRule="auto"/>
      <w:textAlignment w:val="baseline"/>
    </w:pPr>
    <w:rPr>
      <w:rFonts w:ascii="宋体" w:hAnsi="宋体" w:eastAsia="宋体"/>
      <w:szCs w:val="21"/>
    </w:rPr>
  </w:style>
  <w:style w:type="paragraph" w:customStyle="1" w:styleId="16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68">
    <w:name w:val="样式 首行缩进:  2 字符"/>
    <w:basedOn w:val="1"/>
    <w:qFormat/>
    <w:uiPriority w:val="0"/>
    <w:pPr>
      <w:spacing w:line="400" w:lineRule="exact"/>
      <w:ind w:firstLine="200" w:firstLineChars="200"/>
    </w:pPr>
    <w:rPr>
      <w:rFonts w:cs="宋体"/>
      <w:sz w:val="24"/>
    </w:rPr>
  </w:style>
  <w:style w:type="paragraph" w:customStyle="1" w:styleId="1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正文--2字符首行缩进"/>
    <w:basedOn w:val="1"/>
    <w:link w:val="358"/>
    <w:qFormat/>
    <w:uiPriority w:val="0"/>
    <w:pPr>
      <w:snapToGrid w:val="0"/>
      <w:spacing w:line="360" w:lineRule="auto"/>
      <w:ind w:firstLine="560" w:firstLineChars="200"/>
    </w:pPr>
    <w:rPr>
      <w:rFonts w:ascii="仿宋_GB2312" w:eastAsia="仿宋_GB2312"/>
      <w:kern w:val="0"/>
      <w:sz w:val="24"/>
      <w:szCs w:val="20"/>
    </w:rPr>
  </w:style>
  <w:style w:type="paragraph" w:customStyle="1" w:styleId="172">
    <w:name w:val="标题3"/>
    <w:basedOn w:val="7"/>
    <w:qFormat/>
    <w:uiPriority w:val="0"/>
    <w:pPr>
      <w:keepLines w:val="0"/>
      <w:widowControl/>
      <w:tabs>
        <w:tab w:val="left" w:pos="1247"/>
      </w:tabs>
      <w:spacing w:before="240" w:after="120"/>
      <w:ind w:left="1247" w:hanging="1247"/>
      <w:jc w:val="left"/>
    </w:pPr>
    <w:rPr>
      <w:rFonts w:ascii="Arial" w:hAnsi="Arial" w:eastAsia="宋体"/>
      <w:sz w:val="52"/>
      <w:szCs w:val="52"/>
    </w:rPr>
  </w:style>
  <w:style w:type="paragraph" w:customStyle="1" w:styleId="173">
    <w:name w:val="列出段落1"/>
    <w:basedOn w:val="1"/>
    <w:qFormat/>
    <w:uiPriority w:val="0"/>
    <w:pPr>
      <w:ind w:firstLine="420" w:firstLineChars="200"/>
    </w:pPr>
    <w:rPr>
      <w:rFonts w:ascii="Calibri" w:hAnsi="Calibri"/>
      <w:szCs w:val="22"/>
    </w:rPr>
  </w:style>
  <w:style w:type="paragraph" w:customStyle="1" w:styleId="174">
    <w:name w:val="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75">
    <w:name w:val="标题1"/>
    <w:basedOn w:val="5"/>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176">
    <w:name w:val="Char Char Char1"/>
    <w:basedOn w:val="20"/>
    <w:qFormat/>
    <w:uiPriority w:val="0"/>
    <w:rPr>
      <w:rFonts w:ascii="Tahoma" w:hAnsi="Tahoma"/>
      <w:sz w:val="24"/>
    </w:rPr>
  </w:style>
  <w:style w:type="paragraph" w:customStyle="1" w:styleId="177">
    <w:name w:val="Body"/>
    <w:basedOn w:val="1"/>
    <w:qFormat/>
    <w:uiPriority w:val="0"/>
    <w:pPr>
      <w:widowControl/>
      <w:tabs>
        <w:tab w:val="left" w:pos="1980"/>
      </w:tabs>
      <w:spacing w:before="80" w:after="80" w:line="360" w:lineRule="auto"/>
      <w:jc w:val="center"/>
    </w:pPr>
    <w:rPr>
      <w:szCs w:val="21"/>
    </w:rPr>
  </w:style>
  <w:style w:type="paragraph" w:customStyle="1" w:styleId="178">
    <w:name w:val="reader-word-layer reader-word-s2-3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_Style 169"/>
    <w:basedOn w:val="5"/>
    <w:next w:val="1"/>
    <w:qFormat/>
    <w:uiPriority w:val="39"/>
    <w:pPr>
      <w:spacing w:line="576" w:lineRule="auto"/>
      <w:outlineLvl w:val="9"/>
    </w:pPr>
    <w:rPr>
      <w:rFonts w:ascii="Calibri" w:hAnsi="Calibri" w:eastAsia="黑体"/>
    </w:rPr>
  </w:style>
  <w:style w:type="paragraph" w:customStyle="1" w:styleId="180">
    <w:name w:val="默认段落字体 Para Char"/>
    <w:basedOn w:val="1"/>
    <w:qFormat/>
    <w:uiPriority w:val="0"/>
    <w:pPr>
      <w:adjustRightInd w:val="0"/>
      <w:spacing w:line="360" w:lineRule="auto"/>
    </w:pPr>
    <w:rPr>
      <w:kern w:val="0"/>
      <w:sz w:val="24"/>
      <w:szCs w:val="20"/>
    </w:rPr>
  </w:style>
  <w:style w:type="paragraph" w:customStyle="1" w:styleId="181">
    <w:name w:val="msolistparagraph"/>
    <w:basedOn w:val="1"/>
    <w:qFormat/>
    <w:uiPriority w:val="0"/>
    <w:pPr>
      <w:suppressAutoHyphens/>
      <w:autoSpaceDN w:val="0"/>
      <w:ind w:firstLine="420"/>
      <w:textAlignment w:val="baseline"/>
    </w:pPr>
    <w:rPr>
      <w:kern w:val="3"/>
    </w:rPr>
  </w:style>
  <w:style w:type="paragraph" w:customStyle="1" w:styleId="182">
    <w:name w:val="Char Char Char Char Char Char Char"/>
    <w:basedOn w:val="1"/>
    <w:qFormat/>
    <w:uiPriority w:val="0"/>
    <w:pPr>
      <w:widowControl/>
      <w:spacing w:after="160" w:line="240" w:lineRule="exact"/>
      <w:jc w:val="left"/>
    </w:pPr>
  </w:style>
  <w:style w:type="paragraph" w:customStyle="1" w:styleId="183">
    <w:name w:val="表内文字"/>
    <w:basedOn w:val="1"/>
    <w:qFormat/>
    <w:uiPriority w:val="0"/>
    <w:pPr>
      <w:snapToGrid w:val="0"/>
      <w:spacing w:line="320" w:lineRule="exact"/>
      <w:jc w:val="center"/>
    </w:pPr>
    <w:rPr>
      <w:rFonts w:ascii="宋体" w:hAnsi="宋体"/>
      <w:szCs w:val="21"/>
    </w:rPr>
  </w:style>
  <w:style w:type="paragraph" w:customStyle="1" w:styleId="184">
    <w:name w:val="Char1 Char Char Char"/>
    <w:basedOn w:val="1"/>
    <w:qFormat/>
    <w:uiPriority w:val="0"/>
    <w:rPr>
      <w:rFonts w:ascii="Tahoma" w:hAnsi="Tahoma"/>
      <w:sz w:val="24"/>
      <w:szCs w:val="20"/>
    </w:rPr>
  </w:style>
  <w:style w:type="paragraph" w:customStyle="1" w:styleId="185">
    <w:name w:val="_Style 175"/>
    <w:qFormat/>
    <w:uiPriority w:val="0"/>
    <w:rPr>
      <w:rFonts w:ascii="Times New Roman" w:hAnsi="Times New Roman" w:eastAsia="宋体" w:cs="Times New Roman"/>
      <w:kern w:val="2"/>
      <w:sz w:val="21"/>
      <w:szCs w:val="24"/>
      <w:lang w:val="en-US" w:eastAsia="zh-CN" w:bidi="ar-SA"/>
    </w:rPr>
  </w:style>
  <w:style w:type="paragraph" w:customStyle="1" w:styleId="186">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87">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88">
    <w:name w:val="Report Text"/>
    <w:basedOn w:val="1"/>
    <w:link w:val="371"/>
    <w:qFormat/>
    <w:uiPriority w:val="0"/>
    <w:pPr>
      <w:widowControl/>
      <w:spacing w:before="240" w:after="120"/>
      <w:ind w:left="1080"/>
    </w:pPr>
    <w:rPr>
      <w:rFonts w:ascii="Arial" w:hAnsi="Arial"/>
      <w:kern w:val="28"/>
      <w:sz w:val="22"/>
      <w:szCs w:val="20"/>
    </w:rPr>
  </w:style>
  <w:style w:type="paragraph" w:customStyle="1" w:styleId="189">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90">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91">
    <w:name w:val="列出段落3"/>
    <w:basedOn w:val="1"/>
    <w:qFormat/>
    <w:uiPriority w:val="0"/>
    <w:pPr>
      <w:ind w:firstLine="420" w:firstLineChars="200"/>
    </w:pPr>
    <w:rPr>
      <w:rFonts w:ascii="Calibri" w:hAnsi="Calibri"/>
      <w:szCs w:val="22"/>
    </w:rPr>
  </w:style>
  <w:style w:type="paragraph" w:customStyle="1" w:styleId="19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4">
    <w:name w:val="菲页1"/>
    <w:basedOn w:val="6"/>
    <w:qFormat/>
    <w:uiPriority w:val="0"/>
    <w:pPr>
      <w:widowControl/>
      <w:spacing w:before="260" w:after="260" w:line="416" w:lineRule="auto"/>
      <w:jc w:val="center"/>
    </w:pPr>
    <w:rPr>
      <w:rFonts w:ascii="黑体" w:hAnsi="宋体" w:eastAsia="宋体"/>
      <w:b w:val="0"/>
      <w:bCs w:val="0"/>
      <w:sz w:val="52"/>
      <w:szCs w:val="20"/>
    </w:rPr>
  </w:style>
  <w:style w:type="paragraph" w:styleId="195">
    <w:name w:val="Intense Quote"/>
    <w:basedOn w:val="1"/>
    <w:next w:val="1"/>
    <w:link w:val="249"/>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196">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197">
    <w:name w:val="Char Char1 Char Char Char Char"/>
    <w:basedOn w:val="20"/>
    <w:qFormat/>
    <w:uiPriority w:val="0"/>
    <w:rPr>
      <w:rFonts w:ascii="Tahoma" w:hAnsi="Tahoma"/>
      <w:sz w:val="24"/>
    </w:rPr>
  </w:style>
  <w:style w:type="paragraph" w:customStyle="1" w:styleId="198">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styleId="199">
    <w:name w:val="Quote"/>
    <w:basedOn w:val="1"/>
    <w:next w:val="1"/>
    <w:link w:val="221"/>
    <w:qFormat/>
    <w:uiPriority w:val="0"/>
    <w:rPr>
      <w:i/>
      <w:iCs/>
      <w:color w:val="000000"/>
      <w:kern w:val="0"/>
      <w:sz w:val="20"/>
      <w:szCs w:val="20"/>
    </w:rPr>
  </w:style>
  <w:style w:type="paragraph" w:customStyle="1" w:styleId="200">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20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0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03">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样式 标题 3 + (中文) 黑体 小四 非加粗 段前: 7.8 磅 段后: 0 磅 行距: 固定值 20 磅"/>
    <w:basedOn w:val="7"/>
    <w:qFormat/>
    <w:uiPriority w:val="0"/>
    <w:pPr>
      <w:spacing w:line="400" w:lineRule="exact"/>
    </w:pPr>
    <w:rPr>
      <w:rFonts w:cs="宋体"/>
      <w:b w:val="0"/>
      <w:bCs w:val="0"/>
      <w:szCs w:val="20"/>
    </w:rPr>
  </w:style>
  <w:style w:type="paragraph" w:customStyle="1" w:styleId="205">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styleId="206">
    <w:name w:val="No Spacing"/>
    <w:link w:val="338"/>
    <w:qFormat/>
    <w:uiPriority w:val="0"/>
    <w:pPr>
      <w:widowControl w:val="0"/>
      <w:jc w:val="both"/>
    </w:pPr>
    <w:rPr>
      <w:rFonts w:ascii="Times New Roman" w:hAnsi="Times New Roman" w:eastAsia="宋体" w:cs="Times New Roman"/>
      <w:szCs w:val="24"/>
      <w:lang w:val="en-US" w:eastAsia="zh-CN" w:bidi="ar-SA"/>
    </w:rPr>
  </w:style>
  <w:style w:type="paragraph" w:customStyle="1" w:styleId="207">
    <w:name w:val="节标题"/>
    <w:basedOn w:val="1"/>
    <w:next w:val="136"/>
    <w:qFormat/>
    <w:uiPriority w:val="0"/>
    <w:pPr>
      <w:widowControl/>
      <w:spacing w:line="289" w:lineRule="atLeast"/>
      <w:jc w:val="center"/>
      <w:textAlignment w:val="baseline"/>
    </w:pPr>
    <w:rPr>
      <w:color w:val="000000"/>
      <w:kern w:val="0"/>
      <w:sz w:val="28"/>
      <w:szCs w:val="20"/>
      <w:u w:color="000000"/>
    </w:rPr>
  </w:style>
  <w:style w:type="paragraph" w:customStyle="1" w:styleId="20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9">
    <w:name w:val="样式1"/>
    <w:basedOn w:val="1"/>
    <w:next w:val="8"/>
    <w:qFormat/>
    <w:uiPriority w:val="0"/>
    <w:pPr>
      <w:spacing w:line="360" w:lineRule="auto"/>
      <w:ind w:firstLine="420" w:firstLineChars="200"/>
    </w:pPr>
    <w:rPr>
      <w:rFonts w:ascii="宋体" w:hAnsi="宋体"/>
      <w:szCs w:val="21"/>
    </w:rPr>
  </w:style>
  <w:style w:type="paragraph" w:customStyle="1" w:styleId="210">
    <w:name w:val="目录"/>
    <w:basedOn w:val="1"/>
    <w:qFormat/>
    <w:uiPriority w:val="0"/>
    <w:pPr>
      <w:widowControl/>
      <w:jc w:val="center"/>
    </w:pPr>
    <w:rPr>
      <w:rFonts w:ascii="宋体"/>
      <w:b/>
      <w:kern w:val="0"/>
      <w:sz w:val="36"/>
      <w:szCs w:val="20"/>
    </w:rPr>
  </w:style>
  <w:style w:type="paragraph" w:customStyle="1" w:styleId="211">
    <w:name w:val="表格"/>
    <w:basedOn w:val="1"/>
    <w:qFormat/>
    <w:uiPriority w:val="0"/>
    <w:pPr>
      <w:spacing w:line="400" w:lineRule="exact"/>
    </w:pPr>
    <w:rPr>
      <w:sz w:val="24"/>
    </w:rPr>
  </w:style>
  <w:style w:type="paragraph" w:customStyle="1" w:styleId="212">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character" w:customStyle="1" w:styleId="213">
    <w:name w:val="st"/>
    <w:basedOn w:val="60"/>
    <w:qFormat/>
    <w:uiPriority w:val="0"/>
  </w:style>
  <w:style w:type="character" w:customStyle="1" w:styleId="214">
    <w:name w:val="Char Char30"/>
    <w:qFormat/>
    <w:uiPriority w:val="0"/>
    <w:rPr>
      <w:rFonts w:ascii="Times New Roman" w:hAnsi="Times New Roman" w:eastAsia="宋体" w:cs="Times New Roman"/>
      <w:szCs w:val="24"/>
    </w:rPr>
  </w:style>
  <w:style w:type="character" w:customStyle="1" w:styleId="215">
    <w:name w:val="Para head"/>
    <w:qFormat/>
    <w:uiPriority w:val="0"/>
    <w:rPr>
      <w:rFonts w:ascii="Arial" w:hAnsi="Arial" w:eastAsia="Times New Roman"/>
      <w:sz w:val="20"/>
    </w:rPr>
  </w:style>
  <w:style w:type="character" w:customStyle="1" w:styleId="216">
    <w:name w:val="批注文字 Char Char"/>
    <w:qFormat/>
    <w:uiPriority w:val="0"/>
    <w:rPr>
      <w:rFonts w:ascii="宋体" w:hAnsi="Times New Roman" w:eastAsia="宋体" w:cs="Times New Roman"/>
      <w:sz w:val="28"/>
      <w:szCs w:val="20"/>
    </w:rPr>
  </w:style>
  <w:style w:type="character" w:customStyle="1" w:styleId="217">
    <w:name w:val="Char Char Char Char Char"/>
    <w:qFormat/>
    <w:uiPriority w:val="0"/>
    <w:rPr>
      <w:rFonts w:eastAsia="宋体"/>
      <w:b/>
      <w:bCs/>
      <w:kern w:val="44"/>
      <w:sz w:val="44"/>
      <w:szCs w:val="44"/>
      <w:lang w:val="en-US" w:eastAsia="zh-CN" w:bidi="ar-SA"/>
    </w:rPr>
  </w:style>
  <w:style w:type="character" w:customStyle="1" w:styleId="218">
    <w:name w:val="style21"/>
    <w:qFormat/>
    <w:uiPriority w:val="0"/>
    <w:rPr>
      <w:sz w:val="17"/>
      <w:szCs w:val="17"/>
    </w:rPr>
  </w:style>
  <w:style w:type="character" w:customStyle="1" w:styleId="219">
    <w:name w:val="批注文字 Char1"/>
    <w:qFormat/>
    <w:uiPriority w:val="0"/>
    <w:rPr>
      <w:rFonts w:ascii="Times New Roman" w:hAnsi="Times New Roman" w:eastAsia="宋体" w:cs="Times New Roman"/>
      <w:szCs w:val="24"/>
    </w:rPr>
  </w:style>
  <w:style w:type="character" w:customStyle="1" w:styleId="220">
    <w:name w:val="标题 5 Char"/>
    <w:link w:val="9"/>
    <w:qFormat/>
    <w:uiPriority w:val="0"/>
    <w:rPr>
      <w:rFonts w:ascii="Times New Roman" w:hAnsi="Times New Roman" w:eastAsia="宋体" w:cs="Times New Roman"/>
      <w:b/>
      <w:sz w:val="28"/>
      <w:szCs w:val="24"/>
    </w:rPr>
  </w:style>
  <w:style w:type="character" w:customStyle="1" w:styleId="221">
    <w:name w:val="引用 Char"/>
    <w:link w:val="199"/>
    <w:qFormat/>
    <w:uiPriority w:val="0"/>
    <w:rPr>
      <w:i/>
      <w:iCs/>
      <w:color w:val="000000"/>
    </w:rPr>
  </w:style>
  <w:style w:type="character" w:customStyle="1" w:styleId="222">
    <w:name w:val="Char Char17"/>
    <w:qFormat/>
    <w:uiPriority w:val="0"/>
    <w:rPr>
      <w:rFonts w:eastAsia="黑体"/>
      <w:b/>
      <w:bCs/>
      <w:kern w:val="44"/>
      <w:sz w:val="32"/>
      <w:szCs w:val="44"/>
    </w:rPr>
  </w:style>
  <w:style w:type="character" w:customStyle="1" w:styleId="223">
    <w:name w:val="正文文本缩进 3 Char"/>
    <w:link w:val="45"/>
    <w:qFormat/>
    <w:uiPriority w:val="0"/>
    <w:rPr>
      <w:rFonts w:ascii="Times New Roman" w:hAnsi="Times New Roman" w:eastAsia="宋体" w:cs="Times New Roman"/>
      <w:sz w:val="16"/>
      <w:szCs w:val="16"/>
    </w:rPr>
  </w:style>
  <w:style w:type="character" w:customStyle="1" w:styleId="224">
    <w:name w:val="cubane_hilight1"/>
    <w:qFormat/>
    <w:uiPriority w:val="0"/>
    <w:rPr>
      <w:color w:val="CC0000"/>
    </w:rPr>
  </w:style>
  <w:style w:type="character" w:customStyle="1" w:styleId="225">
    <w:name w:val="Char Char14"/>
    <w:qFormat/>
    <w:uiPriority w:val="0"/>
    <w:rPr>
      <w:sz w:val="18"/>
      <w:szCs w:val="18"/>
    </w:rPr>
  </w:style>
  <w:style w:type="character" w:customStyle="1" w:styleId="226">
    <w:name w:val="llyf92"/>
    <w:qFormat/>
    <w:uiPriority w:val="0"/>
    <w:rPr>
      <w:sz w:val="18"/>
      <w:szCs w:val="18"/>
    </w:rPr>
  </w:style>
  <w:style w:type="character" w:customStyle="1" w:styleId="227">
    <w:name w:val="Body Text Indent Char"/>
    <w:qFormat/>
    <w:uiPriority w:val="0"/>
    <w:rPr>
      <w:rFonts w:ascii="宋体" w:hAnsi="宋体" w:eastAsia="宋体"/>
      <w:kern w:val="2"/>
      <w:sz w:val="21"/>
      <w:lang w:val="en-US" w:eastAsia="zh-CN" w:bidi="ar-SA"/>
    </w:rPr>
  </w:style>
  <w:style w:type="character" w:customStyle="1" w:styleId="228">
    <w:name w:val="Char Char15"/>
    <w:qFormat/>
    <w:uiPriority w:val="0"/>
    <w:rPr>
      <w:sz w:val="18"/>
      <w:szCs w:val="18"/>
    </w:rPr>
  </w:style>
  <w:style w:type="character" w:customStyle="1" w:styleId="229">
    <w:name w:val="_Style 219"/>
    <w:qFormat/>
    <w:uiPriority w:val="0"/>
    <w:rPr>
      <w:i/>
      <w:iCs/>
      <w:color w:val="808080"/>
    </w:rPr>
  </w:style>
  <w:style w:type="character" w:customStyle="1" w:styleId="230">
    <w:name w:val="Heading 3 Char"/>
    <w:qFormat/>
    <w:uiPriority w:val="0"/>
    <w:rPr>
      <w:rFonts w:cs="Times New Roman"/>
      <w:b/>
      <w:bCs/>
      <w:kern w:val="2"/>
      <w:sz w:val="32"/>
      <w:szCs w:val="32"/>
    </w:rPr>
  </w:style>
  <w:style w:type="character" w:customStyle="1" w:styleId="231">
    <w:name w:val="小标题 Char"/>
    <w:qFormat/>
    <w:uiPriority w:val="0"/>
    <w:rPr>
      <w:rFonts w:eastAsia="宋体"/>
      <w:b/>
      <w:bCs/>
      <w:kern w:val="2"/>
      <w:sz w:val="32"/>
      <w:szCs w:val="32"/>
      <w:lang w:val="en-US" w:eastAsia="zh-CN" w:bidi="ar-SA"/>
    </w:rPr>
  </w:style>
  <w:style w:type="character" w:customStyle="1" w:styleId="232">
    <w:name w:val="批注主题 Char"/>
    <w:link w:val="56"/>
    <w:qFormat/>
    <w:uiPriority w:val="0"/>
    <w:rPr>
      <w:b/>
      <w:bCs/>
      <w:szCs w:val="24"/>
    </w:rPr>
  </w:style>
  <w:style w:type="character" w:customStyle="1" w:styleId="233">
    <w:name w:val="Char Char18"/>
    <w:qFormat/>
    <w:uiPriority w:val="0"/>
    <w:rPr>
      <w:rFonts w:ascii="Times New Roman" w:hAnsi="Times New Roman" w:eastAsia="宋体" w:cs="Times New Roman"/>
      <w:b/>
      <w:bCs/>
      <w:sz w:val="28"/>
      <w:szCs w:val="28"/>
    </w:rPr>
  </w:style>
  <w:style w:type="character" w:customStyle="1" w:styleId="234">
    <w:name w:val="标题 3 Char"/>
    <w:semiHidden/>
    <w:qFormat/>
    <w:uiPriority w:val="9"/>
    <w:rPr>
      <w:rFonts w:ascii="Times New Roman" w:hAnsi="Times New Roman" w:eastAsia="宋体" w:cs="Times New Roman"/>
      <w:b/>
      <w:bCs/>
      <w:sz w:val="32"/>
      <w:szCs w:val="32"/>
    </w:rPr>
  </w:style>
  <w:style w:type="character" w:customStyle="1" w:styleId="235">
    <w:name w:val="标题 Char2"/>
    <w:qFormat/>
    <w:uiPriority w:val="0"/>
    <w:rPr>
      <w:rFonts w:ascii="Cambria" w:hAnsi="Cambria" w:eastAsia="宋体" w:cs="Times New Roman"/>
      <w:b/>
      <w:bCs/>
      <w:sz w:val="32"/>
      <w:szCs w:val="32"/>
    </w:rPr>
  </w:style>
  <w:style w:type="character" w:customStyle="1" w:styleId="236">
    <w:name w:val="目录文字 Char"/>
    <w:link w:val="157"/>
    <w:qFormat/>
    <w:locked/>
    <w:uiPriority w:val="0"/>
    <w:rPr>
      <w:rFonts w:ascii="宋体" w:hAnsi="宋体" w:eastAsia="宋体" w:cs="Times New Roman"/>
      <w:kern w:val="0"/>
      <w:sz w:val="24"/>
      <w:szCs w:val="20"/>
    </w:rPr>
  </w:style>
  <w:style w:type="character" w:customStyle="1" w:styleId="237">
    <w:name w:val="Heading 4 Char"/>
    <w:qFormat/>
    <w:uiPriority w:val="0"/>
    <w:rPr>
      <w:rFonts w:ascii="Arial" w:hAnsi="Arial" w:eastAsia="宋体"/>
      <w:b/>
      <w:bCs/>
      <w:kern w:val="2"/>
      <w:sz w:val="21"/>
      <w:szCs w:val="28"/>
      <w:lang w:val="en-US" w:eastAsia="zh-CN" w:bidi="ar-SA"/>
    </w:rPr>
  </w:style>
  <w:style w:type="character" w:customStyle="1" w:styleId="238">
    <w:name w:val="Heading 1 Char"/>
    <w:qFormat/>
    <w:uiPriority w:val="0"/>
    <w:rPr>
      <w:rFonts w:eastAsia="宋体"/>
      <w:b/>
      <w:bCs/>
      <w:kern w:val="44"/>
      <w:sz w:val="32"/>
      <w:szCs w:val="44"/>
      <w:lang w:val="en-US" w:eastAsia="zh-CN" w:bidi="ar-SA"/>
    </w:rPr>
  </w:style>
  <w:style w:type="character" w:customStyle="1" w:styleId="239">
    <w:name w:val="Header Char"/>
    <w:qFormat/>
    <w:uiPriority w:val="0"/>
    <w:rPr>
      <w:rFonts w:eastAsia="宋体"/>
      <w:kern w:val="2"/>
      <w:sz w:val="18"/>
      <w:szCs w:val="18"/>
      <w:lang w:val="en-US" w:eastAsia="zh-CN" w:bidi="ar-SA"/>
    </w:rPr>
  </w:style>
  <w:style w:type="character" w:customStyle="1" w:styleId="240">
    <w:name w:val="fo Char"/>
    <w:qFormat/>
    <w:uiPriority w:val="0"/>
    <w:rPr>
      <w:rFonts w:eastAsia="宋体"/>
      <w:kern w:val="2"/>
      <w:sz w:val="18"/>
      <w:szCs w:val="18"/>
      <w:lang w:val="en-US" w:eastAsia="zh-CN" w:bidi="ar-SA"/>
    </w:rPr>
  </w:style>
  <w:style w:type="character" w:customStyle="1" w:styleId="241">
    <w:name w:val="批注文字 Char"/>
    <w:link w:val="21"/>
    <w:qFormat/>
    <w:uiPriority w:val="0"/>
    <w:rPr>
      <w:rFonts w:ascii="Times New Roman" w:hAnsi="Times New Roman" w:eastAsia="宋体" w:cs="Times New Roman"/>
      <w:szCs w:val="24"/>
    </w:rPr>
  </w:style>
  <w:style w:type="character" w:customStyle="1" w:styleId="242">
    <w:name w:val="unnamed21"/>
    <w:basedOn w:val="60"/>
    <w:qFormat/>
    <w:uiPriority w:val="0"/>
  </w:style>
  <w:style w:type="character" w:customStyle="1" w:styleId="243">
    <w:name w:val="Document Map Char"/>
    <w:qFormat/>
    <w:uiPriority w:val="0"/>
    <w:rPr>
      <w:rFonts w:eastAsia="宋体"/>
      <w:kern w:val="2"/>
      <w:sz w:val="21"/>
      <w:szCs w:val="24"/>
      <w:lang w:val="en-US" w:eastAsia="zh-CN" w:bidi="ar-SA"/>
    </w:rPr>
  </w:style>
  <w:style w:type="character" w:customStyle="1" w:styleId="244">
    <w:name w:val="Char Char21"/>
    <w:qFormat/>
    <w:uiPriority w:val="0"/>
    <w:rPr>
      <w:rFonts w:ascii="Arial" w:hAnsi="Arial" w:eastAsia="黑体" w:cs="Times New Roman"/>
      <w:b/>
      <w:bCs/>
      <w:sz w:val="32"/>
      <w:szCs w:val="32"/>
    </w:rPr>
  </w:style>
  <w:style w:type="character" w:customStyle="1" w:styleId="245">
    <w:name w:val="Comment Subject Char"/>
    <w:qFormat/>
    <w:uiPriority w:val="0"/>
    <w:rPr>
      <w:b/>
      <w:sz w:val="24"/>
      <w:lang w:bidi="ar-SA"/>
    </w:rPr>
  </w:style>
  <w:style w:type="character" w:customStyle="1" w:styleId="246">
    <w:name w:val="1ji Char Char"/>
    <w:qFormat/>
    <w:locked/>
    <w:uiPriority w:val="0"/>
    <w:rPr>
      <w:rFonts w:ascii="宋体" w:hAnsi="宋体" w:eastAsia="宋体"/>
      <w:b/>
      <w:bCs/>
      <w:kern w:val="44"/>
      <w:sz w:val="36"/>
      <w:szCs w:val="44"/>
    </w:rPr>
  </w:style>
  <w:style w:type="character" w:customStyle="1" w:styleId="247">
    <w:name w:val="Char Char9"/>
    <w:qFormat/>
    <w:uiPriority w:val="0"/>
    <w:rPr>
      <w:rFonts w:eastAsia="宋体"/>
      <w:b/>
      <w:bCs/>
      <w:kern w:val="44"/>
      <w:sz w:val="32"/>
      <w:szCs w:val="44"/>
      <w:lang w:val="en-US" w:eastAsia="zh-CN" w:bidi="ar-SA"/>
    </w:rPr>
  </w:style>
  <w:style w:type="character" w:customStyle="1" w:styleId="248">
    <w:name w:val="Char Char211"/>
    <w:qFormat/>
    <w:uiPriority w:val="0"/>
    <w:rPr>
      <w:rFonts w:ascii="Arial" w:hAnsi="Arial" w:eastAsia="黑体"/>
      <w:b/>
      <w:kern w:val="2"/>
      <w:sz w:val="24"/>
      <w:szCs w:val="24"/>
      <w:lang w:val="en-US" w:eastAsia="zh-CN" w:bidi="ar-SA"/>
    </w:rPr>
  </w:style>
  <w:style w:type="character" w:customStyle="1" w:styleId="249">
    <w:name w:val="明显引用 Char"/>
    <w:link w:val="195"/>
    <w:qFormat/>
    <w:uiPriority w:val="0"/>
    <w:rPr>
      <w:b/>
      <w:bCs/>
      <w:i/>
      <w:iCs/>
      <w:color w:val="4F81BD"/>
    </w:rPr>
  </w:style>
  <w:style w:type="character" w:customStyle="1" w:styleId="250">
    <w:name w:val="日期 Char1"/>
    <w:qFormat/>
    <w:uiPriority w:val="0"/>
    <w:rPr>
      <w:rFonts w:ascii="Times New Roman" w:hAnsi="Times New Roman" w:eastAsia="宋体" w:cs="Times New Roman"/>
      <w:szCs w:val="24"/>
    </w:rPr>
  </w:style>
  <w:style w:type="character" w:customStyle="1" w:styleId="251">
    <w:name w:val="_Style 241"/>
    <w:qFormat/>
    <w:uiPriority w:val="0"/>
    <w:rPr>
      <w:b/>
      <w:bCs/>
      <w:i/>
      <w:iCs/>
      <w:color w:val="4F81BD"/>
    </w:rPr>
  </w:style>
  <w:style w:type="character" w:customStyle="1" w:styleId="252">
    <w:name w:val="Char Char171"/>
    <w:qFormat/>
    <w:uiPriority w:val="0"/>
    <w:rPr>
      <w:rFonts w:hint="default" w:ascii="Times New Roman" w:hAnsi="Times New Roman" w:cs="Times New Roman"/>
      <w:b/>
      <w:bCs/>
      <w:kern w:val="2"/>
      <w:sz w:val="21"/>
      <w:szCs w:val="24"/>
    </w:rPr>
  </w:style>
  <w:style w:type="character" w:customStyle="1" w:styleId="253">
    <w:name w:val="列出段落 Char"/>
    <w:link w:val="146"/>
    <w:qFormat/>
    <w:uiPriority w:val="0"/>
    <w:rPr>
      <w:rFonts w:ascii="Calibri" w:hAnsi="Calibri" w:eastAsia="宋体" w:cs="Times New Roman"/>
    </w:rPr>
  </w:style>
  <w:style w:type="character" w:customStyle="1" w:styleId="254">
    <w:name w:val="style161"/>
    <w:qFormat/>
    <w:uiPriority w:val="0"/>
    <w:rPr>
      <w:color w:val="666666"/>
    </w:rPr>
  </w:style>
  <w:style w:type="character" w:customStyle="1" w:styleId="255">
    <w:name w:val="mark"/>
    <w:basedOn w:val="60"/>
    <w:qFormat/>
    <w:uiPriority w:val="0"/>
  </w:style>
  <w:style w:type="character" w:customStyle="1" w:styleId="256">
    <w:name w:val="NormalCharacter"/>
    <w:qFormat/>
    <w:uiPriority w:val="0"/>
    <w:rPr>
      <w:kern w:val="2"/>
      <w:sz w:val="21"/>
      <w:szCs w:val="24"/>
      <w:lang w:val="en-US" w:eastAsia="zh-CN" w:bidi="ar-SA"/>
    </w:rPr>
  </w:style>
  <w:style w:type="character" w:customStyle="1" w:styleId="257">
    <w:name w:val="HTML 预设格式 Char"/>
    <w:link w:val="52"/>
    <w:qFormat/>
    <w:uiPriority w:val="0"/>
    <w:rPr>
      <w:rFonts w:ascii="黑体" w:hAnsi="Courier New" w:eastAsia="黑体" w:cs="Courier New"/>
      <w:kern w:val="0"/>
      <w:sz w:val="20"/>
      <w:szCs w:val="20"/>
    </w:rPr>
  </w:style>
  <w:style w:type="character" w:customStyle="1" w:styleId="258">
    <w:name w:val="文档结构图 Char1"/>
    <w:qFormat/>
    <w:uiPriority w:val="0"/>
    <w:rPr>
      <w:rFonts w:ascii="宋体" w:hAnsi="Times New Roman" w:eastAsia="宋体" w:cs="Times New Roman"/>
      <w:sz w:val="18"/>
      <w:szCs w:val="18"/>
    </w:rPr>
  </w:style>
  <w:style w:type="character" w:customStyle="1" w:styleId="259">
    <w:name w:val="标题 Char1"/>
    <w:qFormat/>
    <w:uiPriority w:val="0"/>
    <w:rPr>
      <w:rFonts w:ascii="Cambria" w:hAnsi="Cambria" w:eastAsia="宋体" w:cs="Times New Roman"/>
      <w:b/>
      <w:bCs/>
      <w:sz w:val="32"/>
      <w:szCs w:val="32"/>
    </w:rPr>
  </w:style>
  <w:style w:type="character" w:customStyle="1" w:styleId="260">
    <w:name w:val="small"/>
    <w:basedOn w:val="60"/>
    <w:qFormat/>
    <w:uiPriority w:val="0"/>
  </w:style>
  <w:style w:type="character" w:customStyle="1" w:styleId="261">
    <w:name w:val="H5 Char"/>
    <w:qFormat/>
    <w:uiPriority w:val="0"/>
    <w:rPr>
      <w:rFonts w:eastAsia="宋体"/>
      <w:b/>
      <w:kern w:val="2"/>
      <w:sz w:val="28"/>
      <w:lang w:val="en-US" w:eastAsia="zh-CN" w:bidi="ar-SA"/>
    </w:rPr>
  </w:style>
  <w:style w:type="character" w:customStyle="1" w:styleId="262">
    <w:name w:val="Char Char91"/>
    <w:qFormat/>
    <w:uiPriority w:val="0"/>
    <w:rPr>
      <w:rFonts w:eastAsia="宋体"/>
      <w:sz w:val="24"/>
      <w:lang w:bidi="ar-SA"/>
    </w:rPr>
  </w:style>
  <w:style w:type="character" w:customStyle="1" w:styleId="263">
    <w:name w:val="_Style 253"/>
    <w:qFormat/>
    <w:uiPriority w:val="0"/>
    <w:rPr>
      <w:smallCaps/>
      <w:color w:val="C0504D"/>
      <w:u w:val="single"/>
    </w:rPr>
  </w:style>
  <w:style w:type="character" w:customStyle="1" w:styleId="264">
    <w:name w:val="Char Char16"/>
    <w:qFormat/>
    <w:uiPriority w:val="0"/>
    <w:rPr>
      <w:rFonts w:ascii="Arial" w:hAnsi="Arial" w:eastAsia="宋体"/>
      <w:b/>
      <w:bCs/>
      <w:kern w:val="2"/>
      <w:sz w:val="32"/>
      <w:szCs w:val="32"/>
      <w:lang w:bidi="ar-SA"/>
    </w:rPr>
  </w:style>
  <w:style w:type="character" w:customStyle="1" w:styleId="265">
    <w:name w:val="Plain Text Char1"/>
    <w:semiHidden/>
    <w:qFormat/>
    <w:locked/>
    <w:uiPriority w:val="0"/>
    <w:rPr>
      <w:rFonts w:ascii="宋体" w:hAnsi="Courier New" w:cs="Times New Roman"/>
      <w:sz w:val="21"/>
    </w:rPr>
  </w:style>
  <w:style w:type="character" w:customStyle="1" w:styleId="266">
    <w:name w:val="标题5 Char Char"/>
    <w:link w:val="121"/>
    <w:qFormat/>
    <w:uiPriority w:val="0"/>
    <w:rPr>
      <w:rFonts w:ascii="Arial" w:hAnsi="Arial"/>
      <w:b/>
      <w:bCs/>
      <w:sz w:val="24"/>
      <w:szCs w:val="32"/>
    </w:rPr>
  </w:style>
  <w:style w:type="character" w:customStyle="1" w:styleId="267">
    <w:name w:val="style51"/>
    <w:basedOn w:val="60"/>
    <w:qFormat/>
    <w:uiPriority w:val="0"/>
  </w:style>
  <w:style w:type="character" w:customStyle="1" w:styleId="268">
    <w:name w:val="Char Char2"/>
    <w:qFormat/>
    <w:uiPriority w:val="0"/>
    <w:rPr>
      <w:rFonts w:ascii="宋体" w:hAnsi="Courier New" w:eastAsia="宋体"/>
      <w:kern w:val="2"/>
      <w:sz w:val="21"/>
      <w:szCs w:val="24"/>
      <w:lang w:val="en-US" w:eastAsia="zh-CN" w:bidi="ar-SA"/>
    </w:rPr>
  </w:style>
  <w:style w:type="character" w:customStyle="1" w:styleId="269">
    <w:name w:val="Comment Text Char"/>
    <w:qFormat/>
    <w:uiPriority w:val="0"/>
    <w:rPr>
      <w:rFonts w:cs="Times New Roman"/>
      <w:sz w:val="24"/>
      <w:szCs w:val="24"/>
    </w:rPr>
  </w:style>
  <w:style w:type="character" w:customStyle="1" w:styleId="270">
    <w:name w:val="Plain Text Char"/>
    <w:link w:val="77"/>
    <w:qFormat/>
    <w:uiPriority w:val="0"/>
    <w:rPr>
      <w:rFonts w:ascii="宋体" w:hAnsi="Courier New" w:eastAsia="宋体"/>
      <w:sz w:val="24"/>
    </w:rPr>
  </w:style>
  <w:style w:type="character" w:customStyle="1" w:styleId="271">
    <w:name w:val="apple-style-span"/>
    <w:basedOn w:val="60"/>
    <w:qFormat/>
    <w:uiPriority w:val="0"/>
  </w:style>
  <w:style w:type="character" w:customStyle="1" w:styleId="272">
    <w:name w:val="Comment Text Char1"/>
    <w:qFormat/>
    <w:uiPriority w:val="0"/>
    <w:rPr>
      <w:sz w:val="24"/>
      <w:lang w:bidi="ar-SA"/>
    </w:rPr>
  </w:style>
  <w:style w:type="character" w:customStyle="1" w:styleId="273">
    <w:name w:val="f141"/>
    <w:qFormat/>
    <w:uiPriority w:val="0"/>
    <w:rPr>
      <w:sz w:val="21"/>
      <w:szCs w:val="21"/>
    </w:rPr>
  </w:style>
  <w:style w:type="character" w:customStyle="1" w:styleId="274">
    <w:name w:val="副标题 Char"/>
    <w:link w:val="40"/>
    <w:qFormat/>
    <w:uiPriority w:val="0"/>
    <w:rPr>
      <w:rFonts w:ascii="Cambria" w:hAnsi="Cambria" w:eastAsia="宋体" w:cs="Times New Roman"/>
      <w:b/>
      <w:bCs/>
      <w:kern w:val="28"/>
      <w:sz w:val="32"/>
      <w:szCs w:val="32"/>
    </w:rPr>
  </w:style>
  <w:style w:type="character" w:customStyle="1" w:styleId="275">
    <w:name w:val="Char Char27"/>
    <w:qFormat/>
    <w:uiPriority w:val="0"/>
    <w:rPr>
      <w:rFonts w:eastAsia="宋体"/>
      <w:b/>
      <w:bCs/>
      <w:kern w:val="44"/>
      <w:sz w:val="44"/>
      <w:szCs w:val="44"/>
      <w:lang w:val="en-US" w:eastAsia="zh-CN" w:bidi="ar-SA"/>
    </w:rPr>
  </w:style>
  <w:style w:type="character" w:customStyle="1" w:styleId="276">
    <w:name w:val="Title Char"/>
    <w:qFormat/>
    <w:uiPriority w:val="0"/>
    <w:rPr>
      <w:rFonts w:ascii="Cambria" w:hAnsi="Cambria"/>
      <w:b/>
      <w:sz w:val="32"/>
      <w:lang w:bidi="ar-SA"/>
    </w:rPr>
  </w:style>
  <w:style w:type="character" w:customStyle="1" w:styleId="277">
    <w:name w:val="无间隔 Char Char"/>
    <w:qFormat/>
    <w:uiPriority w:val="0"/>
    <w:rPr>
      <w:rFonts w:ascii="Calibri" w:hAnsi="Calibri" w:eastAsia="宋体"/>
      <w:sz w:val="22"/>
      <w:szCs w:val="22"/>
      <w:lang w:val="en-US" w:eastAsia="zh-CN" w:bidi="ar-SA"/>
    </w:rPr>
  </w:style>
  <w:style w:type="character" w:customStyle="1" w:styleId="278">
    <w:name w:val="标题4 Char Char"/>
    <w:qFormat/>
    <w:uiPriority w:val="0"/>
    <w:rPr>
      <w:rFonts w:ascii="Arial" w:hAnsi="Arial"/>
      <w:b/>
      <w:bCs/>
      <w:sz w:val="24"/>
      <w:szCs w:val="32"/>
      <w:lang w:bidi="ar-SA"/>
    </w:rPr>
  </w:style>
  <w:style w:type="character" w:customStyle="1" w:styleId="279">
    <w:name w:val="Heading 3 Char1"/>
    <w:qFormat/>
    <w:uiPriority w:val="0"/>
    <w:rPr>
      <w:rFonts w:eastAsia="宋体"/>
      <w:b/>
      <w:bCs/>
      <w:kern w:val="2"/>
      <w:sz w:val="24"/>
      <w:szCs w:val="32"/>
      <w:lang w:val="en-US" w:eastAsia="zh-CN" w:bidi="ar-SA"/>
    </w:rPr>
  </w:style>
  <w:style w:type="character" w:customStyle="1" w:styleId="280">
    <w:name w:val="普通文字 Char Char3"/>
    <w:qFormat/>
    <w:uiPriority w:val="0"/>
    <w:rPr>
      <w:rFonts w:ascii="宋体" w:hAnsi="Courier New" w:eastAsia="宋体" w:cs="Courier New"/>
      <w:kern w:val="2"/>
      <w:sz w:val="21"/>
      <w:szCs w:val="21"/>
      <w:lang w:val="en-US" w:eastAsia="zh-CN" w:bidi="ar-SA"/>
    </w:rPr>
  </w:style>
  <w:style w:type="character" w:customStyle="1" w:styleId="281">
    <w:name w:val="正文文本 Char"/>
    <w:link w:val="24"/>
    <w:qFormat/>
    <w:uiPriority w:val="0"/>
    <w:rPr>
      <w:rFonts w:ascii="Times New Roman" w:hAnsi="Times New Roman" w:eastAsia="宋体" w:cs="Times New Roman"/>
      <w:sz w:val="24"/>
      <w:szCs w:val="24"/>
    </w:rPr>
  </w:style>
  <w:style w:type="character" w:customStyle="1" w:styleId="282">
    <w:name w:val="标题 7 Char"/>
    <w:link w:val="13"/>
    <w:qFormat/>
    <w:uiPriority w:val="0"/>
    <w:rPr>
      <w:rFonts w:ascii="Times New Roman" w:hAnsi="Times New Roman" w:eastAsia="宋体" w:cs="Times New Roman"/>
      <w:b/>
      <w:sz w:val="24"/>
      <w:szCs w:val="24"/>
    </w:rPr>
  </w:style>
  <w:style w:type="character" w:customStyle="1" w:styleId="283">
    <w:name w:val="content2"/>
    <w:basedOn w:val="60"/>
    <w:qFormat/>
    <w:uiPriority w:val="0"/>
  </w:style>
  <w:style w:type="character" w:customStyle="1" w:styleId="284">
    <w:name w:val="标题 Char3"/>
    <w:qFormat/>
    <w:uiPriority w:val="0"/>
    <w:rPr>
      <w:rFonts w:ascii="Cambria" w:hAnsi="Cambria" w:eastAsia="宋体" w:cs="Times New Roman"/>
      <w:b/>
      <w:bCs/>
      <w:sz w:val="32"/>
      <w:szCs w:val="32"/>
    </w:rPr>
  </w:style>
  <w:style w:type="character" w:customStyle="1" w:styleId="285">
    <w:name w:val="Char Char23"/>
    <w:qFormat/>
    <w:uiPriority w:val="0"/>
    <w:rPr>
      <w:rFonts w:eastAsia="宋体"/>
      <w:b/>
      <w:bCs/>
      <w:kern w:val="44"/>
      <w:sz w:val="32"/>
      <w:szCs w:val="44"/>
      <w:lang w:val="en-US" w:eastAsia="zh-CN" w:bidi="ar-SA"/>
    </w:rPr>
  </w:style>
  <w:style w:type="character" w:customStyle="1" w:styleId="286">
    <w:name w:val="普通文字 Char Char4"/>
    <w:qFormat/>
    <w:uiPriority w:val="0"/>
    <w:rPr>
      <w:rFonts w:ascii="宋体" w:hAnsi="Courier New" w:eastAsia="宋体" w:cs="Courier New"/>
      <w:kern w:val="2"/>
      <w:sz w:val="21"/>
      <w:szCs w:val="21"/>
      <w:lang w:val="en-US" w:eastAsia="zh-CN" w:bidi="ar-SA"/>
    </w:rPr>
  </w:style>
  <w:style w:type="character" w:customStyle="1" w:styleId="287">
    <w:name w:val="Char Char25"/>
    <w:qFormat/>
    <w:uiPriority w:val="0"/>
    <w:rPr>
      <w:rFonts w:eastAsia="宋体"/>
      <w:b/>
      <w:bCs/>
      <w:sz w:val="32"/>
      <w:szCs w:val="32"/>
      <w:lang w:bidi="ar-SA"/>
    </w:rPr>
  </w:style>
  <w:style w:type="character" w:customStyle="1" w:styleId="288">
    <w:name w:val="日期 Char"/>
    <w:link w:val="33"/>
    <w:qFormat/>
    <w:uiPriority w:val="0"/>
    <w:rPr>
      <w:rFonts w:ascii="宋体" w:hAnsi="Courier New" w:eastAsia="宋体" w:cs="Courier New"/>
      <w:szCs w:val="21"/>
    </w:rPr>
  </w:style>
  <w:style w:type="character" w:customStyle="1" w:styleId="289">
    <w:name w:val="文档结构图 Char"/>
    <w:link w:val="20"/>
    <w:semiHidden/>
    <w:qFormat/>
    <w:uiPriority w:val="0"/>
    <w:rPr>
      <w:rFonts w:ascii="Times New Roman" w:hAnsi="Times New Roman" w:eastAsia="宋体" w:cs="Times New Roman"/>
      <w:szCs w:val="24"/>
      <w:shd w:val="clear" w:color="auto" w:fill="000080"/>
    </w:rPr>
  </w:style>
  <w:style w:type="character" w:customStyle="1" w:styleId="290">
    <w:name w:val="Heading 2 Char"/>
    <w:qFormat/>
    <w:uiPriority w:val="0"/>
    <w:rPr>
      <w:rFonts w:ascii="Arial" w:hAnsi="Arial" w:eastAsia="黑体"/>
      <w:b/>
      <w:bCs/>
      <w:kern w:val="2"/>
      <w:sz w:val="32"/>
      <w:szCs w:val="32"/>
      <w:lang w:val="en-US" w:eastAsia="zh-CN" w:bidi="ar-SA"/>
    </w:rPr>
  </w:style>
  <w:style w:type="character" w:customStyle="1" w:styleId="291">
    <w:name w:val="H1 Char"/>
    <w:qFormat/>
    <w:uiPriority w:val="0"/>
    <w:rPr>
      <w:rFonts w:eastAsia="宋体"/>
      <w:b/>
      <w:bCs/>
      <w:kern w:val="44"/>
      <w:sz w:val="44"/>
      <w:szCs w:val="44"/>
      <w:lang w:val="en-US" w:eastAsia="zh-CN" w:bidi="ar-SA"/>
    </w:rPr>
  </w:style>
  <w:style w:type="character" w:customStyle="1" w:styleId="292">
    <w:name w:val="正文文本 3 Char"/>
    <w:link w:val="23"/>
    <w:qFormat/>
    <w:uiPriority w:val="0"/>
    <w:rPr>
      <w:rFonts w:ascii="Times New Roman" w:hAnsi="Times New Roman" w:eastAsia="宋体" w:cs="Times New Roman"/>
      <w:b/>
      <w:bCs/>
      <w:sz w:val="24"/>
      <w:szCs w:val="24"/>
    </w:rPr>
  </w:style>
  <w:style w:type="character" w:customStyle="1" w:styleId="293">
    <w:name w:val="批注文字 Char2"/>
    <w:qFormat/>
    <w:uiPriority w:val="0"/>
    <w:rPr>
      <w:rFonts w:eastAsia="宋体"/>
      <w:kern w:val="2"/>
      <w:sz w:val="21"/>
      <w:szCs w:val="24"/>
      <w:lang w:val="en-US" w:eastAsia="zh-CN" w:bidi="ar-SA"/>
    </w:rPr>
  </w:style>
  <w:style w:type="character" w:customStyle="1" w:styleId="294">
    <w:name w:val="Date Char"/>
    <w:qFormat/>
    <w:uiPriority w:val="0"/>
    <w:rPr>
      <w:rFonts w:eastAsia="宋体"/>
      <w:kern w:val="2"/>
      <w:sz w:val="21"/>
      <w:szCs w:val="24"/>
      <w:lang w:val="en-US" w:eastAsia="zh-CN" w:bidi="ar-SA"/>
    </w:rPr>
  </w:style>
  <w:style w:type="character" w:customStyle="1" w:styleId="295">
    <w:name w:val="mark8"/>
    <w:qFormat/>
    <w:uiPriority w:val="0"/>
    <w:rPr>
      <w:b/>
      <w:bCs/>
      <w:sz w:val="21"/>
      <w:szCs w:val="21"/>
    </w:rPr>
  </w:style>
  <w:style w:type="character" w:customStyle="1" w:styleId="296">
    <w:name w:val="纯文本 Char1"/>
    <w:qFormat/>
    <w:uiPriority w:val="0"/>
    <w:rPr>
      <w:rFonts w:ascii="宋体" w:hAnsi="Courier New" w:eastAsia="宋体" w:cs="Courier New"/>
      <w:szCs w:val="21"/>
    </w:rPr>
  </w:style>
  <w:style w:type="character" w:customStyle="1" w:styleId="297">
    <w:name w:val="062"/>
    <w:qFormat/>
    <w:uiPriority w:val="0"/>
    <w:rPr>
      <w:rFonts w:ascii="宋体" w:hAnsi="宋体"/>
      <w:b/>
      <w:bCs/>
      <w:sz w:val="32"/>
    </w:rPr>
  </w:style>
  <w:style w:type="character" w:customStyle="1" w:styleId="298">
    <w:name w:val="H1 Char1"/>
    <w:qFormat/>
    <w:uiPriority w:val="0"/>
    <w:rPr>
      <w:rFonts w:eastAsia="宋体"/>
      <w:b/>
      <w:bCs/>
      <w:kern w:val="2"/>
      <w:sz w:val="21"/>
      <w:szCs w:val="24"/>
      <w:lang w:val="en-US" w:eastAsia="zh-CN" w:bidi="ar-SA"/>
    </w:rPr>
  </w:style>
  <w:style w:type="character" w:customStyle="1" w:styleId="299">
    <w:name w:val="脚注文本 Char"/>
    <w:link w:val="42"/>
    <w:qFormat/>
    <w:uiPriority w:val="0"/>
    <w:rPr>
      <w:sz w:val="18"/>
    </w:rPr>
  </w:style>
  <w:style w:type="character" w:customStyle="1" w:styleId="300">
    <w:name w:val="尾注文本 Char"/>
    <w:link w:val="35"/>
    <w:qFormat/>
    <w:uiPriority w:val="0"/>
    <w:rPr>
      <w:rFonts w:ascii="Calibri" w:hAnsi="Calibri" w:eastAsia="宋体" w:cs="Times New Roman"/>
    </w:rPr>
  </w:style>
  <w:style w:type="character" w:customStyle="1" w:styleId="301">
    <w:name w:val="称呼 Char"/>
    <w:link w:val="22"/>
    <w:qFormat/>
    <w:uiPriority w:val="0"/>
    <w:rPr>
      <w:rFonts w:ascii="Times New Roman" w:hAnsi="Times New Roman" w:eastAsia="宋体" w:cs="Times New Roman"/>
      <w:sz w:val="28"/>
      <w:szCs w:val="24"/>
    </w:rPr>
  </w:style>
  <w:style w:type="character" w:customStyle="1" w:styleId="302">
    <w:name w:val="标题 Char"/>
    <w:link w:val="55"/>
    <w:qFormat/>
    <w:uiPriority w:val="0"/>
    <w:rPr>
      <w:rFonts w:ascii="Cambria" w:hAnsi="Cambria"/>
      <w:b/>
      <w:bCs/>
      <w:sz w:val="32"/>
      <w:szCs w:val="32"/>
    </w:rPr>
  </w:style>
  <w:style w:type="character" w:customStyle="1" w:styleId="303">
    <w:name w:val="正文文本 Char1"/>
    <w:qFormat/>
    <w:uiPriority w:val="0"/>
    <w:rPr>
      <w:kern w:val="2"/>
      <w:sz w:val="21"/>
      <w:szCs w:val="22"/>
    </w:rPr>
  </w:style>
  <w:style w:type="character" w:customStyle="1" w:styleId="304">
    <w:name w:val="正文首行缩进 Char"/>
    <w:basedOn w:val="281"/>
    <w:link w:val="57"/>
    <w:qFormat/>
    <w:uiPriority w:val="0"/>
    <w:rPr>
      <w:rFonts w:ascii="Times New Roman" w:hAnsi="Times New Roman" w:eastAsia="宋体" w:cs="Times New Roman"/>
      <w:sz w:val="24"/>
      <w:szCs w:val="24"/>
    </w:rPr>
  </w:style>
  <w:style w:type="character" w:customStyle="1" w:styleId="305">
    <w:name w:val="标题 1 Char"/>
    <w:link w:val="5"/>
    <w:qFormat/>
    <w:uiPriority w:val="0"/>
    <w:rPr>
      <w:rFonts w:ascii="Times New Roman" w:hAnsi="Times New Roman" w:eastAsia="宋体" w:cs="Times New Roman"/>
      <w:b/>
      <w:bCs/>
      <w:kern w:val="44"/>
      <w:sz w:val="44"/>
      <w:szCs w:val="44"/>
    </w:rPr>
  </w:style>
  <w:style w:type="character" w:customStyle="1" w:styleId="306">
    <w:name w:val="Char Char11"/>
    <w:qFormat/>
    <w:uiPriority w:val="0"/>
    <w:rPr>
      <w:rFonts w:ascii="Times New Roman" w:hAnsi="Times New Roman" w:eastAsia="宋体" w:cs="Times New Roman"/>
      <w:sz w:val="30"/>
      <w:szCs w:val="24"/>
    </w:rPr>
  </w:style>
  <w:style w:type="character" w:customStyle="1" w:styleId="307">
    <w:name w:val="标题 6 Char"/>
    <w:link w:val="12"/>
    <w:qFormat/>
    <w:uiPriority w:val="0"/>
    <w:rPr>
      <w:rFonts w:ascii="Arial" w:hAnsi="Arial" w:eastAsia="黑体" w:cs="Times New Roman"/>
      <w:b/>
      <w:sz w:val="24"/>
      <w:szCs w:val="24"/>
    </w:rPr>
  </w:style>
  <w:style w:type="character" w:customStyle="1" w:styleId="308">
    <w:name w:val="批注主题 Char2"/>
    <w:semiHidden/>
    <w:qFormat/>
    <w:uiPriority w:val="99"/>
    <w:rPr>
      <w:rFonts w:ascii="Times New Roman" w:hAnsi="Times New Roman" w:eastAsia="宋体" w:cs="Times New Roman"/>
      <w:b/>
      <w:bCs/>
      <w:szCs w:val="24"/>
    </w:rPr>
  </w:style>
  <w:style w:type="character" w:customStyle="1" w:styleId="309">
    <w:name w:val="1051"/>
    <w:qFormat/>
    <w:uiPriority w:val="0"/>
    <w:rPr>
      <w:sz w:val="21"/>
      <w:szCs w:val="21"/>
    </w:rPr>
  </w:style>
  <w:style w:type="character" w:customStyle="1" w:styleId="310">
    <w:name w:val="text11"/>
    <w:qFormat/>
    <w:uiPriority w:val="0"/>
    <w:rPr>
      <w:rFonts w:hint="default" w:ascii="Verdana" w:hAnsi="Verdana"/>
      <w:color w:val="4E4E4E"/>
      <w:sz w:val="18"/>
      <w:szCs w:val="18"/>
    </w:rPr>
  </w:style>
  <w:style w:type="character" w:customStyle="1" w:styleId="311">
    <w:name w:val="Char Char19"/>
    <w:qFormat/>
    <w:uiPriority w:val="0"/>
    <w:rPr>
      <w:rFonts w:ascii="Arial" w:hAnsi="Arial" w:eastAsia="宋体" w:cs="Times New Roman"/>
      <w:b/>
      <w:bCs/>
      <w:szCs w:val="28"/>
    </w:rPr>
  </w:style>
  <w:style w:type="character" w:customStyle="1" w:styleId="312">
    <w:name w:val="style11"/>
    <w:qFormat/>
    <w:uiPriority w:val="0"/>
    <w:rPr>
      <w:rFonts w:hint="default" w:ascii="Arial" w:hAnsi="Arial" w:cs="Arial"/>
    </w:rPr>
  </w:style>
  <w:style w:type="character" w:customStyle="1" w:styleId="313">
    <w:name w:val="正文文本缩进 2 Char"/>
    <w:link w:val="34"/>
    <w:qFormat/>
    <w:uiPriority w:val="0"/>
    <w:rPr>
      <w:rFonts w:ascii="Times New Roman" w:hAnsi="Times New Roman" w:eastAsia="宋体" w:cs="Times New Roman"/>
      <w:sz w:val="32"/>
      <w:szCs w:val="20"/>
    </w:rPr>
  </w:style>
  <w:style w:type="character" w:customStyle="1" w:styleId="314">
    <w:name w:val="自定义标题一 Char"/>
    <w:link w:val="127"/>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character" w:customStyle="1" w:styleId="315">
    <w:name w:val="批注框文本 Char"/>
    <w:link w:val="36"/>
    <w:semiHidden/>
    <w:qFormat/>
    <w:uiPriority w:val="0"/>
    <w:rPr>
      <w:rFonts w:ascii="Times New Roman" w:hAnsi="Times New Roman" w:eastAsia="宋体" w:cs="Times New Roman"/>
      <w:sz w:val="18"/>
      <w:szCs w:val="18"/>
    </w:rPr>
  </w:style>
  <w:style w:type="character" w:customStyle="1" w:styleId="316">
    <w:name w:val="页脚 Char"/>
    <w:link w:val="37"/>
    <w:qFormat/>
    <w:uiPriority w:val="99"/>
    <w:rPr>
      <w:rFonts w:ascii="Times New Roman" w:hAnsi="Times New Roman" w:eastAsia="宋体" w:cs="Times New Roman"/>
      <w:sz w:val="18"/>
      <w:szCs w:val="18"/>
    </w:rPr>
  </w:style>
  <w:style w:type="character" w:customStyle="1" w:styleId="317">
    <w:name w:val="标题 4 Char"/>
    <w:link w:val="8"/>
    <w:qFormat/>
    <w:uiPriority w:val="0"/>
    <w:rPr>
      <w:rFonts w:ascii="Arial" w:hAnsi="Arial" w:eastAsia="宋体" w:cs="Times New Roman"/>
      <w:b/>
      <w:bCs/>
      <w:szCs w:val="28"/>
    </w:rPr>
  </w:style>
  <w:style w:type="character" w:customStyle="1" w:styleId="318">
    <w:name w:val="h Char"/>
    <w:qFormat/>
    <w:uiPriority w:val="0"/>
    <w:rPr>
      <w:rFonts w:eastAsia="宋体"/>
      <w:kern w:val="2"/>
      <w:sz w:val="18"/>
      <w:szCs w:val="18"/>
      <w:lang w:val="en-US" w:eastAsia="zh-CN" w:bidi="ar-SA"/>
    </w:rPr>
  </w:style>
  <w:style w:type="character" w:customStyle="1" w:styleId="319">
    <w:name w:val="ca-0"/>
    <w:qFormat/>
    <w:uiPriority w:val="0"/>
  </w:style>
  <w:style w:type="character" w:customStyle="1" w:styleId="320">
    <w:name w:val="Char Char33"/>
    <w:qFormat/>
    <w:uiPriority w:val="0"/>
    <w:rPr>
      <w:rFonts w:ascii="宋体" w:hAnsi="Courier New" w:eastAsia="宋体" w:cs="Courier New"/>
      <w:szCs w:val="21"/>
    </w:rPr>
  </w:style>
  <w:style w:type="character" w:customStyle="1" w:styleId="321">
    <w:name w:val="Balloon Text Char"/>
    <w:qFormat/>
    <w:uiPriority w:val="0"/>
    <w:rPr>
      <w:sz w:val="18"/>
      <w:lang w:bidi="ar-SA"/>
    </w:rPr>
  </w:style>
  <w:style w:type="character" w:customStyle="1" w:styleId="322">
    <w:name w:val="textcontents"/>
    <w:qFormat/>
    <w:uiPriority w:val="0"/>
    <w:rPr>
      <w:rFonts w:cs="Times New Roman"/>
    </w:rPr>
  </w:style>
  <w:style w:type="character" w:customStyle="1" w:styleId="323">
    <w:name w:val="纯文本 Char2"/>
    <w:link w:val="31"/>
    <w:qFormat/>
    <w:uiPriority w:val="0"/>
    <w:rPr>
      <w:rFonts w:ascii="宋体" w:hAnsi="Courier New" w:eastAsia="宋体" w:cs="Courier New"/>
      <w:szCs w:val="21"/>
    </w:rPr>
  </w:style>
  <w:style w:type="character" w:customStyle="1" w:styleId="324">
    <w:name w:val="页眉 Char"/>
    <w:link w:val="11"/>
    <w:qFormat/>
    <w:uiPriority w:val="99"/>
    <w:rPr>
      <w:rFonts w:ascii="Times New Roman" w:hAnsi="Times New Roman" w:eastAsia="宋体" w:cs="Times New Roman"/>
      <w:sz w:val="18"/>
      <w:szCs w:val="18"/>
    </w:rPr>
  </w:style>
  <w:style w:type="character" w:customStyle="1" w:styleId="325">
    <w:name w:val="style31"/>
    <w:qFormat/>
    <w:uiPriority w:val="0"/>
    <w:rPr>
      <w:sz w:val="18"/>
      <w:szCs w:val="18"/>
    </w:rPr>
  </w:style>
  <w:style w:type="character" w:customStyle="1" w:styleId="326">
    <w:name w:val="Char Char181"/>
    <w:qFormat/>
    <w:uiPriority w:val="0"/>
    <w:rPr>
      <w:rFonts w:ascii="Arial" w:hAnsi="Arial" w:eastAsia="黑体"/>
      <w:kern w:val="2"/>
      <w:sz w:val="21"/>
      <w:szCs w:val="24"/>
      <w:lang w:val="en-US" w:eastAsia="zh-CN" w:bidi="ar-SA"/>
    </w:rPr>
  </w:style>
  <w:style w:type="character" w:customStyle="1" w:styleId="327">
    <w:name w:val="正文文字首行缩进 Char"/>
    <w:qFormat/>
    <w:uiPriority w:val="0"/>
    <w:rPr>
      <w:rFonts w:ascii="仿宋_GB2312" w:eastAsia="仿宋_GB2312"/>
      <w:kern w:val="2"/>
      <w:sz w:val="32"/>
      <w:lang w:val="en-US" w:eastAsia="zh-CN" w:bidi="ar-SA"/>
    </w:rPr>
  </w:style>
  <w:style w:type="character" w:customStyle="1" w:styleId="328">
    <w:name w:val="unnamed3"/>
    <w:basedOn w:val="60"/>
    <w:qFormat/>
    <w:uiPriority w:val="0"/>
  </w:style>
  <w:style w:type="character" w:customStyle="1" w:styleId="329">
    <w:name w:val="批注文字 Char3"/>
    <w:qFormat/>
    <w:uiPriority w:val="0"/>
    <w:rPr>
      <w:rFonts w:eastAsia="宋体"/>
      <w:kern w:val="2"/>
      <w:sz w:val="21"/>
      <w:szCs w:val="24"/>
      <w:lang w:val="en-US" w:eastAsia="zh-CN" w:bidi="ar-SA"/>
    </w:rPr>
  </w:style>
  <w:style w:type="character" w:customStyle="1" w:styleId="330">
    <w:name w:val="普通文字 Char Char2"/>
    <w:qFormat/>
    <w:uiPriority w:val="0"/>
    <w:rPr>
      <w:rFonts w:ascii="宋体" w:hAnsi="Courier New" w:eastAsia="宋体"/>
      <w:kern w:val="2"/>
      <w:sz w:val="21"/>
      <w:lang w:val="en-US" w:eastAsia="zh-CN" w:bidi="ar-SA"/>
    </w:rPr>
  </w:style>
  <w:style w:type="character" w:customStyle="1" w:styleId="331">
    <w:name w:val="graytext1"/>
    <w:qFormat/>
    <w:uiPriority w:val="0"/>
    <w:rPr>
      <w:color w:val="666666"/>
    </w:rPr>
  </w:style>
  <w:style w:type="character" w:customStyle="1" w:styleId="332">
    <w:name w:val="gray12"/>
    <w:basedOn w:val="60"/>
    <w:qFormat/>
    <w:uiPriority w:val="0"/>
  </w:style>
  <w:style w:type="character" w:customStyle="1" w:styleId="333">
    <w:name w:val="正文首行缩进 2 Char"/>
    <w:link w:val="2"/>
    <w:qFormat/>
    <w:uiPriority w:val="0"/>
    <w:rPr>
      <w:rFonts w:ascii="Times New Roman" w:hAnsi="Times New Roman" w:eastAsia="宋体" w:cs="Times New Roman"/>
      <w:sz w:val="32"/>
      <w:szCs w:val="24"/>
    </w:rPr>
  </w:style>
  <w:style w:type="character" w:customStyle="1" w:styleId="334">
    <w:name w:val="正文文本 2 Char"/>
    <w:link w:val="49"/>
    <w:qFormat/>
    <w:uiPriority w:val="0"/>
    <w:rPr>
      <w:rFonts w:ascii="Times New Roman" w:hAnsi="Times New Roman" w:eastAsia="宋体" w:cs="Times New Roman"/>
      <w:szCs w:val="24"/>
    </w:rPr>
  </w:style>
  <w:style w:type="character" w:customStyle="1" w:styleId="335">
    <w:name w:val="Char Char20"/>
    <w:qFormat/>
    <w:uiPriority w:val="0"/>
    <w:rPr>
      <w:rFonts w:ascii="Times New Roman" w:hAnsi="Times New Roman" w:eastAsia="宋体" w:cs="Times New Roman"/>
      <w:b/>
      <w:bCs/>
      <w:sz w:val="24"/>
      <w:szCs w:val="32"/>
    </w:rPr>
  </w:style>
  <w:style w:type="character" w:customStyle="1" w:styleId="336">
    <w:name w:val="Title3 Char1"/>
    <w:qFormat/>
    <w:uiPriority w:val="0"/>
    <w:rPr>
      <w:rFonts w:eastAsia="宋体"/>
      <w:b/>
      <w:bCs/>
      <w:kern w:val="2"/>
      <w:sz w:val="32"/>
      <w:szCs w:val="32"/>
      <w:lang w:val="en-US" w:eastAsia="zh-CN" w:bidi="ar-SA"/>
    </w:rPr>
  </w:style>
  <w:style w:type="character" w:customStyle="1" w:styleId="337">
    <w:name w:val="style54"/>
    <w:basedOn w:val="60"/>
    <w:qFormat/>
    <w:uiPriority w:val="0"/>
  </w:style>
  <w:style w:type="character" w:customStyle="1" w:styleId="338">
    <w:name w:val="无间隔 Char"/>
    <w:link w:val="206"/>
    <w:qFormat/>
    <w:uiPriority w:val="0"/>
    <w:rPr>
      <w:szCs w:val="24"/>
      <w:lang w:val="en-US" w:eastAsia="zh-CN" w:bidi="ar-SA"/>
    </w:rPr>
  </w:style>
  <w:style w:type="character" w:customStyle="1" w:styleId="339">
    <w:name w:val="Char Char221"/>
    <w:qFormat/>
    <w:uiPriority w:val="0"/>
    <w:rPr>
      <w:rFonts w:eastAsia="宋体"/>
      <w:b/>
      <w:kern w:val="2"/>
      <w:sz w:val="28"/>
      <w:szCs w:val="24"/>
      <w:lang w:val="en-US" w:eastAsia="zh-CN" w:bidi="ar-SA"/>
    </w:rPr>
  </w:style>
  <w:style w:type="character" w:customStyle="1" w:styleId="340">
    <w:name w:val="Body Text Char"/>
    <w:qFormat/>
    <w:locked/>
    <w:uiPriority w:val="0"/>
    <w:rPr>
      <w:rFonts w:eastAsia="宋体"/>
      <w:kern w:val="2"/>
      <w:sz w:val="24"/>
      <w:szCs w:val="24"/>
      <w:lang w:val="en-US" w:eastAsia="zh-CN" w:bidi="ar-SA"/>
    </w:rPr>
  </w:style>
  <w:style w:type="character" w:customStyle="1" w:styleId="341">
    <w:name w:val="case31"/>
    <w:qFormat/>
    <w:uiPriority w:val="0"/>
    <w:rPr>
      <w:rFonts w:hint="default"/>
      <w:spacing w:val="390"/>
      <w:sz w:val="21"/>
      <w:szCs w:val="21"/>
    </w:rPr>
  </w:style>
  <w:style w:type="character" w:customStyle="1" w:styleId="342">
    <w:name w:val="标题 9 Char"/>
    <w:link w:val="15"/>
    <w:qFormat/>
    <w:uiPriority w:val="0"/>
    <w:rPr>
      <w:rFonts w:ascii="Arial" w:hAnsi="Arial" w:eastAsia="黑体" w:cs="Times New Roman"/>
      <w:szCs w:val="24"/>
    </w:rPr>
  </w:style>
  <w:style w:type="character" w:customStyle="1" w:styleId="343">
    <w:name w:val="f151"/>
    <w:qFormat/>
    <w:uiPriority w:val="0"/>
    <w:rPr>
      <w:sz w:val="23"/>
      <w:szCs w:val="23"/>
    </w:rPr>
  </w:style>
  <w:style w:type="character" w:customStyle="1" w:styleId="344">
    <w:name w:val="Char Char24"/>
    <w:qFormat/>
    <w:uiPriority w:val="0"/>
    <w:rPr>
      <w:rFonts w:eastAsia="宋体"/>
      <w:b/>
      <w:bCs/>
      <w:kern w:val="44"/>
      <w:sz w:val="32"/>
      <w:szCs w:val="44"/>
      <w:lang w:val="en-US" w:eastAsia="zh-CN" w:bidi="ar-SA"/>
    </w:rPr>
  </w:style>
  <w:style w:type="character" w:customStyle="1" w:styleId="345">
    <w:name w:val="p1"/>
    <w:basedOn w:val="60"/>
    <w:qFormat/>
    <w:uiPriority w:val="0"/>
  </w:style>
  <w:style w:type="character" w:customStyle="1" w:styleId="346">
    <w:name w:val="Char Char26"/>
    <w:qFormat/>
    <w:uiPriority w:val="0"/>
    <w:rPr>
      <w:rFonts w:ascii="Arial" w:hAnsi="Arial" w:eastAsia="黑体"/>
      <w:b/>
      <w:bCs/>
      <w:sz w:val="32"/>
      <w:szCs w:val="32"/>
      <w:lang w:bidi="ar-SA"/>
    </w:rPr>
  </w:style>
  <w:style w:type="character" w:customStyle="1" w:styleId="347">
    <w:name w:val="Char Char231"/>
    <w:qFormat/>
    <w:uiPriority w:val="0"/>
    <w:rPr>
      <w:rFonts w:ascii="Times New Roman" w:hAnsi="Times New Roman" w:eastAsia="宋体" w:cs="Times New Roman"/>
      <w:b/>
      <w:bCs/>
      <w:kern w:val="44"/>
      <w:sz w:val="44"/>
      <w:szCs w:val="44"/>
    </w:rPr>
  </w:style>
  <w:style w:type="character" w:customStyle="1" w:styleId="348">
    <w:name w:val="Char Char6"/>
    <w:qFormat/>
    <w:uiPriority w:val="0"/>
    <w:rPr>
      <w:rFonts w:eastAsia="宋体"/>
      <w:b/>
      <w:bCs/>
      <w:kern w:val="44"/>
      <w:sz w:val="32"/>
      <w:szCs w:val="44"/>
      <w:lang w:val="en-US" w:eastAsia="zh-CN" w:bidi="ar-SA"/>
    </w:rPr>
  </w:style>
  <w:style w:type="character" w:customStyle="1" w:styleId="349">
    <w:name w:val="Heading 5 Char"/>
    <w:qFormat/>
    <w:uiPriority w:val="0"/>
    <w:rPr>
      <w:rFonts w:eastAsia="宋体"/>
      <w:b/>
      <w:bCs/>
      <w:kern w:val="2"/>
      <w:sz w:val="28"/>
      <w:szCs w:val="28"/>
      <w:lang w:val="en-US" w:eastAsia="zh-CN" w:bidi="ar-SA"/>
    </w:rPr>
  </w:style>
  <w:style w:type="character" w:customStyle="1" w:styleId="350">
    <w:name w:val="标题 8 Char"/>
    <w:link w:val="14"/>
    <w:qFormat/>
    <w:uiPriority w:val="0"/>
    <w:rPr>
      <w:rFonts w:ascii="Arial" w:hAnsi="Arial" w:eastAsia="黑体" w:cs="Times New Roman"/>
      <w:sz w:val="24"/>
      <w:szCs w:val="24"/>
    </w:rPr>
  </w:style>
  <w:style w:type="character" w:customStyle="1" w:styleId="351">
    <w:name w:val="标题 2 Char"/>
    <w:link w:val="6"/>
    <w:qFormat/>
    <w:uiPriority w:val="0"/>
    <w:rPr>
      <w:rFonts w:ascii="Arial" w:hAnsi="Arial" w:eastAsia="黑体" w:cs="Times New Roman"/>
      <w:b/>
      <w:bCs/>
      <w:szCs w:val="32"/>
    </w:rPr>
  </w:style>
  <w:style w:type="character" w:customStyle="1" w:styleId="352">
    <w:name w:val="1ji Char"/>
    <w:link w:val="147"/>
    <w:qFormat/>
    <w:uiPriority w:val="0"/>
    <w:rPr>
      <w:rFonts w:ascii="宋体" w:hAnsi="宋体" w:eastAsia="宋体" w:cs="Times New Roman"/>
      <w:b/>
      <w:bCs/>
      <w:kern w:val="44"/>
      <w:sz w:val="36"/>
      <w:szCs w:val="44"/>
    </w:rPr>
  </w:style>
  <w:style w:type="character" w:customStyle="1" w:styleId="353">
    <w:name w:val="批注框文本 Char1"/>
    <w:qFormat/>
    <w:uiPriority w:val="0"/>
    <w:rPr>
      <w:rFonts w:ascii="Times New Roman" w:hAnsi="Times New Roman" w:eastAsia="宋体" w:cs="Times New Roman"/>
      <w:sz w:val="18"/>
      <w:szCs w:val="18"/>
    </w:rPr>
  </w:style>
  <w:style w:type="character" w:customStyle="1" w:styleId="354">
    <w:name w:val="手改 Char Char"/>
    <w:qFormat/>
    <w:uiPriority w:val="0"/>
    <w:rPr>
      <w:rFonts w:ascii="宋体" w:eastAsia="宋体"/>
      <w:sz w:val="34"/>
      <w:lang w:val="en-US" w:eastAsia="zh-CN" w:bidi="ar-SA"/>
    </w:rPr>
  </w:style>
  <w:style w:type="character" w:customStyle="1" w:styleId="355">
    <w:name w:val="header odd Char Char"/>
    <w:qFormat/>
    <w:uiPriority w:val="0"/>
    <w:rPr>
      <w:rFonts w:ascii="宋体" w:hAnsi="Courier New" w:eastAsia="宋体"/>
      <w:kern w:val="2"/>
      <w:sz w:val="18"/>
      <w:lang w:val="en-US" w:eastAsia="zh-CN" w:bidi="ar-SA"/>
    </w:rPr>
  </w:style>
  <w:style w:type="character" w:customStyle="1" w:styleId="356">
    <w:name w:val="Footnote Text Char"/>
    <w:qFormat/>
    <w:uiPriority w:val="0"/>
    <w:rPr>
      <w:rFonts w:eastAsia="宋体"/>
      <w:sz w:val="18"/>
      <w:lang w:val="en-US" w:eastAsia="zh-CN" w:bidi="ar-SA"/>
    </w:rPr>
  </w:style>
  <w:style w:type="character" w:customStyle="1" w:styleId="357">
    <w:name w:val="标题 3 Char Char Char"/>
    <w:qFormat/>
    <w:locked/>
    <w:uiPriority w:val="0"/>
    <w:rPr>
      <w:rFonts w:ascii="宋体" w:hAnsi="宋体" w:eastAsia="宋体"/>
      <w:b/>
      <w:bCs/>
      <w:sz w:val="24"/>
      <w:szCs w:val="32"/>
      <w:lang w:val="en-US" w:eastAsia="zh-CN" w:bidi="ar-SA"/>
    </w:rPr>
  </w:style>
  <w:style w:type="character" w:customStyle="1" w:styleId="358">
    <w:name w:val="正文--2字符首行缩进 Char Char"/>
    <w:link w:val="171"/>
    <w:qFormat/>
    <w:locked/>
    <w:uiPriority w:val="0"/>
    <w:rPr>
      <w:rFonts w:ascii="仿宋_GB2312" w:eastAsia="仿宋_GB2312"/>
      <w:sz w:val="24"/>
      <w:lang w:bidi="ar-SA"/>
    </w:rPr>
  </w:style>
  <w:style w:type="character" w:customStyle="1" w:styleId="359">
    <w:name w:val="_Style 349"/>
    <w:qFormat/>
    <w:uiPriority w:val="0"/>
    <w:rPr>
      <w:b/>
      <w:bCs/>
      <w:smallCaps/>
      <w:color w:val="C0504D"/>
      <w:spacing w:val="5"/>
      <w:u w:val="single"/>
    </w:rPr>
  </w:style>
  <w:style w:type="character" w:customStyle="1" w:styleId="360">
    <w:name w:val="Char Char201"/>
    <w:qFormat/>
    <w:uiPriority w:val="0"/>
    <w:rPr>
      <w:rFonts w:eastAsia="宋体"/>
      <w:b/>
      <w:kern w:val="2"/>
      <w:sz w:val="24"/>
      <w:szCs w:val="24"/>
      <w:lang w:val="en-US" w:eastAsia="zh-CN" w:bidi="ar-SA"/>
    </w:rPr>
  </w:style>
  <w:style w:type="character" w:customStyle="1" w:styleId="361">
    <w:name w:val="Char Char12"/>
    <w:qFormat/>
    <w:uiPriority w:val="0"/>
    <w:rPr>
      <w:sz w:val="18"/>
    </w:rPr>
  </w:style>
  <w:style w:type="character" w:customStyle="1" w:styleId="362">
    <w:name w:val="批注主题 Char1"/>
    <w:qFormat/>
    <w:uiPriority w:val="0"/>
    <w:rPr>
      <w:rFonts w:ascii="Times New Roman" w:hAnsi="Times New Roman" w:eastAsia="宋体" w:cs="Times New Roman"/>
      <w:b/>
      <w:bCs/>
      <w:szCs w:val="24"/>
    </w:rPr>
  </w:style>
  <w:style w:type="character" w:customStyle="1" w:styleId="363">
    <w:name w:val="仿宋缩进2字符 Char"/>
    <w:link w:val="165"/>
    <w:qFormat/>
    <w:uiPriority w:val="0"/>
    <w:rPr>
      <w:rFonts w:ascii="仿宋" w:hAnsi="仿宋" w:eastAsia="仿宋"/>
      <w:kern w:val="2"/>
      <w:sz w:val="28"/>
      <w:szCs w:val="28"/>
    </w:rPr>
  </w:style>
  <w:style w:type="character" w:customStyle="1" w:styleId="364">
    <w:name w:val="脚注文本 Char1"/>
    <w:semiHidden/>
    <w:qFormat/>
    <w:uiPriority w:val="99"/>
    <w:rPr>
      <w:rFonts w:ascii="Times New Roman" w:hAnsi="Times New Roman" w:eastAsia="宋体" w:cs="Times New Roman"/>
      <w:sz w:val="18"/>
      <w:szCs w:val="18"/>
    </w:rPr>
  </w:style>
  <w:style w:type="character" w:customStyle="1" w:styleId="365">
    <w:name w:val="Char Char22"/>
    <w:qFormat/>
    <w:uiPriority w:val="0"/>
    <w:rPr>
      <w:rFonts w:ascii="Times New Roman" w:hAnsi="Times New Roman" w:eastAsia="宋体" w:cs="Times New Roman"/>
      <w:b/>
      <w:bCs/>
      <w:kern w:val="44"/>
      <w:sz w:val="32"/>
      <w:szCs w:val="44"/>
    </w:rPr>
  </w:style>
  <w:style w:type="character" w:customStyle="1" w:styleId="366">
    <w:name w:val="正文文本缩进 Char"/>
    <w:link w:val="3"/>
    <w:qFormat/>
    <w:uiPriority w:val="0"/>
    <w:rPr>
      <w:rFonts w:ascii="仿宋_GB2312" w:hAnsi="Times New Roman" w:eastAsia="仿宋_GB2312" w:cs="Times New Roman"/>
      <w:sz w:val="32"/>
      <w:szCs w:val="20"/>
    </w:rPr>
  </w:style>
  <w:style w:type="character" w:customStyle="1" w:styleId="367">
    <w:name w:val="引用 Char1"/>
    <w:qFormat/>
    <w:uiPriority w:val="0"/>
    <w:rPr>
      <w:rFonts w:ascii="Times New Roman" w:hAnsi="Times New Roman" w:eastAsia="宋体" w:cs="Times New Roman"/>
      <w:i/>
      <w:iCs/>
      <w:color w:val="000000"/>
      <w:szCs w:val="24"/>
    </w:rPr>
  </w:style>
  <w:style w:type="character" w:customStyle="1" w:styleId="368">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369">
    <w:name w:val="Body Text Indent 2 Char"/>
    <w:qFormat/>
    <w:uiPriority w:val="0"/>
    <w:rPr>
      <w:rFonts w:eastAsia="宋体"/>
      <w:kern w:val="2"/>
      <w:sz w:val="21"/>
      <w:szCs w:val="24"/>
      <w:lang w:val="en-US" w:eastAsia="zh-CN" w:bidi="ar-SA"/>
    </w:rPr>
  </w:style>
  <w:style w:type="character" w:customStyle="1" w:styleId="370">
    <w:name w:val="标题 3 Char1"/>
    <w:link w:val="7"/>
    <w:qFormat/>
    <w:uiPriority w:val="0"/>
    <w:rPr>
      <w:rFonts w:ascii="Times New Roman" w:hAnsi="Times New Roman" w:eastAsia="黑体" w:cs="Times New Roman"/>
      <w:b/>
      <w:bCs/>
      <w:szCs w:val="32"/>
    </w:rPr>
  </w:style>
  <w:style w:type="character" w:customStyle="1" w:styleId="371">
    <w:name w:val="Report Text Char"/>
    <w:link w:val="188"/>
    <w:qFormat/>
    <w:uiPriority w:val="0"/>
    <w:rPr>
      <w:rFonts w:ascii="Arial" w:hAnsi="Arial" w:eastAsia="宋体" w:cs="Tahoma"/>
      <w:kern w:val="28"/>
      <w:sz w:val="22"/>
      <w:szCs w:val="20"/>
    </w:rPr>
  </w:style>
  <w:style w:type="character" w:customStyle="1" w:styleId="372">
    <w:name w:val="Footer Char"/>
    <w:qFormat/>
    <w:uiPriority w:val="0"/>
    <w:rPr>
      <w:rFonts w:eastAsia="宋体"/>
      <w:kern w:val="2"/>
      <w:sz w:val="18"/>
      <w:szCs w:val="18"/>
      <w:lang w:val="en-US" w:eastAsia="zh-CN" w:bidi="ar-SA"/>
    </w:rPr>
  </w:style>
  <w:style w:type="character" w:customStyle="1" w:styleId="373">
    <w:name w:val="_Style 363"/>
    <w:qFormat/>
    <w:uiPriority w:val="0"/>
    <w:rPr>
      <w:b/>
      <w:bCs/>
      <w:smallCaps/>
      <w:spacing w:val="5"/>
    </w:rPr>
  </w:style>
  <w:style w:type="character" w:customStyle="1" w:styleId="374">
    <w:name w:val="H2 Char"/>
    <w:qFormat/>
    <w:uiPriority w:val="0"/>
    <w:rPr>
      <w:rFonts w:ascii="Arial" w:hAnsi="Arial" w:eastAsia="黑体" w:cs="Times New Roman"/>
      <w:b/>
      <w:bCs/>
      <w:sz w:val="32"/>
      <w:szCs w:val="32"/>
    </w:rPr>
  </w:style>
  <w:style w:type="character" w:customStyle="1" w:styleId="375">
    <w:name w:val="明显引用 Char1"/>
    <w:qFormat/>
    <w:uiPriority w:val="0"/>
    <w:rPr>
      <w:rFonts w:ascii="Times New Roman" w:hAnsi="Times New Roman" w:eastAsia="宋体" w:cs="Times New Roman"/>
      <w:b/>
      <w:bCs/>
      <w:i/>
      <w:iCs/>
      <w:color w:val="4F81BD"/>
      <w:szCs w:val="24"/>
    </w:rPr>
  </w:style>
  <w:style w:type="character" w:customStyle="1" w:styleId="376">
    <w:name w:val="Char Char241"/>
    <w:qFormat/>
    <w:uiPriority w:val="0"/>
    <w:rPr>
      <w:rFonts w:ascii="Arial" w:hAnsi="Arial" w:eastAsia="黑体"/>
      <w:sz w:val="28"/>
      <w:lang w:bidi="ar-SA"/>
    </w:rPr>
  </w:style>
  <w:style w:type="character" w:customStyle="1" w:styleId="377">
    <w:name w:val="Char Char191"/>
    <w:qFormat/>
    <w:uiPriority w:val="0"/>
    <w:rPr>
      <w:rFonts w:ascii="Arial" w:hAnsi="Arial" w:eastAsia="黑体"/>
      <w:kern w:val="2"/>
      <w:sz w:val="24"/>
      <w:szCs w:val="24"/>
      <w:lang w:val="en-US" w:eastAsia="zh-CN" w:bidi="ar-SA"/>
    </w:rPr>
  </w:style>
  <w:style w:type="character" w:customStyle="1" w:styleId="378">
    <w:name w:val="纯文本 Char"/>
    <w:qFormat/>
    <w:uiPriority w:val="0"/>
    <w:rPr>
      <w:rFonts w:ascii="宋体" w:hAnsi="Courier New" w:eastAsia="宋体" w:cs="Courier New"/>
      <w:szCs w:val="21"/>
    </w:rPr>
  </w:style>
  <w:style w:type="character" w:customStyle="1" w:styleId="379">
    <w:name w:val="white"/>
    <w:basedOn w:val="60"/>
    <w:qFormat/>
    <w:uiPriority w:val="0"/>
  </w:style>
  <w:style w:type="character" w:customStyle="1" w:styleId="380">
    <w:name w:val="正文缩进 Char"/>
    <w:link w:val="10"/>
    <w:qFormat/>
    <w:locked/>
    <w:uiPriority w:val="0"/>
    <w:rPr>
      <w:rFonts w:ascii="Times New Roman" w:hAnsi="Times New Roman" w:eastAsia="宋体" w:cs="Times New Roman"/>
      <w:szCs w:val="20"/>
    </w:rPr>
  </w:style>
  <w:style w:type="paragraph" w:customStyle="1" w:styleId="381">
    <w:name w:val="表格文字"/>
    <w:basedOn w:val="1"/>
    <w:qFormat/>
    <w:uiPriority w:val="99"/>
    <w:pPr>
      <w:spacing w:before="25" w:after="25"/>
      <w:ind w:firstLine="315" w:firstLineChars="150"/>
      <w:jc w:val="left"/>
    </w:pPr>
    <w:rPr>
      <w:bCs/>
      <w:color w:val="000000"/>
      <w:szCs w:val="21"/>
    </w:rPr>
  </w:style>
  <w:style w:type="character" w:customStyle="1" w:styleId="382">
    <w:name w:val="hover1"/>
    <w:basedOn w:val="60"/>
    <w:qFormat/>
    <w:uiPriority w:val="0"/>
    <w:rPr>
      <w:color w:val="2590EB"/>
    </w:rPr>
  </w:style>
  <w:style w:type="character" w:customStyle="1" w:styleId="383">
    <w:name w:val="hover2"/>
    <w:basedOn w:val="60"/>
    <w:qFormat/>
    <w:uiPriority w:val="0"/>
    <w:rPr>
      <w:color w:val="2590EB"/>
    </w:rPr>
  </w:style>
  <w:style w:type="character" w:customStyle="1" w:styleId="384">
    <w:name w:val="hover3"/>
    <w:basedOn w:val="60"/>
    <w:qFormat/>
    <w:uiPriority w:val="0"/>
  </w:style>
  <w:style w:type="character" w:customStyle="1" w:styleId="385">
    <w:name w:val="hover"/>
    <w:basedOn w:val="60"/>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36389</Words>
  <Characters>38535</Characters>
  <Lines>104</Lines>
  <Paragraphs>116</Paragraphs>
  <TotalTime>4</TotalTime>
  <ScaleCrop>false</ScaleCrop>
  <LinksUpToDate>false</LinksUpToDate>
  <CharactersWithSpaces>43304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2020-10-14T02:19:00Z</dcterms:created>
  <dc:creator>User</dc:creator>
  <cp:lastModifiedBy>沉默</cp:lastModifiedBy>
  <cp:lastPrinted>2020-12-09T01:34:00Z</cp:lastPrinted>
  <dcterms:modified xsi:type="dcterms:W3CDTF">2020-12-30T04:11:54Z</dcterms:modified>
  <dc:title>北 海 市 政 府 采 购 中 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