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360" w:lineRule="auto"/>
        <w:jc w:val="both"/>
        <w:rPr>
          <w:rFonts w:hAnsi="宋体"/>
          <w:b/>
          <w:color w:val="auto"/>
          <w:spacing w:val="-18"/>
          <w:sz w:val="32"/>
          <w:szCs w:val="32"/>
        </w:rPr>
      </w:pPr>
    </w:p>
    <w:p>
      <w:pPr>
        <w:pStyle w:val="16"/>
        <w:spacing w:line="360" w:lineRule="auto"/>
        <w:jc w:val="center"/>
        <w:rPr>
          <w:rFonts w:hAnsi="宋体"/>
          <w:b/>
          <w:color w:val="auto"/>
          <w:spacing w:val="-18"/>
          <w:sz w:val="96"/>
        </w:rPr>
      </w:pPr>
      <w:r>
        <w:rPr>
          <w:rFonts w:hint="eastAsia" w:hAnsi="宋体"/>
          <w:b/>
          <w:color w:val="auto"/>
          <w:spacing w:val="-18"/>
          <w:sz w:val="96"/>
        </w:rPr>
        <w:t>公开招标采购文件</w:t>
      </w:r>
    </w:p>
    <w:p>
      <w:pPr>
        <w:pStyle w:val="2"/>
        <w:spacing w:before="12" w:line="360" w:lineRule="auto"/>
        <w:jc w:val="center"/>
        <w:rPr>
          <w:color w:val="auto"/>
          <w:sz w:val="128"/>
        </w:rPr>
      </w:pPr>
    </w:p>
    <w:p>
      <w:pPr>
        <w:pStyle w:val="4"/>
        <w:spacing w:before="0" w:line="360" w:lineRule="auto"/>
        <w:ind w:left="2977" w:right="240" w:hanging="1602"/>
        <w:rPr>
          <w:color w:val="auto"/>
          <w:spacing w:val="-6"/>
        </w:rPr>
      </w:pPr>
    </w:p>
    <w:p>
      <w:pPr>
        <w:pStyle w:val="4"/>
        <w:spacing w:before="0" w:line="360" w:lineRule="auto"/>
        <w:ind w:left="2603" w:leftChars="599" w:right="238" w:hanging="1285" w:hangingChars="400"/>
        <w:rPr>
          <w:color w:val="auto"/>
          <w:sz w:val="32"/>
        </w:rPr>
      </w:pPr>
      <w:bookmarkStart w:id="0" w:name="_Toc10904"/>
      <w:r>
        <w:rPr>
          <w:color w:val="auto"/>
          <w:sz w:val="32"/>
          <w:szCs w:val="22"/>
        </w:rPr>
        <w:t>项目名称：</w:t>
      </w:r>
      <w:bookmarkEnd w:id="0"/>
      <w:r>
        <w:rPr>
          <w:rFonts w:hint="eastAsia"/>
          <w:color w:val="auto"/>
          <w:sz w:val="32"/>
          <w:szCs w:val="22"/>
        </w:rPr>
        <w:t>大新德天至宁明花山公路（硕龙至天西段）二期工程全过程造价咨询（从项目实施阶段起）</w:t>
      </w:r>
    </w:p>
    <w:p>
      <w:pPr>
        <w:spacing w:before="54" w:line="480" w:lineRule="auto"/>
        <w:ind w:left="1375"/>
        <w:rPr>
          <w:rFonts w:hint="eastAsia" w:eastAsia="宋体"/>
          <w:b/>
          <w:bCs/>
          <w:color w:val="auto"/>
          <w:sz w:val="32"/>
          <w:lang w:eastAsia="zh-CN"/>
        </w:rPr>
      </w:pPr>
      <w:r>
        <w:rPr>
          <w:rFonts w:hint="eastAsia"/>
          <w:b/>
          <w:bCs/>
          <w:color w:val="auto"/>
          <w:sz w:val="32"/>
          <w:lang w:eastAsia="zh-CN"/>
        </w:rPr>
        <w:t>项目编号：CZZC2020-G3-000242-HWST</w:t>
      </w:r>
    </w:p>
    <w:p>
      <w:pPr>
        <w:spacing w:before="54" w:line="480" w:lineRule="auto"/>
        <w:ind w:left="1375"/>
        <w:rPr>
          <w:rFonts w:hint="eastAsia" w:eastAsia="宋体"/>
          <w:b/>
          <w:bCs/>
          <w:color w:val="auto"/>
          <w:sz w:val="32"/>
          <w:lang w:val="en-US" w:eastAsia="zh-CN"/>
        </w:rPr>
      </w:pPr>
      <w:r>
        <w:rPr>
          <w:b/>
          <w:bCs/>
          <w:color w:val="auto"/>
          <w:sz w:val="32"/>
        </w:rPr>
        <w:t>采购</w:t>
      </w:r>
      <w:r>
        <w:rPr>
          <w:rFonts w:hint="eastAsia"/>
          <w:b/>
          <w:bCs/>
          <w:color w:val="auto"/>
          <w:sz w:val="32"/>
        </w:rPr>
        <w:t>人</w:t>
      </w:r>
      <w:r>
        <w:rPr>
          <w:b/>
          <w:bCs/>
          <w:color w:val="auto"/>
          <w:sz w:val="32"/>
        </w:rPr>
        <w:t>：</w:t>
      </w:r>
      <w:r>
        <w:rPr>
          <w:rFonts w:hint="eastAsia"/>
          <w:b/>
          <w:bCs/>
          <w:color w:val="auto"/>
          <w:sz w:val="32"/>
          <w:lang w:val="en-US"/>
        </w:rPr>
        <w:t>崇左市交通运输局</w:t>
      </w:r>
    </w:p>
    <w:p>
      <w:pPr>
        <w:spacing w:before="54" w:line="480" w:lineRule="auto"/>
        <w:ind w:left="1375"/>
        <w:rPr>
          <w:b/>
          <w:bCs/>
          <w:color w:val="auto"/>
          <w:sz w:val="32"/>
        </w:rPr>
      </w:pPr>
      <w:r>
        <w:rPr>
          <w:rFonts w:hint="eastAsia"/>
          <w:b/>
          <w:bCs/>
          <w:color w:val="auto"/>
          <w:sz w:val="32"/>
        </w:rPr>
        <w:t>采购</w:t>
      </w:r>
      <w:r>
        <w:rPr>
          <w:b/>
          <w:bCs/>
          <w:color w:val="auto"/>
          <w:sz w:val="32"/>
        </w:rPr>
        <w:t>代理机构：</w:t>
      </w:r>
      <w:r>
        <w:rPr>
          <w:rFonts w:hint="eastAsia"/>
          <w:b/>
          <w:bCs/>
          <w:color w:val="auto"/>
          <w:sz w:val="32"/>
        </w:rPr>
        <w:t>华物盛泰工程咨询管理有限公司</w:t>
      </w:r>
    </w:p>
    <w:p>
      <w:pPr>
        <w:spacing w:before="54" w:line="480" w:lineRule="auto"/>
        <w:ind w:left="1375"/>
        <w:jc w:val="center"/>
        <w:rPr>
          <w:rFonts w:hint="eastAsia"/>
          <w:b/>
          <w:bCs/>
          <w:color w:val="auto"/>
          <w:sz w:val="32"/>
        </w:rPr>
      </w:pPr>
      <w:r>
        <w:rPr>
          <w:rFonts w:hint="eastAsia"/>
          <w:b/>
          <w:bCs/>
          <w:color w:val="auto"/>
          <w:sz w:val="32"/>
        </w:rPr>
        <w:t>20</w:t>
      </w:r>
      <w:r>
        <w:rPr>
          <w:rFonts w:hint="eastAsia"/>
          <w:b/>
          <w:bCs/>
          <w:color w:val="auto"/>
          <w:sz w:val="32"/>
          <w:lang w:val="en-US"/>
        </w:rPr>
        <w:t>2</w:t>
      </w:r>
      <w:r>
        <w:rPr>
          <w:rFonts w:hint="eastAsia"/>
          <w:b/>
          <w:bCs/>
          <w:color w:val="auto"/>
          <w:sz w:val="32"/>
          <w:lang w:val="en-US" w:eastAsia="zh-CN"/>
        </w:rPr>
        <w:t>0</w:t>
      </w:r>
      <w:r>
        <w:rPr>
          <w:rFonts w:hint="eastAsia"/>
          <w:b/>
          <w:bCs/>
          <w:color w:val="auto"/>
          <w:sz w:val="32"/>
        </w:rPr>
        <w:t>年</w:t>
      </w:r>
      <w:r>
        <w:rPr>
          <w:rFonts w:hint="eastAsia"/>
          <w:b/>
          <w:bCs/>
          <w:color w:val="auto"/>
          <w:sz w:val="32"/>
          <w:lang w:val="en-US" w:eastAsia="zh-CN"/>
        </w:rPr>
        <w:t>11</w:t>
      </w:r>
      <w:r>
        <w:rPr>
          <w:rFonts w:hint="eastAsia"/>
          <w:b/>
          <w:bCs/>
          <w:color w:val="auto"/>
          <w:sz w:val="32"/>
        </w:rPr>
        <w:t>月</w:t>
      </w:r>
    </w:p>
    <w:p>
      <w:pPr>
        <w:jc w:val="center"/>
        <w:rPr>
          <w:b/>
          <w:bCs/>
          <w:color w:val="auto"/>
          <w:sz w:val="32"/>
        </w:rPr>
        <w:sectPr>
          <w:pgSz w:w="11920" w:h="16850"/>
          <w:pgMar w:top="1600" w:right="720" w:bottom="280" w:left="1020" w:header="720" w:footer="720" w:gutter="0"/>
          <w:cols w:space="720" w:num="1"/>
        </w:sectPr>
      </w:pPr>
    </w:p>
    <w:p>
      <w:pPr>
        <w:pStyle w:val="2"/>
        <w:rPr>
          <w:b/>
          <w:color w:val="auto"/>
          <w:sz w:val="20"/>
        </w:rPr>
      </w:pPr>
    </w:p>
    <w:p>
      <w:pPr>
        <w:spacing w:before="50"/>
        <w:ind w:right="360"/>
        <w:jc w:val="center"/>
        <w:rPr>
          <w:b/>
          <w:color w:val="auto"/>
          <w:sz w:val="36"/>
        </w:rPr>
      </w:pPr>
      <w:r>
        <w:rPr>
          <w:b/>
          <w:color w:val="auto"/>
          <w:sz w:val="36"/>
        </w:rPr>
        <w:t>目 录</w:t>
      </w:r>
    </w:p>
    <w:sdt>
      <w:sdtPr>
        <w:rPr>
          <w:b/>
          <w:bCs/>
          <w:color w:val="auto"/>
          <w:sz w:val="32"/>
          <w:szCs w:val="32"/>
        </w:rPr>
        <w:id w:val="587890"/>
        <w:docPartObj>
          <w:docPartGallery w:val="Table of Contents"/>
          <w:docPartUnique/>
        </w:docPartObj>
      </w:sdtPr>
      <w:sdtEndPr>
        <w:rPr>
          <w:b/>
          <w:bCs/>
          <w:color w:val="auto"/>
          <w:sz w:val="32"/>
          <w:szCs w:val="32"/>
        </w:rPr>
      </w:sdtEndPr>
      <w:sdtContent>
        <w:p>
          <w:pPr>
            <w:rPr>
              <w:color w:val="auto"/>
            </w:rPr>
          </w:pPr>
          <w:r>
            <w:rPr>
              <w:color w:val="auto"/>
            </w:rPr>
            <w:fldChar w:fldCharType="begin"/>
          </w:r>
          <w:r>
            <w:rPr>
              <w:color w:val="auto"/>
            </w:rPr>
            <w:instrText xml:space="preserve">TOC \o "1-1" \h \z \u </w:instrText>
          </w:r>
          <w:r>
            <w:rPr>
              <w:color w:val="auto"/>
            </w:rPr>
            <w:fldChar w:fldCharType="separate"/>
          </w:r>
        </w:p>
        <w:p>
          <w:pPr>
            <w:pStyle w:val="21"/>
            <w:tabs>
              <w:tab w:val="right" w:leader="dot" w:pos="9910"/>
            </w:tabs>
            <w:rPr>
              <w:color w:val="auto"/>
            </w:rPr>
          </w:pPr>
          <w:r>
            <w:rPr>
              <w:color w:val="auto"/>
            </w:rPr>
            <w:fldChar w:fldCharType="begin"/>
          </w:r>
          <w:r>
            <w:rPr>
              <w:color w:val="auto"/>
            </w:rPr>
            <w:instrText xml:space="preserve"> HYPERLINK \l "_Toc1309" </w:instrText>
          </w:r>
          <w:r>
            <w:rPr>
              <w:color w:val="auto"/>
            </w:rPr>
            <w:fldChar w:fldCharType="separate"/>
          </w:r>
          <w:r>
            <w:rPr>
              <w:color w:val="auto"/>
              <w:szCs w:val="30"/>
            </w:rPr>
            <w:t>第一章 公开招标公告</w:t>
          </w:r>
          <w:r>
            <w:rPr>
              <w:color w:val="auto"/>
            </w:rPr>
            <w:tab/>
          </w:r>
          <w:r>
            <w:rPr>
              <w:color w:val="auto"/>
            </w:rPr>
            <w:fldChar w:fldCharType="begin"/>
          </w:r>
          <w:r>
            <w:rPr>
              <w:color w:val="auto"/>
            </w:rPr>
            <w:instrText xml:space="preserve"> PAGEREF _Toc1309 </w:instrText>
          </w:r>
          <w:r>
            <w:rPr>
              <w:color w:val="auto"/>
            </w:rPr>
            <w:fldChar w:fldCharType="separate"/>
          </w:r>
          <w:r>
            <w:rPr>
              <w:color w:val="auto"/>
            </w:rPr>
            <w:t>1</w:t>
          </w:r>
          <w:r>
            <w:rPr>
              <w:color w:val="auto"/>
            </w:rPr>
            <w:fldChar w:fldCharType="end"/>
          </w:r>
          <w:r>
            <w:rPr>
              <w:color w:val="auto"/>
            </w:rPr>
            <w:fldChar w:fldCharType="end"/>
          </w:r>
        </w:p>
        <w:p>
          <w:pPr>
            <w:pStyle w:val="21"/>
            <w:tabs>
              <w:tab w:val="right" w:leader="dot" w:pos="9910"/>
            </w:tabs>
            <w:rPr>
              <w:color w:val="auto"/>
            </w:rPr>
          </w:pPr>
          <w:r>
            <w:rPr>
              <w:color w:val="auto"/>
            </w:rPr>
            <w:fldChar w:fldCharType="begin"/>
          </w:r>
          <w:r>
            <w:rPr>
              <w:color w:val="auto"/>
            </w:rPr>
            <w:instrText xml:space="preserve"> HYPERLINK \l "_Toc25517" </w:instrText>
          </w:r>
          <w:r>
            <w:rPr>
              <w:color w:val="auto"/>
            </w:rPr>
            <w:fldChar w:fldCharType="separate"/>
          </w:r>
          <w:r>
            <w:rPr>
              <w:rFonts w:hint="eastAsia"/>
              <w:color w:val="auto"/>
            </w:rPr>
            <w:t>第二章 招标项目采购需求</w:t>
          </w:r>
          <w:r>
            <w:rPr>
              <w:color w:val="auto"/>
            </w:rPr>
            <w:tab/>
          </w:r>
          <w:r>
            <w:rPr>
              <w:color w:val="auto"/>
            </w:rPr>
            <w:fldChar w:fldCharType="begin"/>
          </w:r>
          <w:r>
            <w:rPr>
              <w:color w:val="auto"/>
            </w:rPr>
            <w:instrText xml:space="preserve"> PAGEREF _Toc25517 </w:instrText>
          </w:r>
          <w:r>
            <w:rPr>
              <w:color w:val="auto"/>
            </w:rPr>
            <w:fldChar w:fldCharType="separate"/>
          </w:r>
          <w:r>
            <w:rPr>
              <w:color w:val="auto"/>
            </w:rPr>
            <w:t>4</w:t>
          </w:r>
          <w:r>
            <w:rPr>
              <w:color w:val="auto"/>
            </w:rPr>
            <w:fldChar w:fldCharType="end"/>
          </w:r>
          <w:r>
            <w:rPr>
              <w:color w:val="auto"/>
            </w:rPr>
            <w:fldChar w:fldCharType="end"/>
          </w:r>
        </w:p>
        <w:p>
          <w:pPr>
            <w:pStyle w:val="21"/>
            <w:tabs>
              <w:tab w:val="right" w:leader="dot" w:pos="9910"/>
            </w:tabs>
            <w:rPr>
              <w:color w:val="auto"/>
            </w:rPr>
          </w:pPr>
          <w:r>
            <w:rPr>
              <w:color w:val="auto"/>
            </w:rPr>
            <w:fldChar w:fldCharType="begin"/>
          </w:r>
          <w:r>
            <w:rPr>
              <w:color w:val="auto"/>
            </w:rPr>
            <w:instrText xml:space="preserve"> HYPERLINK \l "_Toc26292" </w:instrText>
          </w:r>
          <w:r>
            <w:rPr>
              <w:color w:val="auto"/>
            </w:rPr>
            <w:fldChar w:fldCharType="separate"/>
          </w:r>
          <w:r>
            <w:rPr>
              <w:rFonts w:hint="eastAsia"/>
              <w:color w:val="auto"/>
            </w:rPr>
            <w:t>第三章  投标人须知</w:t>
          </w:r>
          <w:r>
            <w:rPr>
              <w:color w:val="auto"/>
            </w:rPr>
            <w:tab/>
          </w:r>
          <w:r>
            <w:rPr>
              <w:color w:val="auto"/>
            </w:rPr>
            <w:fldChar w:fldCharType="begin"/>
          </w:r>
          <w:r>
            <w:rPr>
              <w:color w:val="auto"/>
            </w:rPr>
            <w:instrText xml:space="preserve"> PAGEREF _Toc26292 </w:instrText>
          </w:r>
          <w:r>
            <w:rPr>
              <w:color w:val="auto"/>
            </w:rPr>
            <w:fldChar w:fldCharType="separate"/>
          </w:r>
          <w:r>
            <w:rPr>
              <w:color w:val="auto"/>
            </w:rPr>
            <w:t>8</w:t>
          </w:r>
          <w:r>
            <w:rPr>
              <w:color w:val="auto"/>
            </w:rPr>
            <w:fldChar w:fldCharType="end"/>
          </w:r>
          <w:r>
            <w:rPr>
              <w:color w:val="auto"/>
            </w:rPr>
            <w:fldChar w:fldCharType="end"/>
          </w:r>
        </w:p>
        <w:p>
          <w:pPr>
            <w:pStyle w:val="21"/>
            <w:tabs>
              <w:tab w:val="right" w:leader="dot" w:pos="9910"/>
            </w:tabs>
            <w:rPr>
              <w:color w:val="auto"/>
            </w:rPr>
          </w:pPr>
          <w:r>
            <w:rPr>
              <w:color w:val="auto"/>
            </w:rPr>
            <w:fldChar w:fldCharType="begin"/>
          </w:r>
          <w:r>
            <w:rPr>
              <w:color w:val="auto"/>
            </w:rPr>
            <w:instrText xml:space="preserve"> HYPERLINK \l "_Toc16802" </w:instrText>
          </w:r>
          <w:r>
            <w:rPr>
              <w:color w:val="auto"/>
            </w:rPr>
            <w:fldChar w:fldCharType="separate"/>
          </w:r>
          <w:r>
            <w:rPr>
              <w:rFonts w:hint="eastAsia"/>
              <w:color w:val="auto"/>
            </w:rPr>
            <w:t>第四章  评标办法及评分标准</w:t>
          </w:r>
          <w:r>
            <w:rPr>
              <w:color w:val="auto"/>
            </w:rPr>
            <w:tab/>
          </w:r>
          <w:r>
            <w:rPr>
              <w:color w:val="auto"/>
            </w:rPr>
            <w:fldChar w:fldCharType="begin"/>
          </w:r>
          <w:r>
            <w:rPr>
              <w:color w:val="auto"/>
            </w:rPr>
            <w:instrText xml:space="preserve"> PAGEREF _Toc16802 </w:instrText>
          </w:r>
          <w:r>
            <w:rPr>
              <w:color w:val="auto"/>
            </w:rPr>
            <w:fldChar w:fldCharType="separate"/>
          </w:r>
          <w:r>
            <w:rPr>
              <w:color w:val="auto"/>
            </w:rPr>
            <w:t>24</w:t>
          </w:r>
          <w:r>
            <w:rPr>
              <w:color w:val="auto"/>
            </w:rPr>
            <w:fldChar w:fldCharType="end"/>
          </w:r>
          <w:r>
            <w:rPr>
              <w:color w:val="auto"/>
            </w:rPr>
            <w:fldChar w:fldCharType="end"/>
          </w:r>
        </w:p>
        <w:p>
          <w:pPr>
            <w:pStyle w:val="21"/>
            <w:tabs>
              <w:tab w:val="right" w:leader="dot" w:pos="9910"/>
            </w:tabs>
            <w:rPr>
              <w:color w:val="auto"/>
            </w:rPr>
          </w:pPr>
          <w:r>
            <w:rPr>
              <w:color w:val="auto"/>
            </w:rPr>
            <w:fldChar w:fldCharType="begin"/>
          </w:r>
          <w:r>
            <w:rPr>
              <w:color w:val="auto"/>
            </w:rPr>
            <w:instrText xml:space="preserve"> HYPERLINK \l "_Toc13136" </w:instrText>
          </w:r>
          <w:r>
            <w:rPr>
              <w:color w:val="auto"/>
            </w:rPr>
            <w:fldChar w:fldCharType="separate"/>
          </w:r>
          <w:r>
            <w:rPr>
              <w:rFonts w:hint="eastAsia"/>
              <w:color w:val="auto"/>
            </w:rPr>
            <w:t>第五章  合同主要条款格式</w:t>
          </w:r>
          <w:r>
            <w:rPr>
              <w:color w:val="auto"/>
            </w:rPr>
            <w:tab/>
          </w:r>
          <w:r>
            <w:rPr>
              <w:color w:val="auto"/>
            </w:rPr>
            <w:fldChar w:fldCharType="begin"/>
          </w:r>
          <w:r>
            <w:rPr>
              <w:color w:val="auto"/>
            </w:rPr>
            <w:instrText xml:space="preserve"> PAGEREF _Toc13136 </w:instrText>
          </w:r>
          <w:r>
            <w:rPr>
              <w:color w:val="auto"/>
            </w:rPr>
            <w:fldChar w:fldCharType="separate"/>
          </w:r>
          <w:r>
            <w:rPr>
              <w:color w:val="auto"/>
            </w:rPr>
            <w:t>28</w:t>
          </w:r>
          <w:r>
            <w:rPr>
              <w:color w:val="auto"/>
            </w:rPr>
            <w:fldChar w:fldCharType="end"/>
          </w:r>
          <w:r>
            <w:rPr>
              <w:color w:val="auto"/>
            </w:rPr>
            <w:fldChar w:fldCharType="end"/>
          </w:r>
        </w:p>
        <w:p>
          <w:pPr>
            <w:pStyle w:val="21"/>
            <w:tabs>
              <w:tab w:val="right" w:leader="dot" w:pos="9910"/>
            </w:tabs>
            <w:rPr>
              <w:color w:val="auto"/>
            </w:rPr>
          </w:pPr>
          <w:r>
            <w:rPr>
              <w:color w:val="auto"/>
            </w:rPr>
            <w:fldChar w:fldCharType="begin"/>
          </w:r>
          <w:r>
            <w:rPr>
              <w:color w:val="auto"/>
            </w:rPr>
            <w:instrText xml:space="preserve"> HYPERLINK \l "_Toc1494" </w:instrText>
          </w:r>
          <w:r>
            <w:rPr>
              <w:color w:val="auto"/>
            </w:rPr>
            <w:fldChar w:fldCharType="separate"/>
          </w:r>
          <w:r>
            <w:rPr>
              <w:rFonts w:hint="eastAsia"/>
              <w:color w:val="auto"/>
            </w:rPr>
            <w:t>第六章 投标文件格式</w:t>
          </w:r>
          <w:r>
            <w:rPr>
              <w:color w:val="auto"/>
            </w:rPr>
            <w:tab/>
          </w:r>
          <w:r>
            <w:rPr>
              <w:color w:val="auto"/>
            </w:rPr>
            <w:fldChar w:fldCharType="begin"/>
          </w:r>
          <w:r>
            <w:rPr>
              <w:color w:val="auto"/>
            </w:rPr>
            <w:instrText xml:space="preserve"> PAGEREF _Toc1494 </w:instrText>
          </w:r>
          <w:r>
            <w:rPr>
              <w:color w:val="auto"/>
            </w:rPr>
            <w:fldChar w:fldCharType="separate"/>
          </w:r>
          <w:r>
            <w:rPr>
              <w:color w:val="auto"/>
            </w:rPr>
            <w:t>55</w:t>
          </w:r>
          <w:r>
            <w:rPr>
              <w:color w:val="auto"/>
            </w:rPr>
            <w:fldChar w:fldCharType="end"/>
          </w:r>
          <w:r>
            <w:rPr>
              <w:color w:val="auto"/>
            </w:rPr>
            <w:fldChar w:fldCharType="end"/>
          </w:r>
        </w:p>
        <w:p>
          <w:pPr>
            <w:pStyle w:val="21"/>
            <w:tabs>
              <w:tab w:val="right" w:leader="dot" w:pos="9170"/>
            </w:tabs>
            <w:spacing w:before="358"/>
            <w:rPr>
              <w:color w:val="auto"/>
            </w:rPr>
          </w:pPr>
          <w:r>
            <w:rPr>
              <w:color w:val="auto"/>
            </w:rPr>
            <w:fldChar w:fldCharType="end"/>
          </w:r>
        </w:p>
      </w:sdtContent>
    </w:sdt>
    <w:p>
      <w:pPr>
        <w:rPr>
          <w:color w:val="auto"/>
        </w:rPr>
        <w:sectPr>
          <w:headerReference r:id="rId3" w:type="default"/>
          <w:pgSz w:w="11910" w:h="16840"/>
          <w:pgMar w:top="1300" w:right="1000" w:bottom="280" w:left="1000" w:header="877" w:footer="0" w:gutter="0"/>
          <w:cols w:space="720" w:num="1"/>
        </w:sectPr>
      </w:pPr>
    </w:p>
    <w:p>
      <w:pPr>
        <w:pStyle w:val="3"/>
        <w:rPr>
          <w:color w:val="auto"/>
          <w:sz w:val="30"/>
          <w:szCs w:val="30"/>
        </w:rPr>
      </w:pPr>
      <w:bookmarkStart w:id="1" w:name="_Toc1309"/>
      <w:r>
        <w:rPr>
          <w:color w:val="auto"/>
          <w:sz w:val="30"/>
          <w:szCs w:val="30"/>
        </w:rPr>
        <w:t>第一章 公开招标公告</w:t>
      </w:r>
      <w:bookmarkEnd w:id="1"/>
    </w:p>
    <w:p>
      <w:pPr>
        <w:pStyle w:val="2"/>
        <w:spacing w:before="185" w:line="360" w:lineRule="auto"/>
        <w:ind w:left="363" w:right="357" w:firstLine="420"/>
        <w:jc w:val="center"/>
        <w:rPr>
          <w:b/>
          <w:bCs/>
          <w:color w:val="auto"/>
          <w:spacing w:val="2"/>
          <w:sz w:val="28"/>
          <w:szCs w:val="28"/>
          <w:lang w:val="en-US"/>
        </w:rPr>
      </w:pPr>
      <w:r>
        <w:rPr>
          <w:rFonts w:hint="eastAsia"/>
          <w:b/>
          <w:bCs/>
          <w:color w:val="auto"/>
          <w:spacing w:val="2"/>
          <w:sz w:val="28"/>
          <w:szCs w:val="28"/>
        </w:rPr>
        <w:t>大新德天至宁明花山公路（硕龙至天西段）二期工程全过程造价咨询（从项目实施阶段起）（</w:t>
      </w:r>
      <w:r>
        <w:rPr>
          <w:rFonts w:hint="eastAsia"/>
          <w:b/>
          <w:bCs/>
          <w:color w:val="auto"/>
          <w:spacing w:val="2"/>
          <w:sz w:val="28"/>
          <w:szCs w:val="28"/>
          <w:lang w:eastAsia="zh-CN"/>
        </w:rPr>
        <w:t>项目编号：CZZC2020-G3-000242-HWST</w:t>
      </w:r>
      <w:r>
        <w:rPr>
          <w:rFonts w:hint="eastAsia"/>
          <w:b/>
          <w:bCs/>
          <w:color w:val="auto"/>
          <w:spacing w:val="2"/>
          <w:sz w:val="28"/>
          <w:szCs w:val="28"/>
          <w:lang w:val="en-US"/>
        </w:rPr>
        <w:t>)</w:t>
      </w:r>
    </w:p>
    <w:p>
      <w:pPr>
        <w:pStyle w:val="2"/>
        <w:spacing w:before="185" w:line="360" w:lineRule="auto"/>
        <w:ind w:left="363" w:right="357" w:firstLine="420"/>
        <w:jc w:val="center"/>
        <w:rPr>
          <w:b/>
          <w:bCs/>
          <w:color w:val="auto"/>
          <w:spacing w:val="2"/>
          <w:sz w:val="28"/>
          <w:szCs w:val="28"/>
        </w:rPr>
      </w:pPr>
      <w:r>
        <w:rPr>
          <w:rFonts w:hint="eastAsia"/>
          <w:b/>
          <w:bCs/>
          <w:color w:val="auto"/>
          <w:spacing w:val="2"/>
          <w:sz w:val="28"/>
          <w:szCs w:val="28"/>
        </w:rPr>
        <w:t>公开招标公告</w:t>
      </w:r>
    </w:p>
    <w:p>
      <w:pPr>
        <w:pStyle w:val="2"/>
        <w:spacing w:before="185" w:line="360" w:lineRule="auto"/>
        <w:ind w:right="356" w:firstLine="439" w:firstLineChars="196"/>
        <w:jc w:val="both"/>
        <w:rPr>
          <w:color w:val="auto"/>
          <w:sz w:val="22"/>
          <w:szCs w:val="22"/>
        </w:rPr>
      </w:pPr>
      <w:bookmarkStart w:id="2" w:name="_Toc1145"/>
      <w:bookmarkStart w:id="3" w:name="_Toc19142_WPSOffice_Level1"/>
      <w:bookmarkStart w:id="4" w:name="_Toc5555"/>
      <w:r>
        <w:rPr>
          <w:rFonts w:hint="eastAsia"/>
          <w:color w:val="auto"/>
          <w:spacing w:val="2"/>
          <w:sz w:val="22"/>
          <w:szCs w:val="22"/>
        </w:rPr>
        <w:t>华物盛泰工程咨询管理有限公司</w:t>
      </w:r>
      <w:r>
        <w:rPr>
          <w:color w:val="auto"/>
          <w:spacing w:val="2"/>
          <w:sz w:val="22"/>
          <w:szCs w:val="22"/>
        </w:rPr>
        <w:t>受</w:t>
      </w:r>
      <w:r>
        <w:rPr>
          <w:rFonts w:hint="eastAsia"/>
          <w:color w:val="auto"/>
          <w:spacing w:val="2"/>
          <w:sz w:val="22"/>
          <w:szCs w:val="22"/>
        </w:rPr>
        <w:t>崇左市交通运输局</w:t>
      </w:r>
      <w:r>
        <w:rPr>
          <w:color w:val="auto"/>
          <w:spacing w:val="2"/>
          <w:sz w:val="22"/>
          <w:szCs w:val="22"/>
        </w:rPr>
        <w:t>委托，</w:t>
      </w:r>
      <w:r>
        <w:rPr>
          <w:rFonts w:hint="eastAsia"/>
          <w:color w:val="auto"/>
          <w:spacing w:val="2"/>
          <w:sz w:val="22"/>
          <w:szCs w:val="22"/>
        </w:rPr>
        <w:t>根据《中华人民共和国政府采购法》（中华人民共和国主席令第14号，2014年修正版）、《中华人民共和国政府采购法实施条例》（国务院令第658号）及《政府采购货物和服务招标投标管理办法》（财政部令第 87 号）等相关规定</w:t>
      </w:r>
      <w:r>
        <w:rPr>
          <w:color w:val="auto"/>
          <w:spacing w:val="-4"/>
          <w:sz w:val="22"/>
          <w:szCs w:val="22"/>
        </w:rPr>
        <w:t>，现对</w:t>
      </w:r>
      <w:r>
        <w:rPr>
          <w:rFonts w:hint="eastAsia"/>
          <w:color w:val="auto"/>
          <w:spacing w:val="-4"/>
          <w:sz w:val="22"/>
          <w:szCs w:val="22"/>
          <w:u w:val="single"/>
        </w:rPr>
        <w:t>大新德天至宁明花山公路（硕龙至天西段）二期工程全过程造价咨询（从项目实施阶段起）</w:t>
      </w:r>
      <w:r>
        <w:rPr>
          <w:color w:val="auto"/>
          <w:sz w:val="22"/>
          <w:szCs w:val="22"/>
        </w:rPr>
        <w:t>进行公开招标，欢迎符合条件的投标人前来参加</w:t>
      </w:r>
      <w:r>
        <w:rPr>
          <w:rFonts w:hint="eastAsia"/>
          <w:color w:val="auto"/>
          <w:sz w:val="22"/>
          <w:szCs w:val="22"/>
        </w:rPr>
        <w:t>：</w:t>
      </w:r>
    </w:p>
    <w:p>
      <w:pPr>
        <w:numPr>
          <w:ilvl w:val="0"/>
          <w:numId w:val="2"/>
        </w:numPr>
        <w:spacing w:before="3" w:line="360" w:lineRule="auto"/>
        <w:ind w:firstLine="433" w:firstLineChars="196"/>
        <w:rPr>
          <w:bCs/>
          <w:color w:val="auto"/>
        </w:rPr>
      </w:pPr>
      <w:r>
        <w:rPr>
          <w:b/>
          <w:color w:val="auto"/>
        </w:rPr>
        <w:t>项目名称：</w:t>
      </w:r>
      <w:r>
        <w:rPr>
          <w:rFonts w:hint="eastAsia"/>
          <w:bCs/>
          <w:color w:val="auto"/>
        </w:rPr>
        <w:t>大新德天至宁明花山公路（硕龙至天西段）二期工程全过程造价咨询（从项目实施阶段起）</w:t>
      </w:r>
    </w:p>
    <w:p>
      <w:pPr>
        <w:numPr>
          <w:ilvl w:val="0"/>
          <w:numId w:val="2"/>
        </w:numPr>
        <w:spacing w:before="3" w:line="360" w:lineRule="auto"/>
        <w:ind w:firstLine="433" w:firstLineChars="196"/>
        <w:rPr>
          <w:bCs/>
          <w:color w:val="auto"/>
        </w:rPr>
      </w:pPr>
      <w:r>
        <w:rPr>
          <w:rFonts w:hint="eastAsia"/>
          <w:b/>
          <w:color w:val="auto"/>
          <w:lang w:eastAsia="zh-CN"/>
        </w:rPr>
        <w:t>项目编号：CZZC2020-G3-000242-HWST</w:t>
      </w:r>
    </w:p>
    <w:p>
      <w:pPr>
        <w:pStyle w:val="8"/>
        <w:spacing w:before="44" w:after="44" w:line="360" w:lineRule="auto"/>
        <w:ind w:left="0" w:firstLine="433" w:firstLineChars="196"/>
        <w:rPr>
          <w:b w:val="0"/>
          <w:bCs w:val="0"/>
          <w:color w:val="auto"/>
          <w:sz w:val="22"/>
          <w:szCs w:val="22"/>
        </w:rPr>
      </w:pPr>
      <w:r>
        <w:rPr>
          <w:color w:val="auto"/>
          <w:sz w:val="22"/>
          <w:szCs w:val="22"/>
        </w:rPr>
        <w:t>三、</w:t>
      </w:r>
      <w:r>
        <w:rPr>
          <w:rFonts w:hint="eastAsia"/>
          <w:bCs w:val="0"/>
          <w:color w:val="auto"/>
          <w:sz w:val="22"/>
          <w:szCs w:val="22"/>
        </w:rPr>
        <w:t>采购方式：</w:t>
      </w:r>
      <w:r>
        <w:rPr>
          <w:rFonts w:hint="eastAsia"/>
          <w:b w:val="0"/>
          <w:color w:val="auto"/>
          <w:sz w:val="22"/>
          <w:szCs w:val="22"/>
        </w:rPr>
        <w:t>公开招标</w:t>
      </w:r>
    </w:p>
    <w:p>
      <w:pPr>
        <w:pStyle w:val="8"/>
        <w:spacing w:before="44" w:after="44" w:line="360" w:lineRule="auto"/>
        <w:ind w:left="0" w:firstLine="433" w:firstLineChars="196"/>
        <w:rPr>
          <w:b w:val="0"/>
          <w:bCs w:val="0"/>
          <w:color w:val="auto"/>
          <w:sz w:val="22"/>
          <w:szCs w:val="22"/>
          <w:lang w:val="en-US"/>
        </w:rPr>
      </w:pPr>
      <w:r>
        <w:rPr>
          <w:color w:val="auto"/>
          <w:sz w:val="22"/>
          <w:szCs w:val="22"/>
        </w:rPr>
        <w:t>四、采购预算金额（人民币）：</w:t>
      </w:r>
      <w:r>
        <w:rPr>
          <w:rFonts w:hint="eastAsia"/>
          <w:b w:val="0"/>
          <w:bCs w:val="0"/>
          <w:color w:val="auto"/>
          <w:sz w:val="22"/>
          <w:szCs w:val="22"/>
          <w:lang w:val="en-US"/>
        </w:rPr>
        <w:t>400万元</w:t>
      </w:r>
    </w:p>
    <w:p>
      <w:pPr>
        <w:pStyle w:val="8"/>
        <w:spacing w:before="2" w:line="360" w:lineRule="auto"/>
        <w:ind w:left="0" w:firstLine="433" w:firstLineChars="196"/>
        <w:rPr>
          <w:b w:val="0"/>
          <w:bCs w:val="0"/>
          <w:color w:val="auto"/>
          <w:sz w:val="22"/>
          <w:szCs w:val="22"/>
        </w:rPr>
      </w:pPr>
      <w:r>
        <w:rPr>
          <w:rFonts w:hint="eastAsia"/>
          <w:color w:val="auto"/>
          <w:sz w:val="22"/>
          <w:szCs w:val="22"/>
        </w:rPr>
        <w:t>五、采购需求：</w:t>
      </w:r>
      <w:r>
        <w:rPr>
          <w:rFonts w:hint="eastAsia"/>
          <w:b w:val="0"/>
          <w:bCs w:val="0"/>
          <w:color w:val="auto"/>
          <w:sz w:val="22"/>
          <w:szCs w:val="22"/>
        </w:rPr>
        <w:t>大新德天至宁明花山公路（硕龙至天西段）二期工程全过程造价咨询服务采购，包括但不限于：（1）依法进行工程造价管理和造价控制活动；（2）与造价相关的合同管理；（3）参加与工程造价控制有关的工作会议；（4）工程计量及进度款的审核；（5）工程各类签证与工程索赔费用的审核；（6）协助采购人及时审核因设计变更、现场签证等发生的费用，相应调整造价控制目标，并向采购人提供造价控制动态分析报告；（7）对施工方报送的过程结算进行审核，包括施工合同解除需要的中期结算；（8）会同采购人办理工程竣工结算，提供完整的结算报告及各项费用汇总表；（9）提供与造价控制相关的人工、材料、设备等造价信息和其他咨询服务；（10）协助采购人完成项目编制及评审工作（包含控制价编制、全过程跟踪审计、结算评审等）；（11）造价成果文件需提供纸质版、电子版(含软件版)。具体内容详见本招标文件。</w:t>
      </w:r>
    </w:p>
    <w:p>
      <w:pPr>
        <w:pStyle w:val="8"/>
        <w:spacing w:before="2" w:line="360" w:lineRule="auto"/>
        <w:ind w:left="0" w:firstLine="433" w:firstLineChars="196"/>
        <w:rPr>
          <w:color w:val="auto"/>
          <w:lang w:val="en-US"/>
        </w:rPr>
      </w:pPr>
      <w:r>
        <w:rPr>
          <w:rFonts w:hint="eastAsia"/>
          <w:color w:val="auto"/>
          <w:sz w:val="22"/>
          <w:szCs w:val="22"/>
        </w:rPr>
        <w:t>六、建设规模：</w:t>
      </w:r>
      <w:r>
        <w:rPr>
          <w:rFonts w:hint="eastAsia"/>
          <w:b w:val="0"/>
          <w:bCs w:val="0"/>
          <w:color w:val="auto"/>
          <w:sz w:val="22"/>
          <w:szCs w:val="22"/>
        </w:rPr>
        <w:t>二期工程为硕龙至岩应段，线路全长为9.092</w:t>
      </w:r>
      <w:r>
        <w:rPr>
          <w:rFonts w:hint="eastAsia"/>
          <w:b w:val="0"/>
          <w:bCs w:val="0"/>
          <w:color w:val="auto"/>
          <w:sz w:val="22"/>
          <w:szCs w:val="22"/>
          <w:lang w:val="en-US" w:eastAsia="zh-CN"/>
        </w:rPr>
        <w:t>k</w:t>
      </w:r>
      <w:r>
        <w:rPr>
          <w:rFonts w:hint="eastAsia"/>
          <w:b w:val="0"/>
          <w:bCs w:val="0"/>
          <w:color w:val="auto"/>
          <w:sz w:val="22"/>
          <w:szCs w:val="22"/>
          <w:lang w:eastAsia="zh-CN"/>
        </w:rPr>
        <w:t>m</w:t>
      </w:r>
      <w:r>
        <w:rPr>
          <w:rFonts w:hint="eastAsia"/>
          <w:b w:val="0"/>
          <w:bCs w:val="0"/>
          <w:color w:val="auto"/>
          <w:sz w:val="22"/>
          <w:szCs w:val="22"/>
        </w:rPr>
        <w:t>，公路等级为一级公路，设计速度为60</w:t>
      </w:r>
      <w:r>
        <w:rPr>
          <w:rFonts w:hint="eastAsia"/>
          <w:b w:val="0"/>
          <w:bCs w:val="0"/>
          <w:color w:val="auto"/>
          <w:sz w:val="22"/>
          <w:szCs w:val="22"/>
          <w:lang w:val="en-US" w:eastAsia="zh-CN"/>
        </w:rPr>
        <w:t>k</w:t>
      </w:r>
      <w:r>
        <w:rPr>
          <w:rFonts w:hint="eastAsia"/>
          <w:b w:val="0"/>
          <w:bCs w:val="0"/>
          <w:color w:val="auto"/>
          <w:sz w:val="22"/>
          <w:szCs w:val="22"/>
          <w:lang w:eastAsia="zh-CN"/>
        </w:rPr>
        <w:t>m</w:t>
      </w:r>
      <w:r>
        <w:rPr>
          <w:rFonts w:hint="eastAsia"/>
          <w:b w:val="0"/>
          <w:bCs w:val="0"/>
          <w:color w:val="auto"/>
          <w:sz w:val="22"/>
          <w:szCs w:val="22"/>
        </w:rPr>
        <w:t>/小时，路基宽度为</w:t>
      </w:r>
      <w:r>
        <w:rPr>
          <w:rFonts w:hint="eastAsia"/>
          <w:b w:val="0"/>
          <w:bCs w:val="0"/>
          <w:color w:val="auto"/>
          <w:sz w:val="22"/>
          <w:szCs w:val="22"/>
          <w:lang w:val="en-US"/>
        </w:rPr>
        <w:t>22.5/18.5</w:t>
      </w:r>
      <w:r>
        <w:rPr>
          <w:rFonts w:hint="eastAsia"/>
          <w:b w:val="0"/>
          <w:bCs w:val="0"/>
          <w:color w:val="auto"/>
          <w:sz w:val="22"/>
          <w:szCs w:val="22"/>
          <w:lang w:eastAsia="zh-CN"/>
        </w:rPr>
        <w:t>m</w:t>
      </w:r>
      <w:r>
        <w:rPr>
          <w:rFonts w:hint="eastAsia"/>
          <w:b w:val="0"/>
          <w:bCs w:val="0"/>
          <w:color w:val="auto"/>
          <w:sz w:val="22"/>
          <w:szCs w:val="22"/>
        </w:rPr>
        <w:t>。</w:t>
      </w:r>
    </w:p>
    <w:p>
      <w:pPr>
        <w:pStyle w:val="8"/>
        <w:spacing w:before="2" w:line="360" w:lineRule="auto"/>
        <w:ind w:left="0" w:firstLine="433" w:firstLineChars="196"/>
        <w:rPr>
          <w:b w:val="0"/>
          <w:bCs w:val="0"/>
          <w:color w:val="auto"/>
          <w:sz w:val="22"/>
          <w:szCs w:val="22"/>
        </w:rPr>
      </w:pPr>
      <w:r>
        <w:rPr>
          <w:rFonts w:hint="eastAsia"/>
          <w:color w:val="auto"/>
          <w:sz w:val="22"/>
          <w:szCs w:val="22"/>
        </w:rPr>
        <w:t>七</w:t>
      </w:r>
      <w:r>
        <w:rPr>
          <w:color w:val="auto"/>
          <w:sz w:val="22"/>
          <w:szCs w:val="22"/>
        </w:rPr>
        <w:t>、本项目需要落实的政府采购政策：</w:t>
      </w:r>
      <w:r>
        <w:rPr>
          <w:rFonts w:hint="eastAsia"/>
          <w:b w:val="0"/>
          <w:bCs w:val="0"/>
          <w:color w:val="auto"/>
          <w:sz w:val="22"/>
          <w:szCs w:val="22"/>
        </w:rPr>
        <w:t>《政府采购促进中小企业发展暂行办法》（财库</w:t>
      </w:r>
      <w:r>
        <w:rPr>
          <w:b w:val="0"/>
          <w:bCs w:val="0"/>
          <w:color w:val="auto"/>
          <w:sz w:val="22"/>
          <w:szCs w:val="22"/>
        </w:rPr>
        <w:t>[2011]181</w:t>
      </w:r>
      <w:r>
        <w:rPr>
          <w:rFonts w:hint="eastAsia"/>
          <w:b w:val="0"/>
          <w:bCs w:val="0"/>
          <w:color w:val="auto"/>
          <w:sz w:val="22"/>
          <w:szCs w:val="22"/>
        </w:rPr>
        <w:t>号）、《关于政府采购支持监狱企业发展有关问题的通知》</w:t>
      </w:r>
      <w:r>
        <w:rPr>
          <w:b w:val="0"/>
          <w:bCs w:val="0"/>
          <w:color w:val="auto"/>
          <w:sz w:val="22"/>
          <w:szCs w:val="22"/>
        </w:rPr>
        <w:t>(</w:t>
      </w:r>
      <w:r>
        <w:rPr>
          <w:rFonts w:hint="eastAsia"/>
          <w:b w:val="0"/>
          <w:bCs w:val="0"/>
          <w:color w:val="auto"/>
          <w:sz w:val="22"/>
          <w:szCs w:val="22"/>
        </w:rPr>
        <w:t>财库</w:t>
      </w:r>
      <w:r>
        <w:rPr>
          <w:b w:val="0"/>
          <w:bCs w:val="0"/>
          <w:color w:val="auto"/>
          <w:sz w:val="22"/>
          <w:szCs w:val="22"/>
        </w:rPr>
        <w:t>[2014]68</w:t>
      </w:r>
      <w:r>
        <w:rPr>
          <w:rFonts w:hint="eastAsia"/>
          <w:b w:val="0"/>
          <w:bCs w:val="0"/>
          <w:color w:val="auto"/>
          <w:sz w:val="22"/>
          <w:szCs w:val="22"/>
        </w:rPr>
        <w:t>号</w:t>
      </w:r>
      <w:r>
        <w:rPr>
          <w:b w:val="0"/>
          <w:bCs w:val="0"/>
          <w:color w:val="auto"/>
          <w:sz w:val="22"/>
          <w:szCs w:val="22"/>
        </w:rPr>
        <w:t>)</w:t>
      </w:r>
      <w:r>
        <w:rPr>
          <w:rFonts w:hint="eastAsia"/>
          <w:b w:val="0"/>
          <w:bCs w:val="0"/>
          <w:color w:val="auto"/>
          <w:sz w:val="22"/>
          <w:szCs w:val="22"/>
        </w:rPr>
        <w:t>、《关于政府采购扶持少数民族地区发展政策》等。</w:t>
      </w:r>
    </w:p>
    <w:p>
      <w:pPr>
        <w:pStyle w:val="8"/>
        <w:spacing w:before="2" w:line="360" w:lineRule="auto"/>
        <w:ind w:left="0" w:firstLine="442" w:firstLineChars="200"/>
        <w:rPr>
          <w:color w:val="auto"/>
          <w:sz w:val="22"/>
          <w:szCs w:val="22"/>
        </w:rPr>
      </w:pPr>
      <w:r>
        <w:rPr>
          <w:rFonts w:hint="eastAsia"/>
          <w:color w:val="auto"/>
          <w:sz w:val="22"/>
          <w:szCs w:val="22"/>
        </w:rPr>
        <w:t>八</w:t>
      </w:r>
      <w:r>
        <w:rPr>
          <w:color w:val="auto"/>
          <w:sz w:val="22"/>
          <w:szCs w:val="22"/>
        </w:rPr>
        <w:t>、投标人资格要求：</w:t>
      </w:r>
    </w:p>
    <w:p>
      <w:pPr>
        <w:pStyle w:val="43"/>
        <w:tabs>
          <w:tab w:val="left" w:pos="996"/>
        </w:tabs>
        <w:spacing w:before="18" w:line="360" w:lineRule="auto"/>
        <w:ind w:left="0" w:right="351" w:firstLine="439" w:firstLineChars="196"/>
        <w:jc w:val="both"/>
        <w:rPr>
          <w:color w:val="auto"/>
          <w:spacing w:val="2"/>
        </w:rPr>
      </w:pPr>
      <w:r>
        <w:rPr>
          <w:rFonts w:hint="eastAsia"/>
          <w:color w:val="auto"/>
          <w:spacing w:val="2"/>
        </w:rPr>
        <w:t>1、国内注册登记（指按国家有关规定要求注册登记的），具备独立法人资格，且必须具有工程造价咨询甲级资质，并在人员、管理、资金等方面具有相应的能力；</w:t>
      </w:r>
    </w:p>
    <w:p>
      <w:pPr>
        <w:pStyle w:val="43"/>
        <w:tabs>
          <w:tab w:val="left" w:pos="996"/>
        </w:tabs>
        <w:spacing w:before="18" w:line="360" w:lineRule="auto"/>
        <w:ind w:left="0" w:right="351" w:firstLine="439" w:firstLineChars="196"/>
        <w:jc w:val="both"/>
        <w:rPr>
          <w:color w:val="auto"/>
          <w:spacing w:val="2"/>
        </w:rPr>
      </w:pPr>
      <w:r>
        <w:rPr>
          <w:rFonts w:hint="eastAsia"/>
          <w:color w:val="auto"/>
          <w:spacing w:val="2"/>
        </w:rPr>
        <w:t>2、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pPr>
        <w:pStyle w:val="43"/>
        <w:tabs>
          <w:tab w:val="left" w:pos="996"/>
        </w:tabs>
        <w:spacing w:before="18" w:line="360" w:lineRule="auto"/>
        <w:ind w:left="0" w:right="351" w:firstLine="439" w:firstLineChars="196"/>
        <w:jc w:val="both"/>
        <w:rPr>
          <w:color w:val="auto"/>
          <w:spacing w:val="2"/>
        </w:rPr>
      </w:pPr>
      <w:r>
        <w:rPr>
          <w:rFonts w:hint="eastAsia"/>
          <w:color w:val="auto"/>
          <w:spacing w:val="2"/>
        </w:rPr>
        <w:t>3、本项目负责人必须具备建设行政主管部门颁发的国家注册造价工程师执业资格，并具有高级工程师职称证书，并取得国家注册造价师资格</w:t>
      </w:r>
      <w:r>
        <w:rPr>
          <w:rFonts w:hint="eastAsia"/>
          <w:color w:val="auto"/>
          <w:spacing w:val="2"/>
          <w:lang w:val="en-US"/>
        </w:rPr>
        <w:t>10</w:t>
      </w:r>
      <w:r>
        <w:rPr>
          <w:rFonts w:hint="eastAsia"/>
          <w:color w:val="auto"/>
          <w:spacing w:val="2"/>
        </w:rPr>
        <w:t>年以上（含</w:t>
      </w:r>
      <w:r>
        <w:rPr>
          <w:rFonts w:hint="eastAsia"/>
          <w:color w:val="auto"/>
          <w:spacing w:val="2"/>
          <w:lang w:val="en-US"/>
        </w:rPr>
        <w:t>10</w:t>
      </w:r>
      <w:r>
        <w:rPr>
          <w:rFonts w:hint="eastAsia"/>
          <w:color w:val="auto"/>
          <w:spacing w:val="2"/>
        </w:rPr>
        <w:t>年，以造价师执业资格证的时间为准）；</w:t>
      </w:r>
    </w:p>
    <w:p>
      <w:pPr>
        <w:pStyle w:val="43"/>
        <w:tabs>
          <w:tab w:val="left" w:pos="996"/>
        </w:tabs>
        <w:spacing w:before="18" w:line="360" w:lineRule="auto"/>
        <w:ind w:left="0" w:right="351" w:firstLine="439" w:firstLineChars="196"/>
        <w:jc w:val="both"/>
        <w:rPr>
          <w:color w:val="auto"/>
          <w:spacing w:val="2"/>
        </w:rPr>
      </w:pPr>
      <w:r>
        <w:rPr>
          <w:rFonts w:hint="eastAsia"/>
          <w:color w:val="auto"/>
          <w:spacing w:val="2"/>
        </w:rPr>
        <w:t>4、对在“信用中国”网站(www.creditchina.gov.cn) 、中国政府采购网(www.ccgp.gov.cn) 被列入失信被执行人、重大税收违法案件当事人名单、政府采购严重违法失信行为记录名单及其他不符合《中华人民共和国政府采购法》第二十二条规定条件的供应商，不得参与政府采购活动；</w:t>
      </w:r>
    </w:p>
    <w:p>
      <w:pPr>
        <w:pStyle w:val="43"/>
        <w:tabs>
          <w:tab w:val="left" w:pos="996"/>
        </w:tabs>
        <w:spacing w:before="18" w:line="360" w:lineRule="auto"/>
        <w:ind w:left="0" w:right="351" w:firstLine="439" w:firstLineChars="196"/>
        <w:jc w:val="both"/>
        <w:rPr>
          <w:color w:val="auto"/>
          <w:spacing w:val="2"/>
        </w:rPr>
      </w:pPr>
      <w:r>
        <w:rPr>
          <w:rFonts w:hint="eastAsia"/>
          <w:color w:val="auto"/>
          <w:spacing w:val="2"/>
        </w:rPr>
        <w:t>5、本项目不接受联合体投标，中标后不允许转包、分包。</w:t>
      </w:r>
    </w:p>
    <w:p>
      <w:pPr>
        <w:pStyle w:val="8"/>
        <w:spacing w:before="2" w:line="360" w:lineRule="auto"/>
        <w:ind w:left="783"/>
        <w:rPr>
          <w:color w:val="auto"/>
          <w:sz w:val="22"/>
          <w:szCs w:val="22"/>
        </w:rPr>
      </w:pPr>
      <w:r>
        <w:rPr>
          <w:rFonts w:hint="eastAsia"/>
          <w:color w:val="auto"/>
          <w:sz w:val="22"/>
          <w:szCs w:val="22"/>
        </w:rPr>
        <w:t>九、购买公开招标采购文件时间及地点：</w:t>
      </w:r>
    </w:p>
    <w:p>
      <w:pPr>
        <w:pStyle w:val="8"/>
        <w:spacing w:before="2" w:line="360" w:lineRule="auto"/>
        <w:ind w:left="3" w:firstLine="655" w:firstLineChars="298"/>
        <w:rPr>
          <w:rFonts w:hint="eastAsia"/>
          <w:b w:val="0"/>
          <w:bCs w:val="0"/>
          <w:color w:val="auto"/>
          <w:sz w:val="22"/>
          <w:szCs w:val="22"/>
        </w:rPr>
      </w:pPr>
      <w:r>
        <w:rPr>
          <w:rFonts w:hint="eastAsia"/>
          <w:b w:val="0"/>
          <w:bCs w:val="0"/>
          <w:color w:val="auto"/>
          <w:sz w:val="22"/>
          <w:szCs w:val="22"/>
        </w:rPr>
        <w:t>时间：2020年</w:t>
      </w:r>
      <w:r>
        <w:rPr>
          <w:rFonts w:hint="eastAsia"/>
          <w:b w:val="0"/>
          <w:bCs w:val="0"/>
          <w:color w:val="auto"/>
          <w:sz w:val="22"/>
          <w:szCs w:val="22"/>
          <w:lang w:val="en-US" w:eastAsia="zh-CN"/>
        </w:rPr>
        <w:t>11</w:t>
      </w:r>
      <w:r>
        <w:rPr>
          <w:rFonts w:hint="eastAsia"/>
          <w:b w:val="0"/>
          <w:bCs w:val="0"/>
          <w:color w:val="auto"/>
          <w:sz w:val="22"/>
          <w:szCs w:val="22"/>
        </w:rPr>
        <w:t>月</w:t>
      </w:r>
      <w:r>
        <w:rPr>
          <w:rFonts w:hint="eastAsia"/>
          <w:b w:val="0"/>
          <w:bCs w:val="0"/>
          <w:color w:val="auto"/>
          <w:sz w:val="22"/>
          <w:szCs w:val="22"/>
          <w:lang w:val="en-US" w:eastAsia="zh-CN"/>
        </w:rPr>
        <w:t>9</w:t>
      </w:r>
      <w:r>
        <w:rPr>
          <w:rFonts w:hint="eastAsia"/>
          <w:b w:val="0"/>
          <w:bCs w:val="0"/>
          <w:color w:val="auto"/>
          <w:sz w:val="22"/>
          <w:szCs w:val="22"/>
        </w:rPr>
        <w:t>日至2020年</w:t>
      </w:r>
      <w:r>
        <w:rPr>
          <w:rFonts w:hint="eastAsia"/>
          <w:b w:val="0"/>
          <w:bCs w:val="0"/>
          <w:color w:val="auto"/>
          <w:sz w:val="22"/>
          <w:szCs w:val="22"/>
          <w:lang w:val="en-US" w:eastAsia="zh-CN"/>
        </w:rPr>
        <w:t>11</w:t>
      </w:r>
      <w:r>
        <w:rPr>
          <w:rFonts w:hint="eastAsia"/>
          <w:b w:val="0"/>
          <w:bCs w:val="0"/>
          <w:color w:val="auto"/>
          <w:sz w:val="22"/>
          <w:szCs w:val="22"/>
        </w:rPr>
        <w:t>月</w:t>
      </w:r>
      <w:r>
        <w:rPr>
          <w:rFonts w:hint="eastAsia"/>
          <w:b w:val="0"/>
          <w:bCs w:val="0"/>
          <w:color w:val="auto"/>
          <w:sz w:val="22"/>
          <w:szCs w:val="22"/>
          <w:lang w:val="en-US" w:eastAsia="zh-CN"/>
        </w:rPr>
        <w:t>16</w:t>
      </w:r>
      <w:r>
        <w:rPr>
          <w:rFonts w:hint="eastAsia"/>
          <w:b w:val="0"/>
          <w:bCs w:val="0"/>
          <w:color w:val="auto"/>
          <w:sz w:val="22"/>
          <w:szCs w:val="22"/>
        </w:rPr>
        <w:t>日（提供期限自本公告发布之日起不得少于5个工作日）</w:t>
      </w:r>
    </w:p>
    <w:p>
      <w:pPr>
        <w:pStyle w:val="8"/>
        <w:spacing w:before="2" w:line="360" w:lineRule="auto"/>
        <w:ind w:left="3" w:firstLine="655" w:firstLineChars="298"/>
        <w:rPr>
          <w:rFonts w:hint="eastAsia"/>
          <w:b w:val="0"/>
          <w:bCs w:val="0"/>
          <w:color w:val="auto"/>
          <w:sz w:val="22"/>
          <w:szCs w:val="22"/>
        </w:rPr>
      </w:pPr>
      <w:r>
        <w:rPr>
          <w:rFonts w:hint="eastAsia"/>
          <w:b w:val="0"/>
          <w:bCs w:val="0"/>
          <w:color w:val="auto"/>
          <w:sz w:val="22"/>
          <w:szCs w:val="22"/>
        </w:rPr>
        <w:t>地点：政采云平台（http://www.zcygov.cn/）</w:t>
      </w:r>
    </w:p>
    <w:p>
      <w:pPr>
        <w:pStyle w:val="8"/>
        <w:spacing w:before="2" w:line="360" w:lineRule="auto"/>
        <w:ind w:left="3" w:firstLine="655" w:firstLineChars="298"/>
        <w:rPr>
          <w:rFonts w:hint="eastAsia"/>
          <w:b w:val="0"/>
          <w:bCs w:val="0"/>
          <w:color w:val="auto"/>
          <w:sz w:val="22"/>
          <w:szCs w:val="22"/>
        </w:rPr>
      </w:pPr>
      <w:r>
        <w:rPr>
          <w:rFonts w:hint="eastAsia"/>
          <w:b w:val="0"/>
          <w:bCs w:val="0"/>
          <w:color w:val="auto"/>
          <w:sz w:val="22"/>
          <w:szCs w:val="22"/>
        </w:rPr>
        <w:t>方式：供应商须登录政采云平台（https://www.zcygov.cn/）在线办理报名并自行下载招标文件；未注册的供应商可在政采云平台完成注册后再进行报名再下载。如在操作过程中遇到问题或需技术支持，请致电政采云客服热线：400-881-7190。</w:t>
      </w:r>
    </w:p>
    <w:p>
      <w:pPr>
        <w:pStyle w:val="8"/>
        <w:spacing w:before="2" w:line="360" w:lineRule="auto"/>
        <w:ind w:left="3" w:firstLine="655" w:firstLineChars="298"/>
        <w:rPr>
          <w:rFonts w:hint="eastAsia"/>
          <w:b w:val="0"/>
          <w:bCs w:val="0"/>
          <w:color w:val="auto"/>
          <w:sz w:val="22"/>
          <w:szCs w:val="22"/>
        </w:rPr>
      </w:pPr>
      <w:r>
        <w:rPr>
          <w:rFonts w:hint="eastAsia"/>
          <w:b w:val="0"/>
          <w:bCs w:val="0"/>
          <w:color w:val="auto"/>
          <w:sz w:val="22"/>
          <w:szCs w:val="22"/>
        </w:rPr>
        <w:t>售价：0元</w:t>
      </w:r>
    </w:p>
    <w:p>
      <w:pPr>
        <w:pStyle w:val="8"/>
        <w:spacing w:before="2" w:line="360" w:lineRule="auto"/>
        <w:ind w:left="3" w:firstLine="655" w:firstLineChars="298"/>
        <w:rPr>
          <w:rFonts w:hint="eastAsia"/>
          <w:b w:val="0"/>
          <w:bCs w:val="0"/>
          <w:color w:val="auto"/>
          <w:sz w:val="22"/>
          <w:szCs w:val="22"/>
        </w:rPr>
      </w:pPr>
      <w:r>
        <w:rPr>
          <w:rFonts w:hint="eastAsia"/>
          <w:b w:val="0"/>
          <w:bCs w:val="0"/>
          <w:color w:val="auto"/>
          <w:sz w:val="22"/>
          <w:szCs w:val="22"/>
        </w:rPr>
        <w:t>提交投标文件截止时间、开标时间和地点</w:t>
      </w:r>
    </w:p>
    <w:p>
      <w:pPr>
        <w:pStyle w:val="8"/>
        <w:spacing w:before="2" w:line="360" w:lineRule="auto"/>
        <w:ind w:left="3" w:firstLine="655" w:firstLineChars="298"/>
        <w:rPr>
          <w:rFonts w:hint="eastAsia"/>
          <w:b w:val="0"/>
          <w:bCs w:val="0"/>
          <w:color w:val="auto"/>
          <w:sz w:val="22"/>
          <w:szCs w:val="22"/>
        </w:rPr>
      </w:pPr>
      <w:r>
        <w:rPr>
          <w:rFonts w:hint="eastAsia"/>
          <w:b w:val="0"/>
          <w:bCs w:val="0"/>
          <w:color w:val="auto"/>
          <w:sz w:val="22"/>
          <w:szCs w:val="22"/>
        </w:rPr>
        <w:t>截止时间：2020年</w:t>
      </w:r>
      <w:r>
        <w:rPr>
          <w:rFonts w:hint="eastAsia"/>
          <w:b w:val="0"/>
          <w:bCs w:val="0"/>
          <w:color w:val="auto"/>
          <w:sz w:val="22"/>
          <w:szCs w:val="22"/>
          <w:lang w:val="en-US" w:eastAsia="zh-CN"/>
        </w:rPr>
        <w:t>11</w:t>
      </w:r>
      <w:r>
        <w:rPr>
          <w:rFonts w:hint="eastAsia"/>
          <w:b w:val="0"/>
          <w:bCs w:val="0"/>
          <w:color w:val="auto"/>
          <w:sz w:val="22"/>
          <w:szCs w:val="22"/>
        </w:rPr>
        <w:t>月</w:t>
      </w:r>
      <w:r>
        <w:rPr>
          <w:rFonts w:hint="eastAsia"/>
          <w:b w:val="0"/>
          <w:bCs w:val="0"/>
          <w:color w:val="auto"/>
          <w:sz w:val="22"/>
          <w:szCs w:val="22"/>
          <w:lang w:val="en-US" w:eastAsia="zh-CN"/>
        </w:rPr>
        <w:t>30</w:t>
      </w:r>
      <w:r>
        <w:rPr>
          <w:rFonts w:hint="eastAsia"/>
          <w:b w:val="0"/>
          <w:bCs w:val="0"/>
          <w:color w:val="auto"/>
          <w:sz w:val="22"/>
          <w:szCs w:val="22"/>
        </w:rPr>
        <w:t>日</w:t>
      </w:r>
      <w:r>
        <w:rPr>
          <w:rFonts w:hint="eastAsia"/>
          <w:b w:val="0"/>
          <w:bCs w:val="0"/>
          <w:color w:val="auto"/>
          <w:sz w:val="22"/>
          <w:szCs w:val="22"/>
          <w:lang w:val="en-US" w:eastAsia="zh-CN"/>
        </w:rPr>
        <w:t>10</w:t>
      </w:r>
      <w:r>
        <w:rPr>
          <w:rFonts w:hint="eastAsia"/>
          <w:b w:val="0"/>
          <w:bCs w:val="0"/>
          <w:color w:val="auto"/>
          <w:sz w:val="22"/>
          <w:szCs w:val="22"/>
        </w:rPr>
        <w:t>点</w:t>
      </w:r>
      <w:r>
        <w:rPr>
          <w:rFonts w:hint="eastAsia"/>
          <w:b w:val="0"/>
          <w:bCs w:val="0"/>
          <w:color w:val="auto"/>
          <w:sz w:val="22"/>
          <w:szCs w:val="22"/>
          <w:lang w:val="en-US" w:eastAsia="zh-CN"/>
        </w:rPr>
        <w:t>00</w:t>
      </w:r>
      <w:r>
        <w:rPr>
          <w:rFonts w:hint="eastAsia"/>
          <w:b w:val="0"/>
          <w:bCs w:val="0"/>
          <w:color w:val="auto"/>
          <w:sz w:val="22"/>
          <w:szCs w:val="22"/>
        </w:rPr>
        <w:t>分（北京时间）（自招标文件开始发出之日起至投标人提交投标文件截止之日止，不得少于20日），逾期送达的将予以拒收。</w:t>
      </w:r>
    </w:p>
    <w:p>
      <w:pPr>
        <w:pStyle w:val="8"/>
        <w:spacing w:before="2" w:line="360" w:lineRule="auto"/>
        <w:ind w:left="3" w:firstLine="655" w:firstLineChars="298"/>
        <w:rPr>
          <w:rFonts w:hint="eastAsia"/>
          <w:b w:val="0"/>
          <w:bCs w:val="0"/>
          <w:color w:val="auto"/>
          <w:sz w:val="22"/>
          <w:szCs w:val="22"/>
        </w:rPr>
      </w:pPr>
      <w:r>
        <w:rPr>
          <w:rFonts w:hint="eastAsia"/>
          <w:b w:val="0"/>
          <w:bCs w:val="0"/>
          <w:color w:val="auto"/>
          <w:sz w:val="22"/>
          <w:szCs w:val="22"/>
        </w:rPr>
        <w:t>开标时间：2020年</w:t>
      </w:r>
      <w:r>
        <w:rPr>
          <w:rFonts w:hint="eastAsia"/>
          <w:b w:val="0"/>
          <w:bCs w:val="0"/>
          <w:color w:val="auto"/>
          <w:sz w:val="22"/>
          <w:szCs w:val="22"/>
          <w:lang w:val="en-US" w:eastAsia="zh-CN"/>
        </w:rPr>
        <w:t>11</w:t>
      </w:r>
      <w:r>
        <w:rPr>
          <w:rFonts w:hint="eastAsia"/>
          <w:b w:val="0"/>
          <w:bCs w:val="0"/>
          <w:color w:val="auto"/>
          <w:sz w:val="22"/>
          <w:szCs w:val="22"/>
        </w:rPr>
        <w:t>月</w:t>
      </w:r>
      <w:r>
        <w:rPr>
          <w:rFonts w:hint="eastAsia"/>
          <w:b w:val="0"/>
          <w:bCs w:val="0"/>
          <w:color w:val="auto"/>
          <w:sz w:val="22"/>
          <w:szCs w:val="22"/>
          <w:lang w:val="en-US" w:eastAsia="zh-CN"/>
        </w:rPr>
        <w:t>30</w:t>
      </w:r>
      <w:r>
        <w:rPr>
          <w:rFonts w:hint="eastAsia"/>
          <w:b w:val="0"/>
          <w:bCs w:val="0"/>
          <w:color w:val="auto"/>
          <w:sz w:val="22"/>
          <w:szCs w:val="22"/>
        </w:rPr>
        <w:t>日</w:t>
      </w:r>
      <w:r>
        <w:rPr>
          <w:rFonts w:hint="eastAsia"/>
          <w:b w:val="0"/>
          <w:bCs w:val="0"/>
          <w:color w:val="auto"/>
          <w:sz w:val="22"/>
          <w:szCs w:val="22"/>
          <w:lang w:val="en-US" w:eastAsia="zh-CN"/>
        </w:rPr>
        <w:t>10</w:t>
      </w:r>
      <w:r>
        <w:rPr>
          <w:rFonts w:hint="eastAsia"/>
          <w:b w:val="0"/>
          <w:bCs w:val="0"/>
          <w:color w:val="auto"/>
          <w:sz w:val="22"/>
          <w:szCs w:val="22"/>
        </w:rPr>
        <w:t>点</w:t>
      </w:r>
      <w:r>
        <w:rPr>
          <w:rFonts w:hint="eastAsia"/>
          <w:b w:val="0"/>
          <w:bCs w:val="0"/>
          <w:color w:val="auto"/>
          <w:sz w:val="22"/>
          <w:szCs w:val="22"/>
          <w:lang w:val="en-US" w:eastAsia="zh-CN"/>
        </w:rPr>
        <w:t>00</w:t>
      </w:r>
      <w:r>
        <w:rPr>
          <w:rFonts w:hint="eastAsia"/>
          <w:b w:val="0"/>
          <w:bCs w:val="0"/>
          <w:color w:val="auto"/>
          <w:sz w:val="22"/>
          <w:szCs w:val="22"/>
        </w:rPr>
        <w:t>分（北京时间）</w:t>
      </w:r>
    </w:p>
    <w:p>
      <w:pPr>
        <w:pStyle w:val="8"/>
        <w:spacing w:before="2" w:line="360" w:lineRule="auto"/>
        <w:ind w:left="3" w:firstLine="655" w:firstLineChars="298"/>
        <w:rPr>
          <w:rFonts w:hint="eastAsia"/>
          <w:b w:val="0"/>
          <w:bCs w:val="0"/>
          <w:color w:val="auto"/>
          <w:sz w:val="22"/>
          <w:szCs w:val="22"/>
        </w:rPr>
      </w:pPr>
      <w:r>
        <w:rPr>
          <w:rFonts w:hint="eastAsia"/>
          <w:b w:val="0"/>
          <w:bCs w:val="0"/>
          <w:color w:val="auto"/>
          <w:sz w:val="22"/>
          <w:szCs w:val="22"/>
          <w:lang w:eastAsia="zh-CN"/>
        </w:rPr>
        <w:t>开标</w:t>
      </w:r>
      <w:r>
        <w:rPr>
          <w:rFonts w:hint="eastAsia"/>
          <w:b w:val="0"/>
          <w:bCs w:val="0"/>
          <w:color w:val="auto"/>
          <w:sz w:val="22"/>
          <w:szCs w:val="22"/>
        </w:rPr>
        <w:t>地点：崇左市公共资源交易中心（崇左市城南新区石景林路东段政务服务中心综合楼五楼）（具体开标室根据电子屏幕显示的安排），参加投标的法定代表人或委托代理人必须持证件（法定代表人凭法定代表人身份证明和身份证或委托代理人凭法人授权委托书原件和身份证原件）。如不按上述规定提交开标会检查的证件资料，投标文件将被拒收。由此带来的后果由投标人自行负责。</w:t>
      </w:r>
    </w:p>
    <w:p>
      <w:pPr>
        <w:pStyle w:val="8"/>
        <w:spacing w:before="2" w:line="360" w:lineRule="auto"/>
        <w:ind w:left="3" w:firstLine="658" w:firstLineChars="298"/>
        <w:rPr>
          <w:rFonts w:hint="eastAsia"/>
          <w:b w:val="0"/>
          <w:bCs w:val="0"/>
          <w:color w:val="auto"/>
          <w:sz w:val="22"/>
          <w:szCs w:val="22"/>
        </w:rPr>
      </w:pPr>
      <w:r>
        <w:rPr>
          <w:rFonts w:hint="eastAsia"/>
          <w:color w:val="auto"/>
          <w:sz w:val="22"/>
          <w:szCs w:val="22"/>
          <w:lang w:eastAsia="zh-CN"/>
        </w:rPr>
        <w:t>十、公告期限：</w:t>
      </w:r>
      <w:r>
        <w:rPr>
          <w:rFonts w:hint="eastAsia"/>
          <w:b w:val="0"/>
          <w:bCs w:val="0"/>
          <w:color w:val="auto"/>
          <w:sz w:val="22"/>
          <w:szCs w:val="22"/>
        </w:rPr>
        <w:t>自本公告发布之日起5个工作日。</w:t>
      </w:r>
    </w:p>
    <w:p>
      <w:pPr>
        <w:pStyle w:val="8"/>
        <w:spacing w:before="2" w:line="360" w:lineRule="auto"/>
        <w:ind w:left="663" w:hanging="3"/>
        <w:rPr>
          <w:rFonts w:hint="eastAsia"/>
          <w:color w:val="auto"/>
          <w:sz w:val="22"/>
          <w:szCs w:val="22"/>
          <w:lang w:eastAsia="zh-CN"/>
        </w:rPr>
      </w:pPr>
      <w:r>
        <w:rPr>
          <w:rFonts w:hint="eastAsia"/>
          <w:color w:val="auto"/>
          <w:sz w:val="22"/>
          <w:szCs w:val="22"/>
          <w:lang w:eastAsia="zh-CN"/>
        </w:rPr>
        <w:t>十一、</w:t>
      </w:r>
      <w:r>
        <w:rPr>
          <w:rFonts w:hint="eastAsia"/>
          <w:color w:val="auto"/>
          <w:sz w:val="22"/>
          <w:szCs w:val="22"/>
        </w:rPr>
        <w:t>其他补充事宜</w:t>
      </w:r>
      <w:r>
        <w:rPr>
          <w:rFonts w:hint="eastAsia"/>
          <w:color w:val="auto"/>
          <w:sz w:val="22"/>
          <w:szCs w:val="22"/>
          <w:lang w:eastAsia="zh-CN"/>
        </w:rPr>
        <w:t>：</w:t>
      </w:r>
    </w:p>
    <w:p>
      <w:pPr>
        <w:pStyle w:val="8"/>
        <w:spacing w:before="2" w:line="360" w:lineRule="auto"/>
        <w:ind w:left="3" w:firstLine="655" w:firstLineChars="298"/>
        <w:rPr>
          <w:rFonts w:hint="eastAsia"/>
          <w:b w:val="0"/>
          <w:bCs w:val="0"/>
          <w:color w:val="auto"/>
          <w:sz w:val="22"/>
          <w:szCs w:val="22"/>
        </w:rPr>
      </w:pPr>
      <w:r>
        <w:rPr>
          <w:rFonts w:hint="eastAsia"/>
          <w:b w:val="0"/>
          <w:bCs w:val="0"/>
          <w:color w:val="auto"/>
          <w:sz w:val="22"/>
          <w:szCs w:val="22"/>
        </w:rPr>
        <w:t>1、投标保证金(人民币)：</w:t>
      </w:r>
      <w:r>
        <w:rPr>
          <w:rFonts w:hint="eastAsia"/>
          <w:b w:val="0"/>
          <w:bCs w:val="0"/>
          <w:color w:val="auto"/>
          <w:sz w:val="22"/>
          <w:szCs w:val="22"/>
          <w:lang w:val="en-US" w:eastAsia="zh-CN"/>
        </w:rPr>
        <w:t>伍</w:t>
      </w:r>
      <w:r>
        <w:rPr>
          <w:rFonts w:hint="eastAsia"/>
          <w:b w:val="0"/>
          <w:bCs w:val="0"/>
          <w:color w:val="auto"/>
          <w:sz w:val="22"/>
          <w:szCs w:val="22"/>
        </w:rPr>
        <w:t>万元整（￥</w:t>
      </w:r>
      <w:r>
        <w:rPr>
          <w:rFonts w:hint="eastAsia"/>
          <w:b w:val="0"/>
          <w:bCs w:val="0"/>
          <w:color w:val="auto"/>
          <w:sz w:val="22"/>
          <w:szCs w:val="22"/>
          <w:lang w:val="en-US" w:eastAsia="zh-CN"/>
        </w:rPr>
        <w:t>5</w:t>
      </w:r>
      <w:r>
        <w:rPr>
          <w:rFonts w:hint="eastAsia"/>
          <w:b w:val="0"/>
          <w:bCs w:val="0"/>
          <w:color w:val="auto"/>
          <w:sz w:val="22"/>
          <w:szCs w:val="22"/>
        </w:rPr>
        <w:t>0000.00）。</w:t>
      </w:r>
    </w:p>
    <w:p>
      <w:pPr>
        <w:pStyle w:val="8"/>
        <w:spacing w:before="2" w:line="360" w:lineRule="auto"/>
        <w:ind w:left="3" w:firstLine="655" w:firstLineChars="298"/>
        <w:rPr>
          <w:rFonts w:hint="eastAsia"/>
          <w:b w:val="0"/>
          <w:bCs w:val="0"/>
          <w:color w:val="auto"/>
          <w:sz w:val="22"/>
          <w:szCs w:val="22"/>
        </w:rPr>
      </w:pPr>
      <w:r>
        <w:rPr>
          <w:rFonts w:hint="eastAsia"/>
          <w:b w:val="0"/>
          <w:bCs w:val="0"/>
          <w:color w:val="auto"/>
          <w:sz w:val="22"/>
          <w:szCs w:val="22"/>
        </w:rPr>
        <w:t>投标人应于投标截止时间前将投标保证金以支票、本票、银行转账、电汇或网上支付银行保函、投标保证保险合同等非现形式缴纳或提交，采用银行转账的投标供应商应于投标截止时间前将投标保证金以汇至以下账户。</w:t>
      </w:r>
    </w:p>
    <w:p>
      <w:pPr>
        <w:pStyle w:val="8"/>
        <w:spacing w:before="2" w:line="360" w:lineRule="auto"/>
        <w:ind w:left="3" w:firstLine="655" w:firstLineChars="298"/>
        <w:rPr>
          <w:rFonts w:hint="eastAsia"/>
          <w:b w:val="0"/>
          <w:bCs w:val="0"/>
          <w:color w:val="auto"/>
          <w:sz w:val="22"/>
          <w:szCs w:val="22"/>
        </w:rPr>
      </w:pPr>
      <w:r>
        <w:rPr>
          <w:rFonts w:hint="eastAsia"/>
          <w:b w:val="0"/>
          <w:bCs w:val="0"/>
          <w:color w:val="auto"/>
          <w:sz w:val="22"/>
          <w:szCs w:val="22"/>
        </w:rPr>
        <w:t>账号名称：崇左市公共资源交易中心</w:t>
      </w:r>
    </w:p>
    <w:p>
      <w:pPr>
        <w:pStyle w:val="8"/>
        <w:spacing w:before="2" w:line="360" w:lineRule="auto"/>
        <w:ind w:left="3" w:firstLine="655" w:firstLineChars="298"/>
        <w:rPr>
          <w:rFonts w:hint="eastAsia"/>
          <w:b w:val="0"/>
          <w:bCs w:val="0"/>
          <w:color w:val="auto"/>
          <w:sz w:val="22"/>
          <w:szCs w:val="22"/>
        </w:rPr>
      </w:pPr>
      <w:r>
        <w:rPr>
          <w:rFonts w:hint="eastAsia"/>
          <w:b w:val="0"/>
          <w:bCs w:val="0"/>
          <w:color w:val="auto"/>
          <w:sz w:val="22"/>
          <w:szCs w:val="22"/>
        </w:rPr>
        <w:t>开 户 行: 中国建设银行股份有限公司崇左友谊大道支行</w:t>
      </w:r>
    </w:p>
    <w:p>
      <w:pPr>
        <w:pStyle w:val="8"/>
        <w:spacing w:before="2" w:line="360" w:lineRule="auto"/>
        <w:ind w:left="3" w:firstLine="655" w:firstLineChars="298"/>
        <w:rPr>
          <w:rFonts w:hint="eastAsia" w:eastAsia="宋体"/>
          <w:b w:val="0"/>
          <w:bCs w:val="0"/>
          <w:color w:val="auto"/>
          <w:sz w:val="22"/>
          <w:szCs w:val="22"/>
          <w:lang w:eastAsia="zh-CN"/>
        </w:rPr>
      </w:pPr>
      <w:r>
        <w:rPr>
          <w:rFonts w:hint="eastAsia"/>
          <w:b w:val="0"/>
          <w:bCs w:val="0"/>
          <w:color w:val="auto"/>
          <w:sz w:val="22"/>
          <w:szCs w:val="22"/>
        </w:rPr>
        <w:t>账</w:t>
      </w:r>
      <w:r>
        <w:rPr>
          <w:rFonts w:hint="eastAsia"/>
          <w:b w:val="0"/>
          <w:bCs w:val="0"/>
          <w:color w:val="auto"/>
          <w:sz w:val="22"/>
          <w:szCs w:val="22"/>
        </w:rPr>
        <w:tab/>
      </w:r>
      <w:r>
        <w:rPr>
          <w:rFonts w:hint="eastAsia"/>
          <w:b w:val="0"/>
          <w:bCs w:val="0"/>
          <w:color w:val="auto"/>
          <w:sz w:val="22"/>
          <w:szCs w:val="22"/>
        </w:rPr>
        <w:t xml:space="preserve">   号：45001598054059556677</w:t>
      </w:r>
    </w:p>
    <w:p>
      <w:pPr>
        <w:pStyle w:val="8"/>
        <w:spacing w:before="2" w:line="360" w:lineRule="auto"/>
        <w:ind w:left="3" w:firstLine="655" w:firstLineChars="298"/>
        <w:rPr>
          <w:rFonts w:hint="eastAsia"/>
          <w:b w:val="0"/>
          <w:bCs w:val="0"/>
          <w:color w:val="auto"/>
          <w:sz w:val="22"/>
          <w:szCs w:val="22"/>
        </w:rPr>
      </w:pPr>
      <w:r>
        <w:rPr>
          <w:rFonts w:hint="eastAsia"/>
          <w:b w:val="0"/>
          <w:bCs w:val="0"/>
          <w:color w:val="auto"/>
          <w:sz w:val="22"/>
          <w:szCs w:val="22"/>
        </w:rPr>
        <w:t>注：（转账时在备注栏注明：“项目名称或项目编号 的投标保证金”）。</w:t>
      </w:r>
    </w:p>
    <w:p>
      <w:pPr>
        <w:pStyle w:val="8"/>
        <w:spacing w:before="2" w:line="360" w:lineRule="auto"/>
        <w:ind w:left="3" w:firstLine="655" w:firstLineChars="298"/>
        <w:rPr>
          <w:rFonts w:hint="eastAsia"/>
          <w:b w:val="0"/>
          <w:bCs w:val="0"/>
          <w:color w:val="auto"/>
          <w:sz w:val="22"/>
          <w:szCs w:val="22"/>
        </w:rPr>
      </w:pPr>
      <w:r>
        <w:rPr>
          <w:rFonts w:hint="eastAsia"/>
          <w:b w:val="0"/>
          <w:bCs w:val="0"/>
          <w:color w:val="auto"/>
          <w:sz w:val="22"/>
          <w:szCs w:val="22"/>
        </w:rPr>
        <w:t>2、发布媒体：www.ccgp.gov.cn（中国政府采购网）、http://zfcg.gxzf.gov.cn/（广西壮族自治区政府采购网）、www.czjyzx.gov.cn（崇左市公共资源交易中心网）。</w:t>
      </w:r>
    </w:p>
    <w:p>
      <w:pPr>
        <w:pStyle w:val="8"/>
        <w:spacing w:before="2" w:line="360" w:lineRule="auto"/>
        <w:ind w:left="663" w:hanging="3"/>
        <w:rPr>
          <w:color w:val="auto"/>
          <w:sz w:val="22"/>
          <w:szCs w:val="22"/>
        </w:rPr>
      </w:pPr>
      <w:r>
        <w:rPr>
          <w:color w:val="auto"/>
          <w:sz w:val="22"/>
          <w:szCs w:val="22"/>
        </w:rPr>
        <w:t>十</w:t>
      </w:r>
      <w:r>
        <w:rPr>
          <w:rFonts w:hint="eastAsia"/>
          <w:color w:val="auto"/>
          <w:sz w:val="22"/>
          <w:szCs w:val="22"/>
          <w:lang w:eastAsia="zh-CN"/>
        </w:rPr>
        <w:t>二</w:t>
      </w:r>
      <w:r>
        <w:rPr>
          <w:color w:val="auto"/>
          <w:sz w:val="22"/>
          <w:szCs w:val="22"/>
        </w:rPr>
        <w:t>、联系事项：</w:t>
      </w:r>
    </w:p>
    <w:p>
      <w:pPr>
        <w:pStyle w:val="2"/>
        <w:tabs>
          <w:tab w:val="left" w:pos="2826"/>
          <w:tab w:val="left" w:pos="3245"/>
          <w:tab w:val="left" w:pos="3664"/>
          <w:tab w:val="left" w:pos="4083"/>
        </w:tabs>
        <w:spacing w:before="44" w:line="360" w:lineRule="auto"/>
        <w:ind w:right="355" w:firstLine="660" w:firstLineChars="300"/>
        <w:rPr>
          <w:color w:val="auto"/>
          <w:sz w:val="22"/>
          <w:szCs w:val="22"/>
          <w:lang w:val="en-US"/>
        </w:rPr>
      </w:pPr>
      <w:r>
        <w:rPr>
          <w:rFonts w:hint="eastAsia"/>
          <w:color w:val="auto"/>
          <w:sz w:val="22"/>
          <w:szCs w:val="22"/>
        </w:rPr>
        <w:t>1、采购人：崇左市交通运输局</w:t>
      </w:r>
    </w:p>
    <w:p>
      <w:pPr>
        <w:pStyle w:val="2"/>
        <w:tabs>
          <w:tab w:val="left" w:pos="2826"/>
          <w:tab w:val="left" w:pos="3245"/>
          <w:tab w:val="left" w:pos="3664"/>
          <w:tab w:val="left" w:pos="4083"/>
        </w:tabs>
        <w:spacing w:before="44" w:line="360" w:lineRule="auto"/>
        <w:ind w:right="355" w:firstLine="660" w:firstLineChars="300"/>
        <w:rPr>
          <w:color w:val="auto"/>
          <w:sz w:val="22"/>
          <w:szCs w:val="22"/>
          <w:lang w:val="en-US"/>
        </w:rPr>
      </w:pPr>
      <w:r>
        <w:rPr>
          <w:rFonts w:hint="eastAsia"/>
          <w:color w:val="auto"/>
          <w:sz w:val="22"/>
          <w:szCs w:val="22"/>
        </w:rPr>
        <w:t>联系人：蒙工        联系电话：</w:t>
      </w:r>
      <w:r>
        <w:rPr>
          <w:rFonts w:hint="eastAsia"/>
          <w:color w:val="auto"/>
          <w:sz w:val="22"/>
          <w:szCs w:val="22"/>
          <w:lang w:val="en-US"/>
        </w:rPr>
        <w:t>0771-7843612</w:t>
      </w:r>
    </w:p>
    <w:p>
      <w:pPr>
        <w:pStyle w:val="2"/>
        <w:tabs>
          <w:tab w:val="left" w:pos="2826"/>
          <w:tab w:val="left" w:pos="3245"/>
          <w:tab w:val="left" w:pos="3664"/>
          <w:tab w:val="left" w:pos="4083"/>
        </w:tabs>
        <w:spacing w:before="44" w:line="360" w:lineRule="auto"/>
        <w:ind w:right="355" w:firstLine="660" w:firstLineChars="300"/>
        <w:rPr>
          <w:color w:val="auto"/>
          <w:sz w:val="22"/>
          <w:szCs w:val="22"/>
        </w:rPr>
      </w:pPr>
      <w:r>
        <w:rPr>
          <w:rFonts w:hint="eastAsia"/>
          <w:color w:val="auto"/>
          <w:sz w:val="22"/>
          <w:szCs w:val="22"/>
        </w:rPr>
        <w:t>联系地址：崇左市江州区友谊大道</w:t>
      </w:r>
      <w:r>
        <w:rPr>
          <w:rFonts w:hint="eastAsia"/>
          <w:color w:val="auto"/>
          <w:sz w:val="22"/>
          <w:szCs w:val="22"/>
          <w:lang w:val="en-US"/>
        </w:rPr>
        <w:t>19号</w:t>
      </w:r>
    </w:p>
    <w:p>
      <w:pPr>
        <w:pStyle w:val="2"/>
        <w:numPr>
          <w:ilvl w:val="0"/>
          <w:numId w:val="3"/>
        </w:numPr>
        <w:tabs>
          <w:tab w:val="left" w:pos="2826"/>
          <w:tab w:val="left" w:pos="3245"/>
          <w:tab w:val="left" w:pos="3664"/>
          <w:tab w:val="left" w:pos="4083"/>
        </w:tabs>
        <w:spacing w:before="44" w:line="360" w:lineRule="auto"/>
        <w:ind w:right="355" w:firstLine="660" w:firstLineChars="300"/>
        <w:rPr>
          <w:color w:val="auto"/>
          <w:sz w:val="22"/>
          <w:szCs w:val="22"/>
        </w:rPr>
      </w:pPr>
      <w:r>
        <w:rPr>
          <w:rFonts w:hint="eastAsia"/>
          <w:color w:val="auto"/>
          <w:sz w:val="22"/>
          <w:szCs w:val="22"/>
        </w:rPr>
        <w:t>采购代理机构：华物盛泰工程咨询管理有限公司</w:t>
      </w:r>
    </w:p>
    <w:p>
      <w:pPr>
        <w:pStyle w:val="2"/>
        <w:numPr>
          <w:ilvl w:val="0"/>
          <w:numId w:val="3"/>
        </w:numPr>
        <w:tabs>
          <w:tab w:val="left" w:pos="2826"/>
          <w:tab w:val="left" w:pos="3245"/>
          <w:tab w:val="left" w:pos="3664"/>
          <w:tab w:val="left" w:pos="4083"/>
        </w:tabs>
        <w:spacing w:before="44" w:line="360" w:lineRule="auto"/>
        <w:ind w:right="355" w:firstLine="660" w:firstLineChars="300"/>
        <w:rPr>
          <w:color w:val="auto"/>
          <w:sz w:val="22"/>
          <w:szCs w:val="22"/>
          <w:lang w:val="en-US"/>
        </w:rPr>
      </w:pPr>
      <w:r>
        <w:rPr>
          <w:rFonts w:hint="eastAsia"/>
          <w:color w:val="auto"/>
          <w:sz w:val="22"/>
          <w:szCs w:val="22"/>
        </w:rPr>
        <w:t>项目联系人：</w:t>
      </w:r>
      <w:r>
        <w:rPr>
          <w:rFonts w:hint="eastAsia"/>
          <w:color w:val="auto"/>
          <w:sz w:val="22"/>
          <w:szCs w:val="22"/>
          <w:lang w:val="en-US"/>
        </w:rPr>
        <w:t>周工</w:t>
      </w:r>
      <w:r>
        <w:rPr>
          <w:rFonts w:hint="eastAsia"/>
          <w:color w:val="auto"/>
          <w:sz w:val="22"/>
          <w:szCs w:val="22"/>
        </w:rPr>
        <w:t xml:space="preserve">     联系电话：</w:t>
      </w:r>
      <w:r>
        <w:rPr>
          <w:rFonts w:hint="eastAsia"/>
          <w:color w:val="auto"/>
          <w:sz w:val="22"/>
          <w:szCs w:val="22"/>
          <w:lang w:val="en-US"/>
        </w:rPr>
        <w:t xml:space="preserve">15977101645  </w:t>
      </w:r>
      <w:r>
        <w:rPr>
          <w:rFonts w:hint="eastAsia"/>
          <w:color w:val="auto"/>
          <w:sz w:val="22"/>
          <w:szCs w:val="22"/>
        </w:rPr>
        <w:t>传真：</w:t>
      </w:r>
      <w:r>
        <w:rPr>
          <w:rFonts w:hint="eastAsia"/>
          <w:color w:val="auto"/>
          <w:sz w:val="22"/>
          <w:szCs w:val="22"/>
          <w:lang w:val="en-US"/>
        </w:rPr>
        <w:t>0771-7849481</w:t>
      </w:r>
    </w:p>
    <w:p>
      <w:pPr>
        <w:widowControl/>
        <w:autoSpaceDE/>
        <w:autoSpaceDN/>
        <w:snapToGrid w:val="0"/>
        <w:spacing w:line="360" w:lineRule="auto"/>
        <w:ind w:firstLine="660" w:firstLineChars="300"/>
        <w:jc w:val="both"/>
        <w:rPr>
          <w:color w:val="auto"/>
          <w:sz w:val="24"/>
          <w:szCs w:val="24"/>
        </w:rPr>
      </w:pPr>
      <w:r>
        <w:rPr>
          <w:rFonts w:hint="eastAsia"/>
          <w:color w:val="auto"/>
        </w:rPr>
        <w:t>联系地址：崇左市江州区花山路与城南八路交汇处万沣大厦四楼403</w:t>
      </w:r>
    </w:p>
    <w:p>
      <w:pPr>
        <w:pStyle w:val="2"/>
        <w:tabs>
          <w:tab w:val="left" w:pos="2826"/>
          <w:tab w:val="left" w:pos="3245"/>
          <w:tab w:val="left" w:pos="3664"/>
          <w:tab w:val="left" w:pos="4083"/>
        </w:tabs>
        <w:spacing w:before="44" w:line="360" w:lineRule="auto"/>
        <w:ind w:right="355" w:firstLine="660" w:firstLineChars="300"/>
        <w:rPr>
          <w:rFonts w:hint="default" w:eastAsia="宋体"/>
          <w:color w:val="auto"/>
          <w:sz w:val="22"/>
          <w:szCs w:val="22"/>
          <w:lang w:val="en-US" w:eastAsia="zh-CN"/>
        </w:rPr>
      </w:pPr>
      <w:r>
        <w:rPr>
          <w:rFonts w:hint="eastAsia"/>
          <w:color w:val="auto"/>
          <w:sz w:val="22"/>
          <w:szCs w:val="22"/>
        </w:rPr>
        <w:t>监督管理部门：</w:t>
      </w:r>
      <w:r>
        <w:rPr>
          <w:rFonts w:hint="eastAsia"/>
          <w:color w:val="auto"/>
          <w:sz w:val="22"/>
          <w:szCs w:val="22"/>
          <w:lang w:val="en-US" w:eastAsia="zh-CN"/>
        </w:rPr>
        <w:t>崇左市财政局采购科</w:t>
      </w:r>
    </w:p>
    <w:p>
      <w:pPr>
        <w:pStyle w:val="2"/>
        <w:tabs>
          <w:tab w:val="left" w:pos="2826"/>
          <w:tab w:val="left" w:pos="3245"/>
          <w:tab w:val="left" w:pos="3664"/>
          <w:tab w:val="left" w:pos="4083"/>
        </w:tabs>
        <w:spacing w:before="44" w:line="360" w:lineRule="auto"/>
        <w:ind w:right="355" w:firstLine="660" w:firstLineChars="300"/>
        <w:rPr>
          <w:rFonts w:hint="default" w:eastAsia="宋体"/>
          <w:color w:val="auto"/>
          <w:sz w:val="22"/>
          <w:szCs w:val="22"/>
          <w:lang w:val="en-US" w:eastAsia="zh-CN"/>
        </w:rPr>
      </w:pPr>
      <w:r>
        <w:rPr>
          <w:rFonts w:hint="eastAsia"/>
          <w:color w:val="auto"/>
          <w:sz w:val="22"/>
          <w:szCs w:val="22"/>
        </w:rPr>
        <w:t>联系电话：</w:t>
      </w:r>
      <w:bookmarkStart w:id="239" w:name="_GoBack"/>
      <w:r>
        <w:rPr>
          <w:rFonts w:hint="eastAsia"/>
          <w:color w:val="auto"/>
          <w:sz w:val="22"/>
          <w:szCs w:val="22"/>
          <w:lang w:val="en-US"/>
        </w:rPr>
        <w:t>0771-</w:t>
      </w:r>
      <w:r>
        <w:rPr>
          <w:rFonts w:hint="eastAsia"/>
          <w:color w:val="auto"/>
          <w:sz w:val="22"/>
          <w:szCs w:val="22"/>
          <w:lang w:val="en-US" w:eastAsia="zh-CN"/>
        </w:rPr>
        <w:t>5962613</w:t>
      </w:r>
      <w:bookmarkEnd w:id="239"/>
    </w:p>
    <w:p>
      <w:pPr>
        <w:pStyle w:val="2"/>
        <w:tabs>
          <w:tab w:val="left" w:pos="2826"/>
          <w:tab w:val="left" w:pos="3245"/>
          <w:tab w:val="left" w:pos="3664"/>
          <w:tab w:val="left" w:pos="4083"/>
        </w:tabs>
        <w:spacing w:before="44" w:line="360" w:lineRule="auto"/>
        <w:ind w:left="360" w:right="355" w:firstLine="420"/>
        <w:rPr>
          <w:color w:val="auto"/>
          <w:sz w:val="22"/>
          <w:szCs w:val="22"/>
        </w:rPr>
      </w:pPr>
    </w:p>
    <w:p>
      <w:pPr>
        <w:pStyle w:val="2"/>
        <w:tabs>
          <w:tab w:val="left" w:pos="2826"/>
          <w:tab w:val="left" w:pos="3245"/>
          <w:tab w:val="left" w:pos="3664"/>
          <w:tab w:val="left" w:pos="4083"/>
        </w:tabs>
        <w:spacing w:before="44" w:line="360" w:lineRule="auto"/>
        <w:ind w:right="355"/>
        <w:jc w:val="center"/>
        <w:rPr>
          <w:rFonts w:hint="eastAsia"/>
          <w:color w:val="auto"/>
          <w:sz w:val="22"/>
          <w:szCs w:val="22"/>
          <w:lang w:val="en-US" w:eastAsia="zh-CN"/>
        </w:rPr>
      </w:pPr>
      <w:r>
        <w:rPr>
          <w:rFonts w:hint="eastAsia"/>
          <w:color w:val="auto"/>
          <w:sz w:val="22"/>
          <w:szCs w:val="22"/>
          <w:lang w:val="en-US" w:eastAsia="zh-CN"/>
        </w:rPr>
        <w:t xml:space="preserve">                                                             </w:t>
      </w:r>
      <w:r>
        <w:rPr>
          <w:rFonts w:hint="eastAsia"/>
          <w:color w:val="auto"/>
          <w:sz w:val="22"/>
          <w:szCs w:val="22"/>
        </w:rPr>
        <w:t>采购人：崇左市交通运输局</w:t>
      </w:r>
      <w:r>
        <w:rPr>
          <w:rFonts w:hint="eastAsia"/>
          <w:color w:val="auto"/>
          <w:sz w:val="22"/>
          <w:szCs w:val="22"/>
          <w:lang w:val="en-US" w:eastAsia="zh-CN"/>
        </w:rPr>
        <w:t xml:space="preserve">       </w:t>
      </w:r>
    </w:p>
    <w:p>
      <w:pPr>
        <w:pStyle w:val="2"/>
        <w:tabs>
          <w:tab w:val="left" w:pos="2826"/>
          <w:tab w:val="left" w:pos="3245"/>
          <w:tab w:val="left" w:pos="3664"/>
          <w:tab w:val="left" w:pos="4083"/>
        </w:tabs>
        <w:spacing w:before="44" w:line="360" w:lineRule="auto"/>
        <w:ind w:right="355"/>
        <w:jc w:val="center"/>
        <w:rPr>
          <w:color w:val="auto"/>
          <w:lang w:val="en-US"/>
        </w:rPr>
      </w:pPr>
      <w:r>
        <w:rPr>
          <w:rFonts w:hint="eastAsia"/>
          <w:color w:val="auto"/>
          <w:sz w:val="22"/>
          <w:szCs w:val="22"/>
          <w:lang w:val="en-US" w:eastAsia="zh-CN"/>
        </w:rPr>
        <w:t xml:space="preserve">                                             </w:t>
      </w:r>
      <w:r>
        <w:rPr>
          <w:rFonts w:hint="eastAsia"/>
          <w:color w:val="auto"/>
        </w:rPr>
        <w:t>采购代理机构：华物盛泰工程咨询管理有限公司</w:t>
      </w:r>
    </w:p>
    <w:p>
      <w:pPr>
        <w:tabs>
          <w:tab w:val="left" w:pos="5755"/>
        </w:tabs>
        <w:spacing w:line="360" w:lineRule="auto"/>
        <w:ind w:firstLine="6930" w:firstLineChars="3150"/>
        <w:rPr>
          <w:color w:val="auto"/>
          <w:lang w:val="en-US"/>
        </w:rPr>
      </w:pPr>
      <w:r>
        <w:rPr>
          <w:rFonts w:hint="eastAsia"/>
          <w:color w:val="auto"/>
          <w:lang w:val="en-US"/>
        </w:rPr>
        <w:t>2020年</w:t>
      </w:r>
      <w:r>
        <w:rPr>
          <w:rFonts w:hint="eastAsia"/>
          <w:color w:val="auto"/>
          <w:lang w:val="en-US" w:eastAsia="zh-CN"/>
        </w:rPr>
        <w:t>11</w:t>
      </w:r>
      <w:r>
        <w:rPr>
          <w:rFonts w:hint="eastAsia"/>
          <w:color w:val="auto"/>
          <w:lang w:val="en-US"/>
        </w:rPr>
        <w:t>月</w:t>
      </w:r>
      <w:r>
        <w:rPr>
          <w:rFonts w:hint="eastAsia"/>
          <w:color w:val="auto"/>
          <w:lang w:val="en-US" w:eastAsia="zh-CN"/>
        </w:rPr>
        <w:t>9</w:t>
      </w:r>
      <w:r>
        <w:rPr>
          <w:rFonts w:hint="eastAsia"/>
          <w:color w:val="auto"/>
          <w:lang w:val="en-US"/>
        </w:rPr>
        <w:t>日</w:t>
      </w:r>
    </w:p>
    <w:p>
      <w:pPr>
        <w:rPr>
          <w:color w:val="auto"/>
        </w:rPr>
      </w:pPr>
      <w:r>
        <w:rPr>
          <w:rFonts w:hint="eastAsia"/>
          <w:color w:val="auto"/>
        </w:rPr>
        <w:br w:type="page"/>
      </w:r>
    </w:p>
    <w:p>
      <w:pPr>
        <w:pStyle w:val="3"/>
        <w:rPr>
          <w:color w:val="auto"/>
        </w:rPr>
      </w:pPr>
      <w:bookmarkStart w:id="5" w:name="_Toc25517"/>
      <w:r>
        <w:rPr>
          <w:rFonts w:hint="eastAsia"/>
          <w:color w:val="auto"/>
        </w:rPr>
        <w:t>第二章 招标项目采购需求</w:t>
      </w:r>
      <w:bookmarkEnd w:id="2"/>
      <w:bookmarkEnd w:id="3"/>
      <w:bookmarkEnd w:id="4"/>
      <w:bookmarkEnd w:id="5"/>
    </w:p>
    <w:p>
      <w:pPr>
        <w:spacing w:line="360" w:lineRule="auto"/>
        <w:ind w:firstLine="442" w:firstLineChars="200"/>
        <w:rPr>
          <w:b/>
          <w:color w:val="auto"/>
          <w:szCs w:val="21"/>
        </w:rPr>
      </w:pPr>
      <w:bookmarkStart w:id="6" w:name="_Toc743"/>
      <w:r>
        <w:rPr>
          <w:rFonts w:hint="eastAsia"/>
          <w:b/>
          <w:color w:val="auto"/>
          <w:szCs w:val="21"/>
        </w:rPr>
        <w:t>一、项目概况</w:t>
      </w:r>
    </w:p>
    <w:p>
      <w:pPr>
        <w:spacing w:line="360" w:lineRule="auto"/>
        <w:ind w:firstLine="440" w:firstLineChars="200"/>
        <w:rPr>
          <w:bCs/>
          <w:color w:val="auto"/>
          <w:szCs w:val="21"/>
        </w:rPr>
      </w:pPr>
      <w:r>
        <w:rPr>
          <w:rFonts w:hint="eastAsia"/>
          <w:bCs/>
          <w:color w:val="auto"/>
          <w:szCs w:val="21"/>
        </w:rPr>
        <w:t>1、项目名称：大新德天至宁明花山公路（硕龙至天西段）二期工程全过程造价咨询（从项目实施阶段起）</w:t>
      </w:r>
    </w:p>
    <w:p>
      <w:pPr>
        <w:numPr>
          <w:ilvl w:val="0"/>
          <w:numId w:val="4"/>
        </w:numPr>
        <w:spacing w:line="360" w:lineRule="auto"/>
        <w:ind w:firstLine="440" w:firstLineChars="200"/>
        <w:rPr>
          <w:b/>
          <w:color w:val="auto"/>
          <w:szCs w:val="21"/>
        </w:rPr>
      </w:pPr>
      <w:r>
        <w:rPr>
          <w:rFonts w:hint="eastAsia"/>
          <w:bCs/>
          <w:color w:val="auto"/>
          <w:szCs w:val="21"/>
        </w:rPr>
        <w:t>项目主要内容：大新德天至宁明花山公路(硕龙至天西段)工程经(崇发改交通[2020]9号)文批复同意调整项目可行性研究报告，二期工程为硕龙至岩应段，路线起于硕龙镇巴</w:t>
      </w:r>
      <w:r>
        <w:rPr>
          <w:rFonts w:hint="eastAsia"/>
          <w:bCs/>
          <w:color w:val="auto"/>
          <w:szCs w:val="21"/>
          <w:lang w:eastAsia="zh-CN"/>
        </w:rPr>
        <w:t>米</w:t>
      </w:r>
      <w:r>
        <w:rPr>
          <w:rFonts w:hint="eastAsia"/>
          <w:bCs/>
          <w:color w:val="auto"/>
          <w:szCs w:val="21"/>
        </w:rPr>
        <w:t>附近，终于岩应接一期工程，二期工程桩号为K0+000K9+092，二期工程终点为一期工程起点，该处设置断链，二期工程终点K9+092=一期工程起点K8+800，长链长度为292m。二期实施全长9.092km</w:t>
      </w:r>
      <w:r>
        <w:rPr>
          <w:rFonts w:hint="eastAsia"/>
          <w:bCs/>
          <w:color w:val="auto"/>
          <w:szCs w:val="21"/>
          <w:lang w:eastAsia="zh-CN"/>
        </w:rPr>
        <w:t>，</w:t>
      </w:r>
      <w:r>
        <w:rPr>
          <w:rFonts w:hint="eastAsia"/>
          <w:bCs/>
          <w:color w:val="auto"/>
          <w:szCs w:val="21"/>
        </w:rPr>
        <w:t>采用一级公路技术标准，设计速度60km/h，路基宽22.5</w:t>
      </w:r>
      <w:r>
        <w:rPr>
          <w:rFonts w:hint="eastAsia"/>
          <w:bCs/>
          <w:color w:val="auto"/>
          <w:szCs w:val="21"/>
          <w:lang w:val="en-US"/>
        </w:rPr>
        <w:t>/18.5</w:t>
      </w:r>
      <w:r>
        <w:rPr>
          <w:rFonts w:hint="eastAsia"/>
          <w:bCs/>
          <w:color w:val="auto"/>
          <w:szCs w:val="21"/>
        </w:rPr>
        <w:t>m。</w:t>
      </w:r>
    </w:p>
    <w:p>
      <w:pPr>
        <w:numPr>
          <w:ilvl w:val="0"/>
          <w:numId w:val="4"/>
        </w:numPr>
        <w:spacing w:line="360" w:lineRule="auto"/>
        <w:ind w:firstLine="442" w:firstLineChars="200"/>
        <w:rPr>
          <w:b/>
          <w:color w:val="auto"/>
          <w:szCs w:val="21"/>
        </w:rPr>
      </w:pPr>
      <w:r>
        <w:rPr>
          <w:rFonts w:hint="eastAsia"/>
          <w:b/>
          <w:color w:val="auto"/>
          <w:szCs w:val="21"/>
        </w:rPr>
        <w:t>服务内容要求</w:t>
      </w:r>
    </w:p>
    <w:p>
      <w:pPr>
        <w:spacing w:line="360" w:lineRule="auto"/>
        <w:ind w:firstLine="442" w:firstLineChars="200"/>
        <w:rPr>
          <w:b/>
          <w:bCs/>
          <w:color w:val="auto"/>
          <w:szCs w:val="21"/>
        </w:rPr>
      </w:pPr>
      <w:bookmarkStart w:id="7" w:name="_Toc213325923"/>
      <w:bookmarkStart w:id="8" w:name="_Toc25985"/>
      <w:bookmarkStart w:id="9" w:name="_Toc6595_WPSOffice_Level1"/>
      <w:bookmarkStart w:id="10" w:name="_Toc213206174"/>
      <w:bookmarkStart w:id="11" w:name="_Toc139966432"/>
      <w:bookmarkStart w:id="12" w:name="_Toc213325922"/>
      <w:bookmarkStart w:id="13" w:name="_Toc213206173"/>
      <w:bookmarkStart w:id="14" w:name="_Toc139967216"/>
      <w:r>
        <w:rPr>
          <w:rFonts w:hint="eastAsia"/>
          <w:b/>
          <w:bCs/>
          <w:color w:val="auto"/>
          <w:szCs w:val="21"/>
        </w:rPr>
        <w:t>1、主要的工作内容包括</w:t>
      </w:r>
    </w:p>
    <w:p>
      <w:pPr>
        <w:spacing w:line="360" w:lineRule="auto"/>
        <w:ind w:firstLine="440" w:firstLineChars="200"/>
        <w:rPr>
          <w:bCs/>
          <w:color w:val="auto"/>
          <w:szCs w:val="21"/>
        </w:rPr>
      </w:pPr>
      <w:r>
        <w:rPr>
          <w:rFonts w:hint="eastAsia"/>
          <w:bCs/>
          <w:color w:val="auto"/>
          <w:szCs w:val="21"/>
        </w:rPr>
        <w:t>（1）招标文件、合同文件的审核。对招标文件、合同文件的合法性、合规性、合理性作出判断，并提出相应的修改建议和意见，并将审核结果在审计报告中反映；</w:t>
      </w:r>
    </w:p>
    <w:p>
      <w:pPr>
        <w:spacing w:line="360" w:lineRule="auto"/>
        <w:ind w:firstLine="440" w:firstLineChars="200"/>
        <w:rPr>
          <w:bCs/>
          <w:color w:val="auto"/>
          <w:szCs w:val="21"/>
        </w:rPr>
      </w:pPr>
      <w:r>
        <w:rPr>
          <w:rFonts w:hint="eastAsia"/>
          <w:bCs/>
          <w:color w:val="auto"/>
          <w:szCs w:val="21"/>
        </w:rPr>
        <w:t>（2）工程量清单编制。根据设计图纸对项目公司送审的工程量清单进行编制，并对以设计图纸工程量清单的准确性负责；</w:t>
      </w:r>
    </w:p>
    <w:p>
      <w:pPr>
        <w:spacing w:line="360" w:lineRule="auto"/>
        <w:ind w:firstLine="440" w:firstLineChars="200"/>
        <w:rPr>
          <w:bCs/>
          <w:color w:val="auto"/>
          <w:szCs w:val="21"/>
        </w:rPr>
      </w:pPr>
      <w:r>
        <w:rPr>
          <w:rFonts w:hint="eastAsia"/>
          <w:bCs/>
          <w:color w:val="auto"/>
          <w:szCs w:val="21"/>
        </w:rPr>
        <w:t>（3）招标控制价或标底的</w:t>
      </w:r>
      <w:r>
        <w:rPr>
          <w:rFonts w:hint="eastAsia"/>
          <w:bCs/>
          <w:color w:val="auto"/>
          <w:szCs w:val="21"/>
          <w:lang w:eastAsia="zh-CN"/>
        </w:rPr>
        <w:t>编制</w:t>
      </w:r>
      <w:r>
        <w:rPr>
          <w:rFonts w:hint="eastAsia"/>
          <w:bCs/>
          <w:color w:val="auto"/>
          <w:szCs w:val="21"/>
        </w:rPr>
        <w:t>。对招标控制价或标底编制的合规性、合理性作出判断，并在审计报告中反映；</w:t>
      </w:r>
    </w:p>
    <w:p>
      <w:pPr>
        <w:spacing w:line="360" w:lineRule="auto"/>
        <w:ind w:firstLine="440" w:firstLineChars="200"/>
        <w:rPr>
          <w:bCs/>
          <w:color w:val="auto"/>
          <w:szCs w:val="21"/>
        </w:rPr>
      </w:pPr>
      <w:r>
        <w:rPr>
          <w:rFonts w:hint="eastAsia"/>
          <w:bCs/>
          <w:color w:val="auto"/>
          <w:szCs w:val="21"/>
        </w:rPr>
        <w:t>（4）根据甲方需要提供材料、设备、工程等各种造价信息、资料，并出具相关造价信息的确认文件，对造价信息的真实性负责；</w:t>
      </w:r>
    </w:p>
    <w:p>
      <w:pPr>
        <w:spacing w:line="360" w:lineRule="auto"/>
        <w:ind w:firstLine="440" w:firstLineChars="200"/>
        <w:rPr>
          <w:bCs/>
          <w:color w:val="auto"/>
          <w:szCs w:val="21"/>
        </w:rPr>
      </w:pPr>
      <w:r>
        <w:rPr>
          <w:rFonts w:hint="eastAsia"/>
          <w:bCs/>
          <w:color w:val="auto"/>
          <w:szCs w:val="21"/>
        </w:rPr>
        <w:t>（5）合同执行情况审查。对合同执行情况的合法性、合规性、合理性作出判断，及时指出合同执行中存在的不规范行为并在审计报告中反映；</w:t>
      </w:r>
    </w:p>
    <w:p>
      <w:pPr>
        <w:spacing w:line="360" w:lineRule="auto"/>
        <w:ind w:firstLine="440" w:firstLineChars="200"/>
        <w:rPr>
          <w:bCs/>
          <w:color w:val="auto"/>
          <w:szCs w:val="21"/>
        </w:rPr>
      </w:pPr>
      <w:r>
        <w:rPr>
          <w:rFonts w:hint="eastAsia"/>
          <w:bCs/>
          <w:color w:val="auto"/>
          <w:szCs w:val="21"/>
        </w:rPr>
        <w:t>（6）参与特殊材料、设备的定价，到货验收工作，并提出合理化建议；</w:t>
      </w:r>
    </w:p>
    <w:p>
      <w:pPr>
        <w:spacing w:line="360" w:lineRule="auto"/>
        <w:ind w:firstLine="440" w:firstLineChars="200"/>
        <w:rPr>
          <w:bCs/>
          <w:color w:val="auto"/>
          <w:szCs w:val="21"/>
        </w:rPr>
      </w:pPr>
      <w:r>
        <w:rPr>
          <w:rFonts w:hint="eastAsia"/>
          <w:bCs/>
          <w:color w:val="auto"/>
          <w:szCs w:val="21"/>
        </w:rPr>
        <w:t>（7）对项目公司材料管理制度、采购材料管理行为进行审查，对其合法性、合规性、合理性作出判断，及时指出合同执行过程中存在的不规范行为，并在审计报告中反映；</w:t>
      </w:r>
    </w:p>
    <w:p>
      <w:pPr>
        <w:spacing w:line="360" w:lineRule="auto"/>
        <w:ind w:firstLine="440" w:firstLineChars="200"/>
        <w:rPr>
          <w:bCs/>
          <w:color w:val="auto"/>
          <w:szCs w:val="21"/>
        </w:rPr>
      </w:pPr>
      <w:r>
        <w:rPr>
          <w:rFonts w:hint="eastAsia"/>
          <w:bCs/>
          <w:color w:val="auto"/>
          <w:szCs w:val="21"/>
        </w:rPr>
        <w:t>（8）参与工程造价控制的有关会议，提出合理化建议，并收集整理相关会议记录；</w:t>
      </w:r>
    </w:p>
    <w:p>
      <w:pPr>
        <w:spacing w:line="360" w:lineRule="auto"/>
        <w:ind w:firstLine="440" w:firstLineChars="200"/>
        <w:rPr>
          <w:bCs/>
          <w:color w:val="auto"/>
          <w:szCs w:val="21"/>
        </w:rPr>
      </w:pPr>
      <w:r>
        <w:rPr>
          <w:rFonts w:hint="eastAsia"/>
          <w:bCs/>
          <w:color w:val="auto"/>
          <w:szCs w:val="21"/>
        </w:rPr>
        <w:t>（9）工程造价的动态控制，积极配合实施机构，控制、优化工程变更，根据工程用途及市场行情，出建设性的优化方案：</w:t>
      </w:r>
    </w:p>
    <w:p>
      <w:pPr>
        <w:spacing w:line="360" w:lineRule="auto"/>
        <w:ind w:firstLine="440" w:firstLineChars="200"/>
        <w:rPr>
          <w:bCs/>
          <w:color w:val="auto"/>
          <w:szCs w:val="21"/>
        </w:rPr>
      </w:pPr>
      <w:r>
        <w:rPr>
          <w:rFonts w:hint="eastAsia"/>
          <w:bCs/>
          <w:color w:val="auto"/>
          <w:szCs w:val="21"/>
        </w:rPr>
        <w:t>(10)参与设计方案变更、重大工程变更、工程签证的审核、认证，涉及造价增减的，要做好影像取证、文字记录，及时办理审计确认手续，建立相应的台账存档，督促项目公司、施工单位、监理单位、设计单位等相关单位及时对变更签证资料进行签字确认，将无法及时确认的变更签证项目情况在审计报告中反映；</w:t>
      </w:r>
    </w:p>
    <w:p>
      <w:pPr>
        <w:spacing w:line="360" w:lineRule="auto"/>
        <w:ind w:firstLine="440" w:firstLineChars="200"/>
        <w:rPr>
          <w:bCs/>
          <w:color w:val="auto"/>
          <w:szCs w:val="21"/>
        </w:rPr>
      </w:pPr>
      <w:r>
        <w:rPr>
          <w:rFonts w:hint="eastAsia"/>
          <w:bCs/>
          <w:color w:val="auto"/>
          <w:szCs w:val="21"/>
        </w:rPr>
        <w:t>（11）施工图预算审核，对施工图预算的合法性、合规性、合理性作出判断，提出相应的修改和意见，并将审计结果在审计报告中反映；</w:t>
      </w:r>
    </w:p>
    <w:p>
      <w:pPr>
        <w:spacing w:line="360" w:lineRule="auto"/>
        <w:ind w:firstLine="440" w:firstLineChars="200"/>
        <w:rPr>
          <w:bCs/>
          <w:color w:val="auto"/>
          <w:szCs w:val="21"/>
        </w:rPr>
      </w:pPr>
      <w:r>
        <w:rPr>
          <w:rFonts w:hint="eastAsia"/>
          <w:bCs/>
          <w:color w:val="auto"/>
          <w:szCs w:val="21"/>
        </w:rPr>
        <w:t>（12）建立审计整改台账，持续对审计发现的问题、审计建议进行跟踪落实，并将项目公司对审计发现问题的整改情况在审计报告中反映；</w:t>
      </w:r>
    </w:p>
    <w:p>
      <w:pPr>
        <w:spacing w:line="360" w:lineRule="auto"/>
        <w:ind w:firstLine="440" w:firstLineChars="200"/>
        <w:rPr>
          <w:bCs/>
          <w:color w:val="auto"/>
          <w:szCs w:val="21"/>
        </w:rPr>
      </w:pPr>
      <w:r>
        <w:rPr>
          <w:rFonts w:hint="eastAsia"/>
          <w:bCs/>
          <w:color w:val="auto"/>
          <w:szCs w:val="21"/>
        </w:rPr>
        <w:t>（13）每半年（上半年6月25日前，下半年12月25日前）上报跟踪审计总结，同时根据实施机构的需求出具有关现场跟踪审计的专题分析；</w:t>
      </w:r>
    </w:p>
    <w:p>
      <w:pPr>
        <w:spacing w:line="360" w:lineRule="auto"/>
        <w:ind w:firstLine="440" w:firstLineChars="200"/>
        <w:rPr>
          <w:bCs/>
          <w:color w:val="auto"/>
          <w:szCs w:val="21"/>
        </w:rPr>
      </w:pPr>
      <w:r>
        <w:rPr>
          <w:rFonts w:hint="eastAsia"/>
          <w:bCs/>
          <w:color w:val="auto"/>
          <w:szCs w:val="21"/>
        </w:rPr>
        <w:t>（14）及时审核分阶段完工的分部工程结算并出具审核报告；</w:t>
      </w:r>
    </w:p>
    <w:p>
      <w:pPr>
        <w:spacing w:line="360" w:lineRule="auto"/>
        <w:ind w:firstLine="440" w:firstLineChars="200"/>
        <w:rPr>
          <w:bCs/>
          <w:color w:val="auto"/>
          <w:szCs w:val="21"/>
        </w:rPr>
      </w:pPr>
      <w:r>
        <w:rPr>
          <w:rFonts w:hint="eastAsia"/>
          <w:bCs/>
          <w:color w:val="auto"/>
          <w:szCs w:val="21"/>
        </w:rPr>
        <w:t>（15）每月按时审核月工程量及进度款，根据工程形象进度审核监理公司审核后的工程造价，并签署付款意见。</w:t>
      </w:r>
    </w:p>
    <w:p>
      <w:pPr>
        <w:spacing w:line="360" w:lineRule="auto"/>
        <w:ind w:firstLine="440" w:firstLineChars="200"/>
        <w:rPr>
          <w:bCs/>
          <w:color w:val="auto"/>
          <w:szCs w:val="21"/>
        </w:rPr>
      </w:pPr>
      <w:r>
        <w:rPr>
          <w:rFonts w:hint="eastAsia"/>
          <w:bCs/>
          <w:color w:val="auto"/>
          <w:szCs w:val="21"/>
        </w:rPr>
        <w:t>（16）参与争议处理等方面的工作以及配合上级审计部门完成审核本工程结算的工作。</w:t>
      </w:r>
    </w:p>
    <w:p>
      <w:pPr>
        <w:spacing w:line="360" w:lineRule="auto"/>
        <w:ind w:firstLine="440" w:firstLineChars="200"/>
        <w:rPr>
          <w:bCs/>
          <w:color w:val="auto"/>
          <w:szCs w:val="21"/>
        </w:rPr>
      </w:pPr>
      <w:r>
        <w:rPr>
          <w:rFonts w:hint="eastAsia"/>
          <w:bCs/>
          <w:color w:val="auto"/>
          <w:szCs w:val="21"/>
        </w:rPr>
        <w:t>（17）参与工程例会，配合实施机构做好与施工方、监理方的工程造价协调工作，每月向实施机构进行一次书面工作汇报，进行造价风险分析与造价风险评估并提出合理化建议；</w:t>
      </w:r>
    </w:p>
    <w:p>
      <w:pPr>
        <w:spacing w:line="360" w:lineRule="auto"/>
        <w:ind w:firstLine="440" w:firstLineChars="200"/>
        <w:rPr>
          <w:bCs/>
          <w:color w:val="auto"/>
          <w:szCs w:val="21"/>
        </w:rPr>
      </w:pPr>
      <w:r>
        <w:rPr>
          <w:rFonts w:hint="eastAsia"/>
          <w:bCs/>
          <w:color w:val="auto"/>
          <w:szCs w:val="21"/>
        </w:rPr>
        <w:t>（18）实施阶段：合同、概预算、招标控制价（含工程量清单）审查审核、清单更新、工程变更审核、调价、工程洽商审核、主要材料及设备定价审核、工程计量支付、索赔等；</w:t>
      </w:r>
    </w:p>
    <w:p>
      <w:pPr>
        <w:spacing w:line="360" w:lineRule="auto"/>
        <w:ind w:firstLine="440" w:firstLineChars="200"/>
        <w:rPr>
          <w:bCs/>
          <w:color w:val="auto"/>
          <w:szCs w:val="21"/>
        </w:rPr>
      </w:pPr>
      <w:r>
        <w:rPr>
          <w:rFonts w:hint="eastAsia"/>
          <w:bCs/>
          <w:color w:val="auto"/>
          <w:szCs w:val="21"/>
        </w:rPr>
        <w:t>（19）结算阶段：结算审核、工程结算书编制或审核；</w:t>
      </w:r>
    </w:p>
    <w:p>
      <w:pPr>
        <w:spacing w:line="360" w:lineRule="auto"/>
        <w:ind w:firstLine="440" w:firstLineChars="200"/>
        <w:rPr>
          <w:bCs/>
          <w:color w:val="auto"/>
          <w:szCs w:val="21"/>
        </w:rPr>
      </w:pPr>
      <w:r>
        <w:rPr>
          <w:rFonts w:hint="eastAsia"/>
          <w:bCs/>
          <w:color w:val="auto"/>
          <w:szCs w:val="21"/>
        </w:rPr>
        <w:t>（20）其他工作：实施机构委托的其他工作：审核部分服务项目的招标控制价、结算、参加造价咨询管理工作相关的工程会议。</w:t>
      </w:r>
    </w:p>
    <w:p>
      <w:pPr>
        <w:spacing w:line="360" w:lineRule="auto"/>
        <w:ind w:firstLine="440" w:firstLineChars="200"/>
        <w:rPr>
          <w:color w:val="auto"/>
        </w:rPr>
      </w:pPr>
      <w:r>
        <w:rPr>
          <w:rFonts w:hint="eastAsia"/>
          <w:bCs/>
          <w:color w:val="auto"/>
          <w:szCs w:val="21"/>
        </w:rPr>
        <w:t>（21）其他与跟踪审计相关事宜；</w:t>
      </w:r>
    </w:p>
    <w:p>
      <w:pPr>
        <w:spacing w:line="360" w:lineRule="auto"/>
        <w:ind w:firstLine="442" w:firstLineChars="200"/>
        <w:rPr>
          <w:b/>
          <w:bCs/>
          <w:color w:val="auto"/>
          <w:szCs w:val="21"/>
        </w:rPr>
      </w:pPr>
      <w:r>
        <w:rPr>
          <w:rFonts w:hint="eastAsia"/>
          <w:b/>
          <w:bCs/>
          <w:color w:val="auto"/>
          <w:szCs w:val="21"/>
        </w:rPr>
        <w:t>2、服务有效期限</w:t>
      </w:r>
    </w:p>
    <w:p>
      <w:pPr>
        <w:spacing w:line="360" w:lineRule="auto"/>
        <w:ind w:firstLine="440" w:firstLineChars="200"/>
        <w:rPr>
          <w:bCs/>
          <w:color w:val="auto"/>
          <w:szCs w:val="21"/>
        </w:rPr>
      </w:pPr>
      <w:r>
        <w:rPr>
          <w:rFonts w:hint="eastAsia"/>
          <w:bCs/>
          <w:color w:val="auto"/>
          <w:szCs w:val="21"/>
        </w:rPr>
        <w:t>签订合同之日起至工程竣工结算造价最终审定为止。</w:t>
      </w:r>
    </w:p>
    <w:p>
      <w:pPr>
        <w:pStyle w:val="25"/>
        <w:ind w:left="882" w:hanging="442"/>
        <w:rPr>
          <w:color w:val="auto"/>
        </w:rPr>
      </w:pPr>
      <w:r>
        <w:rPr>
          <w:rFonts w:hint="eastAsia"/>
          <w:b/>
          <w:color w:val="auto"/>
        </w:rPr>
        <w:t>3、造价咨询服务人员最低配置要求：</w:t>
      </w:r>
    </w:p>
    <w:p>
      <w:pPr>
        <w:pStyle w:val="16"/>
        <w:spacing w:line="440" w:lineRule="exact"/>
        <w:ind w:firstLine="440" w:firstLineChars="200"/>
        <w:rPr>
          <w:rFonts w:hAnsi="宋体"/>
          <w:bCs/>
          <w:color w:val="auto"/>
        </w:rPr>
      </w:pPr>
      <w:r>
        <w:rPr>
          <w:rFonts w:hint="eastAsia" w:hAnsi="宋体"/>
          <w:bCs/>
          <w:color w:val="auto"/>
        </w:rPr>
        <w:t>（1）项目负责人必须同时具有国家注册造价工程师执业资格</w:t>
      </w:r>
      <w:r>
        <w:rPr>
          <w:rFonts w:hint="eastAsia" w:hAnsi="宋体"/>
          <w:color w:val="auto"/>
          <w:szCs w:val="21"/>
        </w:rPr>
        <w:t>（注册单位为投标人单位）</w:t>
      </w:r>
      <w:r>
        <w:rPr>
          <w:rFonts w:hint="eastAsia" w:hAnsi="宋体"/>
          <w:bCs/>
          <w:color w:val="auto"/>
        </w:rPr>
        <w:t>和工程类专业高级工程师及以上职称。</w:t>
      </w:r>
    </w:p>
    <w:p>
      <w:pPr>
        <w:pStyle w:val="16"/>
        <w:spacing w:line="440" w:lineRule="exact"/>
        <w:ind w:firstLine="440" w:firstLineChars="200"/>
        <w:rPr>
          <w:rFonts w:hAnsi="宋体"/>
          <w:bCs/>
          <w:color w:val="auto"/>
        </w:rPr>
      </w:pPr>
      <w:r>
        <w:rPr>
          <w:rFonts w:hint="eastAsia" w:hAnsi="宋体"/>
          <w:bCs/>
          <w:color w:val="auto"/>
        </w:rPr>
        <w:t>（2）本项目需要常驻项目现场跟踪造价咨询服务人员不少于</w:t>
      </w:r>
      <w:r>
        <w:rPr>
          <w:rFonts w:hint="eastAsia" w:hAnsi="宋体"/>
          <w:bCs/>
          <w:color w:val="auto"/>
          <w:lang w:val="en-US"/>
        </w:rPr>
        <w:t>2</w:t>
      </w:r>
      <w:r>
        <w:rPr>
          <w:rFonts w:hint="eastAsia" w:hAnsi="宋体"/>
          <w:bCs/>
          <w:color w:val="auto"/>
        </w:rPr>
        <w:t>人（含</w:t>
      </w:r>
      <w:r>
        <w:rPr>
          <w:rFonts w:hint="eastAsia" w:hAnsi="宋体"/>
          <w:bCs/>
          <w:color w:val="auto"/>
          <w:lang w:val="en-US"/>
        </w:rPr>
        <w:t>2</w:t>
      </w:r>
      <w:r>
        <w:rPr>
          <w:rFonts w:hint="eastAsia" w:hAnsi="宋体"/>
          <w:bCs/>
          <w:color w:val="auto"/>
        </w:rPr>
        <w:t>人，要求具有工作五年以上的注册造价工程师或造价员），并且具备工程类相关专业工程师及以上职称。项目服务期间，未经采购人同意不得随意更换负责人及常驻跟踪造价咨询服务人员。（常驻项目现场跟踪造价咨询服务人员须为投标人单位人员，投标文件提供投标单位为常驻项目现场跟踪造价咨询服务人员缴纳的近三个月社保证明材料。】</w:t>
      </w:r>
    </w:p>
    <w:p>
      <w:pPr>
        <w:pStyle w:val="16"/>
        <w:spacing w:line="440" w:lineRule="exact"/>
        <w:ind w:firstLine="440" w:firstLineChars="200"/>
        <w:rPr>
          <w:color w:val="auto"/>
        </w:rPr>
      </w:pPr>
      <w:r>
        <w:rPr>
          <w:rFonts w:hint="eastAsia" w:hAnsi="宋体"/>
          <w:bCs/>
          <w:color w:val="auto"/>
        </w:rPr>
        <w:t>（3）出</w:t>
      </w:r>
      <w:r>
        <w:rPr>
          <w:rFonts w:hAnsi="宋体"/>
          <w:bCs/>
          <w:color w:val="auto"/>
        </w:rPr>
        <w:t>勤</w:t>
      </w:r>
      <w:r>
        <w:rPr>
          <w:rFonts w:hint="eastAsia" w:hAnsi="宋体"/>
          <w:bCs/>
          <w:color w:val="auto"/>
        </w:rPr>
        <w:t>要求</w:t>
      </w:r>
      <w:r>
        <w:rPr>
          <w:rFonts w:hAnsi="宋体"/>
          <w:bCs/>
          <w:color w:val="auto"/>
        </w:rPr>
        <w:t>：</w:t>
      </w:r>
      <w:r>
        <w:rPr>
          <w:rFonts w:hint="eastAsia" w:hAnsi="宋体"/>
          <w:bCs/>
          <w:color w:val="auto"/>
        </w:rPr>
        <w:t>施工期间项目负责</w:t>
      </w:r>
      <w:r>
        <w:rPr>
          <w:rFonts w:hAnsi="宋体"/>
          <w:bCs/>
          <w:color w:val="auto"/>
        </w:rPr>
        <w:t>人必须参加工作例会，</w:t>
      </w:r>
      <w:r>
        <w:rPr>
          <w:rFonts w:hint="eastAsia" w:hAnsi="宋体"/>
          <w:bCs/>
          <w:color w:val="auto"/>
        </w:rPr>
        <w:t>常驻</w:t>
      </w:r>
      <w:r>
        <w:rPr>
          <w:rFonts w:hAnsi="宋体"/>
          <w:bCs/>
          <w:color w:val="auto"/>
        </w:rPr>
        <w:t>人员</w:t>
      </w:r>
      <w:r>
        <w:rPr>
          <w:rFonts w:hint="eastAsia" w:hAnsi="宋体"/>
          <w:bCs/>
          <w:color w:val="auto"/>
        </w:rPr>
        <w:t>应每月</w:t>
      </w:r>
      <w:r>
        <w:rPr>
          <w:rFonts w:hAnsi="宋体"/>
          <w:bCs/>
          <w:color w:val="auto"/>
        </w:rPr>
        <w:t>不少于</w:t>
      </w:r>
      <w:r>
        <w:rPr>
          <w:rFonts w:hint="eastAsia" w:hAnsi="宋体"/>
          <w:bCs/>
          <w:color w:val="auto"/>
        </w:rPr>
        <w:t>20日到项目现场办公。根据采购人</w:t>
      </w:r>
      <w:r>
        <w:rPr>
          <w:rFonts w:hAnsi="宋体"/>
          <w:bCs/>
          <w:color w:val="auto"/>
        </w:rPr>
        <w:t>需要随叫随到</w:t>
      </w:r>
      <w:r>
        <w:rPr>
          <w:rFonts w:hint="eastAsia" w:hAnsi="宋体"/>
          <w:bCs/>
          <w:color w:val="auto"/>
        </w:rPr>
        <w:t>（项目负责</w:t>
      </w:r>
      <w:r>
        <w:rPr>
          <w:rFonts w:hAnsi="宋体"/>
          <w:bCs/>
          <w:color w:val="auto"/>
        </w:rPr>
        <w:t>人</w:t>
      </w:r>
      <w:r>
        <w:rPr>
          <w:rFonts w:hint="eastAsia" w:hAnsi="宋体"/>
          <w:bCs/>
          <w:color w:val="auto"/>
        </w:rPr>
        <w:t>接到采购人</w:t>
      </w:r>
      <w:r>
        <w:rPr>
          <w:rFonts w:hAnsi="宋体"/>
          <w:bCs/>
          <w:color w:val="auto"/>
        </w:rPr>
        <w:t>通知</w:t>
      </w:r>
      <w:r>
        <w:rPr>
          <w:rFonts w:hint="eastAsia" w:hAnsi="宋体"/>
          <w:bCs/>
          <w:color w:val="auto"/>
        </w:rPr>
        <w:t>4个</w:t>
      </w:r>
      <w:r>
        <w:rPr>
          <w:rFonts w:hAnsi="宋体"/>
          <w:bCs/>
          <w:color w:val="auto"/>
        </w:rPr>
        <w:t>小时以内到</w:t>
      </w:r>
      <w:r>
        <w:rPr>
          <w:rFonts w:hint="eastAsia" w:hAnsi="宋体"/>
          <w:bCs/>
          <w:color w:val="auto"/>
        </w:rPr>
        <w:t>达</w:t>
      </w:r>
      <w:r>
        <w:rPr>
          <w:rFonts w:hAnsi="宋体"/>
          <w:bCs/>
          <w:color w:val="auto"/>
        </w:rPr>
        <w:t>现场</w:t>
      </w:r>
      <w:r>
        <w:rPr>
          <w:rFonts w:hint="eastAsia" w:hAnsi="宋体"/>
          <w:bCs/>
          <w:color w:val="auto"/>
        </w:rPr>
        <w:t>）</w:t>
      </w:r>
      <w:r>
        <w:rPr>
          <w:rFonts w:hAnsi="宋体"/>
          <w:bCs/>
          <w:color w:val="auto"/>
        </w:rPr>
        <w:t>。</w:t>
      </w:r>
    </w:p>
    <w:p>
      <w:pPr>
        <w:spacing w:line="360" w:lineRule="auto"/>
        <w:ind w:firstLine="442" w:firstLineChars="200"/>
        <w:rPr>
          <w:b/>
          <w:bCs/>
          <w:color w:val="auto"/>
          <w:szCs w:val="21"/>
        </w:rPr>
      </w:pPr>
      <w:r>
        <w:rPr>
          <w:rFonts w:hint="eastAsia"/>
          <w:b/>
          <w:bCs/>
          <w:color w:val="auto"/>
          <w:szCs w:val="21"/>
        </w:rPr>
        <w:t>4、工程造价咨询审计目标</w:t>
      </w:r>
    </w:p>
    <w:p>
      <w:pPr>
        <w:spacing w:line="360" w:lineRule="auto"/>
        <w:ind w:firstLine="440" w:firstLineChars="200"/>
        <w:rPr>
          <w:bCs/>
          <w:color w:val="auto"/>
          <w:szCs w:val="21"/>
        </w:rPr>
      </w:pPr>
      <w:r>
        <w:rPr>
          <w:rFonts w:hint="eastAsia"/>
          <w:bCs/>
          <w:color w:val="auto"/>
          <w:szCs w:val="21"/>
        </w:rPr>
        <w:t>（1）在确保工程质量的前提下，为了节约成本在设计阶段对某些方案或材料进行分析，选择性价比高的方案或材料，在确保工程质量的前提下对节约工程造价提出合理化建议；</w:t>
      </w:r>
    </w:p>
    <w:p>
      <w:pPr>
        <w:spacing w:line="360" w:lineRule="auto"/>
        <w:ind w:firstLine="440" w:firstLineChars="200"/>
        <w:rPr>
          <w:bCs/>
          <w:color w:val="auto"/>
          <w:szCs w:val="21"/>
        </w:rPr>
      </w:pPr>
      <w:r>
        <w:rPr>
          <w:rFonts w:hint="eastAsia"/>
          <w:bCs/>
          <w:color w:val="auto"/>
          <w:szCs w:val="21"/>
        </w:rPr>
        <w:t xml:space="preserve">（2）对所编制的成果文件进行造价分析； </w:t>
      </w:r>
    </w:p>
    <w:p>
      <w:pPr>
        <w:spacing w:line="360" w:lineRule="auto"/>
        <w:ind w:firstLine="440" w:firstLineChars="200"/>
        <w:rPr>
          <w:bCs/>
          <w:color w:val="auto"/>
          <w:szCs w:val="21"/>
        </w:rPr>
      </w:pPr>
      <w:r>
        <w:rPr>
          <w:rFonts w:hint="eastAsia"/>
          <w:bCs/>
          <w:color w:val="auto"/>
          <w:szCs w:val="21"/>
        </w:rPr>
        <w:t xml:space="preserve">（3）提出材料单价合理定价的方案； </w:t>
      </w:r>
    </w:p>
    <w:p>
      <w:pPr>
        <w:spacing w:line="360" w:lineRule="auto"/>
        <w:ind w:firstLine="440" w:firstLineChars="200"/>
        <w:rPr>
          <w:bCs/>
          <w:color w:val="auto"/>
          <w:szCs w:val="21"/>
        </w:rPr>
      </w:pPr>
      <w:r>
        <w:rPr>
          <w:rFonts w:hint="eastAsia"/>
          <w:bCs/>
          <w:color w:val="auto"/>
          <w:szCs w:val="21"/>
        </w:rPr>
        <w:t>（4）根据甲方要求，进一步对专业工程进行细化分开编制；</w:t>
      </w:r>
    </w:p>
    <w:p>
      <w:pPr>
        <w:spacing w:line="360" w:lineRule="auto"/>
        <w:ind w:firstLine="440" w:firstLineChars="200"/>
        <w:rPr>
          <w:bCs/>
          <w:color w:val="auto"/>
          <w:szCs w:val="21"/>
        </w:rPr>
      </w:pPr>
      <w:r>
        <w:rPr>
          <w:rFonts w:hint="eastAsia"/>
          <w:bCs/>
          <w:color w:val="auto"/>
          <w:szCs w:val="21"/>
        </w:rPr>
        <w:t>（5）在保障工期和质量的前提下，尽可能提前完成造价咨询服务工作；</w:t>
      </w:r>
    </w:p>
    <w:p>
      <w:pPr>
        <w:pStyle w:val="25"/>
        <w:ind w:left="882" w:hanging="442"/>
        <w:rPr>
          <w:rFonts w:hAnsi="宋体"/>
          <w:b/>
          <w:color w:val="auto"/>
        </w:rPr>
      </w:pPr>
      <w:r>
        <w:rPr>
          <w:rFonts w:hint="eastAsia"/>
          <w:b/>
          <w:color w:val="auto"/>
        </w:rPr>
        <w:t>5、工程造价咨询服务</w:t>
      </w:r>
      <w:r>
        <w:rPr>
          <w:rFonts w:hint="eastAsia" w:hAnsi="宋体"/>
          <w:b/>
          <w:color w:val="auto"/>
        </w:rPr>
        <w:t>质量要求：</w:t>
      </w:r>
    </w:p>
    <w:p>
      <w:pPr>
        <w:ind w:firstLine="422"/>
        <w:rPr>
          <w:color w:val="auto"/>
        </w:rPr>
      </w:pPr>
    </w:p>
    <w:p>
      <w:pPr>
        <w:spacing w:line="360" w:lineRule="auto"/>
        <w:ind w:firstLine="440" w:firstLineChars="200"/>
        <w:rPr>
          <w:bCs/>
          <w:color w:val="auto"/>
          <w:szCs w:val="21"/>
        </w:rPr>
      </w:pPr>
      <w:r>
        <w:rPr>
          <w:rFonts w:hint="eastAsia"/>
          <w:bCs/>
          <w:color w:val="auto"/>
          <w:szCs w:val="21"/>
        </w:rPr>
        <w:t>（1）按服务范围内的建设工程造价咨询业务，保质保量按时完成合同约定造价咨询服务事项，并符合中国工程造价管理协会颁布的《建设项目全过程造价咨询规程》（CECAGC4-2017）要求及国家及</w:t>
      </w:r>
      <w:r>
        <w:rPr>
          <w:bCs/>
          <w:color w:val="auto"/>
          <w:szCs w:val="21"/>
        </w:rPr>
        <w:t>地方</w:t>
      </w:r>
      <w:r>
        <w:rPr>
          <w:rFonts w:hint="eastAsia"/>
          <w:bCs/>
          <w:color w:val="auto"/>
          <w:szCs w:val="21"/>
        </w:rPr>
        <w:t>现行有关法律、法规、标准的规定。</w:t>
      </w:r>
    </w:p>
    <w:p>
      <w:pPr>
        <w:spacing w:line="360" w:lineRule="auto"/>
        <w:ind w:firstLine="440" w:firstLineChars="200"/>
        <w:rPr>
          <w:bCs/>
          <w:color w:val="auto"/>
          <w:szCs w:val="21"/>
        </w:rPr>
      </w:pPr>
      <w:r>
        <w:rPr>
          <w:rFonts w:hint="eastAsia"/>
          <w:bCs/>
          <w:color w:val="auto"/>
          <w:szCs w:val="21"/>
        </w:rPr>
        <w:t>（2）造价成果文件的误差率要求控制在3%以内。在各造价控制阶段，若由咨询人原因导致工程造价出现较大偏差，给采购人造成经济损失的，按合同约定承担赔偿责任。</w:t>
      </w:r>
    </w:p>
    <w:p>
      <w:pPr>
        <w:spacing w:line="360" w:lineRule="auto"/>
        <w:ind w:firstLine="442" w:firstLineChars="200"/>
        <w:rPr>
          <w:b/>
          <w:color w:val="auto"/>
          <w:szCs w:val="21"/>
        </w:rPr>
      </w:pPr>
      <w:r>
        <w:rPr>
          <w:rFonts w:hint="eastAsia"/>
          <w:b/>
          <w:color w:val="auto"/>
          <w:szCs w:val="21"/>
        </w:rPr>
        <w:t>三、执行的现行技术规范及标准</w:t>
      </w:r>
    </w:p>
    <w:p>
      <w:pPr>
        <w:spacing w:line="360" w:lineRule="auto"/>
        <w:ind w:firstLine="440" w:firstLineChars="200"/>
        <w:rPr>
          <w:bCs/>
          <w:color w:val="auto"/>
          <w:szCs w:val="21"/>
        </w:rPr>
      </w:pPr>
      <w:r>
        <w:rPr>
          <w:rFonts w:hint="eastAsia"/>
          <w:bCs/>
          <w:color w:val="auto"/>
          <w:szCs w:val="21"/>
        </w:rPr>
        <w:t>按照国家现行的专业技术规范、规程与标准进行依据的相关行业标准及技术规程（包括但不限于以下文件）</w:t>
      </w:r>
    </w:p>
    <w:p>
      <w:pPr>
        <w:spacing w:line="360" w:lineRule="auto"/>
        <w:ind w:firstLine="440" w:firstLineChars="200"/>
        <w:rPr>
          <w:bCs/>
          <w:color w:val="auto"/>
          <w:szCs w:val="21"/>
        </w:rPr>
      </w:pPr>
      <w:r>
        <w:rPr>
          <w:rFonts w:hint="eastAsia"/>
          <w:bCs/>
          <w:color w:val="auto"/>
          <w:szCs w:val="21"/>
        </w:rPr>
        <w:t>（1）中价协《建设项目全过程造价咨询规程》（CECAGC4-2017）</w:t>
      </w:r>
    </w:p>
    <w:p>
      <w:pPr>
        <w:spacing w:line="360" w:lineRule="auto"/>
        <w:ind w:firstLine="440" w:firstLineChars="200"/>
        <w:rPr>
          <w:bCs/>
          <w:color w:val="auto"/>
          <w:szCs w:val="21"/>
        </w:rPr>
      </w:pPr>
      <w:r>
        <w:rPr>
          <w:rFonts w:hint="eastAsia"/>
          <w:bCs/>
          <w:color w:val="auto"/>
          <w:szCs w:val="21"/>
        </w:rPr>
        <w:t>（2）中价协《建设工程造价咨询执业标准》</w:t>
      </w:r>
    </w:p>
    <w:p>
      <w:pPr>
        <w:spacing w:line="360" w:lineRule="auto"/>
        <w:ind w:firstLine="440" w:firstLineChars="200"/>
        <w:rPr>
          <w:bCs/>
          <w:color w:val="auto"/>
          <w:szCs w:val="21"/>
        </w:rPr>
      </w:pPr>
      <w:r>
        <w:rPr>
          <w:rFonts w:hint="eastAsia"/>
          <w:bCs/>
          <w:color w:val="auto"/>
          <w:szCs w:val="21"/>
        </w:rPr>
        <w:t>（3）中价协《工程造价咨询业务操作指导规程》</w:t>
      </w:r>
    </w:p>
    <w:p>
      <w:pPr>
        <w:spacing w:line="360" w:lineRule="auto"/>
        <w:ind w:firstLine="440" w:firstLineChars="200"/>
        <w:rPr>
          <w:bCs/>
          <w:color w:val="auto"/>
          <w:szCs w:val="21"/>
        </w:rPr>
      </w:pPr>
      <w:r>
        <w:rPr>
          <w:rFonts w:hint="eastAsia"/>
          <w:bCs/>
          <w:color w:val="auto"/>
          <w:szCs w:val="21"/>
        </w:rPr>
        <w:t>（4）中价协《工程造价咨询成果文件质量检查暂行办法》</w:t>
      </w:r>
    </w:p>
    <w:p>
      <w:pPr>
        <w:spacing w:line="360" w:lineRule="auto"/>
        <w:ind w:firstLine="440" w:firstLineChars="200"/>
        <w:rPr>
          <w:bCs/>
          <w:color w:val="auto"/>
          <w:szCs w:val="21"/>
        </w:rPr>
      </w:pPr>
      <w:r>
        <w:rPr>
          <w:rFonts w:hint="eastAsia"/>
          <w:bCs/>
          <w:color w:val="auto"/>
          <w:szCs w:val="21"/>
        </w:rPr>
        <w:t>（5）建设部《工程造价咨询企业管理办法》</w:t>
      </w:r>
    </w:p>
    <w:p>
      <w:pPr>
        <w:spacing w:line="360" w:lineRule="auto"/>
        <w:ind w:firstLine="440" w:firstLineChars="200"/>
        <w:rPr>
          <w:bCs/>
          <w:color w:val="auto"/>
          <w:szCs w:val="21"/>
        </w:rPr>
      </w:pPr>
      <w:r>
        <w:rPr>
          <w:rFonts w:hint="eastAsia"/>
          <w:bCs/>
          <w:color w:val="auto"/>
          <w:szCs w:val="21"/>
        </w:rPr>
        <w:t>（6）《建设工程工程量清单计价规范》（GB50500-2013）</w:t>
      </w:r>
    </w:p>
    <w:p>
      <w:pPr>
        <w:spacing w:line="360" w:lineRule="auto"/>
        <w:ind w:firstLine="440" w:firstLineChars="200"/>
        <w:rPr>
          <w:bCs/>
          <w:color w:val="auto"/>
          <w:szCs w:val="21"/>
        </w:rPr>
      </w:pPr>
      <w:r>
        <w:rPr>
          <w:rFonts w:hint="eastAsia"/>
          <w:bCs/>
          <w:color w:val="auto"/>
          <w:szCs w:val="21"/>
        </w:rPr>
        <w:t>（7）《&lt;建设工程工程量清单计价规范&gt;（GB50500-2013）广西壮族自治区实施细则》</w:t>
      </w:r>
    </w:p>
    <w:p>
      <w:pPr>
        <w:spacing w:line="360" w:lineRule="auto"/>
        <w:ind w:firstLine="440" w:firstLineChars="200"/>
        <w:rPr>
          <w:bCs/>
          <w:color w:val="auto"/>
          <w:szCs w:val="21"/>
        </w:rPr>
      </w:pPr>
      <w:r>
        <w:rPr>
          <w:rFonts w:hint="eastAsia"/>
          <w:bCs/>
          <w:color w:val="auto"/>
          <w:szCs w:val="21"/>
        </w:rPr>
        <w:t>（8）《建设工程工程量计算规范》（GB50854～50862-2013）</w:t>
      </w:r>
    </w:p>
    <w:p>
      <w:pPr>
        <w:spacing w:line="360" w:lineRule="auto"/>
        <w:ind w:firstLine="440" w:firstLineChars="200"/>
        <w:rPr>
          <w:bCs/>
          <w:color w:val="auto"/>
          <w:szCs w:val="21"/>
        </w:rPr>
      </w:pPr>
      <w:r>
        <w:rPr>
          <w:rFonts w:hint="eastAsia"/>
          <w:bCs/>
          <w:color w:val="auto"/>
          <w:szCs w:val="21"/>
        </w:rPr>
        <w:t>（9） 《建设工程工程量计算规范(GB50854～50862-2013)广西壮族自治区实施细则》</w:t>
      </w:r>
    </w:p>
    <w:p>
      <w:pPr>
        <w:spacing w:line="360" w:lineRule="auto"/>
        <w:ind w:firstLine="440" w:firstLineChars="200"/>
        <w:rPr>
          <w:bCs/>
          <w:color w:val="auto"/>
          <w:szCs w:val="21"/>
        </w:rPr>
      </w:pPr>
      <w:r>
        <w:rPr>
          <w:rFonts w:hint="eastAsia"/>
          <w:bCs/>
          <w:color w:val="auto"/>
          <w:szCs w:val="21"/>
        </w:rPr>
        <w:t>（10）《广西壮族自治区建设工程安全防护、文明施工费及使用管理细则》</w:t>
      </w:r>
    </w:p>
    <w:p>
      <w:pPr>
        <w:spacing w:line="360" w:lineRule="auto"/>
        <w:ind w:firstLine="440" w:firstLineChars="200"/>
        <w:rPr>
          <w:bCs/>
          <w:color w:val="auto"/>
          <w:szCs w:val="21"/>
        </w:rPr>
      </w:pPr>
      <w:r>
        <w:rPr>
          <w:rFonts w:hint="eastAsia"/>
          <w:bCs/>
          <w:color w:val="auto"/>
          <w:szCs w:val="21"/>
        </w:rPr>
        <w:t>（11）2013-《广西壮族自治区建设建设装饰工程消耗量定额》</w:t>
      </w:r>
    </w:p>
    <w:p>
      <w:pPr>
        <w:spacing w:line="360" w:lineRule="auto"/>
        <w:ind w:firstLine="440" w:firstLineChars="200"/>
        <w:rPr>
          <w:bCs/>
          <w:color w:val="auto"/>
          <w:szCs w:val="21"/>
        </w:rPr>
      </w:pPr>
      <w:r>
        <w:rPr>
          <w:rFonts w:hint="eastAsia"/>
          <w:bCs/>
          <w:color w:val="auto"/>
          <w:szCs w:val="21"/>
        </w:rPr>
        <w:t>（12）2013-《广西壮族自治区建设建设装饰工程费用定额》</w:t>
      </w:r>
    </w:p>
    <w:p>
      <w:pPr>
        <w:spacing w:line="360" w:lineRule="auto"/>
        <w:ind w:firstLine="440" w:firstLineChars="200"/>
        <w:rPr>
          <w:bCs/>
          <w:color w:val="auto"/>
          <w:szCs w:val="21"/>
        </w:rPr>
      </w:pPr>
      <w:r>
        <w:rPr>
          <w:rFonts w:hint="eastAsia"/>
          <w:bCs/>
          <w:color w:val="auto"/>
          <w:szCs w:val="21"/>
        </w:rPr>
        <w:t>（13）桂建标[2015]5号《关于调整建设工程定额人工费及有关费率的通知》</w:t>
      </w:r>
    </w:p>
    <w:p>
      <w:pPr>
        <w:spacing w:line="360" w:lineRule="auto"/>
        <w:ind w:firstLine="440" w:firstLineChars="200"/>
        <w:rPr>
          <w:bCs/>
          <w:color w:val="auto"/>
          <w:szCs w:val="21"/>
        </w:rPr>
      </w:pPr>
      <w:r>
        <w:rPr>
          <w:rFonts w:hint="eastAsia"/>
          <w:bCs/>
          <w:color w:val="auto"/>
          <w:szCs w:val="21"/>
        </w:rPr>
        <w:t>（14）2015-《广西壮族自治区建筑安装工程消耗量定额》</w:t>
      </w:r>
    </w:p>
    <w:p>
      <w:pPr>
        <w:spacing w:line="360" w:lineRule="auto"/>
        <w:ind w:firstLine="440" w:firstLineChars="200"/>
        <w:rPr>
          <w:bCs/>
          <w:color w:val="auto"/>
          <w:szCs w:val="21"/>
        </w:rPr>
      </w:pPr>
      <w:r>
        <w:rPr>
          <w:rFonts w:hint="eastAsia"/>
          <w:bCs/>
          <w:color w:val="auto"/>
          <w:szCs w:val="21"/>
        </w:rPr>
        <w:t>（15）2015-《广西壮族自治区建筑安装工程费用定额》</w:t>
      </w:r>
    </w:p>
    <w:p>
      <w:pPr>
        <w:spacing w:line="360" w:lineRule="auto"/>
        <w:ind w:firstLine="440" w:firstLineChars="200"/>
        <w:rPr>
          <w:bCs/>
          <w:color w:val="auto"/>
          <w:szCs w:val="21"/>
        </w:rPr>
      </w:pPr>
      <w:r>
        <w:rPr>
          <w:rFonts w:hint="eastAsia"/>
          <w:bCs/>
          <w:color w:val="auto"/>
          <w:szCs w:val="21"/>
        </w:rPr>
        <w:t>（16）广西造价站官方发布的广西各地区信息价</w:t>
      </w:r>
    </w:p>
    <w:p>
      <w:pPr>
        <w:spacing w:line="360" w:lineRule="auto"/>
        <w:ind w:firstLine="440" w:firstLineChars="200"/>
        <w:rPr>
          <w:bCs/>
          <w:color w:val="auto"/>
          <w:szCs w:val="21"/>
        </w:rPr>
      </w:pPr>
      <w:r>
        <w:rPr>
          <w:rFonts w:hint="eastAsia"/>
          <w:bCs/>
          <w:color w:val="auto"/>
          <w:szCs w:val="21"/>
        </w:rPr>
        <w:t>（17）设计图纸中要求的施工规范、相关标准图集</w:t>
      </w:r>
    </w:p>
    <w:p>
      <w:pPr>
        <w:spacing w:line="360" w:lineRule="auto"/>
        <w:ind w:firstLine="440" w:firstLineChars="200"/>
        <w:rPr>
          <w:bCs/>
          <w:color w:val="auto"/>
          <w:szCs w:val="21"/>
        </w:rPr>
      </w:pPr>
      <w:r>
        <w:rPr>
          <w:rFonts w:hint="eastAsia"/>
          <w:bCs/>
          <w:color w:val="auto"/>
          <w:szCs w:val="21"/>
        </w:rPr>
        <w:t>（18）国家、地方政府法规要求必须满足的强制规范和标准</w:t>
      </w:r>
    </w:p>
    <w:p>
      <w:pPr>
        <w:spacing w:line="360" w:lineRule="auto"/>
        <w:ind w:firstLine="442" w:firstLineChars="200"/>
        <w:rPr>
          <w:b/>
          <w:color w:val="auto"/>
          <w:szCs w:val="21"/>
        </w:rPr>
      </w:pPr>
      <w:r>
        <w:rPr>
          <w:rFonts w:hint="eastAsia"/>
          <w:b/>
          <w:color w:val="auto"/>
          <w:szCs w:val="21"/>
        </w:rPr>
        <w:t>四、工期要求</w:t>
      </w:r>
    </w:p>
    <w:p>
      <w:pPr>
        <w:spacing w:line="360" w:lineRule="auto"/>
        <w:ind w:firstLine="440" w:firstLineChars="200"/>
        <w:rPr>
          <w:rFonts w:hint="eastAsia" w:eastAsia="宋体"/>
          <w:bCs/>
          <w:color w:val="auto"/>
          <w:szCs w:val="21"/>
          <w:lang w:eastAsia="zh-CN"/>
        </w:rPr>
      </w:pPr>
      <w:r>
        <w:rPr>
          <w:rFonts w:hint="eastAsia"/>
          <w:bCs/>
          <w:color w:val="auto"/>
          <w:szCs w:val="21"/>
        </w:rPr>
        <w:t>（1）</w:t>
      </w:r>
      <w:r>
        <w:rPr>
          <w:rFonts w:hint="eastAsia"/>
          <w:bCs/>
          <w:color w:val="auto"/>
          <w:szCs w:val="21"/>
          <w:lang w:eastAsia="zh-CN"/>
        </w:rPr>
        <w:t>签订合同之日起至工程竣工结算造价最终审定为止</w:t>
      </w:r>
    </w:p>
    <w:p>
      <w:pPr>
        <w:spacing w:line="360" w:lineRule="auto"/>
        <w:ind w:firstLine="440" w:firstLineChars="200"/>
        <w:rPr>
          <w:bCs/>
          <w:color w:val="auto"/>
          <w:szCs w:val="21"/>
        </w:rPr>
      </w:pPr>
      <w:r>
        <w:rPr>
          <w:rFonts w:hint="eastAsia"/>
          <w:bCs/>
          <w:color w:val="auto"/>
          <w:szCs w:val="21"/>
        </w:rPr>
        <w:t>（2）与项目有关的询价报告，接到发包人通知后3个日历天完成；</w:t>
      </w:r>
    </w:p>
    <w:p>
      <w:pPr>
        <w:spacing w:line="360" w:lineRule="auto"/>
        <w:ind w:firstLine="440" w:firstLineChars="200"/>
        <w:rPr>
          <w:bCs/>
          <w:color w:val="auto"/>
          <w:szCs w:val="21"/>
        </w:rPr>
      </w:pPr>
      <w:r>
        <w:rPr>
          <w:rFonts w:hint="eastAsia"/>
          <w:bCs/>
          <w:color w:val="auto"/>
          <w:szCs w:val="21"/>
        </w:rPr>
        <w:t xml:space="preserve">（3）审核项目各阶段的工程施工、设计、监理及其他进度款，需在2个日历天内完成； </w:t>
      </w:r>
    </w:p>
    <w:p>
      <w:pPr>
        <w:spacing w:line="360" w:lineRule="auto"/>
        <w:ind w:firstLine="440" w:firstLineChars="200"/>
        <w:rPr>
          <w:bCs/>
          <w:color w:val="auto"/>
          <w:szCs w:val="21"/>
        </w:rPr>
      </w:pPr>
      <w:r>
        <w:rPr>
          <w:rFonts w:hint="eastAsia"/>
          <w:bCs/>
          <w:color w:val="auto"/>
          <w:szCs w:val="21"/>
        </w:rPr>
        <w:t>（4）设计变更及工程洽商项目的造价编制及审核意见，需在3个日历天内完成；</w:t>
      </w:r>
    </w:p>
    <w:p>
      <w:pPr>
        <w:spacing w:line="360" w:lineRule="auto"/>
        <w:ind w:firstLine="440" w:firstLineChars="200"/>
        <w:rPr>
          <w:bCs/>
          <w:color w:val="auto"/>
          <w:szCs w:val="21"/>
        </w:rPr>
      </w:pPr>
      <w:r>
        <w:rPr>
          <w:rFonts w:hint="eastAsia"/>
          <w:bCs/>
          <w:color w:val="auto"/>
          <w:szCs w:val="21"/>
        </w:rPr>
        <w:t>（5）工程竣工结算审核：咨询人在接收到结算书之日起30个日历天内完成审核。</w:t>
      </w:r>
    </w:p>
    <w:p>
      <w:pPr>
        <w:spacing w:line="360" w:lineRule="auto"/>
        <w:ind w:firstLine="440" w:firstLineChars="200"/>
        <w:rPr>
          <w:bCs/>
          <w:color w:val="auto"/>
          <w:szCs w:val="21"/>
        </w:rPr>
      </w:pPr>
      <w:r>
        <w:rPr>
          <w:rFonts w:hint="eastAsia"/>
          <w:bCs/>
          <w:color w:val="auto"/>
          <w:szCs w:val="21"/>
        </w:rPr>
        <w:t>（6）其他造价咨询工作：具体时间以委托人通知为准。</w:t>
      </w:r>
      <w:r>
        <w:rPr>
          <w:rFonts w:hint="eastAsia"/>
          <w:bCs/>
          <w:color w:val="auto"/>
          <w:szCs w:val="21"/>
        </w:rPr>
        <w:br w:type="page"/>
      </w:r>
    </w:p>
    <w:p>
      <w:pPr>
        <w:spacing w:line="520" w:lineRule="exact"/>
        <w:ind w:firstLine="562" w:firstLineChars="200"/>
        <w:jc w:val="center"/>
        <w:rPr>
          <w:b/>
          <w:color w:val="auto"/>
          <w:sz w:val="36"/>
        </w:rPr>
      </w:pPr>
      <w:bookmarkStart w:id="15" w:name="_Toc26292"/>
      <w:r>
        <w:rPr>
          <w:rStyle w:val="44"/>
          <w:rFonts w:hint="eastAsia"/>
          <w:color w:val="auto"/>
        </w:rPr>
        <w:t>第三章  投标人须知</w:t>
      </w:r>
      <w:bookmarkEnd w:id="6"/>
      <w:bookmarkEnd w:id="7"/>
      <w:bookmarkEnd w:id="8"/>
      <w:bookmarkEnd w:id="9"/>
      <w:bookmarkEnd w:id="10"/>
      <w:bookmarkEnd w:id="15"/>
    </w:p>
    <w:p>
      <w:pPr>
        <w:pStyle w:val="4"/>
        <w:jc w:val="center"/>
        <w:rPr>
          <w:color w:val="auto"/>
        </w:rPr>
      </w:pPr>
      <w:bookmarkStart w:id="16" w:name="_Toc17775"/>
      <w:bookmarkStart w:id="17" w:name="_Toc13094"/>
      <w:r>
        <w:rPr>
          <w:rFonts w:hint="eastAsia"/>
          <w:color w:val="auto"/>
        </w:rPr>
        <w:t>投标人须知前附表</w:t>
      </w:r>
      <w:bookmarkEnd w:id="16"/>
      <w:bookmarkEnd w:id="17"/>
    </w:p>
    <w:tbl>
      <w:tblPr>
        <w:tblStyle w:val="29"/>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2"/>
        <w:gridCol w:w="9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42"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color w:val="auto"/>
              </w:rPr>
            </w:pPr>
            <w:r>
              <w:rPr>
                <w:rFonts w:hint="eastAsia"/>
                <w:color w:val="auto"/>
              </w:rPr>
              <w:t>条款号</w:t>
            </w:r>
          </w:p>
        </w:tc>
        <w:tc>
          <w:tcPr>
            <w:tcW w:w="902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color w:val="auto"/>
              </w:rPr>
            </w:pPr>
            <w:r>
              <w:rPr>
                <w:rFonts w:hint="eastAsia"/>
                <w:color w:val="auto"/>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3" w:hRule="atLeast"/>
        </w:trPr>
        <w:tc>
          <w:tcPr>
            <w:tcW w:w="942"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color w:val="auto"/>
              </w:rPr>
            </w:pPr>
            <w:r>
              <w:rPr>
                <w:rFonts w:hint="eastAsia"/>
                <w:color w:val="auto"/>
              </w:rPr>
              <w:t>1</w:t>
            </w:r>
          </w:p>
        </w:tc>
        <w:tc>
          <w:tcPr>
            <w:tcW w:w="902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rPr>
                <w:color w:val="auto"/>
              </w:rPr>
            </w:pPr>
            <w:r>
              <w:rPr>
                <w:rFonts w:hint="eastAsia"/>
                <w:color w:val="auto"/>
              </w:rPr>
              <w:t>项目名称：大新德天至宁明花山公路（硕龙至天西段）二期工程全过程造价咨询（从项目实施阶段起）</w:t>
            </w:r>
          </w:p>
          <w:p>
            <w:pPr>
              <w:snapToGrid w:val="0"/>
              <w:spacing w:line="400" w:lineRule="exact"/>
              <w:rPr>
                <w:rFonts w:hint="eastAsia" w:eastAsia="宋体"/>
                <w:color w:val="auto"/>
                <w:lang w:eastAsia="zh-CN"/>
              </w:rPr>
            </w:pPr>
            <w:r>
              <w:rPr>
                <w:rFonts w:hint="eastAsia"/>
                <w:color w:val="auto"/>
                <w:lang w:eastAsia="zh-CN"/>
              </w:rPr>
              <w:t>项目编号：CZZC2020-G3-000242-HWST</w:t>
            </w:r>
          </w:p>
          <w:p>
            <w:pPr>
              <w:snapToGrid w:val="0"/>
              <w:spacing w:line="400" w:lineRule="exact"/>
              <w:rPr>
                <w:rFonts w:hint="eastAsia" w:eastAsia="宋体"/>
                <w:color w:val="auto"/>
                <w:lang w:eastAsia="zh-CN"/>
              </w:rPr>
            </w:pPr>
            <w:r>
              <w:rPr>
                <w:rFonts w:hint="eastAsia"/>
                <w:color w:val="auto"/>
              </w:rPr>
              <w:t>采购人名称：崇左市交通运输局</w:t>
            </w:r>
          </w:p>
          <w:p>
            <w:pPr>
              <w:snapToGrid w:val="0"/>
              <w:spacing w:line="400" w:lineRule="exact"/>
              <w:rPr>
                <w:color w:val="auto"/>
              </w:rPr>
            </w:pPr>
            <w:r>
              <w:rPr>
                <w:rFonts w:hint="eastAsia"/>
                <w:color w:val="auto"/>
              </w:rPr>
              <w:t>采购代理机构名称：</w:t>
            </w:r>
            <w:r>
              <w:rPr>
                <w:rFonts w:hint="eastAsia"/>
                <w:color w:val="auto"/>
                <w:sz w:val="24"/>
                <w:szCs w:val="24"/>
              </w:rPr>
              <w:t>华物盛泰工程咨询管理有限公司</w:t>
            </w:r>
          </w:p>
          <w:p>
            <w:pPr>
              <w:snapToGrid w:val="0"/>
              <w:spacing w:line="400" w:lineRule="exact"/>
              <w:rPr>
                <w:color w:val="auto"/>
                <w:lang w:val="en-US"/>
              </w:rPr>
            </w:pPr>
            <w:r>
              <w:rPr>
                <w:rFonts w:hint="eastAsia"/>
                <w:color w:val="auto"/>
              </w:rPr>
              <w:t>采购预算金额：</w:t>
            </w:r>
            <w:r>
              <w:rPr>
                <w:rFonts w:hint="eastAsia"/>
                <w:color w:val="auto"/>
                <w:lang w:val="en-US"/>
              </w:rPr>
              <w:t>400万元</w:t>
            </w:r>
          </w:p>
          <w:p>
            <w:pPr>
              <w:snapToGrid w:val="0"/>
              <w:spacing w:line="400" w:lineRule="exact"/>
              <w:rPr>
                <w:color w:val="auto"/>
              </w:rPr>
            </w:pPr>
            <w:r>
              <w:rPr>
                <w:rFonts w:hint="eastAsia"/>
                <w:color w:val="auto"/>
                <w:lang w:val="en-US"/>
              </w:rPr>
              <w:t>资金来源：上级补助和单位自筹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942"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color w:val="auto"/>
              </w:rPr>
            </w:pPr>
            <w:r>
              <w:rPr>
                <w:rFonts w:hint="eastAsia"/>
                <w:color w:val="auto"/>
              </w:rPr>
              <w:t>3.2</w:t>
            </w:r>
          </w:p>
        </w:tc>
        <w:tc>
          <w:tcPr>
            <w:tcW w:w="902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rPr>
                <w:color w:val="auto"/>
              </w:rPr>
            </w:pPr>
            <w:r>
              <w:rPr>
                <w:rFonts w:hint="eastAsia"/>
                <w:color w:val="auto"/>
              </w:rPr>
              <w:t>投标人资格要求：</w:t>
            </w:r>
          </w:p>
          <w:p>
            <w:pPr>
              <w:wordWrap w:val="0"/>
              <w:snapToGrid w:val="0"/>
              <w:spacing w:line="400" w:lineRule="exact"/>
              <w:rPr>
                <w:color w:val="auto"/>
              </w:rPr>
            </w:pPr>
            <w:r>
              <w:rPr>
                <w:rFonts w:hint="eastAsia"/>
                <w:color w:val="auto"/>
              </w:rPr>
              <w:t>1、国内注册登记（指按国家有关规定要求注册登记的），具备独立法人资格，且必须具有工程造价咨询甲级资质，并在人员、管理、资金等方面具有相应的能力；</w:t>
            </w:r>
          </w:p>
          <w:p>
            <w:pPr>
              <w:wordWrap w:val="0"/>
              <w:snapToGrid w:val="0"/>
              <w:spacing w:line="400" w:lineRule="exact"/>
              <w:rPr>
                <w:color w:val="auto"/>
              </w:rPr>
            </w:pPr>
            <w:r>
              <w:rPr>
                <w:rFonts w:hint="eastAsia"/>
                <w:color w:val="auto"/>
              </w:rPr>
              <w:t>2、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pPr>
              <w:wordWrap w:val="0"/>
              <w:snapToGrid w:val="0"/>
              <w:spacing w:line="400" w:lineRule="exact"/>
              <w:rPr>
                <w:color w:val="auto"/>
              </w:rPr>
            </w:pPr>
            <w:r>
              <w:rPr>
                <w:rFonts w:hint="eastAsia"/>
                <w:color w:val="auto"/>
              </w:rPr>
              <w:t>3、本项目负责人必须具备建设行政主管部门颁发的国家注册造价工程师执业资格，并具有高级工程师职称证书，并取得国家注册造价师资格</w:t>
            </w:r>
            <w:r>
              <w:rPr>
                <w:rFonts w:hint="eastAsia"/>
                <w:color w:val="auto"/>
                <w:lang w:val="en-US"/>
              </w:rPr>
              <w:t>10</w:t>
            </w:r>
            <w:r>
              <w:rPr>
                <w:rFonts w:hint="eastAsia"/>
                <w:color w:val="auto"/>
              </w:rPr>
              <w:t>年以上（含</w:t>
            </w:r>
            <w:r>
              <w:rPr>
                <w:rFonts w:hint="eastAsia"/>
                <w:color w:val="auto"/>
                <w:lang w:val="en-US"/>
              </w:rPr>
              <w:t>10</w:t>
            </w:r>
            <w:r>
              <w:rPr>
                <w:rFonts w:hint="eastAsia"/>
                <w:color w:val="auto"/>
              </w:rPr>
              <w:t>年，以造价师执业资格证的时间为准）；</w:t>
            </w:r>
          </w:p>
          <w:p>
            <w:pPr>
              <w:wordWrap w:val="0"/>
              <w:snapToGrid w:val="0"/>
              <w:spacing w:line="400" w:lineRule="exact"/>
              <w:rPr>
                <w:color w:val="auto"/>
              </w:rPr>
            </w:pPr>
            <w:r>
              <w:rPr>
                <w:rFonts w:hint="eastAsia"/>
                <w:color w:val="auto"/>
              </w:rPr>
              <w:t>4、对在“信用中国”网站(www.creditchina.gov.cn) 、中国政府采购网(www.ccgp.gov.cn) 被列入失信被执行人、重大税收违法案件当事人名单、政府采购严重违法失信行为记录名单及其他不符合《中华人民共和国政府采购法》第二十二条规定条件的供应商，不得参与政府采购活动；</w:t>
            </w:r>
          </w:p>
          <w:p>
            <w:pPr>
              <w:wordWrap w:val="0"/>
              <w:snapToGrid w:val="0"/>
              <w:spacing w:line="400" w:lineRule="exact"/>
              <w:rPr>
                <w:color w:val="auto"/>
              </w:rPr>
            </w:pPr>
            <w:r>
              <w:rPr>
                <w:rFonts w:hint="eastAsia"/>
                <w:color w:val="auto"/>
              </w:rPr>
              <w:t>5、本项目不接受联合体投标，中标后不允许转包、分包。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942"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color w:val="auto"/>
              </w:rPr>
            </w:pPr>
            <w:r>
              <w:rPr>
                <w:rFonts w:hint="eastAsia"/>
                <w:color w:val="auto"/>
              </w:rPr>
              <w:t>5.1</w:t>
            </w:r>
          </w:p>
        </w:tc>
        <w:tc>
          <w:tcPr>
            <w:tcW w:w="9020"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rPr>
                <w:color w:val="auto"/>
              </w:rPr>
            </w:pPr>
            <w:r>
              <w:rPr>
                <w:rFonts w:hint="eastAsia"/>
                <w:color w:val="auto"/>
              </w:rPr>
              <w:t>现场踏勘：不组织。投标人如需查勘现场，由投标人自行前往，费用自理。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942"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color w:val="auto"/>
              </w:rPr>
            </w:pPr>
            <w:r>
              <w:rPr>
                <w:rFonts w:hint="eastAsia"/>
                <w:color w:val="auto"/>
              </w:rPr>
              <w:t>8.1</w:t>
            </w:r>
          </w:p>
        </w:tc>
        <w:tc>
          <w:tcPr>
            <w:tcW w:w="9020"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rPr>
                <w:color w:val="auto"/>
              </w:rPr>
            </w:pPr>
            <w:r>
              <w:rPr>
                <w:rFonts w:hint="eastAsia"/>
                <w:color w:val="auto"/>
              </w:rPr>
              <w:t>投标人认为招标文件、招标过程或中标结果使自己的合法权益受到损害的，应当在知道或者应知其权益受到损害之日起七个工作日内，以书面形式向采购人、采购代理机构一次性提出针对同一采购程序的质疑。招标采购单位应当在收到投标人的书面质疑后七个工作日内作出答复，并以书面形式通知质疑投标人和其他有关投标人，但答复内容不得涉及商业秘密。投标人对招标采购单位的质疑答复不满意或者招标采购单位未在规定时间内作出答复的，可以在答复期满后十五个工作日内向同级采购监管部门投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942"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color w:val="auto"/>
              </w:rPr>
            </w:pPr>
            <w:r>
              <w:rPr>
                <w:rFonts w:hint="eastAsia"/>
                <w:color w:val="auto"/>
              </w:rPr>
              <w:t>11.1</w:t>
            </w:r>
          </w:p>
        </w:tc>
        <w:tc>
          <w:tcPr>
            <w:tcW w:w="9020"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rPr>
                <w:color w:val="auto"/>
              </w:rPr>
            </w:pPr>
            <w:r>
              <w:rPr>
                <w:rFonts w:hint="eastAsia"/>
                <w:color w:val="auto"/>
              </w:rPr>
              <w:t>招标文件的澄清与修改：投标人</w:t>
            </w:r>
            <w:r>
              <w:rPr>
                <w:rFonts w:hint="eastAsia" w:ascii="Times New Roman"/>
                <w:color w:val="auto"/>
              </w:rPr>
              <w:t>如对招标文件有疑问或异议，招标公告期限届满之日起7个工作日内，书面要求招标采购单位对招标文件予以澄清。采购代理机构对已发出的招标文件进行必要澄清、修改或补充的，该澄清、修改或补充的内容可能影响投标文件编制的，采购代理机构应当在招标文件要求提交投标文件截止时间十五日前，在财政部门指定的政府采购信息发布媒体上发布更正公告，并以书面形式通知所有招标文件收受人</w:t>
            </w:r>
            <w:r>
              <w:rPr>
                <w:rFonts w:hint="eastAsia"/>
                <w:color w:val="auto"/>
              </w:rPr>
              <w:t>；不足</w:t>
            </w:r>
            <w:r>
              <w:rPr>
                <w:rFonts w:hint="eastAsia" w:ascii="Times New Roman"/>
                <w:color w:val="auto"/>
              </w:rPr>
              <w:t>十五</w:t>
            </w:r>
            <w:r>
              <w:rPr>
                <w:rFonts w:hint="eastAsia"/>
                <w:color w:val="auto"/>
              </w:rPr>
              <w:t>日的，招标采购单位将顺延提交投标文件的截止时间。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942"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color w:val="auto"/>
              </w:rPr>
            </w:pPr>
            <w:r>
              <w:rPr>
                <w:rFonts w:hint="eastAsia"/>
                <w:color w:val="auto"/>
              </w:rPr>
              <w:t>14.4</w:t>
            </w:r>
          </w:p>
        </w:tc>
        <w:tc>
          <w:tcPr>
            <w:tcW w:w="902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ind w:firstLine="35" w:firstLineChars="16"/>
              <w:rPr>
                <w:color w:val="auto"/>
              </w:rPr>
            </w:pPr>
            <w:r>
              <w:rPr>
                <w:rFonts w:hint="eastAsia"/>
                <w:color w:val="auto"/>
              </w:rPr>
              <w:t>投标报价：</w:t>
            </w:r>
            <w:r>
              <w:rPr>
                <w:rFonts w:hint="eastAsia"/>
                <w:b/>
                <w:bCs/>
                <w:color w:val="auto"/>
              </w:rPr>
              <w:t>招标控制价为</w:t>
            </w:r>
            <w:r>
              <w:rPr>
                <w:rFonts w:hint="eastAsia"/>
                <w:b/>
                <w:bCs/>
                <w:color w:val="auto"/>
                <w:lang w:val="en-US"/>
              </w:rPr>
              <w:t>400万元</w:t>
            </w:r>
            <w:r>
              <w:rPr>
                <w:rFonts w:hint="eastAsia"/>
                <w:color w:val="auto"/>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42"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color w:val="auto"/>
              </w:rPr>
            </w:pPr>
            <w:r>
              <w:rPr>
                <w:rFonts w:hint="eastAsia"/>
                <w:color w:val="auto"/>
              </w:rPr>
              <w:t>15.1</w:t>
            </w:r>
          </w:p>
        </w:tc>
        <w:tc>
          <w:tcPr>
            <w:tcW w:w="902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rPr>
                <w:color w:val="auto"/>
              </w:rPr>
            </w:pPr>
            <w:r>
              <w:rPr>
                <w:rFonts w:hint="eastAsia"/>
                <w:color w:val="auto"/>
              </w:rPr>
              <w:t>投标文件有效期：</w:t>
            </w:r>
            <w:r>
              <w:rPr>
                <w:rFonts w:hint="eastAsia"/>
                <w:color w:val="auto"/>
                <w:u w:val="single"/>
              </w:rPr>
              <w:t>60</w:t>
            </w:r>
            <w:r>
              <w:rPr>
                <w:rFonts w:hint="eastAsia"/>
                <w:color w:val="auto"/>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2"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color w:val="auto"/>
              </w:rPr>
            </w:pPr>
            <w:r>
              <w:rPr>
                <w:rFonts w:hint="eastAsia"/>
                <w:color w:val="auto"/>
              </w:rPr>
              <w:t>16.1</w:t>
            </w:r>
          </w:p>
        </w:tc>
        <w:tc>
          <w:tcPr>
            <w:tcW w:w="902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ind w:firstLine="35" w:firstLineChars="16"/>
              <w:rPr>
                <w:color w:val="auto"/>
              </w:rPr>
            </w:pPr>
            <w:r>
              <w:rPr>
                <w:rFonts w:hint="eastAsia"/>
                <w:color w:val="auto"/>
              </w:rPr>
              <w:t>投标保证金人民币：</w:t>
            </w:r>
            <w:r>
              <w:rPr>
                <w:rFonts w:hint="eastAsia"/>
                <w:color w:val="auto"/>
                <w:lang w:val="en-US" w:eastAsia="zh-CN"/>
              </w:rPr>
              <w:t>伍</w:t>
            </w:r>
            <w:r>
              <w:rPr>
                <w:rFonts w:hint="eastAsia"/>
                <w:color w:val="auto"/>
              </w:rPr>
              <w:t>万元整（¥</w:t>
            </w:r>
            <w:r>
              <w:rPr>
                <w:rFonts w:hint="eastAsia"/>
                <w:color w:val="auto"/>
                <w:lang w:val="en-US" w:eastAsia="zh-CN"/>
              </w:rPr>
              <w:t>50000</w:t>
            </w:r>
            <w:r>
              <w:rPr>
                <w:rFonts w:hint="eastAsia"/>
                <w:color w:val="auto"/>
              </w:rPr>
              <w:t>.00元），须足额交纳，否则投标无效。</w:t>
            </w:r>
          </w:p>
          <w:p>
            <w:pPr>
              <w:pStyle w:val="8"/>
              <w:spacing w:before="2" w:after="64" w:line="360" w:lineRule="auto"/>
              <w:ind w:left="0"/>
              <w:jc w:val="both"/>
              <w:rPr>
                <w:b w:val="0"/>
                <w:bCs w:val="0"/>
                <w:color w:val="auto"/>
                <w:kern w:val="2"/>
                <w:sz w:val="22"/>
                <w:szCs w:val="22"/>
                <w:lang w:val="en-US" w:bidi="ar-SA"/>
              </w:rPr>
            </w:pPr>
            <w:r>
              <w:rPr>
                <w:rFonts w:hint="eastAsia"/>
                <w:color w:val="auto"/>
              </w:rPr>
              <w:t>投标人应于投标截止时间前将投标保证金以支票、本票、银行转账、电汇或网上支付银行保函、投标保证保险合同等非现形式缴纳或提交，采用银行转账的投标供应商应于投标截止时间前将投标保证金以汇至以下账户。</w:t>
            </w:r>
            <w:r>
              <w:rPr>
                <w:rFonts w:hint="eastAsia"/>
                <w:b w:val="0"/>
                <w:bCs w:val="0"/>
                <w:color w:val="auto"/>
                <w:kern w:val="2"/>
                <w:sz w:val="22"/>
                <w:szCs w:val="22"/>
                <w:lang w:val="en-US" w:bidi="ar-SA"/>
              </w:rPr>
              <w:t>缴纳时必须在银行转账单“用途栏”处注明所缴保证金对应的工程项目名称，如“×××保证金”或项目编号，不可简单书写“保证金”，否则投标无效。</w:t>
            </w:r>
          </w:p>
          <w:p>
            <w:pPr>
              <w:pStyle w:val="8"/>
              <w:spacing w:before="2" w:after="64" w:line="360" w:lineRule="auto"/>
              <w:ind w:left="0"/>
              <w:jc w:val="both"/>
              <w:rPr>
                <w:color w:val="auto"/>
              </w:rPr>
            </w:pPr>
            <w:r>
              <w:rPr>
                <w:rFonts w:hint="eastAsia"/>
                <w:color w:val="auto"/>
              </w:rPr>
              <w:t>账户名称：崇左市公共资源交易中心</w:t>
            </w:r>
          </w:p>
          <w:p>
            <w:pPr>
              <w:pStyle w:val="8"/>
              <w:spacing w:before="2" w:after="64" w:line="360" w:lineRule="auto"/>
              <w:ind w:left="0"/>
              <w:jc w:val="both"/>
              <w:rPr>
                <w:color w:val="auto"/>
              </w:rPr>
            </w:pPr>
            <w:r>
              <w:rPr>
                <w:rFonts w:hint="eastAsia"/>
                <w:color w:val="auto"/>
              </w:rPr>
              <w:t>开户银行：中国建设银行股份有限公司崇左友谊大道支行</w:t>
            </w:r>
          </w:p>
          <w:p>
            <w:pPr>
              <w:pStyle w:val="8"/>
              <w:spacing w:before="2" w:after="64" w:line="360" w:lineRule="auto"/>
              <w:ind w:left="0"/>
              <w:jc w:val="both"/>
              <w:rPr>
                <w:color w:val="auto"/>
              </w:rPr>
            </w:pPr>
            <w:r>
              <w:rPr>
                <w:rFonts w:hint="eastAsia"/>
                <w:color w:val="auto"/>
              </w:rPr>
              <w:t xml:space="preserve">银行账号：45001598054059556677  </w:t>
            </w:r>
          </w:p>
          <w:p>
            <w:pPr>
              <w:pStyle w:val="8"/>
              <w:spacing w:before="2" w:after="64" w:line="360" w:lineRule="auto"/>
              <w:ind w:left="0"/>
              <w:jc w:val="both"/>
              <w:rPr>
                <w:color w:val="auto"/>
              </w:rPr>
            </w:pPr>
            <w:r>
              <w:rPr>
                <w:rFonts w:hint="eastAsia"/>
                <w:b w:val="0"/>
                <w:bCs w:val="0"/>
                <w:color w:val="auto"/>
                <w:sz w:val="22"/>
                <w:szCs w:val="22"/>
              </w:rPr>
              <w:t>补充：投标人应在上述规定的投标保证金递交截止时间前确保已将款项划拨到指定的账号内。因银行流程或投标人办理不及时等任何原因导致崇左市公共资源交易中心未能查询到账的，其责任由投标人自行承担。崇左市公共资源交易中心不提供到账收据，投标文件中应附有加盖银行章的投标保证金银行电汇单的彩色扫描打印件。（交易中心</w:t>
            </w:r>
            <w:r>
              <w:rPr>
                <w:rFonts w:hint="eastAsia"/>
                <w:b w:val="0"/>
                <w:bCs w:val="0"/>
                <w:color w:val="auto"/>
              </w:rPr>
              <w:t>财务科联系电话：0771-7883232，咨询退保证金请拨打0771-7960186）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942"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color w:val="auto"/>
              </w:rPr>
            </w:pPr>
            <w:r>
              <w:rPr>
                <w:rFonts w:hint="eastAsia"/>
                <w:color w:val="auto"/>
              </w:rPr>
              <w:t>16.2</w:t>
            </w:r>
          </w:p>
        </w:tc>
        <w:tc>
          <w:tcPr>
            <w:tcW w:w="902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ind w:firstLine="35" w:firstLineChars="16"/>
              <w:rPr>
                <w:color w:val="auto"/>
              </w:rPr>
            </w:pPr>
            <w:r>
              <w:rPr>
                <w:rFonts w:hint="eastAsia"/>
                <w:color w:val="auto"/>
              </w:rPr>
              <w:t>投标保证金退还（不计息）：除招标文件规定不予退还保证金的情形或投标人自身原因导致无法及时退还外，招标采购单位在中标通知书发出后五个工作日内退还未中标供应商的投标保证金，在采购合同签订后五个工作日内退还中标供应商的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2"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color w:val="auto"/>
              </w:rPr>
            </w:pPr>
            <w:r>
              <w:rPr>
                <w:rFonts w:hint="eastAsia"/>
                <w:color w:val="auto"/>
              </w:rPr>
              <w:t>17.4</w:t>
            </w:r>
          </w:p>
        </w:tc>
        <w:tc>
          <w:tcPr>
            <w:tcW w:w="902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rPr>
                <w:color w:val="auto"/>
              </w:rPr>
            </w:pPr>
            <w:r>
              <w:rPr>
                <w:rFonts w:hint="eastAsia"/>
                <w:color w:val="auto"/>
              </w:rPr>
              <w:t>投标文件签字和（或）盖章要求：投标文件须由投标人在规定位置由法定代表人或法定代表人的授权委托人签署并加盖投标人法人单位公章，投标人应写全称。由委托代理人签字的，投标文件应附法定代表人签署的授权委托书。投标文件不按规定签字和（或）盖章的，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942"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color w:val="auto"/>
              </w:rPr>
            </w:pPr>
            <w:r>
              <w:rPr>
                <w:rFonts w:hint="eastAsia"/>
                <w:color w:val="auto"/>
              </w:rPr>
              <w:t>17.5</w:t>
            </w:r>
          </w:p>
        </w:tc>
        <w:tc>
          <w:tcPr>
            <w:tcW w:w="9020" w:type="dxa"/>
            <w:tcBorders>
              <w:top w:val="single" w:color="auto" w:sz="4" w:space="0"/>
              <w:left w:val="single" w:color="auto" w:sz="4" w:space="0"/>
              <w:bottom w:val="single" w:color="auto" w:sz="4" w:space="0"/>
              <w:right w:val="single" w:color="auto" w:sz="4" w:space="0"/>
              <w:tl2br w:val="nil"/>
              <w:tr2bl w:val="nil"/>
            </w:tcBorders>
            <w:vAlign w:val="center"/>
          </w:tcPr>
          <w:p>
            <w:pPr>
              <w:pStyle w:val="16"/>
              <w:snapToGrid w:val="0"/>
              <w:spacing w:line="440" w:lineRule="exact"/>
              <w:rPr>
                <w:rFonts w:hAnsi="宋体"/>
                <w:color w:val="auto"/>
              </w:rPr>
            </w:pPr>
            <w:r>
              <w:rPr>
                <w:rFonts w:hint="eastAsia"/>
                <w:color w:val="auto"/>
              </w:rPr>
              <w:t>投标文件正本1份，副本份数：</w:t>
            </w:r>
            <w:r>
              <w:rPr>
                <w:rFonts w:hint="eastAsia"/>
                <w:color w:val="auto"/>
                <w:u w:val="single"/>
              </w:rPr>
              <w:t>4</w:t>
            </w:r>
            <w:r>
              <w:rPr>
                <w:rFonts w:hint="eastAsia"/>
                <w:color w:val="auto"/>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942"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color w:val="auto"/>
              </w:rPr>
            </w:pPr>
            <w:r>
              <w:rPr>
                <w:rFonts w:hint="eastAsia"/>
                <w:color w:val="auto"/>
              </w:rPr>
              <w:t>17.6</w:t>
            </w:r>
          </w:p>
        </w:tc>
        <w:tc>
          <w:tcPr>
            <w:tcW w:w="9020" w:type="dxa"/>
            <w:tcBorders>
              <w:top w:val="single" w:color="auto" w:sz="4" w:space="0"/>
              <w:left w:val="single" w:color="auto" w:sz="4" w:space="0"/>
              <w:bottom w:val="single" w:color="auto" w:sz="4" w:space="0"/>
              <w:right w:val="single" w:color="auto" w:sz="4" w:space="0"/>
              <w:tl2br w:val="nil"/>
              <w:tr2bl w:val="nil"/>
            </w:tcBorders>
            <w:vAlign w:val="center"/>
          </w:tcPr>
          <w:p>
            <w:pPr>
              <w:pStyle w:val="16"/>
              <w:snapToGrid w:val="0"/>
              <w:spacing w:line="440" w:lineRule="exact"/>
              <w:rPr>
                <w:rFonts w:hAnsi="宋体"/>
                <w:color w:val="auto"/>
              </w:rPr>
            </w:pPr>
            <w:r>
              <w:rPr>
                <w:rFonts w:hint="eastAsia"/>
                <w:color w:val="auto"/>
              </w:rPr>
              <w:t>投标文件装订要求：分册装订，共分</w:t>
            </w:r>
            <w:r>
              <w:rPr>
                <w:rFonts w:hint="eastAsia"/>
                <w:color w:val="auto"/>
                <w:u w:val="single"/>
              </w:rPr>
              <w:t>2</w:t>
            </w:r>
            <w:r>
              <w:rPr>
                <w:rFonts w:hint="eastAsia"/>
                <w:color w:val="auto"/>
              </w:rPr>
              <w:t>册，分别为：</w:t>
            </w:r>
            <w:r>
              <w:rPr>
                <w:rFonts w:hint="eastAsia" w:hAnsi="宋体"/>
                <w:color w:val="auto"/>
                <w:u w:val="single"/>
              </w:rPr>
              <w:t>资格</w:t>
            </w:r>
            <w:r>
              <w:rPr>
                <w:rFonts w:hint="eastAsia"/>
                <w:color w:val="auto"/>
                <w:u w:val="single"/>
              </w:rPr>
              <w:t>审查文件1册；商务、技术和报价文件合订1册</w:t>
            </w:r>
            <w:r>
              <w:rPr>
                <w:rFonts w:hint="eastAsia"/>
                <w:color w:val="auto"/>
              </w:rPr>
              <w:t>。投标文件每册装订应牢固、不易拆散和换页，不得采用活页装订，</w:t>
            </w:r>
            <w:r>
              <w:rPr>
                <w:rFonts w:hint="eastAsia" w:hAnsi="宋体"/>
                <w:color w:val="auto"/>
              </w:rPr>
              <w:t>活页装订的投标文件将被拒绝</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2"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color w:val="auto"/>
              </w:rPr>
            </w:pPr>
            <w:r>
              <w:rPr>
                <w:rFonts w:hint="eastAsia"/>
                <w:color w:val="auto"/>
              </w:rPr>
              <w:t>18.1</w:t>
            </w:r>
          </w:p>
        </w:tc>
        <w:tc>
          <w:tcPr>
            <w:tcW w:w="902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50" w:line="440" w:lineRule="exact"/>
              <w:ind w:firstLine="309"/>
              <w:rPr>
                <w:color w:val="auto"/>
              </w:rPr>
            </w:pPr>
            <w:r>
              <w:rPr>
                <w:rFonts w:hint="eastAsia"/>
                <w:color w:val="auto"/>
              </w:rPr>
              <w:t>投标文件包装、密封要求：投标人应将投标文件正、副本一并装入一个投标文件袋（盒、箱）内加以密封 (投标人应尽量将全部投标文件一并装入一个投标文件袋（盒、箱）中)，在每一封贴处密封签章（公章或密封章或法定代表人或其委托代理人签字均可）。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942"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color w:val="auto"/>
              </w:rPr>
            </w:pPr>
            <w:r>
              <w:rPr>
                <w:rFonts w:hint="eastAsia"/>
                <w:color w:val="auto"/>
              </w:rPr>
              <w:t>18.2</w:t>
            </w:r>
          </w:p>
        </w:tc>
        <w:tc>
          <w:tcPr>
            <w:tcW w:w="902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50" w:line="440" w:lineRule="exact"/>
              <w:ind w:firstLine="309"/>
              <w:rPr>
                <w:color w:val="auto"/>
              </w:rPr>
            </w:pPr>
            <w:r>
              <w:rPr>
                <w:rFonts w:hint="eastAsia"/>
                <w:color w:val="auto"/>
              </w:rPr>
              <w:t>投标文件的包装封面上应注明投标人名称、投标人地址、投标文件名称（资格审查文件/商务、技术、报价文件）、投标项目名称、项目编号及“开标时启封”字样，并加盖投标人公章或密封章。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942"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color w:val="auto"/>
              </w:rPr>
            </w:pPr>
            <w:r>
              <w:rPr>
                <w:rFonts w:hint="eastAsia"/>
                <w:color w:val="auto"/>
              </w:rPr>
              <w:t>19.1</w:t>
            </w:r>
          </w:p>
        </w:tc>
        <w:tc>
          <w:tcPr>
            <w:tcW w:w="902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rPr>
                <w:color w:val="auto"/>
              </w:rPr>
            </w:pPr>
            <w:r>
              <w:rPr>
                <w:rFonts w:hint="eastAsia"/>
                <w:color w:val="auto"/>
              </w:rPr>
              <w:t>投标截止时间及地点：投标人应于</w:t>
            </w:r>
            <w:r>
              <w:rPr>
                <w:rFonts w:hint="eastAsia"/>
                <w:color w:val="auto"/>
                <w:lang w:eastAsia="zh-CN"/>
              </w:rPr>
              <w:t>2020年11月30日</w:t>
            </w:r>
            <w:r>
              <w:rPr>
                <w:rFonts w:hint="eastAsia"/>
                <w:color w:val="auto"/>
              </w:rPr>
              <w:t>10时00分前将投标文件密封送交到崇左市公共资源交易中心开标厅（广西崇左市城南新区石景林路东段政务服务中心综合楼五楼），逾期送达或未密封将予以拒收（或作无效投标文件处理）。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942"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color w:val="auto"/>
              </w:rPr>
            </w:pPr>
            <w:r>
              <w:rPr>
                <w:rFonts w:hint="eastAsia"/>
                <w:color w:val="auto"/>
              </w:rPr>
              <w:t>19.2</w:t>
            </w:r>
          </w:p>
        </w:tc>
        <w:tc>
          <w:tcPr>
            <w:tcW w:w="902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rPr>
                <w:color w:val="auto"/>
              </w:rPr>
            </w:pPr>
            <w:r>
              <w:rPr>
                <w:rFonts w:hint="eastAsia"/>
                <w:color w:val="auto"/>
              </w:rPr>
              <w:t>递交样品时间及地点：无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942"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color w:val="auto"/>
              </w:rPr>
            </w:pPr>
            <w:r>
              <w:rPr>
                <w:rFonts w:hint="eastAsia"/>
                <w:color w:val="auto"/>
              </w:rPr>
              <w:t>19.3</w:t>
            </w:r>
          </w:p>
        </w:tc>
        <w:tc>
          <w:tcPr>
            <w:tcW w:w="902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rPr>
                <w:color w:val="auto"/>
              </w:rPr>
            </w:pPr>
            <w:r>
              <w:rPr>
                <w:rFonts w:hint="eastAsia"/>
                <w:color w:val="auto"/>
              </w:rPr>
              <w:t>是否退还投标文件：否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2" w:hRule="atLeast"/>
        </w:trPr>
        <w:tc>
          <w:tcPr>
            <w:tcW w:w="942"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color w:val="auto"/>
              </w:rPr>
            </w:pPr>
            <w:r>
              <w:rPr>
                <w:rFonts w:hint="eastAsia"/>
                <w:color w:val="auto"/>
              </w:rPr>
              <w:t>20</w:t>
            </w:r>
          </w:p>
        </w:tc>
        <w:tc>
          <w:tcPr>
            <w:tcW w:w="902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rPr>
                <w:color w:val="auto"/>
              </w:rPr>
            </w:pPr>
            <w:r>
              <w:rPr>
                <w:rFonts w:hint="eastAsia"/>
                <w:color w:val="auto"/>
              </w:rPr>
              <w:t>开标时间及地点：本次招标将于</w:t>
            </w:r>
            <w:r>
              <w:rPr>
                <w:rFonts w:hint="eastAsia"/>
                <w:color w:val="auto"/>
                <w:lang w:eastAsia="zh-CN"/>
              </w:rPr>
              <w:t>2020年11月30日</w:t>
            </w:r>
            <w:r>
              <w:rPr>
                <w:rFonts w:hint="eastAsia"/>
                <w:color w:val="auto"/>
              </w:rPr>
              <w:t>10时00分在崇左市公共资源交易中心开标厅（ 广西崇左市城南新区石景林路东段政务服务中心综合楼五楼）开标。投标人应派法定代表人或其委托代理人参加开标会并签到；投标人的法定代表人或其委托代理人未参加开标的，视同认可开标结果。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942"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color w:val="auto"/>
              </w:rPr>
            </w:pPr>
            <w:r>
              <w:rPr>
                <w:rFonts w:hint="eastAsia"/>
                <w:color w:val="auto"/>
              </w:rPr>
              <w:t>25.4.2</w:t>
            </w:r>
          </w:p>
        </w:tc>
        <w:tc>
          <w:tcPr>
            <w:tcW w:w="902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textAlignment w:val="bottom"/>
              <w:rPr>
                <w:color w:val="auto"/>
              </w:rPr>
            </w:pPr>
            <w:r>
              <w:rPr>
                <w:rFonts w:hint="eastAsia"/>
                <w:color w:val="auto"/>
              </w:rPr>
              <w:t>评标办法及评分标准：综合评分法。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2"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color w:val="auto"/>
              </w:rPr>
            </w:pPr>
            <w:r>
              <w:rPr>
                <w:rFonts w:hint="eastAsia"/>
                <w:color w:val="auto"/>
              </w:rPr>
              <w:t>30</w:t>
            </w:r>
          </w:p>
        </w:tc>
        <w:tc>
          <w:tcPr>
            <w:tcW w:w="902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textAlignment w:val="bottom"/>
              <w:rPr>
                <w:color w:val="auto"/>
              </w:rPr>
            </w:pPr>
            <w:r>
              <w:rPr>
                <w:rFonts w:hint="eastAsia"/>
                <w:color w:val="auto"/>
              </w:rPr>
              <w:t>中标公告及中标通知书：采购代理机构在采购人依法确认中标人后2个工作日内发布中标公告和中标通知书，中标公告在招标公告发布媒体发布。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2"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color w:val="auto"/>
              </w:rPr>
            </w:pPr>
            <w:r>
              <w:rPr>
                <w:rFonts w:hint="eastAsia"/>
                <w:color w:val="auto"/>
              </w:rPr>
              <w:t>33.1</w:t>
            </w:r>
          </w:p>
        </w:tc>
        <w:tc>
          <w:tcPr>
            <w:tcW w:w="9020" w:type="dxa"/>
            <w:tcBorders>
              <w:top w:val="single" w:color="auto" w:sz="4" w:space="0"/>
              <w:left w:val="single" w:color="auto" w:sz="4" w:space="0"/>
              <w:bottom w:val="single" w:color="auto" w:sz="4" w:space="0"/>
              <w:right w:val="single" w:color="auto" w:sz="4" w:space="0"/>
              <w:tl2br w:val="nil"/>
              <w:tr2bl w:val="nil"/>
            </w:tcBorders>
            <w:vAlign w:val="center"/>
          </w:tcPr>
          <w:p>
            <w:pPr>
              <w:spacing w:line="288" w:lineRule="auto"/>
              <w:rPr>
                <w:color w:val="auto"/>
              </w:rPr>
            </w:pPr>
            <w:r>
              <w:rPr>
                <w:color w:val="auto"/>
              </w:rPr>
              <w:t>履约担保的形式：</w:t>
            </w:r>
            <w:bookmarkStart w:id="18" w:name="EBa1a3fa7a636047ba9bd424a3ec3ebf1f"/>
            <w:r>
              <w:rPr>
                <w:rFonts w:hint="eastAsia"/>
                <w:color w:val="auto"/>
              </w:rPr>
              <w:t>银行保函形式</w:t>
            </w:r>
            <w:bookmarkEnd w:id="18"/>
            <w:r>
              <w:rPr>
                <w:rFonts w:hint="eastAsia"/>
                <w:color w:val="auto"/>
              </w:rPr>
              <w:t>。</w:t>
            </w:r>
          </w:p>
          <w:p>
            <w:pPr>
              <w:spacing w:line="288" w:lineRule="auto"/>
              <w:rPr>
                <w:color w:val="auto"/>
              </w:rPr>
            </w:pPr>
            <w:r>
              <w:rPr>
                <w:color w:val="auto"/>
              </w:rPr>
              <w:t>履约</w:t>
            </w:r>
            <w:r>
              <w:rPr>
                <w:rFonts w:hint="eastAsia"/>
                <w:color w:val="auto"/>
              </w:rPr>
              <w:t>保证金</w:t>
            </w:r>
            <w:r>
              <w:rPr>
                <w:color w:val="auto"/>
              </w:rPr>
              <w:t>的金额：</w:t>
            </w:r>
            <w:bookmarkStart w:id="19" w:name="EBf912dddd91d74a91af33f5e18ac753dc"/>
            <w:bookmarkEnd w:id="19"/>
            <w:r>
              <w:rPr>
                <w:color w:val="auto"/>
                <w:u w:val="single"/>
              </w:rPr>
              <w:t xml:space="preserve"> </w:t>
            </w:r>
            <w:r>
              <w:rPr>
                <w:rFonts w:hint="eastAsia"/>
                <w:color w:val="auto"/>
                <w:u w:val="single"/>
                <w:lang w:val="en-US"/>
              </w:rPr>
              <w:t>20</w:t>
            </w:r>
            <w:r>
              <w:rPr>
                <w:color w:val="auto"/>
                <w:u w:val="single"/>
              </w:rPr>
              <w:t xml:space="preserve"> </w:t>
            </w:r>
            <w:r>
              <w:rPr>
                <w:rFonts w:hint="eastAsia"/>
                <w:color w:val="auto"/>
              </w:rPr>
              <w:t>万元</w:t>
            </w:r>
          </w:p>
          <w:p>
            <w:pPr>
              <w:spacing w:line="360" w:lineRule="auto"/>
              <w:rPr>
                <w:color w:val="auto"/>
                <w:lang w:val="en-US"/>
              </w:rPr>
            </w:pPr>
            <w:r>
              <w:rPr>
                <w:rFonts w:hint="eastAsia"/>
                <w:color w:val="auto"/>
              </w:rPr>
              <w:t>中标人在收到中标通知书后，须在</w:t>
            </w:r>
            <w:bookmarkStart w:id="20" w:name="EB2a2cdb9f3dbf41faac50a9b15d8e383e"/>
            <w:bookmarkEnd w:id="20"/>
            <w:r>
              <w:rPr>
                <w:rFonts w:hint="eastAsia"/>
                <w:color w:val="auto"/>
                <w:u w:val="single"/>
              </w:rPr>
              <w:t xml:space="preserve"> </w:t>
            </w:r>
            <w:r>
              <w:rPr>
                <w:rFonts w:hint="eastAsia"/>
                <w:color w:val="auto"/>
                <w:u w:val="single"/>
                <w:lang w:val="en-US"/>
              </w:rPr>
              <w:t>7</w:t>
            </w:r>
            <w:r>
              <w:rPr>
                <w:rFonts w:hint="eastAsia"/>
                <w:color w:val="auto"/>
                <w:u w:val="single"/>
              </w:rPr>
              <w:t xml:space="preserve"> </w:t>
            </w:r>
            <w:r>
              <w:rPr>
                <w:rFonts w:hint="eastAsia"/>
                <w:color w:val="auto"/>
              </w:rPr>
              <w:t>日内向采购人足额提交履约保证金，否则招标人可以取消其中标资格。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942"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color w:val="auto"/>
              </w:rPr>
            </w:pPr>
            <w:r>
              <w:rPr>
                <w:rFonts w:hint="eastAsia"/>
                <w:color w:val="auto"/>
              </w:rPr>
              <w:t>34</w:t>
            </w:r>
          </w:p>
        </w:tc>
        <w:tc>
          <w:tcPr>
            <w:tcW w:w="902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textAlignment w:val="bottom"/>
              <w:rPr>
                <w:color w:val="auto"/>
              </w:rPr>
            </w:pPr>
            <w:r>
              <w:rPr>
                <w:rFonts w:hint="eastAsia"/>
                <w:color w:val="auto"/>
              </w:rPr>
              <w:t>签订合同时间：中标通知书发出后7个工作日内。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2"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color w:val="auto"/>
              </w:rPr>
            </w:pPr>
            <w:r>
              <w:rPr>
                <w:rFonts w:hint="eastAsia"/>
                <w:color w:val="auto"/>
              </w:rPr>
              <w:t>35</w:t>
            </w:r>
          </w:p>
        </w:tc>
        <w:tc>
          <w:tcPr>
            <w:tcW w:w="902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rPr>
                <w:b/>
                <w:bCs/>
                <w:color w:val="auto"/>
                <w:sz w:val="24"/>
              </w:rPr>
            </w:pPr>
            <w:r>
              <w:rPr>
                <w:rFonts w:hint="eastAsia"/>
                <w:color w:val="auto"/>
              </w:rPr>
              <w:t>本项目代理服务费按</w:t>
            </w:r>
            <w:r>
              <w:rPr>
                <w:rFonts w:hint="eastAsia"/>
                <w:b/>
                <w:color w:val="auto"/>
                <w:u w:val="single"/>
              </w:rPr>
              <w:t>广西壮族自治区物价局转发国家发展改革委关于降低部分建设项目收费标准规范收费行为等有关问题的通知（桂价费〔2011〕55号）</w:t>
            </w:r>
            <w:r>
              <w:rPr>
                <w:rFonts w:hint="eastAsia"/>
                <w:b/>
                <w:bCs/>
                <w:color w:val="auto"/>
              </w:rPr>
              <w:t>计取。</w:t>
            </w:r>
          </w:p>
          <w:p>
            <w:pPr>
              <w:snapToGrid w:val="0"/>
              <w:spacing w:line="400" w:lineRule="exact"/>
              <w:rPr>
                <w:color w:val="auto"/>
                <w:lang w:val="en-US"/>
              </w:rPr>
            </w:pPr>
            <w:r>
              <w:rPr>
                <w:rFonts w:hint="eastAsia"/>
                <w:color w:val="auto"/>
              </w:rPr>
              <w:t>开户名称：华物盛泰工程咨询管理有限公司</w:t>
            </w:r>
            <w:r>
              <w:rPr>
                <w:rFonts w:hint="eastAsia"/>
                <w:color w:val="auto"/>
                <w:lang w:val="en-US"/>
              </w:rPr>
              <w:t>崇左分公司</w:t>
            </w:r>
          </w:p>
          <w:p>
            <w:pPr>
              <w:snapToGrid w:val="0"/>
              <w:spacing w:line="400" w:lineRule="exact"/>
              <w:rPr>
                <w:color w:val="auto"/>
                <w:lang w:val="en-US"/>
              </w:rPr>
            </w:pPr>
            <w:r>
              <w:rPr>
                <w:rFonts w:hint="eastAsia"/>
                <w:color w:val="auto"/>
              </w:rPr>
              <w:t>开户银行：</w:t>
            </w:r>
            <w:r>
              <w:rPr>
                <w:rFonts w:hint="eastAsia"/>
                <w:color w:val="auto"/>
                <w:lang w:val="en-US"/>
              </w:rPr>
              <w:t>农行崇左分行营业室</w:t>
            </w:r>
          </w:p>
          <w:p>
            <w:pPr>
              <w:snapToGrid w:val="0"/>
              <w:spacing w:line="400" w:lineRule="exact"/>
              <w:rPr>
                <w:color w:val="auto"/>
              </w:rPr>
            </w:pPr>
            <w:r>
              <w:rPr>
                <w:rFonts w:hint="eastAsia"/>
                <w:color w:val="auto"/>
              </w:rPr>
              <w:t>银行账号：</w:t>
            </w:r>
            <w:r>
              <w:rPr>
                <w:rFonts w:hint="eastAsia"/>
                <w:color w:val="auto"/>
                <w:lang w:val="en-US"/>
              </w:rPr>
              <w:t>20073101040019117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942"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color w:val="auto"/>
              </w:rPr>
            </w:pPr>
            <w:r>
              <w:rPr>
                <w:rFonts w:hint="eastAsia"/>
                <w:color w:val="auto"/>
              </w:rPr>
              <w:t>36</w:t>
            </w:r>
          </w:p>
        </w:tc>
        <w:tc>
          <w:tcPr>
            <w:tcW w:w="902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rPr>
                <w:color w:val="auto"/>
              </w:rPr>
            </w:pPr>
            <w:r>
              <w:rPr>
                <w:rFonts w:hint="eastAsia"/>
                <w:color w:val="auto"/>
              </w:rPr>
              <w:t>解释：本招标文件的解释权属于招标采购单位。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942"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color w:val="auto"/>
              </w:rPr>
            </w:pPr>
            <w:r>
              <w:rPr>
                <w:rFonts w:hint="eastAsia"/>
                <w:color w:val="auto"/>
              </w:rPr>
              <w:t>37</w:t>
            </w:r>
          </w:p>
        </w:tc>
        <w:tc>
          <w:tcPr>
            <w:tcW w:w="902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rPr>
                <w:color w:val="auto"/>
              </w:rPr>
            </w:pPr>
            <w:r>
              <w:rPr>
                <w:rFonts w:hint="eastAsia"/>
                <w:color w:val="auto"/>
              </w:rPr>
              <w:t>1、本招标文件中描述投标人的“公章”是指根据我国对公章的管理规定，用投标人法定主体行为名称制作的印章，除本采购文件有特殊规定外，投标人的财务章、部门章、分公司章、工会章、合同章、投标专用章、业务专用章等其它形式印章均不能代替公章。</w:t>
            </w:r>
          </w:p>
          <w:p>
            <w:pPr>
              <w:snapToGrid w:val="0"/>
              <w:spacing w:line="400" w:lineRule="exact"/>
              <w:rPr>
                <w:color w:val="auto"/>
              </w:rPr>
            </w:pPr>
            <w:r>
              <w:rPr>
                <w:rFonts w:hint="eastAsia"/>
                <w:color w:val="auto"/>
              </w:rPr>
              <w:t>2、本采购文件中描述投标人的“签字”是指投标人的法定代表人或被授权人亲自在采购文件规定签署处亲笔写上个人的名字的行为，私章、签字章、印鉴、影印等其它形式均不能代替亲笔签字。</w:t>
            </w:r>
          </w:p>
        </w:tc>
      </w:tr>
    </w:tbl>
    <w:p>
      <w:pPr>
        <w:rPr>
          <w:color w:val="auto"/>
        </w:rPr>
      </w:pPr>
      <w:bookmarkStart w:id="21" w:name="_Toc2056"/>
      <w:r>
        <w:rPr>
          <w:color w:val="auto"/>
        </w:rPr>
        <w:br w:type="page"/>
      </w:r>
    </w:p>
    <w:p>
      <w:pPr>
        <w:pStyle w:val="2"/>
        <w:rPr>
          <w:color w:val="auto"/>
        </w:rPr>
      </w:pPr>
    </w:p>
    <w:p>
      <w:pPr>
        <w:pStyle w:val="4"/>
        <w:jc w:val="center"/>
        <w:rPr>
          <w:color w:val="auto"/>
        </w:rPr>
      </w:pPr>
      <w:bookmarkStart w:id="22" w:name="_Toc15457"/>
      <w:r>
        <w:rPr>
          <w:rFonts w:hint="eastAsia"/>
          <w:color w:val="auto"/>
        </w:rPr>
        <w:t>一、总  则</w:t>
      </w:r>
      <w:bookmarkEnd w:id="21"/>
      <w:bookmarkEnd w:id="22"/>
    </w:p>
    <w:p>
      <w:pPr>
        <w:snapToGrid w:val="0"/>
        <w:spacing w:line="360" w:lineRule="auto"/>
        <w:ind w:firstLine="433" w:firstLineChars="196"/>
        <w:outlineLvl w:val="1"/>
        <w:rPr>
          <w:b/>
          <w:color w:val="auto"/>
        </w:rPr>
      </w:pPr>
      <w:bookmarkStart w:id="23" w:name="_Toc4985"/>
      <w:bookmarkStart w:id="24" w:name="_Toc30736"/>
      <w:bookmarkStart w:id="25" w:name="_Toc5825"/>
      <w:bookmarkStart w:id="26" w:name="_Toc254970527"/>
      <w:bookmarkStart w:id="27" w:name="_Toc254970668"/>
      <w:r>
        <w:rPr>
          <w:rFonts w:hint="eastAsia"/>
          <w:b/>
          <w:color w:val="auto"/>
        </w:rPr>
        <w:t>1、项目概况及适用范围</w:t>
      </w:r>
      <w:bookmarkEnd w:id="23"/>
      <w:bookmarkEnd w:id="24"/>
      <w:bookmarkEnd w:id="25"/>
      <w:bookmarkEnd w:id="26"/>
      <w:bookmarkEnd w:id="27"/>
    </w:p>
    <w:p>
      <w:pPr>
        <w:snapToGrid w:val="0"/>
        <w:spacing w:line="360" w:lineRule="auto"/>
        <w:ind w:firstLine="440" w:firstLineChars="200"/>
        <w:rPr>
          <w:color w:val="auto"/>
        </w:rPr>
      </w:pPr>
      <w:r>
        <w:rPr>
          <w:rFonts w:hint="eastAsia"/>
          <w:color w:val="auto"/>
        </w:rPr>
        <w:t>1.1项目名称及</w:t>
      </w:r>
      <w:r>
        <w:rPr>
          <w:rFonts w:hint="eastAsia"/>
          <w:color w:val="auto"/>
          <w:lang w:eastAsia="zh-CN"/>
        </w:rPr>
        <w:t>项目编号：CZZC2020-G3-000242-HWST</w:t>
      </w:r>
      <w:r>
        <w:rPr>
          <w:rFonts w:hint="eastAsia"/>
          <w:color w:val="auto"/>
        </w:rPr>
        <w:t>见“投标人须知前附表”。</w:t>
      </w:r>
    </w:p>
    <w:p>
      <w:pPr>
        <w:snapToGrid w:val="0"/>
        <w:spacing w:line="360" w:lineRule="auto"/>
        <w:ind w:firstLine="440" w:firstLineChars="200"/>
        <w:rPr>
          <w:color w:val="auto"/>
        </w:rPr>
      </w:pPr>
      <w:r>
        <w:rPr>
          <w:rFonts w:hint="eastAsia"/>
          <w:color w:val="auto"/>
        </w:rPr>
        <w:t>1.2本项目采购人：见“投标人须知前附表”。</w:t>
      </w:r>
    </w:p>
    <w:p>
      <w:pPr>
        <w:snapToGrid w:val="0"/>
        <w:spacing w:line="360" w:lineRule="auto"/>
        <w:ind w:firstLine="440" w:firstLineChars="200"/>
        <w:rPr>
          <w:color w:val="auto"/>
        </w:rPr>
      </w:pPr>
      <w:r>
        <w:rPr>
          <w:rFonts w:hint="eastAsia"/>
          <w:color w:val="auto"/>
        </w:rPr>
        <w:t>1.3本项目采购代理机构：见“投标人须知前附表”。</w:t>
      </w:r>
    </w:p>
    <w:p>
      <w:pPr>
        <w:snapToGrid w:val="0"/>
        <w:spacing w:line="360" w:lineRule="auto"/>
        <w:ind w:firstLine="440" w:firstLineChars="200"/>
        <w:rPr>
          <w:color w:val="auto"/>
        </w:rPr>
      </w:pPr>
      <w:r>
        <w:rPr>
          <w:rFonts w:hint="eastAsia"/>
          <w:color w:val="auto"/>
        </w:rPr>
        <w:t>1.4本项目资金来源及采购预算金额：见“投标人须知前附表”。</w:t>
      </w:r>
    </w:p>
    <w:p>
      <w:pPr>
        <w:snapToGrid w:val="0"/>
        <w:spacing w:line="360" w:lineRule="auto"/>
        <w:ind w:firstLine="440" w:firstLineChars="200"/>
        <w:rPr>
          <w:color w:val="auto"/>
        </w:rPr>
      </w:pPr>
      <w:r>
        <w:rPr>
          <w:rFonts w:hint="eastAsia"/>
          <w:color w:val="auto"/>
        </w:rPr>
        <w:t>1.5本招标文件适用于本项目的招标、投标、评标、定标、验收、合同履约、付款等行为（法律、法规另有规定的，从其规定）。</w:t>
      </w:r>
    </w:p>
    <w:p>
      <w:pPr>
        <w:snapToGrid w:val="0"/>
        <w:spacing w:beforeLines="50" w:line="360" w:lineRule="auto"/>
        <w:ind w:firstLine="433" w:firstLineChars="196"/>
        <w:outlineLvl w:val="1"/>
        <w:rPr>
          <w:b/>
          <w:color w:val="auto"/>
        </w:rPr>
      </w:pPr>
      <w:bookmarkStart w:id="28" w:name="_Toc254970528"/>
      <w:bookmarkStart w:id="29" w:name="_Toc11768"/>
      <w:bookmarkStart w:id="30" w:name="_Toc14965"/>
      <w:bookmarkStart w:id="31" w:name="_Toc13260"/>
      <w:bookmarkStart w:id="32" w:name="_Toc254970669"/>
      <w:r>
        <w:rPr>
          <w:rFonts w:hint="eastAsia"/>
          <w:b/>
          <w:color w:val="auto"/>
        </w:rPr>
        <w:t>2、定义</w:t>
      </w:r>
      <w:bookmarkEnd w:id="28"/>
      <w:bookmarkEnd w:id="29"/>
      <w:bookmarkEnd w:id="30"/>
      <w:bookmarkEnd w:id="31"/>
      <w:bookmarkEnd w:id="32"/>
    </w:p>
    <w:p>
      <w:pPr>
        <w:snapToGrid w:val="0"/>
        <w:spacing w:line="360" w:lineRule="auto"/>
        <w:ind w:firstLine="440" w:firstLineChars="200"/>
        <w:rPr>
          <w:color w:val="auto"/>
        </w:rPr>
      </w:pPr>
      <w:r>
        <w:rPr>
          <w:rFonts w:hint="eastAsia"/>
          <w:color w:val="auto"/>
        </w:rPr>
        <w:t>2.1招标采购单位系指组织本次招标的采购人及采购代理机构。</w:t>
      </w:r>
    </w:p>
    <w:p>
      <w:pPr>
        <w:snapToGrid w:val="0"/>
        <w:spacing w:line="360" w:lineRule="auto"/>
        <w:ind w:firstLine="440" w:firstLineChars="200"/>
        <w:rPr>
          <w:color w:val="auto"/>
        </w:rPr>
      </w:pPr>
      <w:r>
        <w:rPr>
          <w:rFonts w:hint="eastAsia"/>
          <w:color w:val="auto"/>
        </w:rPr>
        <w:t>2.2“投标人”系指响应招标、参加投标竞争的法人、其他组织或自然人。</w:t>
      </w:r>
    </w:p>
    <w:p>
      <w:pPr>
        <w:snapToGrid w:val="0"/>
        <w:spacing w:line="360" w:lineRule="auto"/>
        <w:ind w:firstLine="440" w:firstLineChars="200"/>
        <w:rPr>
          <w:color w:val="auto"/>
        </w:rPr>
      </w:pPr>
      <w:r>
        <w:rPr>
          <w:rFonts w:hint="eastAsia"/>
          <w:color w:val="auto"/>
        </w:rPr>
        <w:t>2.3“产品”系指供方按招标文件规定，须向采购人提供的一切设备、保险、税金、备品备件、工具、手册及其它有关技术资料和材料。</w:t>
      </w:r>
    </w:p>
    <w:p>
      <w:pPr>
        <w:snapToGrid w:val="0"/>
        <w:spacing w:line="360" w:lineRule="auto"/>
        <w:ind w:firstLine="440" w:firstLineChars="200"/>
        <w:rPr>
          <w:color w:val="auto"/>
        </w:rPr>
      </w:pPr>
      <w:r>
        <w:rPr>
          <w:rFonts w:hint="eastAsia"/>
          <w:color w:val="auto"/>
        </w:rPr>
        <w:t>2.4“服务”系指招标文件规定投标人须承担的安装、调试、技术协助、校准、培训、技术指导以及其他类似的义务。</w:t>
      </w:r>
    </w:p>
    <w:p>
      <w:pPr>
        <w:snapToGrid w:val="0"/>
        <w:spacing w:line="360" w:lineRule="auto"/>
        <w:ind w:firstLine="440" w:firstLineChars="200"/>
        <w:rPr>
          <w:color w:val="auto"/>
        </w:rPr>
      </w:pPr>
      <w:r>
        <w:rPr>
          <w:rFonts w:hint="eastAsia"/>
          <w:color w:val="auto"/>
        </w:rPr>
        <w:t>2.5“项目”系指投标人按招标文件规定向采购人提供的产品和服务。</w:t>
      </w:r>
    </w:p>
    <w:p>
      <w:pPr>
        <w:snapToGrid w:val="0"/>
        <w:spacing w:line="360" w:lineRule="auto"/>
        <w:ind w:firstLine="440" w:firstLineChars="200"/>
        <w:rPr>
          <w:color w:val="auto"/>
        </w:rPr>
      </w:pPr>
      <w:r>
        <w:rPr>
          <w:rFonts w:hint="eastAsia"/>
          <w:color w:val="auto"/>
        </w:rPr>
        <w:t>2.6“书面形式”包括信函、传真、电报等。</w:t>
      </w:r>
    </w:p>
    <w:p>
      <w:pPr>
        <w:snapToGrid w:val="0"/>
        <w:spacing w:line="360" w:lineRule="auto"/>
        <w:ind w:firstLine="440" w:firstLineChars="200"/>
        <w:rPr>
          <w:color w:val="auto"/>
        </w:rPr>
      </w:pPr>
      <w:r>
        <w:rPr>
          <w:rFonts w:hint="eastAsia"/>
          <w:color w:val="auto"/>
        </w:rPr>
        <w:t>2.7“★”系指实质性要求条款。</w:t>
      </w:r>
    </w:p>
    <w:p>
      <w:pPr>
        <w:snapToGrid w:val="0"/>
        <w:spacing w:beforeLines="50" w:line="360" w:lineRule="auto"/>
        <w:ind w:firstLine="433" w:firstLineChars="196"/>
        <w:outlineLvl w:val="1"/>
        <w:rPr>
          <w:b/>
          <w:color w:val="auto"/>
        </w:rPr>
      </w:pPr>
      <w:bookmarkStart w:id="33" w:name="_Toc10287"/>
      <w:bookmarkStart w:id="34" w:name="_Toc5348"/>
      <w:bookmarkStart w:id="35" w:name="_Toc2398"/>
      <w:r>
        <w:rPr>
          <w:rFonts w:hint="eastAsia"/>
          <w:b/>
          <w:color w:val="auto"/>
        </w:rPr>
        <w:t>3、投标人资格要求</w:t>
      </w:r>
      <w:bookmarkEnd w:id="33"/>
      <w:bookmarkEnd w:id="34"/>
      <w:bookmarkEnd w:id="35"/>
    </w:p>
    <w:p>
      <w:pPr>
        <w:pStyle w:val="16"/>
        <w:spacing w:line="360" w:lineRule="auto"/>
        <w:ind w:firstLine="453" w:firstLineChars="206"/>
        <w:rPr>
          <w:rFonts w:hAnsi="宋体"/>
          <w:color w:val="auto"/>
        </w:rPr>
      </w:pPr>
      <w:bookmarkStart w:id="36" w:name="_Toc254970671"/>
      <w:bookmarkStart w:id="37" w:name="_Toc254970530"/>
      <w:r>
        <w:rPr>
          <w:rFonts w:hint="eastAsia" w:hAnsi="宋体"/>
          <w:color w:val="auto"/>
        </w:rPr>
        <w:t>3.1投标人应符合《中华人民共和国政府采购法》第二十二条规定的下列投标人资格条件：</w:t>
      </w:r>
    </w:p>
    <w:p>
      <w:pPr>
        <w:snapToGrid w:val="0"/>
        <w:spacing w:beforeLines="50" w:line="360" w:lineRule="auto"/>
        <w:ind w:firstLine="431" w:firstLineChars="196"/>
        <w:outlineLvl w:val="1"/>
        <w:rPr>
          <w:color w:val="auto"/>
          <w:lang w:val="en-US"/>
        </w:rPr>
      </w:pPr>
      <w:bookmarkStart w:id="38" w:name="_Toc14431"/>
      <w:bookmarkStart w:id="39" w:name="_Toc4727"/>
      <w:bookmarkStart w:id="40" w:name="_Toc5676"/>
      <w:r>
        <w:rPr>
          <w:rFonts w:hint="eastAsia"/>
          <w:color w:val="auto"/>
          <w:lang w:val="en-US"/>
        </w:rPr>
        <w:t>（1）具有独立承担民事责任的能力；</w:t>
      </w:r>
    </w:p>
    <w:p>
      <w:pPr>
        <w:snapToGrid w:val="0"/>
        <w:spacing w:beforeLines="50" w:line="360" w:lineRule="auto"/>
        <w:ind w:firstLine="431" w:firstLineChars="196"/>
        <w:outlineLvl w:val="1"/>
        <w:rPr>
          <w:color w:val="auto"/>
          <w:lang w:val="en-US"/>
        </w:rPr>
      </w:pPr>
      <w:r>
        <w:rPr>
          <w:rFonts w:hint="eastAsia"/>
          <w:color w:val="auto"/>
          <w:lang w:val="en-US"/>
        </w:rPr>
        <w:t>（2）具有良好的商业信誉和健全的财务会计制度；</w:t>
      </w:r>
    </w:p>
    <w:p>
      <w:pPr>
        <w:snapToGrid w:val="0"/>
        <w:spacing w:beforeLines="50" w:line="360" w:lineRule="auto"/>
        <w:ind w:firstLine="431" w:firstLineChars="196"/>
        <w:outlineLvl w:val="1"/>
        <w:rPr>
          <w:color w:val="auto"/>
          <w:lang w:val="en-US"/>
        </w:rPr>
      </w:pPr>
      <w:r>
        <w:rPr>
          <w:rFonts w:hint="eastAsia"/>
          <w:color w:val="auto"/>
          <w:lang w:val="en-US"/>
        </w:rPr>
        <w:t>（3）具有履行合同所必需的设备和专业技术能力；</w:t>
      </w:r>
    </w:p>
    <w:p>
      <w:pPr>
        <w:snapToGrid w:val="0"/>
        <w:spacing w:beforeLines="50" w:line="360" w:lineRule="auto"/>
        <w:ind w:firstLine="431" w:firstLineChars="196"/>
        <w:outlineLvl w:val="1"/>
        <w:rPr>
          <w:color w:val="auto"/>
          <w:lang w:val="en-US"/>
        </w:rPr>
      </w:pPr>
      <w:r>
        <w:rPr>
          <w:rFonts w:hint="eastAsia"/>
          <w:color w:val="auto"/>
          <w:lang w:val="en-US"/>
        </w:rPr>
        <w:t>（4）有依法缴纳税收和社会保障资金的良好记录；</w:t>
      </w:r>
    </w:p>
    <w:p>
      <w:pPr>
        <w:snapToGrid w:val="0"/>
        <w:spacing w:beforeLines="50" w:line="360" w:lineRule="auto"/>
        <w:ind w:firstLine="431" w:firstLineChars="196"/>
        <w:outlineLvl w:val="1"/>
        <w:rPr>
          <w:color w:val="auto"/>
          <w:lang w:val="en-US"/>
        </w:rPr>
      </w:pPr>
      <w:r>
        <w:rPr>
          <w:rFonts w:hint="eastAsia"/>
          <w:color w:val="auto"/>
          <w:lang w:val="en-US"/>
        </w:rPr>
        <w:t>（5）参加政府采购活动前三年内，在经营活动中没有重大违法记录；</w:t>
      </w:r>
    </w:p>
    <w:p>
      <w:pPr>
        <w:snapToGrid w:val="0"/>
        <w:spacing w:beforeLines="50" w:line="360" w:lineRule="auto"/>
        <w:ind w:firstLine="431" w:firstLineChars="196"/>
        <w:outlineLvl w:val="1"/>
        <w:rPr>
          <w:color w:val="auto"/>
          <w:lang w:val="en-US"/>
        </w:rPr>
      </w:pPr>
      <w:r>
        <w:rPr>
          <w:rFonts w:hint="eastAsia"/>
          <w:color w:val="auto"/>
          <w:lang w:val="en-US"/>
        </w:rPr>
        <w:t>（6）法律、行政法规规定的其他条件。</w:t>
      </w:r>
    </w:p>
    <w:p>
      <w:pPr>
        <w:snapToGrid w:val="0"/>
        <w:spacing w:beforeLines="50" w:line="360" w:lineRule="auto"/>
        <w:ind w:firstLine="431" w:firstLineChars="196"/>
        <w:outlineLvl w:val="1"/>
        <w:rPr>
          <w:color w:val="auto"/>
          <w:lang w:val="en-US"/>
        </w:rPr>
      </w:pPr>
      <w:r>
        <w:rPr>
          <w:rFonts w:hint="eastAsia"/>
          <w:color w:val="auto"/>
          <w:lang w:val="en-US"/>
        </w:rPr>
        <w:t>本条第（5）项所称重大违法记录，是指供应商因违法经营受到刑事处罚或者责令停产停业、吊销许可证或者执照、较大数额罚款等行政处罚。投标人在参加政府采购活动前3年内因违法经营被禁止在一定期限内参加政府采购活动，期限届满的，可以参加政府采购活动。</w:t>
      </w:r>
    </w:p>
    <w:p>
      <w:pPr>
        <w:pStyle w:val="2"/>
        <w:ind w:firstLine="420" w:firstLineChars="200"/>
        <w:rPr>
          <w:color w:val="auto"/>
          <w:lang w:val="en-US"/>
        </w:rPr>
      </w:pPr>
      <w:r>
        <w:rPr>
          <w:rFonts w:hint="eastAsia"/>
          <w:color w:val="auto"/>
          <w:lang w:val="en-US"/>
        </w:rPr>
        <w:t>3.2 针对本项目，投标人应具备的特定条件：见投标人须知前附表。</w:t>
      </w:r>
    </w:p>
    <w:p>
      <w:pPr>
        <w:snapToGrid w:val="0"/>
        <w:spacing w:beforeLines="50" w:line="360" w:lineRule="auto"/>
        <w:ind w:firstLine="433" w:firstLineChars="196"/>
        <w:outlineLvl w:val="1"/>
        <w:rPr>
          <w:b/>
          <w:color w:val="auto"/>
        </w:rPr>
      </w:pPr>
      <w:r>
        <w:rPr>
          <w:rFonts w:hint="eastAsia"/>
          <w:b/>
          <w:color w:val="auto"/>
        </w:rPr>
        <w:t>4、</w:t>
      </w:r>
      <w:bookmarkEnd w:id="36"/>
      <w:bookmarkEnd w:id="37"/>
      <w:bookmarkStart w:id="41" w:name="_Toc254970672"/>
      <w:bookmarkStart w:id="42" w:name="_Toc254970531"/>
      <w:r>
        <w:rPr>
          <w:rFonts w:hint="eastAsia"/>
          <w:b/>
          <w:color w:val="auto"/>
        </w:rPr>
        <w:t>投标费用</w:t>
      </w:r>
      <w:bookmarkEnd w:id="38"/>
      <w:bookmarkEnd w:id="39"/>
      <w:bookmarkEnd w:id="40"/>
    </w:p>
    <w:p>
      <w:pPr>
        <w:spacing w:before="156"/>
        <w:ind w:firstLine="440" w:firstLineChars="200"/>
        <w:rPr>
          <w:color w:val="auto"/>
          <w:szCs w:val="20"/>
        </w:rPr>
      </w:pPr>
      <w:bookmarkStart w:id="43" w:name="_Toc16457"/>
      <w:bookmarkStart w:id="44" w:name="_Toc27136"/>
      <w:r>
        <w:rPr>
          <w:rFonts w:hint="eastAsia"/>
          <w:color w:val="auto"/>
          <w:szCs w:val="20"/>
        </w:rPr>
        <w:t>不论投标结果如何，投标人均应自行承担所有与投标有关的全部费用（招标文件有相关的规定除外）。</w:t>
      </w:r>
      <w:bookmarkEnd w:id="43"/>
      <w:bookmarkEnd w:id="44"/>
    </w:p>
    <w:bookmarkEnd w:id="41"/>
    <w:bookmarkEnd w:id="42"/>
    <w:p>
      <w:pPr>
        <w:numPr>
          <w:ilvl w:val="0"/>
          <w:numId w:val="5"/>
        </w:numPr>
        <w:snapToGrid w:val="0"/>
        <w:spacing w:beforeLines="50" w:line="360" w:lineRule="auto"/>
        <w:ind w:firstLine="433" w:firstLineChars="196"/>
        <w:outlineLvl w:val="1"/>
        <w:rPr>
          <w:b/>
          <w:color w:val="auto"/>
        </w:rPr>
      </w:pPr>
      <w:bookmarkStart w:id="45" w:name="_Toc14193"/>
      <w:bookmarkStart w:id="46" w:name="_Toc31961"/>
      <w:bookmarkStart w:id="47" w:name="_Toc22792"/>
      <w:r>
        <w:rPr>
          <w:rFonts w:hint="eastAsia"/>
          <w:b/>
          <w:color w:val="auto"/>
        </w:rPr>
        <w:t>现场踏勘</w:t>
      </w:r>
      <w:bookmarkEnd w:id="45"/>
      <w:bookmarkEnd w:id="46"/>
      <w:bookmarkEnd w:id="47"/>
    </w:p>
    <w:p>
      <w:pPr>
        <w:spacing w:before="156"/>
        <w:ind w:firstLine="440" w:firstLineChars="200"/>
        <w:rPr>
          <w:color w:val="auto"/>
        </w:rPr>
      </w:pPr>
      <w:r>
        <w:rPr>
          <w:rFonts w:hint="eastAsia"/>
          <w:color w:val="auto"/>
        </w:rPr>
        <w:t>不组织。投标人如需查勘现场，由投标人自行前往，费用自理。</w:t>
      </w:r>
    </w:p>
    <w:p>
      <w:pPr>
        <w:numPr>
          <w:ilvl w:val="255"/>
          <w:numId w:val="0"/>
        </w:numPr>
        <w:snapToGrid w:val="0"/>
        <w:spacing w:beforeLines="50" w:line="360" w:lineRule="auto"/>
        <w:ind w:firstLine="442" w:firstLineChars="200"/>
        <w:outlineLvl w:val="1"/>
        <w:rPr>
          <w:b/>
          <w:color w:val="auto"/>
        </w:rPr>
      </w:pPr>
      <w:bookmarkStart w:id="48" w:name="_Toc1097"/>
      <w:r>
        <w:rPr>
          <w:rFonts w:hint="eastAsia"/>
          <w:b/>
          <w:color w:val="auto"/>
        </w:rPr>
        <w:t>6、转包与分包</w:t>
      </w:r>
      <w:bookmarkEnd w:id="48"/>
    </w:p>
    <w:p>
      <w:pPr>
        <w:snapToGrid w:val="0"/>
        <w:spacing w:line="420" w:lineRule="exact"/>
        <w:ind w:firstLine="440" w:firstLineChars="200"/>
        <w:rPr>
          <w:color w:val="auto"/>
        </w:rPr>
      </w:pPr>
      <w:r>
        <w:rPr>
          <w:rFonts w:hint="eastAsia"/>
          <w:color w:val="auto"/>
        </w:rPr>
        <w:t>6.1本项目不允许转包。</w:t>
      </w:r>
    </w:p>
    <w:p>
      <w:pPr>
        <w:snapToGrid w:val="0"/>
        <w:spacing w:line="420" w:lineRule="exact"/>
        <w:ind w:firstLine="440" w:firstLineChars="200"/>
        <w:rPr>
          <w:color w:val="auto"/>
        </w:rPr>
      </w:pPr>
      <w:r>
        <w:rPr>
          <w:rFonts w:hint="eastAsia"/>
          <w:color w:val="auto"/>
        </w:rPr>
        <w:t>6.2本项目在采购单位的同意下可以有条件地分包部分专题。</w:t>
      </w:r>
    </w:p>
    <w:p>
      <w:pPr>
        <w:numPr>
          <w:ilvl w:val="255"/>
          <w:numId w:val="0"/>
        </w:numPr>
        <w:snapToGrid w:val="0"/>
        <w:spacing w:beforeLines="50" w:line="360" w:lineRule="auto"/>
        <w:ind w:firstLine="442" w:firstLineChars="200"/>
        <w:outlineLvl w:val="1"/>
        <w:rPr>
          <w:b/>
          <w:color w:val="auto"/>
        </w:rPr>
      </w:pPr>
      <w:bookmarkStart w:id="49" w:name="_Toc29901"/>
      <w:r>
        <w:rPr>
          <w:rFonts w:hint="eastAsia"/>
          <w:b/>
          <w:color w:val="auto"/>
        </w:rPr>
        <w:t>7、特别说明</w:t>
      </w:r>
      <w:bookmarkEnd w:id="49"/>
    </w:p>
    <w:p>
      <w:pPr>
        <w:snapToGrid w:val="0"/>
        <w:spacing w:beforeLines="50" w:line="420" w:lineRule="exact"/>
        <w:ind w:firstLine="431" w:firstLineChars="196"/>
        <w:rPr>
          <w:color w:val="auto"/>
        </w:rPr>
      </w:pPr>
      <w:r>
        <w:rPr>
          <w:rFonts w:hint="eastAsia" w:ascii="Times New Roman"/>
          <w:color w:val="auto"/>
        </w:rPr>
        <w:t>投标人应仔细阅读招标文件的所有内容，按照招标文件的要求提交投标文件，并对所提供的全部资料的真实性承担法律责任。投标人在投标活动中提供任何虚假材料，其投标无效，并报监管部门查处；中标后发现的，中标人须依照《中华人民共和国合同法》之规定赔偿采购人，且民事赔偿并不免除违法投标人的行政与刑事责任。</w:t>
      </w:r>
    </w:p>
    <w:p>
      <w:pPr>
        <w:pStyle w:val="16"/>
        <w:snapToGrid w:val="0"/>
        <w:spacing w:line="420" w:lineRule="exact"/>
        <w:ind w:firstLine="433" w:firstLineChars="196"/>
        <w:outlineLvl w:val="1"/>
        <w:rPr>
          <w:rFonts w:hAnsi="宋体"/>
          <w:b/>
          <w:color w:val="auto"/>
        </w:rPr>
      </w:pPr>
      <w:bookmarkStart w:id="50" w:name="_Toc254970674"/>
      <w:bookmarkStart w:id="51" w:name="_Toc23109"/>
      <w:bookmarkStart w:id="52" w:name="_Toc7750"/>
      <w:bookmarkStart w:id="53" w:name="_Toc254970533"/>
      <w:bookmarkStart w:id="54" w:name="_Toc16008"/>
      <w:r>
        <w:rPr>
          <w:rFonts w:hint="eastAsia" w:hAnsi="宋体"/>
          <w:b/>
          <w:color w:val="auto"/>
        </w:rPr>
        <w:t>8、质疑和投诉</w:t>
      </w:r>
      <w:bookmarkEnd w:id="50"/>
      <w:bookmarkEnd w:id="51"/>
      <w:bookmarkEnd w:id="52"/>
      <w:bookmarkEnd w:id="53"/>
      <w:bookmarkEnd w:id="54"/>
    </w:p>
    <w:p>
      <w:pPr>
        <w:pStyle w:val="16"/>
        <w:snapToGrid w:val="0"/>
        <w:spacing w:line="420" w:lineRule="exact"/>
        <w:ind w:firstLine="440" w:firstLineChars="200"/>
        <w:rPr>
          <w:rFonts w:hAnsi="宋体"/>
          <w:color w:val="auto"/>
        </w:rPr>
      </w:pPr>
      <w:r>
        <w:rPr>
          <w:rFonts w:hint="eastAsia" w:hAnsi="宋体"/>
          <w:color w:val="auto"/>
        </w:rPr>
        <w:t>8.1投标人认为招标文件、招标过程或中标结果使自己的合法权益受到损害的，应当在知道或者应知其权益受到损害之日起七个工作日内，以书面形式向采购人、采购代理机构一次性提出针对同一采购程序的质疑。招标采购单位应当在收到投标人的书面质疑后七个工作日内作出答复，并以书面形式通知质疑投标人和其他有关投标人，但答复内容不得涉及商业秘密。投标人对招标采购单位的质疑答复不满意或者招标采购单位未在规定时间内作出答复的，可以在答复期满后十五个工作日内向同级采购监管部门投诉。本条投标人应知其权益受到损害之日，是指：</w:t>
      </w:r>
    </w:p>
    <w:p>
      <w:pPr>
        <w:pStyle w:val="16"/>
        <w:snapToGrid w:val="0"/>
        <w:spacing w:line="420" w:lineRule="exact"/>
        <w:ind w:firstLine="440" w:firstLineChars="200"/>
        <w:rPr>
          <w:rFonts w:hAnsi="宋体"/>
          <w:color w:val="auto"/>
        </w:rPr>
      </w:pPr>
      <w:r>
        <w:rPr>
          <w:rFonts w:hint="eastAsia" w:hAnsi="宋体"/>
          <w:color w:val="auto"/>
        </w:rPr>
        <w:t>（1）对可以质疑的招标文件提出质疑的，为收到招标文件之日或者招标公告期限届满之日；</w:t>
      </w:r>
    </w:p>
    <w:p>
      <w:pPr>
        <w:pStyle w:val="16"/>
        <w:snapToGrid w:val="0"/>
        <w:spacing w:line="420" w:lineRule="exact"/>
        <w:ind w:firstLine="440" w:firstLineChars="200"/>
        <w:rPr>
          <w:rFonts w:hAnsi="宋体"/>
          <w:color w:val="auto"/>
        </w:rPr>
      </w:pPr>
      <w:r>
        <w:rPr>
          <w:rFonts w:hint="eastAsia" w:hAnsi="宋体"/>
          <w:color w:val="auto"/>
        </w:rPr>
        <w:t>（2）对采购过程提出质疑的，为各采购程序环节结束之日；</w:t>
      </w:r>
    </w:p>
    <w:p>
      <w:pPr>
        <w:pStyle w:val="16"/>
        <w:snapToGrid w:val="0"/>
        <w:spacing w:line="420" w:lineRule="exact"/>
        <w:ind w:firstLine="440" w:firstLineChars="200"/>
        <w:rPr>
          <w:rFonts w:hAnsi="宋体"/>
          <w:color w:val="auto"/>
        </w:rPr>
      </w:pPr>
      <w:r>
        <w:rPr>
          <w:rFonts w:hint="eastAsia" w:hAnsi="宋体"/>
          <w:color w:val="auto"/>
        </w:rPr>
        <w:t>（3）对中标结果提出质疑的，为中标公告期限届满之日。</w:t>
      </w:r>
    </w:p>
    <w:p>
      <w:pPr>
        <w:pStyle w:val="16"/>
        <w:snapToGrid w:val="0"/>
        <w:spacing w:line="420" w:lineRule="exact"/>
        <w:ind w:firstLine="440" w:firstLineChars="200"/>
        <w:rPr>
          <w:rFonts w:hAnsi="宋体"/>
          <w:color w:val="auto"/>
        </w:rPr>
      </w:pPr>
      <w:r>
        <w:rPr>
          <w:rFonts w:hint="eastAsia" w:hAnsi="宋体"/>
          <w:color w:val="auto"/>
        </w:rPr>
        <w:t>8.2质疑、投诉应当采用书面形式，质疑书、投诉书均应当有明确的请求和必要的证明材料。投标人投诉的事项不得超出已质疑事项的范围。质疑书、投诉书的内容应当符合《政府采购质疑和投诉办法》（财政部第94号）的要求。</w:t>
      </w:r>
    </w:p>
    <w:p>
      <w:pPr>
        <w:pStyle w:val="16"/>
        <w:snapToGrid w:val="0"/>
        <w:spacing w:line="420" w:lineRule="exact"/>
        <w:ind w:firstLine="440" w:firstLineChars="200"/>
        <w:rPr>
          <w:rFonts w:hAnsi="宋体"/>
          <w:color w:val="auto"/>
        </w:rPr>
      </w:pPr>
      <w:r>
        <w:rPr>
          <w:rFonts w:hint="eastAsia" w:hAnsi="宋体"/>
          <w:color w:val="auto"/>
        </w:rPr>
        <w:t>8.3接收质疑书、投诉书的联系部门、联系电话和通讯地址等信息见招标公告中公布的采购人、采购代理机构及监督管理部门的名称、联系电话、通讯地址。</w:t>
      </w:r>
    </w:p>
    <w:p>
      <w:pPr>
        <w:pStyle w:val="4"/>
        <w:rPr>
          <w:color w:val="auto"/>
        </w:rPr>
      </w:pPr>
      <w:bookmarkStart w:id="55" w:name="_Toc13718"/>
      <w:bookmarkStart w:id="56" w:name="_Toc254970534"/>
      <w:bookmarkStart w:id="57" w:name="_Toc28209"/>
      <w:bookmarkStart w:id="58" w:name="_Toc254970675"/>
      <w:r>
        <w:rPr>
          <w:rFonts w:hint="eastAsia"/>
          <w:color w:val="auto"/>
        </w:rPr>
        <w:t>二、招标文件</w:t>
      </w:r>
      <w:bookmarkEnd w:id="55"/>
      <w:bookmarkEnd w:id="56"/>
      <w:bookmarkEnd w:id="57"/>
      <w:bookmarkEnd w:id="58"/>
    </w:p>
    <w:p>
      <w:pPr>
        <w:snapToGrid w:val="0"/>
        <w:spacing w:line="400" w:lineRule="exact"/>
        <w:ind w:firstLine="433" w:firstLineChars="196"/>
        <w:rPr>
          <w:b/>
          <w:color w:val="auto"/>
        </w:rPr>
      </w:pPr>
      <w:r>
        <w:rPr>
          <w:rFonts w:hint="eastAsia"/>
          <w:b/>
          <w:color w:val="auto"/>
        </w:rPr>
        <w:t>9、招标文件的构成</w:t>
      </w:r>
    </w:p>
    <w:p>
      <w:pPr>
        <w:snapToGrid w:val="0"/>
        <w:spacing w:line="400" w:lineRule="exact"/>
        <w:ind w:firstLine="433" w:firstLineChars="196"/>
        <w:rPr>
          <w:b/>
          <w:color w:val="auto"/>
        </w:rPr>
      </w:pPr>
      <w:r>
        <w:rPr>
          <w:rFonts w:hint="eastAsia"/>
          <w:b/>
          <w:color w:val="auto"/>
        </w:rPr>
        <w:t>9.1本招标文件由以下部份组成：</w:t>
      </w:r>
    </w:p>
    <w:p>
      <w:pPr>
        <w:snapToGrid w:val="0"/>
        <w:spacing w:line="400" w:lineRule="exact"/>
        <w:ind w:firstLine="440" w:firstLineChars="200"/>
        <w:rPr>
          <w:color w:val="auto"/>
        </w:rPr>
      </w:pPr>
      <w:r>
        <w:rPr>
          <w:rFonts w:hint="eastAsia"/>
          <w:color w:val="auto"/>
        </w:rPr>
        <w:t>（1）公开招标公告；</w:t>
      </w:r>
    </w:p>
    <w:p>
      <w:pPr>
        <w:snapToGrid w:val="0"/>
        <w:spacing w:line="400" w:lineRule="exact"/>
        <w:ind w:firstLine="440" w:firstLineChars="200"/>
        <w:rPr>
          <w:color w:val="auto"/>
        </w:rPr>
      </w:pPr>
      <w:r>
        <w:rPr>
          <w:rFonts w:hint="eastAsia"/>
          <w:color w:val="auto"/>
        </w:rPr>
        <w:t>（2）招标项目采购需求；</w:t>
      </w:r>
    </w:p>
    <w:p>
      <w:pPr>
        <w:snapToGrid w:val="0"/>
        <w:spacing w:line="400" w:lineRule="exact"/>
        <w:ind w:firstLine="440" w:firstLineChars="200"/>
        <w:rPr>
          <w:color w:val="auto"/>
        </w:rPr>
      </w:pPr>
      <w:r>
        <w:rPr>
          <w:rFonts w:hint="eastAsia"/>
          <w:color w:val="auto"/>
        </w:rPr>
        <w:t>（3）投标人须知；</w:t>
      </w:r>
    </w:p>
    <w:p>
      <w:pPr>
        <w:snapToGrid w:val="0"/>
        <w:spacing w:line="400" w:lineRule="exact"/>
        <w:ind w:firstLine="440" w:firstLineChars="200"/>
        <w:rPr>
          <w:color w:val="auto"/>
        </w:rPr>
      </w:pPr>
      <w:r>
        <w:rPr>
          <w:rFonts w:hint="eastAsia"/>
          <w:color w:val="auto"/>
        </w:rPr>
        <w:t>（4）评标办法及评分标准；</w:t>
      </w:r>
    </w:p>
    <w:p>
      <w:pPr>
        <w:snapToGrid w:val="0"/>
        <w:spacing w:line="400" w:lineRule="exact"/>
        <w:ind w:firstLine="440" w:firstLineChars="200"/>
        <w:rPr>
          <w:color w:val="auto"/>
        </w:rPr>
      </w:pPr>
      <w:r>
        <w:rPr>
          <w:rFonts w:hint="eastAsia"/>
          <w:color w:val="auto"/>
        </w:rPr>
        <w:t>（5）政府采购合同主要条款；</w:t>
      </w:r>
    </w:p>
    <w:p>
      <w:pPr>
        <w:snapToGrid w:val="0"/>
        <w:spacing w:line="400" w:lineRule="exact"/>
        <w:ind w:firstLine="440" w:firstLineChars="200"/>
        <w:rPr>
          <w:color w:val="auto"/>
        </w:rPr>
      </w:pPr>
      <w:r>
        <w:rPr>
          <w:rFonts w:hint="eastAsia"/>
          <w:color w:val="auto"/>
        </w:rPr>
        <w:t>（6）投标文件格式。</w:t>
      </w:r>
    </w:p>
    <w:p>
      <w:pPr>
        <w:spacing w:line="400" w:lineRule="exact"/>
        <w:ind w:firstLine="442" w:firstLineChars="200"/>
        <w:rPr>
          <w:b/>
          <w:color w:val="auto"/>
        </w:rPr>
      </w:pPr>
      <w:r>
        <w:rPr>
          <w:rFonts w:hint="eastAsia"/>
          <w:b/>
          <w:color w:val="auto"/>
        </w:rPr>
        <w:t>9.2 根据本章第11.1款对招标文件所作的澄清、修改，构成招标文件的组成部分。</w:t>
      </w:r>
    </w:p>
    <w:p>
      <w:pPr>
        <w:snapToGrid w:val="0"/>
        <w:spacing w:beforeLines="50" w:line="400" w:lineRule="exact"/>
        <w:ind w:firstLine="433" w:firstLineChars="196"/>
        <w:rPr>
          <w:b/>
          <w:color w:val="auto"/>
        </w:rPr>
      </w:pPr>
      <w:r>
        <w:rPr>
          <w:rFonts w:hint="eastAsia"/>
          <w:b/>
          <w:color w:val="auto"/>
        </w:rPr>
        <w:t>10、投标人的风险</w:t>
      </w:r>
    </w:p>
    <w:p>
      <w:pPr>
        <w:pStyle w:val="24"/>
        <w:spacing w:line="420" w:lineRule="exact"/>
        <w:ind w:left="0" w:leftChars="0" w:firstLine="403" w:firstLineChars="192"/>
        <w:rPr>
          <w:color w:val="auto"/>
          <w:sz w:val="21"/>
        </w:rPr>
      </w:pPr>
      <w:r>
        <w:rPr>
          <w:rFonts w:hint="eastAsia"/>
          <w:color w:val="auto"/>
          <w:sz w:val="21"/>
        </w:rPr>
        <w:t>投标人没有按照招标文件要求提供全部资料，或者投标人没有对招标文件在各方面作出实质性响应是投标人的风险，并可能导致其投标被拒绝。</w:t>
      </w:r>
    </w:p>
    <w:p>
      <w:pPr>
        <w:pStyle w:val="11"/>
        <w:numPr>
          <w:ilvl w:val="0"/>
          <w:numId w:val="0"/>
        </w:numPr>
        <w:tabs>
          <w:tab w:val="left" w:pos="720"/>
          <w:tab w:val="left" w:pos="840"/>
          <w:tab w:val="clear" w:pos="360"/>
        </w:tabs>
        <w:snapToGrid w:val="0"/>
        <w:spacing w:beforeLines="50" w:line="420" w:lineRule="exact"/>
        <w:ind w:left="431" w:leftChars="196"/>
        <w:rPr>
          <w:b/>
          <w:color w:val="auto"/>
        </w:rPr>
      </w:pPr>
      <w:r>
        <w:rPr>
          <w:rFonts w:hint="eastAsia"/>
          <w:b/>
          <w:color w:val="auto"/>
        </w:rPr>
        <w:t xml:space="preserve">11、招标文件的澄清与修改 </w:t>
      </w:r>
    </w:p>
    <w:p>
      <w:pPr>
        <w:pStyle w:val="16"/>
        <w:snapToGrid w:val="0"/>
        <w:spacing w:line="440" w:lineRule="exact"/>
        <w:ind w:firstLine="440" w:firstLineChars="200"/>
        <w:rPr>
          <w:rFonts w:hAnsi="宋体"/>
          <w:color w:val="auto"/>
        </w:rPr>
      </w:pPr>
      <w:r>
        <w:rPr>
          <w:rFonts w:hint="eastAsia" w:hAnsi="宋体"/>
          <w:color w:val="auto"/>
        </w:rPr>
        <w:t>11.1投标人应仔细阅读和检查招标文件的全部内容。如发现缺页或附件不全，应及时向招标人提出，以便补齐。如有疑问或异议，应在“投标人须知前附表”规定的时间前，书面要求招标采购单位对招标文件予以澄清。采购代理机构对已发出的招标文件进行必要澄清、修改或补充的，该澄清、修改或补充的内容可能影响投标文件编制的，采购代理机构应当在招标文件要求提交投标文件截止时间十五日前，在财政部门指定的政府采购信息发布媒体上发布更正公告，并以书面形式通知所有招标文件收受人；不足十五日的，招标采购单位将顺延提交投标文件的截止时间。</w:t>
      </w:r>
    </w:p>
    <w:p>
      <w:pPr>
        <w:pStyle w:val="16"/>
        <w:snapToGrid w:val="0"/>
        <w:spacing w:line="440" w:lineRule="exact"/>
        <w:ind w:firstLine="440" w:firstLineChars="200"/>
        <w:rPr>
          <w:rFonts w:hAnsi="宋体"/>
          <w:color w:val="auto"/>
        </w:rPr>
      </w:pPr>
      <w:r>
        <w:rPr>
          <w:rFonts w:hint="eastAsia" w:hAnsi="宋体"/>
          <w:color w:val="auto"/>
        </w:rPr>
        <w:t>11.2招标文件澄清、修改、补充的内容为招标文件的组成部分。当招标文件与招标文件的澄清、修改、补充通知就同一内容的表述不一致时，以最后发出的书面文件为准。</w:t>
      </w:r>
    </w:p>
    <w:p>
      <w:pPr>
        <w:pStyle w:val="16"/>
        <w:snapToGrid w:val="0"/>
        <w:spacing w:line="440" w:lineRule="exact"/>
        <w:ind w:firstLine="440" w:firstLineChars="200"/>
        <w:rPr>
          <w:rFonts w:hAnsi="宋体"/>
          <w:color w:val="auto"/>
        </w:rPr>
      </w:pPr>
      <w:r>
        <w:rPr>
          <w:rFonts w:hint="eastAsia" w:hAnsi="宋体"/>
          <w:color w:val="auto"/>
        </w:rPr>
        <w:t>11.3招标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pPr>
        <w:pStyle w:val="4"/>
        <w:rPr>
          <w:color w:val="auto"/>
        </w:rPr>
      </w:pPr>
      <w:bookmarkStart w:id="59" w:name="_Toc23710"/>
      <w:bookmarkStart w:id="60" w:name="_Toc25944"/>
      <w:bookmarkStart w:id="61" w:name="_Toc254970676"/>
      <w:bookmarkStart w:id="62" w:name="_Toc254970535"/>
      <w:r>
        <w:rPr>
          <w:rFonts w:hint="eastAsia"/>
          <w:color w:val="auto"/>
        </w:rPr>
        <w:t>三、投标文件的编制</w:t>
      </w:r>
      <w:bookmarkEnd w:id="59"/>
      <w:bookmarkEnd w:id="60"/>
      <w:bookmarkEnd w:id="61"/>
      <w:bookmarkEnd w:id="62"/>
    </w:p>
    <w:p>
      <w:pPr>
        <w:snapToGrid w:val="0"/>
        <w:spacing w:line="420" w:lineRule="exact"/>
        <w:ind w:firstLine="433" w:firstLineChars="196"/>
        <w:outlineLvl w:val="0"/>
        <w:rPr>
          <w:b/>
          <w:color w:val="auto"/>
        </w:rPr>
      </w:pPr>
      <w:bookmarkStart w:id="63" w:name="_Toc254970677"/>
      <w:bookmarkStart w:id="64" w:name="_Toc22958"/>
      <w:bookmarkStart w:id="65" w:name="_Toc15534"/>
      <w:bookmarkStart w:id="66" w:name="_Toc27984"/>
      <w:bookmarkStart w:id="67" w:name="_Toc10789"/>
      <w:bookmarkStart w:id="68" w:name="_Toc254970536"/>
      <w:r>
        <w:rPr>
          <w:rFonts w:hint="eastAsia"/>
          <w:b/>
          <w:color w:val="auto"/>
        </w:rPr>
        <w:t>12、投标文件的组成</w:t>
      </w:r>
      <w:bookmarkEnd w:id="63"/>
      <w:bookmarkEnd w:id="64"/>
      <w:bookmarkEnd w:id="65"/>
      <w:bookmarkEnd w:id="66"/>
      <w:bookmarkEnd w:id="67"/>
      <w:bookmarkEnd w:id="68"/>
    </w:p>
    <w:p>
      <w:pPr>
        <w:snapToGrid w:val="0"/>
        <w:spacing w:line="420" w:lineRule="exact"/>
        <w:ind w:firstLine="440" w:firstLineChars="200"/>
        <w:rPr>
          <w:color w:val="auto"/>
        </w:rPr>
      </w:pPr>
      <w:r>
        <w:rPr>
          <w:rFonts w:hint="eastAsia"/>
          <w:color w:val="auto"/>
        </w:rPr>
        <w:t>12.1投标文件由资格审查、商务文件、技术文件、投标报价文件四部分组成，具体如下：</w:t>
      </w:r>
    </w:p>
    <w:p>
      <w:pPr>
        <w:snapToGrid w:val="0"/>
        <w:spacing w:beforeLines="50" w:line="420" w:lineRule="exact"/>
        <w:ind w:firstLine="433" w:firstLineChars="196"/>
        <w:rPr>
          <w:b/>
          <w:color w:val="auto"/>
        </w:rPr>
      </w:pPr>
      <w:r>
        <w:rPr>
          <w:rFonts w:hint="eastAsia"/>
          <w:b/>
          <w:color w:val="auto"/>
        </w:rPr>
        <w:t>12.1.1资格审查部分：</w:t>
      </w:r>
    </w:p>
    <w:p>
      <w:pPr>
        <w:snapToGrid w:val="0"/>
        <w:spacing w:beforeLines="50" w:line="420" w:lineRule="exact"/>
        <w:ind w:firstLine="431" w:firstLineChars="196"/>
        <w:rPr>
          <w:b/>
          <w:color w:val="auto"/>
        </w:rPr>
      </w:pPr>
      <w:r>
        <w:rPr>
          <w:rFonts w:hint="eastAsia"/>
          <w:color w:val="auto"/>
        </w:rPr>
        <w:t>★</w:t>
      </w:r>
      <w:r>
        <w:rPr>
          <w:rFonts w:hint="eastAsia"/>
          <w:b/>
          <w:color w:val="auto"/>
        </w:rPr>
        <w:t>实质性要求的资格审查材料（1）～（9）项：</w:t>
      </w:r>
    </w:p>
    <w:p>
      <w:pPr>
        <w:wordWrap w:val="0"/>
        <w:spacing w:line="360" w:lineRule="auto"/>
        <w:ind w:firstLine="440" w:firstLineChars="200"/>
        <w:rPr>
          <w:color w:val="auto"/>
        </w:rPr>
      </w:pPr>
      <w:r>
        <w:rPr>
          <w:rFonts w:hint="eastAsia"/>
          <w:color w:val="auto"/>
        </w:rPr>
        <w:t>（1）投标声明书。</w:t>
      </w:r>
    </w:p>
    <w:p>
      <w:pPr>
        <w:wordWrap w:val="0"/>
        <w:spacing w:line="360" w:lineRule="auto"/>
        <w:ind w:firstLine="440" w:firstLineChars="200"/>
        <w:rPr>
          <w:color w:val="auto"/>
        </w:rPr>
      </w:pPr>
      <w:r>
        <w:rPr>
          <w:rFonts w:hint="eastAsia"/>
          <w:color w:val="auto"/>
        </w:rPr>
        <w:t>（2）投标保证金缴纳证明复印件。</w:t>
      </w:r>
    </w:p>
    <w:p>
      <w:pPr>
        <w:wordWrap w:val="0"/>
        <w:spacing w:line="360" w:lineRule="auto"/>
        <w:ind w:firstLine="440" w:firstLineChars="200"/>
        <w:rPr>
          <w:color w:val="auto"/>
        </w:rPr>
      </w:pPr>
      <w:r>
        <w:rPr>
          <w:rFonts w:hint="eastAsia"/>
          <w:color w:val="auto"/>
        </w:rPr>
        <w:t>（3）投标人有效的营业执照副本复印件及投标人在“国家企业信用信息公示系统”网站（http://www.gsxt.gov.cn ）查询其企业信用信息，并打印企业“基础信息”材料。</w:t>
      </w:r>
    </w:p>
    <w:p>
      <w:pPr>
        <w:wordWrap w:val="0"/>
        <w:spacing w:line="360" w:lineRule="auto"/>
        <w:ind w:firstLine="440" w:firstLineChars="200"/>
        <w:rPr>
          <w:color w:val="auto"/>
        </w:rPr>
      </w:pPr>
      <w:r>
        <w:rPr>
          <w:rFonts w:hint="eastAsia"/>
          <w:color w:val="auto"/>
        </w:rPr>
        <w:t>（4）“法定代表人身份证明原件及身份证复印件（法定代表人签署投标文件时提供）”或者“法定代表人授权书原件和委托代理人身份证复印件及法定代表人身份证复印件（委托代理人签署投标文件时提供）”。</w:t>
      </w:r>
    </w:p>
    <w:p>
      <w:pPr>
        <w:wordWrap w:val="0"/>
        <w:spacing w:line="360" w:lineRule="auto"/>
        <w:ind w:firstLine="440" w:firstLineChars="200"/>
        <w:rPr>
          <w:color w:val="auto"/>
        </w:rPr>
      </w:pPr>
      <w:r>
        <w:rPr>
          <w:rFonts w:hint="eastAsia"/>
          <w:color w:val="auto"/>
        </w:rPr>
        <w:t>（5）投标文件递交截止之日前半年内投标人连续三个月为项目实施人员依法缴纳社会保险的缴费证明；无缴费记录的，应提供由投标人所在地社保部门出具的《依法缴纳或依法免缴社保费证明》。（社保证明要求列明的缴纳社保人员名单须包含项目实施人员一览表人员名单）。（复印件，原件备查，格式自拟）</w:t>
      </w:r>
    </w:p>
    <w:p>
      <w:pPr>
        <w:wordWrap w:val="0"/>
        <w:spacing w:line="360" w:lineRule="auto"/>
        <w:ind w:firstLine="440" w:firstLineChars="200"/>
        <w:rPr>
          <w:color w:val="auto"/>
        </w:rPr>
      </w:pPr>
      <w:r>
        <w:rPr>
          <w:rFonts w:hint="eastAsia"/>
          <w:color w:val="auto"/>
        </w:rPr>
        <w:t>（6）投标文件递交截止之日前半年内投标人连续三个月的依法缴纳税费或依法免缴税费的证明；无纳税记录的，应提供由投标人所在地主管国税、地税部门出具的《依法纳税或依法免税证明》。（复印件，原件备查，格式自拟）</w:t>
      </w:r>
    </w:p>
    <w:p>
      <w:pPr>
        <w:wordWrap w:val="0"/>
        <w:spacing w:line="360" w:lineRule="auto"/>
        <w:ind w:firstLine="440" w:firstLineChars="200"/>
        <w:rPr>
          <w:color w:val="auto"/>
        </w:rPr>
      </w:pPr>
      <w:r>
        <w:rPr>
          <w:rFonts w:hint="eastAsia"/>
          <w:color w:val="auto"/>
        </w:rPr>
        <w:t>（7）投标人近</w:t>
      </w:r>
      <w:r>
        <w:rPr>
          <w:rFonts w:hint="eastAsia"/>
          <w:color w:val="auto"/>
          <w:lang w:val="en-US"/>
        </w:rPr>
        <w:t>三</w:t>
      </w:r>
      <w:r>
        <w:rPr>
          <w:rFonts w:hint="eastAsia"/>
          <w:color w:val="auto"/>
        </w:rPr>
        <w:t>年（</w:t>
      </w:r>
      <w:r>
        <w:rPr>
          <w:color w:val="auto"/>
        </w:rPr>
        <w:t>2017、2018、2019</w:t>
      </w:r>
      <w:r>
        <w:rPr>
          <w:rFonts w:hint="eastAsia"/>
          <w:color w:val="auto"/>
        </w:rPr>
        <w:t>年）经审计的财务报表，包括资产负债表、现金流量表、利润表和财务情况报告的复印件（对于从取得营业执照时间起到投标截止时间为止不足要求年数的投标人，只需提交企业取得营业执照年份至所要求最近年份经审计的财务报表）或投标人基本开户银行出具的资信证明复印件。（原件备查）</w:t>
      </w:r>
    </w:p>
    <w:p>
      <w:pPr>
        <w:wordWrap w:val="0"/>
        <w:spacing w:line="360" w:lineRule="auto"/>
        <w:ind w:firstLine="440" w:firstLineChars="200"/>
        <w:rPr>
          <w:color w:val="auto"/>
        </w:rPr>
      </w:pPr>
      <w:r>
        <w:rPr>
          <w:rFonts w:hint="eastAsia"/>
          <w:color w:val="auto"/>
        </w:rPr>
        <w:t>（8）投标人提供其在“信用中国”网站（www.creditchina.gov.cn ）及中国政府采购网（www.ccgp.gov.cn ）的信用记录查询截图；（必须按下述要求提供，否则投标无效。）</w:t>
      </w:r>
    </w:p>
    <w:p>
      <w:pPr>
        <w:wordWrap w:val="0"/>
        <w:spacing w:line="360" w:lineRule="auto"/>
        <w:ind w:firstLine="440" w:firstLineChars="200"/>
        <w:rPr>
          <w:color w:val="auto"/>
        </w:rPr>
      </w:pPr>
      <w:r>
        <w:rPr>
          <w:rFonts w:hint="eastAsia"/>
          <w:color w:val="auto"/>
        </w:rPr>
        <w:t xml:space="preserve"> 信用记录查询方式及截图要求：供应商在“信用中国”网站（www.creditchina.gov.cn ）进行本企业信用记录查询，并打印“失信被执行人、重大税收违法案件当事人名单、政府采购严重违法失信名单” 三种情形的信用记录查询截图；供应商在中国政府采购网（www.ccgp.gov.cn ）进行本企业信用记录查询，并打印“政府采购严重违法失信行为记录名单”情形的信用记录截图。</w:t>
      </w:r>
    </w:p>
    <w:p>
      <w:pPr>
        <w:wordWrap w:val="0"/>
        <w:spacing w:line="360" w:lineRule="auto"/>
        <w:ind w:firstLine="440" w:firstLineChars="200"/>
        <w:rPr>
          <w:color w:val="auto"/>
        </w:rPr>
      </w:pPr>
      <w:r>
        <w:rPr>
          <w:rFonts w:hint="eastAsia"/>
          <w:color w:val="auto"/>
        </w:rPr>
        <w:t>查询时间：招标公告发布之日起至投标文件递交截止时间止任一时间；在中国政府采购网查询时不能设置处罚开始日期。</w:t>
      </w:r>
    </w:p>
    <w:p>
      <w:pPr>
        <w:snapToGrid w:val="0"/>
        <w:spacing w:line="380" w:lineRule="exact"/>
        <w:ind w:firstLine="440" w:firstLineChars="200"/>
        <w:rPr>
          <w:b/>
          <w:color w:val="auto"/>
          <w:szCs w:val="21"/>
        </w:rPr>
      </w:pPr>
      <w:r>
        <w:rPr>
          <w:rFonts w:hint="eastAsia"/>
          <w:color w:val="auto"/>
        </w:rPr>
        <w:t>（9）投标人资格要求中的资质证书及项目负责人相关注册证、职称证等证明材料。</w:t>
      </w:r>
      <w:r>
        <w:rPr>
          <w:rFonts w:hint="eastAsia"/>
          <w:b/>
          <w:color w:val="auto"/>
          <w:szCs w:val="21"/>
        </w:rPr>
        <w:t>（复印件，原件备查）</w:t>
      </w:r>
    </w:p>
    <w:p>
      <w:pPr>
        <w:wordWrap w:val="0"/>
        <w:spacing w:line="360" w:lineRule="auto"/>
        <w:ind w:firstLine="442" w:firstLineChars="200"/>
        <w:rPr>
          <w:b/>
          <w:color w:val="auto"/>
        </w:rPr>
      </w:pPr>
      <w:r>
        <w:rPr>
          <w:rFonts w:hint="eastAsia"/>
          <w:b/>
          <w:color w:val="auto"/>
        </w:rPr>
        <w:t>12.1.2</w:t>
      </w:r>
      <w:r>
        <w:rPr>
          <w:rFonts w:hint="eastAsia"/>
          <w:b/>
          <w:color w:val="auto"/>
          <w:lang w:val="en-US"/>
        </w:rPr>
        <w:t xml:space="preserve"> </w:t>
      </w:r>
      <w:r>
        <w:rPr>
          <w:rFonts w:hint="eastAsia"/>
          <w:b/>
          <w:color w:val="auto"/>
        </w:rPr>
        <w:t>商务文件部分</w:t>
      </w:r>
    </w:p>
    <w:p>
      <w:pPr>
        <w:snapToGrid w:val="0"/>
        <w:spacing w:line="420" w:lineRule="exact"/>
        <w:ind w:firstLine="431" w:firstLineChars="196"/>
        <w:rPr>
          <w:color w:val="auto"/>
        </w:rPr>
      </w:pPr>
      <w:r>
        <w:rPr>
          <w:rFonts w:hint="eastAsia"/>
          <w:color w:val="auto"/>
        </w:rPr>
        <w:t>★（1）投标人基本情况登记表。</w:t>
      </w:r>
    </w:p>
    <w:p>
      <w:pPr>
        <w:snapToGrid w:val="0"/>
        <w:spacing w:line="420" w:lineRule="exact"/>
        <w:ind w:firstLine="433" w:firstLineChars="196"/>
        <w:rPr>
          <w:b/>
          <w:color w:val="auto"/>
        </w:rPr>
      </w:pPr>
      <w:r>
        <w:rPr>
          <w:rFonts w:hint="eastAsia"/>
          <w:b/>
          <w:color w:val="auto"/>
        </w:rPr>
        <w:t>投标人认为必要提供的其它商务证明材料：</w:t>
      </w:r>
    </w:p>
    <w:p>
      <w:pPr>
        <w:snapToGrid w:val="0"/>
        <w:spacing w:line="380" w:lineRule="exact"/>
        <w:ind w:firstLine="440" w:firstLineChars="200"/>
        <w:rPr>
          <w:color w:val="auto"/>
        </w:rPr>
      </w:pPr>
      <w:r>
        <w:rPr>
          <w:rFonts w:hint="eastAsia"/>
          <w:color w:val="auto"/>
        </w:rPr>
        <w:t>（2）投标人完成过的类似项目证明文件</w:t>
      </w:r>
      <w:r>
        <w:rPr>
          <w:rFonts w:hint="eastAsia"/>
          <w:b/>
          <w:color w:val="auto"/>
          <w:szCs w:val="21"/>
        </w:rPr>
        <w:t>（复印件，原件备查）</w:t>
      </w:r>
      <w:r>
        <w:rPr>
          <w:rFonts w:hint="eastAsia"/>
          <w:color w:val="auto"/>
        </w:rPr>
        <w:t>。</w:t>
      </w:r>
    </w:p>
    <w:p>
      <w:pPr>
        <w:snapToGrid w:val="0"/>
        <w:spacing w:line="380" w:lineRule="exact"/>
        <w:ind w:firstLine="440" w:firstLineChars="200"/>
        <w:rPr>
          <w:color w:val="auto"/>
        </w:rPr>
      </w:pPr>
      <w:r>
        <w:rPr>
          <w:rFonts w:hint="eastAsia"/>
          <w:color w:val="auto"/>
        </w:rPr>
        <w:t>（3）投标人的信誉、荣誉证书或文件</w:t>
      </w:r>
      <w:r>
        <w:rPr>
          <w:rFonts w:hint="eastAsia"/>
          <w:b/>
          <w:color w:val="auto"/>
          <w:szCs w:val="21"/>
        </w:rPr>
        <w:t>（复印件，原件备查）</w:t>
      </w:r>
      <w:r>
        <w:rPr>
          <w:rFonts w:hint="eastAsia"/>
          <w:color w:val="auto"/>
        </w:rPr>
        <w:t>。</w:t>
      </w:r>
    </w:p>
    <w:p>
      <w:pPr>
        <w:snapToGrid w:val="0"/>
        <w:spacing w:line="380" w:lineRule="exact"/>
        <w:ind w:firstLine="440" w:firstLineChars="200"/>
        <w:rPr>
          <w:color w:val="auto"/>
        </w:rPr>
      </w:pPr>
      <w:r>
        <w:rPr>
          <w:rFonts w:hint="eastAsia"/>
          <w:color w:val="auto"/>
        </w:rPr>
        <w:t>（4）投标人认为可以证明其服务能力或业绩的其它材料</w:t>
      </w:r>
      <w:r>
        <w:rPr>
          <w:rFonts w:hint="eastAsia"/>
          <w:b/>
          <w:color w:val="auto"/>
          <w:szCs w:val="21"/>
        </w:rPr>
        <w:t>（复印件，原件备查）</w:t>
      </w:r>
      <w:r>
        <w:rPr>
          <w:rFonts w:hint="eastAsia"/>
          <w:color w:val="auto"/>
        </w:rPr>
        <w:t>。</w:t>
      </w:r>
    </w:p>
    <w:p>
      <w:pPr>
        <w:snapToGrid w:val="0"/>
        <w:spacing w:line="420" w:lineRule="exact"/>
        <w:ind w:firstLine="433" w:firstLineChars="196"/>
        <w:rPr>
          <w:color w:val="auto"/>
        </w:rPr>
      </w:pPr>
      <w:r>
        <w:rPr>
          <w:rFonts w:hint="eastAsia"/>
          <w:b/>
          <w:color w:val="auto"/>
        </w:rPr>
        <w:t>12.1.3</w:t>
      </w:r>
      <w:r>
        <w:rPr>
          <w:rFonts w:hint="eastAsia"/>
          <w:b/>
          <w:color w:val="auto"/>
          <w:lang w:val="en-US"/>
        </w:rPr>
        <w:t xml:space="preserve"> </w:t>
      </w:r>
      <w:r>
        <w:rPr>
          <w:rFonts w:hint="eastAsia"/>
          <w:b/>
          <w:color w:val="auto"/>
        </w:rPr>
        <w:t>技术文件部分</w:t>
      </w:r>
    </w:p>
    <w:p>
      <w:pPr>
        <w:snapToGrid w:val="0"/>
        <w:spacing w:line="420" w:lineRule="exact"/>
        <w:ind w:firstLine="440" w:firstLineChars="200"/>
        <w:rPr>
          <w:color w:val="auto"/>
        </w:rPr>
      </w:pPr>
      <w:r>
        <w:rPr>
          <w:rFonts w:hint="eastAsia"/>
          <w:color w:val="auto"/>
        </w:rPr>
        <w:t>★（1）服务承诺。</w:t>
      </w:r>
    </w:p>
    <w:p>
      <w:pPr>
        <w:snapToGrid w:val="0"/>
        <w:spacing w:line="420" w:lineRule="exact"/>
        <w:ind w:firstLine="440" w:firstLineChars="200"/>
        <w:rPr>
          <w:color w:val="auto"/>
        </w:rPr>
      </w:pPr>
      <w:r>
        <w:rPr>
          <w:rFonts w:hint="eastAsia"/>
          <w:color w:val="auto"/>
        </w:rPr>
        <w:t>★（2）服务方案（包含但不限于以下内容：工作计划和实施方案、质量控制措施、进度控制措施。）</w:t>
      </w:r>
    </w:p>
    <w:p>
      <w:pPr>
        <w:snapToGrid w:val="0"/>
        <w:spacing w:line="420" w:lineRule="exact"/>
        <w:ind w:firstLine="440" w:firstLineChars="200"/>
        <w:rPr>
          <w:color w:val="auto"/>
        </w:rPr>
      </w:pPr>
      <w:r>
        <w:rPr>
          <w:rFonts w:hint="eastAsia"/>
          <w:color w:val="auto"/>
        </w:rPr>
        <w:t>★（3）项目实施人员一览表。</w:t>
      </w:r>
    </w:p>
    <w:p>
      <w:pPr>
        <w:snapToGrid w:val="0"/>
        <w:spacing w:line="420" w:lineRule="exact"/>
        <w:ind w:firstLine="440" w:firstLineChars="200"/>
        <w:rPr>
          <w:color w:val="auto"/>
        </w:rPr>
      </w:pPr>
      <w:r>
        <w:rPr>
          <w:rFonts w:hint="eastAsia"/>
          <w:color w:val="auto"/>
        </w:rPr>
        <w:t>（4）投标人认为需要说明的其他技术文件和说明。</w:t>
      </w:r>
    </w:p>
    <w:p>
      <w:pPr>
        <w:snapToGrid w:val="0"/>
        <w:spacing w:line="420" w:lineRule="exact"/>
        <w:ind w:firstLine="433" w:firstLineChars="196"/>
        <w:rPr>
          <w:b/>
          <w:color w:val="auto"/>
        </w:rPr>
      </w:pPr>
      <w:r>
        <w:rPr>
          <w:rFonts w:hint="eastAsia"/>
          <w:b/>
          <w:color w:val="auto"/>
        </w:rPr>
        <w:t>12.1.4</w:t>
      </w:r>
      <w:r>
        <w:rPr>
          <w:rFonts w:hint="eastAsia"/>
          <w:b/>
          <w:color w:val="auto"/>
          <w:lang w:val="en-US"/>
        </w:rPr>
        <w:t xml:space="preserve"> </w:t>
      </w:r>
      <w:r>
        <w:rPr>
          <w:rFonts w:hint="eastAsia"/>
          <w:b/>
          <w:color w:val="auto"/>
        </w:rPr>
        <w:t>报价文件部分：</w:t>
      </w:r>
    </w:p>
    <w:p>
      <w:pPr>
        <w:tabs>
          <w:tab w:val="left" w:pos="3870"/>
          <w:tab w:val="left" w:pos="4085"/>
        </w:tabs>
        <w:spacing w:line="360" w:lineRule="auto"/>
        <w:ind w:firstLine="440" w:firstLineChars="200"/>
        <w:rPr>
          <w:color w:val="auto"/>
        </w:rPr>
      </w:pPr>
      <w:r>
        <w:rPr>
          <w:rFonts w:hint="eastAsia"/>
          <w:color w:val="auto"/>
        </w:rPr>
        <w:t>★（1）投标函（格式见第六章）；</w:t>
      </w:r>
    </w:p>
    <w:p>
      <w:pPr>
        <w:tabs>
          <w:tab w:val="left" w:pos="3870"/>
          <w:tab w:val="left" w:pos="4085"/>
        </w:tabs>
        <w:spacing w:line="360" w:lineRule="auto"/>
        <w:ind w:firstLine="440" w:firstLineChars="200"/>
        <w:rPr>
          <w:color w:val="auto"/>
        </w:rPr>
      </w:pPr>
      <w:r>
        <w:rPr>
          <w:rFonts w:hint="eastAsia"/>
          <w:color w:val="auto"/>
        </w:rPr>
        <w:t xml:space="preserve">★（2）投标报价表（格式见第六章）； </w:t>
      </w:r>
    </w:p>
    <w:p>
      <w:pPr>
        <w:tabs>
          <w:tab w:val="left" w:pos="3870"/>
          <w:tab w:val="left" w:pos="4085"/>
        </w:tabs>
        <w:spacing w:line="360" w:lineRule="auto"/>
        <w:ind w:firstLine="440" w:firstLineChars="200"/>
        <w:rPr>
          <w:color w:val="auto"/>
        </w:rPr>
      </w:pPr>
      <w:r>
        <w:rPr>
          <w:rFonts w:hint="eastAsia"/>
          <w:color w:val="auto"/>
        </w:rPr>
        <w:t>（3）投标人符合中小企业划型标准的，按《政府采购促进中小企业发展暂行办法》（财库〔2011〕181号）要求，提供有效证明文件。</w:t>
      </w:r>
    </w:p>
    <w:p>
      <w:pPr>
        <w:spacing w:line="360" w:lineRule="auto"/>
        <w:ind w:firstLine="440" w:firstLineChars="200"/>
        <w:rPr>
          <w:color w:val="auto"/>
        </w:rPr>
      </w:pPr>
      <w:r>
        <w:rPr>
          <w:rFonts w:hint="eastAsia"/>
          <w:color w:val="auto"/>
        </w:rPr>
        <w:t>（4）投标人属于</w:t>
      </w:r>
      <w:r>
        <w:rPr>
          <w:rFonts w:hint="eastAsia" w:ascii="Times New Roman"/>
          <w:color w:val="auto"/>
        </w:rPr>
        <w:t>监狱企业的，应提供由省级以上监狱管理局、戒毒管理局（含新疆生产建设兵团）出具的属于监狱企业的证明文件。</w:t>
      </w:r>
    </w:p>
    <w:p>
      <w:pPr>
        <w:tabs>
          <w:tab w:val="left" w:pos="3870"/>
          <w:tab w:val="left" w:pos="4085"/>
        </w:tabs>
        <w:spacing w:line="360" w:lineRule="auto"/>
        <w:ind w:firstLine="440" w:firstLineChars="200"/>
        <w:rPr>
          <w:color w:val="auto"/>
        </w:rPr>
      </w:pPr>
      <w:r>
        <w:rPr>
          <w:rFonts w:hint="eastAsia"/>
          <w:color w:val="auto"/>
        </w:rPr>
        <w:t>（5）投标人属于残疾人福利性单位，按《三部门联合发布关于促进残疾人就业政府采购政策的通知》（财库〔2017〕141号）要求，提供《残疾人福利性单位声明函》。</w:t>
      </w:r>
    </w:p>
    <w:p>
      <w:pPr>
        <w:tabs>
          <w:tab w:val="left" w:pos="3870"/>
          <w:tab w:val="left" w:pos="4085"/>
        </w:tabs>
        <w:spacing w:line="360" w:lineRule="auto"/>
        <w:ind w:firstLine="440" w:firstLineChars="200"/>
        <w:rPr>
          <w:color w:val="auto"/>
        </w:rPr>
      </w:pPr>
      <w:r>
        <w:rPr>
          <w:rFonts w:hint="eastAsia"/>
          <w:color w:val="auto"/>
        </w:rPr>
        <w:t>（6）投标人针对报价需要说明的其他文件和说明（格式自拟）。</w:t>
      </w:r>
    </w:p>
    <w:p>
      <w:pPr>
        <w:snapToGrid w:val="0"/>
        <w:spacing w:line="420" w:lineRule="exact"/>
        <w:ind w:firstLine="433" w:firstLineChars="196"/>
        <w:outlineLvl w:val="0"/>
        <w:rPr>
          <w:b/>
          <w:color w:val="auto"/>
        </w:rPr>
      </w:pPr>
      <w:bookmarkStart w:id="69" w:name="_Toc11260"/>
      <w:bookmarkStart w:id="70" w:name="_Toc21495"/>
      <w:bookmarkStart w:id="71" w:name="_Toc27322"/>
      <w:bookmarkStart w:id="72" w:name="_Toc254970537"/>
      <w:bookmarkStart w:id="73" w:name="_Toc27708"/>
      <w:bookmarkStart w:id="74" w:name="_Toc254970678"/>
      <w:r>
        <w:rPr>
          <w:rFonts w:hint="eastAsia"/>
          <w:b/>
          <w:color w:val="auto"/>
        </w:rPr>
        <w:t>13、投标文件的语言及计量</w:t>
      </w:r>
      <w:bookmarkEnd w:id="69"/>
      <w:bookmarkEnd w:id="70"/>
      <w:bookmarkEnd w:id="71"/>
      <w:bookmarkEnd w:id="72"/>
      <w:bookmarkEnd w:id="73"/>
      <w:bookmarkEnd w:id="74"/>
    </w:p>
    <w:p>
      <w:pPr>
        <w:snapToGrid w:val="0"/>
        <w:spacing w:line="420" w:lineRule="exact"/>
        <w:ind w:firstLine="440" w:firstLineChars="200"/>
        <w:rPr>
          <w:color w:val="auto"/>
        </w:rPr>
      </w:pPr>
      <w:r>
        <w:rPr>
          <w:rFonts w:hint="eastAsia"/>
          <w:color w:val="auto"/>
        </w:rPr>
        <w:t>★13.1投标文件以及投标人与招标人就有关投标事宜的所有来往函电，均应以中文汉语书写。除签名、盖章、专用名称等特殊情形外，以中文汉语以外的文字表述的投标文件视同未提供。</w:t>
      </w:r>
    </w:p>
    <w:p>
      <w:pPr>
        <w:snapToGrid w:val="0"/>
        <w:spacing w:line="420" w:lineRule="exact"/>
        <w:ind w:firstLine="440" w:firstLineChars="200"/>
        <w:rPr>
          <w:color w:val="auto"/>
        </w:rPr>
      </w:pPr>
      <w:r>
        <w:rPr>
          <w:rFonts w:hint="eastAsia"/>
          <w:color w:val="auto"/>
        </w:rPr>
        <w:t>★13.2投标计量单位，招标文件已有明确规定的，使用招标文件规定的计量单位；招标文件没有规定的，应采用中华人民共和国法定计量单位（货币单位：人民币元），否则视同未响应。</w:t>
      </w:r>
    </w:p>
    <w:p>
      <w:pPr>
        <w:snapToGrid w:val="0"/>
        <w:spacing w:beforeLines="50" w:line="420" w:lineRule="exact"/>
        <w:ind w:firstLine="433" w:firstLineChars="196"/>
        <w:outlineLvl w:val="0"/>
        <w:rPr>
          <w:b/>
          <w:color w:val="auto"/>
        </w:rPr>
      </w:pPr>
      <w:bookmarkStart w:id="75" w:name="_Toc20305"/>
      <w:bookmarkStart w:id="76" w:name="_Toc20614"/>
      <w:bookmarkStart w:id="77" w:name="_Toc22952"/>
      <w:bookmarkStart w:id="78" w:name="_Toc254970538"/>
      <w:bookmarkStart w:id="79" w:name="_Toc7946"/>
      <w:bookmarkStart w:id="80" w:name="_Toc254970679"/>
      <w:r>
        <w:rPr>
          <w:rFonts w:hint="eastAsia"/>
          <w:b/>
          <w:color w:val="auto"/>
        </w:rPr>
        <w:t>14、投标报价</w:t>
      </w:r>
      <w:bookmarkEnd w:id="75"/>
      <w:bookmarkEnd w:id="76"/>
      <w:bookmarkEnd w:id="77"/>
      <w:bookmarkEnd w:id="78"/>
      <w:bookmarkEnd w:id="79"/>
      <w:bookmarkEnd w:id="80"/>
    </w:p>
    <w:p>
      <w:pPr>
        <w:pStyle w:val="16"/>
        <w:snapToGrid w:val="0"/>
        <w:spacing w:line="420" w:lineRule="exact"/>
        <w:ind w:firstLine="440" w:firstLineChars="200"/>
        <w:rPr>
          <w:rFonts w:hAnsi="宋体"/>
          <w:color w:val="auto"/>
        </w:rPr>
      </w:pPr>
      <w:r>
        <w:rPr>
          <w:rFonts w:hint="eastAsia" w:hAnsi="宋体"/>
          <w:color w:val="auto"/>
        </w:rPr>
        <w:t>★14.1</w:t>
      </w:r>
      <w:r>
        <w:rPr>
          <w:rFonts w:hint="eastAsia" w:hAnsi="宋体"/>
          <w:b/>
          <w:bCs/>
          <w:color w:val="auto"/>
        </w:rPr>
        <w:t>本项目采用固定报价方法</w:t>
      </w:r>
      <w:r>
        <w:rPr>
          <w:rFonts w:hint="eastAsia" w:hAnsi="宋体"/>
          <w:color w:val="auto"/>
        </w:rPr>
        <w:t>，投标人的投标报价应按招标文件中相关报价文件格式填写。</w:t>
      </w:r>
    </w:p>
    <w:p>
      <w:pPr>
        <w:pStyle w:val="16"/>
        <w:snapToGrid w:val="0"/>
        <w:spacing w:line="420" w:lineRule="exact"/>
        <w:ind w:firstLine="440" w:firstLineChars="200"/>
        <w:rPr>
          <w:rFonts w:hAnsi="宋体"/>
          <w:color w:val="auto"/>
        </w:rPr>
      </w:pPr>
      <w:r>
        <w:rPr>
          <w:rFonts w:hint="eastAsia" w:hAnsi="宋体"/>
          <w:color w:val="auto"/>
        </w:rPr>
        <w:t>★14.2投标报价是履行合同的最终价格，应包括服务的价格；必要的保险费用和各项税金；其他：实施和完成服务工作所需的设备、劳务、技术服务费、交通、维护、保险、办公场地、管理费、税费、利润、交通维护、工艺损耗、人员进退场及现场勘查、研究实验、报审、研究成果出版等费用和政策性文件规定及合同包含的所有风险、责任等各项应有的费用。</w:t>
      </w:r>
    </w:p>
    <w:p>
      <w:pPr>
        <w:tabs>
          <w:tab w:val="left" w:pos="525"/>
        </w:tabs>
        <w:snapToGrid w:val="0"/>
        <w:spacing w:line="420" w:lineRule="exact"/>
        <w:ind w:firstLine="440" w:firstLineChars="200"/>
        <w:rPr>
          <w:color w:val="auto"/>
        </w:rPr>
      </w:pPr>
      <w:r>
        <w:rPr>
          <w:rFonts w:hint="eastAsia"/>
          <w:color w:val="auto"/>
        </w:rPr>
        <w:t>★14.3对于本文件中未列明，而投标人认为必需的费用也需列入总报价。在合同实施时，采购人将不予支付中标人没有列入的项目费用，并认为此项目的费用已包括在总报价中。</w:t>
      </w:r>
    </w:p>
    <w:p>
      <w:pPr>
        <w:tabs>
          <w:tab w:val="left" w:pos="525"/>
        </w:tabs>
        <w:snapToGrid w:val="0"/>
        <w:spacing w:line="420" w:lineRule="exact"/>
        <w:ind w:firstLine="440" w:firstLineChars="200"/>
        <w:rPr>
          <w:color w:val="auto"/>
        </w:rPr>
      </w:pPr>
      <w:r>
        <w:rPr>
          <w:rFonts w:hint="eastAsia"/>
          <w:color w:val="auto"/>
        </w:rPr>
        <w:t>14.4投标文件每个分标只允许有一个报价，有选择的或有条件的报价将不予接受。</w:t>
      </w:r>
    </w:p>
    <w:p>
      <w:pPr>
        <w:pStyle w:val="11"/>
        <w:numPr>
          <w:ilvl w:val="0"/>
          <w:numId w:val="0"/>
        </w:numPr>
        <w:tabs>
          <w:tab w:val="left" w:pos="720"/>
          <w:tab w:val="left" w:pos="840"/>
          <w:tab w:val="clear" w:pos="360"/>
        </w:tabs>
        <w:snapToGrid w:val="0"/>
        <w:spacing w:beforeLines="50" w:line="420" w:lineRule="exact"/>
        <w:ind w:left="431" w:leftChars="196"/>
        <w:rPr>
          <w:b/>
          <w:color w:val="auto"/>
        </w:rPr>
      </w:pPr>
      <w:r>
        <w:rPr>
          <w:rFonts w:hint="eastAsia"/>
          <w:b/>
          <w:color w:val="auto"/>
        </w:rPr>
        <w:t>15、投标文件的有效期</w:t>
      </w:r>
    </w:p>
    <w:p>
      <w:pPr>
        <w:spacing w:line="360" w:lineRule="auto"/>
        <w:ind w:firstLine="440" w:firstLineChars="200"/>
        <w:rPr>
          <w:color w:val="auto"/>
        </w:rPr>
      </w:pPr>
      <w:r>
        <w:rPr>
          <w:rFonts w:hint="eastAsia"/>
          <w:color w:val="auto"/>
        </w:rPr>
        <w:t>★15.1在“投标人须知前附表”规定的投标有效期内，投标人不得要求撤销或修改其投标文件。投标文件中承诺的投标有效期少于招标文件要求的投标有效期的，投标文件将被拒绝。</w:t>
      </w:r>
    </w:p>
    <w:p>
      <w:pPr>
        <w:pStyle w:val="11"/>
        <w:numPr>
          <w:ilvl w:val="0"/>
          <w:numId w:val="0"/>
        </w:numPr>
        <w:tabs>
          <w:tab w:val="left" w:pos="720"/>
          <w:tab w:val="left" w:pos="840"/>
          <w:tab w:val="clear" w:pos="360"/>
        </w:tabs>
        <w:snapToGrid w:val="0"/>
        <w:spacing w:line="420" w:lineRule="exact"/>
        <w:ind w:left="440" w:leftChars="200"/>
        <w:rPr>
          <w:color w:val="auto"/>
        </w:rPr>
      </w:pPr>
      <w:r>
        <w:rPr>
          <w:rFonts w:hint="eastAsia"/>
          <w:color w:val="auto"/>
        </w:rPr>
        <w:t>15.2在特殊情况下，招标人可与投标人协商延长投标书的有效期，这种要求和答复均以书面形式进行。</w:t>
      </w:r>
    </w:p>
    <w:p>
      <w:pPr>
        <w:snapToGrid w:val="0"/>
        <w:spacing w:line="420" w:lineRule="exact"/>
        <w:ind w:firstLine="440" w:firstLineChars="200"/>
        <w:outlineLvl w:val="0"/>
        <w:rPr>
          <w:b/>
          <w:color w:val="auto"/>
        </w:rPr>
      </w:pPr>
      <w:bookmarkStart w:id="81" w:name="_Toc13900"/>
      <w:bookmarkStart w:id="82" w:name="_Toc1258"/>
      <w:bookmarkStart w:id="83" w:name="_Toc254970539"/>
      <w:bookmarkStart w:id="84" w:name="_Toc31946"/>
      <w:bookmarkStart w:id="85" w:name="_Toc254970680"/>
      <w:bookmarkStart w:id="86" w:name="_Toc1208"/>
      <w:r>
        <w:rPr>
          <w:rFonts w:hint="eastAsia"/>
          <w:color w:val="auto"/>
        </w:rPr>
        <w:t>15.3投标人可拒绝接受延期要求而不会导致投标保证金被没收。同意延长有效期的投标人需要相应延长投标保证金的有效期，但不能修改投标文件。</w:t>
      </w:r>
      <w:bookmarkEnd w:id="81"/>
      <w:bookmarkEnd w:id="82"/>
      <w:bookmarkEnd w:id="83"/>
      <w:bookmarkEnd w:id="84"/>
      <w:bookmarkEnd w:id="85"/>
      <w:bookmarkEnd w:id="86"/>
    </w:p>
    <w:p>
      <w:pPr>
        <w:snapToGrid w:val="0"/>
        <w:spacing w:line="440" w:lineRule="exact"/>
        <w:ind w:firstLine="440" w:firstLineChars="200"/>
        <w:outlineLvl w:val="0"/>
        <w:rPr>
          <w:b/>
          <w:color w:val="auto"/>
        </w:rPr>
      </w:pPr>
      <w:bookmarkStart w:id="87" w:name="_Toc254970681"/>
      <w:bookmarkStart w:id="88" w:name="_Toc20576"/>
      <w:bookmarkStart w:id="89" w:name="_Toc15204"/>
      <w:bookmarkStart w:id="90" w:name="_Toc25266"/>
      <w:bookmarkStart w:id="91" w:name="_Toc18245"/>
      <w:bookmarkStart w:id="92" w:name="_Toc254970540"/>
      <w:r>
        <w:rPr>
          <w:rFonts w:hint="eastAsia"/>
          <w:color w:val="auto"/>
        </w:rPr>
        <w:t>15.4中标人的投标文件自开标之日起至合同履行完毕止均应保持有效。</w:t>
      </w:r>
      <w:bookmarkEnd w:id="87"/>
      <w:bookmarkEnd w:id="88"/>
      <w:bookmarkEnd w:id="89"/>
      <w:bookmarkEnd w:id="90"/>
      <w:bookmarkEnd w:id="91"/>
      <w:bookmarkEnd w:id="92"/>
    </w:p>
    <w:p>
      <w:pPr>
        <w:snapToGrid w:val="0"/>
        <w:spacing w:beforeLines="50" w:line="440" w:lineRule="exact"/>
        <w:ind w:firstLine="433" w:firstLineChars="196"/>
        <w:outlineLvl w:val="0"/>
        <w:rPr>
          <w:b/>
          <w:color w:val="auto"/>
        </w:rPr>
      </w:pPr>
      <w:bookmarkStart w:id="93" w:name="_Toc2092"/>
      <w:bookmarkStart w:id="94" w:name="_Toc2295"/>
      <w:bookmarkStart w:id="95" w:name="_Toc254970541"/>
      <w:bookmarkStart w:id="96" w:name="_Toc12423"/>
      <w:bookmarkStart w:id="97" w:name="_Toc254970682"/>
      <w:bookmarkStart w:id="98" w:name="_Toc30241"/>
      <w:r>
        <w:rPr>
          <w:rFonts w:hint="eastAsia"/>
          <w:b/>
          <w:color w:val="auto"/>
        </w:rPr>
        <w:t>16、投标保证金</w:t>
      </w:r>
      <w:bookmarkEnd w:id="93"/>
      <w:bookmarkEnd w:id="94"/>
      <w:bookmarkEnd w:id="95"/>
      <w:bookmarkEnd w:id="96"/>
      <w:bookmarkEnd w:id="97"/>
      <w:bookmarkEnd w:id="98"/>
    </w:p>
    <w:p>
      <w:pPr>
        <w:snapToGrid w:val="0"/>
        <w:spacing w:line="440" w:lineRule="exact"/>
        <w:ind w:firstLine="440" w:firstLineChars="200"/>
        <w:rPr>
          <w:color w:val="auto"/>
        </w:rPr>
      </w:pPr>
      <w:r>
        <w:rPr>
          <w:rFonts w:hint="eastAsia"/>
          <w:color w:val="auto"/>
        </w:rPr>
        <w:t>★16.1投标人必须按“投标人须知前附表”规定的时间、金额、方式提交投标保证金。否则，其投标将被拒绝。</w:t>
      </w:r>
    </w:p>
    <w:p>
      <w:pPr>
        <w:snapToGrid w:val="0"/>
        <w:spacing w:line="440" w:lineRule="exact"/>
        <w:ind w:firstLine="440" w:firstLineChars="200"/>
        <w:rPr>
          <w:color w:val="auto"/>
        </w:rPr>
      </w:pPr>
      <w:r>
        <w:rPr>
          <w:rFonts w:hint="eastAsia"/>
          <w:color w:val="auto"/>
        </w:rPr>
        <w:t>16.2投标保证金退还（不计息）：除招标文件规定不予退还保证金的情形或投标人自身原因导致无法及时退还外，招标采购单位在中标通知书发出后五个工作日内退还未中标供应商的投标保证金，在采购合同签订后五个工作日内退还中标供应商的投标保证金。（提供合同副本两份给采购代理机构）。</w:t>
      </w:r>
    </w:p>
    <w:p>
      <w:pPr>
        <w:snapToGrid w:val="0"/>
        <w:spacing w:line="440" w:lineRule="exact"/>
        <w:ind w:firstLine="440" w:firstLineChars="200"/>
        <w:rPr>
          <w:b/>
          <w:color w:val="auto"/>
        </w:rPr>
      </w:pPr>
      <w:r>
        <w:rPr>
          <w:rFonts w:hint="eastAsia"/>
          <w:color w:val="auto"/>
        </w:rPr>
        <w:t>16.3</w:t>
      </w:r>
      <w:r>
        <w:rPr>
          <w:rFonts w:hint="eastAsia"/>
          <w:b/>
          <w:color w:val="auto"/>
        </w:rPr>
        <w:t>投标人有下列情形之一的，投标保证金将不予退还：</w:t>
      </w:r>
    </w:p>
    <w:p>
      <w:pPr>
        <w:snapToGrid w:val="0"/>
        <w:spacing w:line="440" w:lineRule="exact"/>
        <w:ind w:firstLine="431" w:firstLineChars="196"/>
        <w:rPr>
          <w:color w:val="auto"/>
        </w:rPr>
      </w:pPr>
      <w:r>
        <w:rPr>
          <w:rFonts w:hint="eastAsia"/>
          <w:color w:val="auto"/>
        </w:rPr>
        <w:t>（1）投标人在投标有效期内撤回投标文件的；</w:t>
      </w:r>
    </w:p>
    <w:p>
      <w:pPr>
        <w:snapToGrid w:val="0"/>
        <w:spacing w:line="440" w:lineRule="exact"/>
        <w:ind w:firstLine="431" w:firstLineChars="196"/>
        <w:rPr>
          <w:color w:val="auto"/>
        </w:rPr>
      </w:pPr>
      <w:r>
        <w:rPr>
          <w:rFonts w:hint="eastAsia"/>
          <w:color w:val="auto"/>
        </w:rPr>
        <w:t>（2）投标人在投标过程中弄虚作假，提供虚假材料的；</w:t>
      </w:r>
    </w:p>
    <w:p>
      <w:pPr>
        <w:snapToGrid w:val="0"/>
        <w:spacing w:line="440" w:lineRule="exact"/>
        <w:ind w:firstLine="431" w:firstLineChars="196"/>
        <w:rPr>
          <w:color w:val="auto"/>
        </w:rPr>
      </w:pPr>
      <w:r>
        <w:rPr>
          <w:rFonts w:hint="eastAsia"/>
          <w:color w:val="auto"/>
        </w:rPr>
        <w:t>（3）中标人无正当理由不与采购人签订合同或未按招标文件规定提交履约保证金的；</w:t>
      </w:r>
    </w:p>
    <w:p>
      <w:pPr>
        <w:snapToGrid w:val="0"/>
        <w:spacing w:line="440" w:lineRule="exact"/>
        <w:ind w:firstLine="431" w:firstLineChars="196"/>
        <w:rPr>
          <w:color w:val="auto"/>
        </w:rPr>
      </w:pPr>
      <w:r>
        <w:rPr>
          <w:rFonts w:hint="eastAsia"/>
          <w:color w:val="auto"/>
        </w:rPr>
        <w:t>（4）将中标项目转让给他人或者在投标文件中未说明且未经招标采购人同意，将中标项目分包给他人的；</w:t>
      </w:r>
    </w:p>
    <w:p>
      <w:pPr>
        <w:snapToGrid w:val="0"/>
        <w:spacing w:line="440" w:lineRule="exact"/>
        <w:ind w:firstLine="431" w:firstLineChars="196"/>
        <w:rPr>
          <w:b/>
          <w:color w:val="auto"/>
        </w:rPr>
      </w:pPr>
      <w:r>
        <w:rPr>
          <w:rFonts w:hint="eastAsia"/>
          <w:color w:val="auto"/>
        </w:rPr>
        <w:t>（5）拒绝履行合同义务的；</w:t>
      </w:r>
    </w:p>
    <w:p>
      <w:pPr>
        <w:snapToGrid w:val="0"/>
        <w:spacing w:line="440" w:lineRule="exact"/>
        <w:ind w:firstLine="440" w:firstLineChars="200"/>
        <w:rPr>
          <w:color w:val="auto"/>
        </w:rPr>
      </w:pPr>
      <w:r>
        <w:rPr>
          <w:rFonts w:hint="eastAsia"/>
          <w:color w:val="auto"/>
        </w:rPr>
        <w:t>（6）其他严重扰乱招投标程序的。</w:t>
      </w:r>
    </w:p>
    <w:p>
      <w:pPr>
        <w:snapToGrid w:val="0"/>
        <w:spacing w:beforeLines="50" w:line="440" w:lineRule="exact"/>
        <w:ind w:firstLine="433" w:firstLineChars="196"/>
        <w:outlineLvl w:val="0"/>
        <w:rPr>
          <w:b/>
          <w:color w:val="auto"/>
        </w:rPr>
      </w:pPr>
      <w:bookmarkStart w:id="99" w:name="_Toc7660"/>
      <w:bookmarkStart w:id="100" w:name="_Toc254970542"/>
      <w:bookmarkStart w:id="101" w:name="_Toc18799"/>
      <w:bookmarkStart w:id="102" w:name="_Toc230"/>
      <w:bookmarkStart w:id="103" w:name="_Toc10442"/>
      <w:bookmarkStart w:id="104" w:name="_Toc254970683"/>
      <w:r>
        <w:rPr>
          <w:rFonts w:hint="eastAsia"/>
          <w:b/>
          <w:color w:val="auto"/>
        </w:rPr>
        <w:t>17、投标文件的编制、签署和份数</w:t>
      </w:r>
      <w:bookmarkEnd w:id="99"/>
      <w:bookmarkEnd w:id="100"/>
      <w:bookmarkEnd w:id="101"/>
      <w:bookmarkEnd w:id="102"/>
      <w:bookmarkEnd w:id="103"/>
      <w:bookmarkEnd w:id="104"/>
    </w:p>
    <w:p>
      <w:pPr>
        <w:snapToGrid w:val="0"/>
        <w:spacing w:line="440" w:lineRule="exact"/>
        <w:ind w:firstLine="440" w:firstLineChars="200"/>
        <w:rPr>
          <w:color w:val="auto"/>
        </w:rPr>
      </w:pPr>
      <w:r>
        <w:rPr>
          <w:rFonts w:hint="eastAsia"/>
          <w:color w:val="auto"/>
        </w:rPr>
        <w:t>17.1投标人应按本招标文件规定的格式和顺序编制，投标文件内容不完整、编排混乱导致投标文件被误读、漏读或者查找不到相关内容的，是投标人的责任。</w:t>
      </w:r>
    </w:p>
    <w:p>
      <w:pPr>
        <w:snapToGrid w:val="0"/>
        <w:spacing w:line="440" w:lineRule="exact"/>
        <w:ind w:firstLine="440" w:firstLineChars="200"/>
        <w:rPr>
          <w:color w:val="auto"/>
        </w:rPr>
      </w:pPr>
      <w:r>
        <w:rPr>
          <w:rFonts w:hint="eastAsia"/>
          <w:color w:val="auto"/>
        </w:rPr>
        <w:t>17.2投标文件应当对招标文件实质性内容作出响应。</w:t>
      </w:r>
    </w:p>
    <w:p>
      <w:pPr>
        <w:snapToGrid w:val="0"/>
        <w:spacing w:line="440" w:lineRule="exact"/>
        <w:ind w:firstLine="440" w:firstLineChars="200"/>
        <w:rPr>
          <w:color w:val="auto"/>
        </w:rPr>
      </w:pPr>
      <w:r>
        <w:rPr>
          <w:rFonts w:hint="eastAsia"/>
          <w:color w:val="auto"/>
        </w:rPr>
        <w:t>17.3投标文件的正本应用不褪色的材料书写或打印，投标文件正本除本《投标人须知》中规定的可提供复印件外均须提供原件。投标文件应尽量避免涂改、行间插字或删除。如果出现上述情况，改动之处应加盖投标人单位章或由投标人的法定代表人或其委托代理人签字确认。投标文件因字迹潦草或表达不清所引起的后果由投标人负责。副本可以为正本的复印件。</w:t>
      </w:r>
    </w:p>
    <w:p>
      <w:pPr>
        <w:snapToGrid w:val="0"/>
        <w:spacing w:line="440" w:lineRule="exact"/>
        <w:ind w:firstLine="440" w:firstLineChars="200"/>
        <w:rPr>
          <w:color w:val="auto"/>
        </w:rPr>
      </w:pPr>
      <w:r>
        <w:rPr>
          <w:rFonts w:hint="eastAsia"/>
          <w:color w:val="auto"/>
        </w:rPr>
        <w:t>17.4投标文件签字或盖章的具体要求见“投标人须知前附表”。</w:t>
      </w:r>
    </w:p>
    <w:p>
      <w:pPr>
        <w:snapToGrid w:val="0"/>
        <w:spacing w:line="440" w:lineRule="exact"/>
        <w:ind w:firstLine="440" w:firstLineChars="200"/>
        <w:rPr>
          <w:color w:val="auto"/>
        </w:rPr>
      </w:pPr>
      <w:r>
        <w:rPr>
          <w:rFonts w:hint="eastAsia"/>
          <w:color w:val="auto"/>
        </w:rPr>
        <w:t>17.5投标文件正本一份，副本份数见“投标人须知前附表”。正本和副本的封面上应清楚地标记“正本”或“副本”的字样。当副本和正本不一致时，以正本为准。</w:t>
      </w:r>
    </w:p>
    <w:p>
      <w:pPr>
        <w:snapToGrid w:val="0"/>
        <w:spacing w:line="440" w:lineRule="exact"/>
        <w:ind w:firstLine="440" w:firstLineChars="200"/>
        <w:rPr>
          <w:color w:val="auto"/>
        </w:rPr>
      </w:pPr>
      <w:r>
        <w:rPr>
          <w:rFonts w:hint="eastAsia"/>
          <w:color w:val="auto"/>
        </w:rPr>
        <w:t>17.6投标文件应编制目录，具体装订要求见“投标人须知前附表”规定。</w:t>
      </w:r>
    </w:p>
    <w:p>
      <w:pPr>
        <w:snapToGrid w:val="0"/>
        <w:spacing w:beforeLines="50" w:line="440" w:lineRule="exact"/>
        <w:ind w:firstLine="444" w:firstLineChars="201"/>
        <w:rPr>
          <w:b/>
          <w:color w:val="auto"/>
        </w:rPr>
      </w:pPr>
      <w:r>
        <w:rPr>
          <w:rFonts w:hint="eastAsia"/>
          <w:b/>
          <w:color w:val="auto"/>
        </w:rPr>
        <w:t>18、投标文件的包装、密封、标记</w:t>
      </w:r>
    </w:p>
    <w:p>
      <w:pPr>
        <w:snapToGrid w:val="0"/>
        <w:spacing w:beforeLines="50" w:line="440" w:lineRule="exact"/>
        <w:ind w:firstLine="442" w:firstLineChars="201"/>
        <w:rPr>
          <w:color w:val="auto"/>
        </w:rPr>
      </w:pPr>
      <w:r>
        <w:rPr>
          <w:rFonts w:hint="eastAsia"/>
          <w:color w:val="auto"/>
        </w:rPr>
        <w:t>18.1投标文件应按“投标人须知前附表”的要求进行包装、密封。</w:t>
      </w:r>
    </w:p>
    <w:p>
      <w:pPr>
        <w:snapToGrid w:val="0"/>
        <w:spacing w:line="420" w:lineRule="exact"/>
        <w:ind w:firstLine="442" w:firstLineChars="201"/>
        <w:rPr>
          <w:color w:val="auto"/>
        </w:rPr>
      </w:pPr>
      <w:r>
        <w:rPr>
          <w:rFonts w:hint="eastAsia"/>
          <w:color w:val="auto"/>
        </w:rPr>
        <w:t>18.2投标文件封套上应写明的内容见“投标人须知前附表”。</w:t>
      </w:r>
    </w:p>
    <w:p>
      <w:pPr>
        <w:snapToGrid w:val="0"/>
        <w:spacing w:line="420" w:lineRule="exact"/>
        <w:ind w:firstLine="442" w:firstLineChars="201"/>
        <w:rPr>
          <w:color w:val="auto"/>
        </w:rPr>
      </w:pPr>
      <w:r>
        <w:rPr>
          <w:rFonts w:hint="eastAsia"/>
          <w:color w:val="auto"/>
        </w:rPr>
        <w:t>18.3 逾期送达或投标文件的包装未按要求密封、盖章、标记将被拒绝接收，由此造成的风险由投标人承担。</w:t>
      </w:r>
    </w:p>
    <w:p>
      <w:pPr>
        <w:snapToGrid w:val="0"/>
        <w:spacing w:beforeLines="50" w:line="440" w:lineRule="exact"/>
        <w:ind w:firstLine="433" w:firstLineChars="196"/>
        <w:rPr>
          <w:b/>
          <w:color w:val="auto"/>
        </w:rPr>
      </w:pPr>
      <w:r>
        <w:rPr>
          <w:rFonts w:hint="eastAsia"/>
          <w:b/>
          <w:color w:val="auto"/>
        </w:rPr>
        <w:t>19、投标文件的递交、修改和撤回</w:t>
      </w:r>
    </w:p>
    <w:p>
      <w:pPr>
        <w:snapToGrid w:val="0"/>
        <w:spacing w:line="420" w:lineRule="exact"/>
        <w:ind w:firstLine="420"/>
        <w:rPr>
          <w:color w:val="auto"/>
        </w:rPr>
      </w:pPr>
      <w:r>
        <w:rPr>
          <w:rFonts w:hint="eastAsia"/>
          <w:color w:val="auto"/>
        </w:rPr>
        <w:t>19.1投标人按“投标人须知前附表”规定的投标截止时间前及投标文件递交地点递交投标文件。</w:t>
      </w:r>
    </w:p>
    <w:p>
      <w:pPr>
        <w:snapToGrid w:val="0"/>
        <w:spacing w:line="420" w:lineRule="exact"/>
        <w:ind w:firstLine="420"/>
        <w:rPr>
          <w:color w:val="auto"/>
        </w:rPr>
      </w:pPr>
      <w:r>
        <w:rPr>
          <w:rFonts w:hint="eastAsia"/>
          <w:color w:val="auto"/>
        </w:rPr>
        <w:t>19.2招标文件要求递交投标样品的，投标人按“投标人须知前附表”规定的时间及地点递交投标样品。</w:t>
      </w:r>
    </w:p>
    <w:p>
      <w:pPr>
        <w:snapToGrid w:val="0"/>
        <w:spacing w:line="420" w:lineRule="exact"/>
        <w:ind w:firstLine="420"/>
        <w:rPr>
          <w:color w:val="auto"/>
        </w:rPr>
      </w:pPr>
      <w:r>
        <w:rPr>
          <w:rFonts w:hint="eastAsia"/>
          <w:color w:val="auto"/>
        </w:rPr>
        <w:t>19.3除“投标人须知前附表”另有规定外，投标人所递交的投标文件不予退还。</w:t>
      </w:r>
    </w:p>
    <w:p>
      <w:pPr>
        <w:snapToGrid w:val="0"/>
        <w:spacing w:line="420" w:lineRule="exact"/>
        <w:ind w:firstLine="420"/>
        <w:rPr>
          <w:color w:val="auto"/>
        </w:rPr>
      </w:pPr>
      <w:r>
        <w:rPr>
          <w:rFonts w:hint="eastAsia"/>
          <w:color w:val="auto"/>
        </w:rPr>
        <w:t>19.4逾期送达的或者未送达指定地点的投标文件，招标人不予受理。</w:t>
      </w:r>
    </w:p>
    <w:p>
      <w:pPr>
        <w:snapToGrid w:val="0"/>
        <w:spacing w:line="420" w:lineRule="exact"/>
        <w:ind w:firstLine="420"/>
        <w:rPr>
          <w:color w:val="auto"/>
        </w:rPr>
      </w:pPr>
      <w:r>
        <w:rPr>
          <w:rFonts w:hint="eastAsia"/>
          <w:color w:val="auto"/>
        </w:rPr>
        <w:t>19.5投标人在投标截止时间之前，可以对已提交的投标文件进行修改或撤回，并书面通知采购人；投标截止时间后，投标人不得撤回、修改投标文件。修改后重新递交的投标文件应当按本招标文件的要求签署、盖章和密封。</w:t>
      </w:r>
    </w:p>
    <w:p>
      <w:pPr>
        <w:pStyle w:val="4"/>
        <w:rPr>
          <w:color w:val="auto"/>
        </w:rPr>
      </w:pPr>
      <w:bookmarkStart w:id="105" w:name="_Toc254970685"/>
      <w:bookmarkStart w:id="106" w:name="_Toc9338"/>
      <w:bookmarkStart w:id="107" w:name="_Toc254970544"/>
      <w:bookmarkStart w:id="108" w:name="_Toc2670"/>
      <w:r>
        <w:rPr>
          <w:rFonts w:hint="eastAsia"/>
          <w:color w:val="auto"/>
        </w:rPr>
        <w:t>四、开标</w:t>
      </w:r>
      <w:bookmarkEnd w:id="105"/>
      <w:bookmarkEnd w:id="106"/>
      <w:bookmarkEnd w:id="107"/>
      <w:bookmarkEnd w:id="108"/>
    </w:p>
    <w:p>
      <w:pPr>
        <w:pStyle w:val="16"/>
        <w:snapToGrid w:val="0"/>
        <w:spacing w:line="420" w:lineRule="exact"/>
        <w:ind w:firstLine="433" w:firstLineChars="196"/>
        <w:rPr>
          <w:rFonts w:hAnsi="宋体"/>
          <w:b/>
          <w:color w:val="auto"/>
        </w:rPr>
      </w:pPr>
      <w:r>
        <w:rPr>
          <w:rFonts w:hint="eastAsia" w:hAnsi="宋体"/>
          <w:b/>
          <w:color w:val="auto"/>
        </w:rPr>
        <w:t>20、开标准备</w:t>
      </w:r>
    </w:p>
    <w:p>
      <w:pPr>
        <w:pStyle w:val="16"/>
        <w:snapToGrid w:val="0"/>
        <w:spacing w:line="420" w:lineRule="exact"/>
        <w:ind w:firstLine="440" w:firstLineChars="200"/>
        <w:rPr>
          <w:rFonts w:hAnsi="宋体"/>
          <w:color w:val="auto"/>
        </w:rPr>
      </w:pPr>
      <w:r>
        <w:rPr>
          <w:rFonts w:hint="eastAsia" w:hAnsi="宋体"/>
          <w:color w:val="auto"/>
        </w:rPr>
        <w:t>招标采购单位将在“投标人须知前附表”规定的时间和地点进行公开开标，投标人的法定代表人或其授权代表参加开标会并签到。投标人的法定代表人或其授权代表未按时签到的，视同放弃开标监督权利、认可开标结果。投标截止时间结束后，参加投标的投标人不足三家，应予废标。</w:t>
      </w:r>
    </w:p>
    <w:p>
      <w:pPr>
        <w:pStyle w:val="16"/>
        <w:snapToGrid w:val="0"/>
        <w:spacing w:line="420" w:lineRule="exact"/>
        <w:ind w:firstLine="431" w:firstLineChars="196"/>
        <w:rPr>
          <w:rFonts w:hAnsi="宋体"/>
          <w:b/>
          <w:color w:val="auto"/>
        </w:rPr>
      </w:pPr>
      <w:r>
        <w:rPr>
          <w:rFonts w:hint="eastAsia" w:hAnsi="宋体"/>
          <w:color w:val="auto"/>
        </w:rPr>
        <w:t>开标会由采购人或其委托的采购代理机构主持。</w:t>
      </w:r>
    </w:p>
    <w:p>
      <w:pPr>
        <w:pStyle w:val="16"/>
        <w:snapToGrid w:val="0"/>
        <w:spacing w:line="420" w:lineRule="exact"/>
        <w:ind w:firstLine="433" w:firstLineChars="196"/>
        <w:rPr>
          <w:rFonts w:hAnsi="宋体"/>
          <w:b/>
          <w:color w:val="auto"/>
        </w:rPr>
      </w:pPr>
      <w:r>
        <w:rPr>
          <w:rFonts w:hint="eastAsia" w:hAnsi="宋体"/>
          <w:b/>
          <w:color w:val="auto"/>
        </w:rPr>
        <w:t>21、 开标程序：</w:t>
      </w:r>
    </w:p>
    <w:p>
      <w:pPr>
        <w:pStyle w:val="16"/>
        <w:snapToGrid w:val="0"/>
        <w:spacing w:line="420" w:lineRule="exact"/>
        <w:ind w:firstLine="440" w:firstLineChars="200"/>
        <w:rPr>
          <w:rFonts w:hAnsi="宋体"/>
          <w:color w:val="auto"/>
        </w:rPr>
      </w:pPr>
      <w:r>
        <w:rPr>
          <w:rFonts w:hint="eastAsia" w:hAnsi="宋体"/>
          <w:color w:val="auto"/>
        </w:rPr>
        <w:t>（1）主持人宣布开标会议开始；</w:t>
      </w:r>
    </w:p>
    <w:p>
      <w:pPr>
        <w:pStyle w:val="16"/>
        <w:snapToGrid w:val="0"/>
        <w:spacing w:line="420" w:lineRule="exact"/>
        <w:ind w:firstLine="440" w:firstLineChars="200"/>
        <w:rPr>
          <w:rFonts w:hAnsi="宋体"/>
          <w:color w:val="auto"/>
        </w:rPr>
      </w:pPr>
      <w:r>
        <w:rPr>
          <w:rFonts w:hint="eastAsia" w:hAnsi="宋体"/>
          <w:color w:val="auto"/>
        </w:rPr>
        <w:t xml:space="preserve">（2）主持人介绍参加开标会的人员名单； </w:t>
      </w:r>
    </w:p>
    <w:p>
      <w:pPr>
        <w:pStyle w:val="16"/>
        <w:snapToGrid w:val="0"/>
        <w:spacing w:line="420" w:lineRule="exact"/>
        <w:ind w:firstLine="440" w:firstLineChars="200"/>
        <w:rPr>
          <w:rFonts w:hAnsi="宋体"/>
          <w:color w:val="auto"/>
        </w:rPr>
      </w:pPr>
      <w:r>
        <w:rPr>
          <w:rFonts w:hint="eastAsia" w:hAnsi="宋体"/>
          <w:color w:val="auto"/>
        </w:rPr>
        <w:t>（3）主持人宣布在提交投标文件截止时间前收到的投标文件数量；</w:t>
      </w:r>
    </w:p>
    <w:p>
      <w:pPr>
        <w:pStyle w:val="16"/>
        <w:snapToGrid w:val="0"/>
        <w:spacing w:line="420" w:lineRule="exact"/>
        <w:ind w:firstLine="440" w:firstLineChars="200"/>
        <w:rPr>
          <w:rFonts w:hAnsi="宋体"/>
          <w:color w:val="auto"/>
        </w:rPr>
      </w:pPr>
      <w:r>
        <w:rPr>
          <w:rFonts w:hint="eastAsia" w:hAnsi="宋体"/>
          <w:color w:val="auto"/>
        </w:rPr>
        <w:t>（4）主持人宣布评标期间的有关事项；告知应当回避的情形，提请有关人员回避。</w:t>
      </w:r>
    </w:p>
    <w:p>
      <w:pPr>
        <w:pStyle w:val="16"/>
        <w:snapToGrid w:val="0"/>
        <w:spacing w:line="420" w:lineRule="exact"/>
        <w:ind w:firstLine="440" w:firstLineChars="200"/>
        <w:rPr>
          <w:rFonts w:hAnsi="宋体"/>
          <w:color w:val="auto"/>
        </w:rPr>
      </w:pPr>
      <w:r>
        <w:rPr>
          <w:rFonts w:hint="eastAsia" w:hAnsi="宋体"/>
          <w:color w:val="auto"/>
        </w:rPr>
        <w:t>（5）投标人或其当场推荐的代表，或者招标采购单位委托的公证机构检查投标文件密封的完整性并签字确认；</w:t>
      </w:r>
    </w:p>
    <w:p>
      <w:pPr>
        <w:pStyle w:val="16"/>
        <w:snapToGrid w:val="0"/>
        <w:spacing w:line="420" w:lineRule="exact"/>
        <w:ind w:firstLine="440" w:firstLineChars="200"/>
        <w:rPr>
          <w:rFonts w:hAnsi="宋体"/>
          <w:color w:val="auto"/>
        </w:rPr>
      </w:pPr>
      <w:r>
        <w:rPr>
          <w:rFonts w:hint="eastAsia" w:hAnsi="宋体"/>
          <w:color w:val="auto"/>
        </w:rPr>
        <w:t>（6）打开投标文件外包封，清点投标文件正本、副本数量；</w:t>
      </w:r>
    </w:p>
    <w:p>
      <w:pPr>
        <w:pStyle w:val="16"/>
        <w:snapToGrid w:val="0"/>
        <w:spacing w:line="420" w:lineRule="exact"/>
        <w:ind w:firstLine="440" w:firstLineChars="200"/>
        <w:rPr>
          <w:rFonts w:hAnsi="宋体"/>
          <w:color w:val="auto"/>
        </w:rPr>
      </w:pPr>
      <w:r>
        <w:rPr>
          <w:rFonts w:hint="eastAsia" w:hAnsi="宋体"/>
          <w:color w:val="auto"/>
        </w:rPr>
        <w:t>（7）唱标；</w:t>
      </w:r>
    </w:p>
    <w:p>
      <w:pPr>
        <w:pStyle w:val="16"/>
        <w:snapToGrid w:val="0"/>
        <w:spacing w:line="420" w:lineRule="exact"/>
        <w:ind w:firstLine="440" w:firstLineChars="200"/>
        <w:rPr>
          <w:rFonts w:hAnsi="宋体"/>
          <w:color w:val="auto"/>
        </w:rPr>
      </w:pPr>
      <w:r>
        <w:rPr>
          <w:rFonts w:hint="eastAsia" w:hAnsi="宋体"/>
          <w:color w:val="auto"/>
        </w:rPr>
        <w:t>（8）采购代理机构做开标记录， 投标人代表对开标记录进行当场校核及勘误，并签字确认；同时由记录人、监督人当场签字确认。投标人代表未到场签字确认或者拒绝签字确认的，不影响评标过程；</w:t>
      </w:r>
    </w:p>
    <w:p>
      <w:pPr>
        <w:pStyle w:val="16"/>
        <w:snapToGrid w:val="0"/>
        <w:spacing w:line="420" w:lineRule="exact"/>
        <w:ind w:left="722" w:leftChars="228" w:hanging="220" w:hangingChars="100"/>
        <w:rPr>
          <w:rFonts w:hAnsi="宋体"/>
          <w:color w:val="auto"/>
        </w:rPr>
      </w:pPr>
      <w:r>
        <w:rPr>
          <w:rFonts w:hint="eastAsia" w:hAnsi="宋体"/>
          <w:color w:val="auto"/>
        </w:rPr>
        <w:t>（9）开标会议结束。</w:t>
      </w:r>
    </w:p>
    <w:p>
      <w:pPr>
        <w:pStyle w:val="16"/>
        <w:snapToGrid w:val="0"/>
        <w:spacing w:line="420" w:lineRule="exact"/>
        <w:ind w:left="723" w:leftChars="228" w:hanging="221" w:hangingChars="100"/>
        <w:rPr>
          <w:rFonts w:hAnsi="宋体"/>
          <w:b/>
          <w:color w:val="auto"/>
        </w:rPr>
      </w:pPr>
      <w:r>
        <w:rPr>
          <w:rFonts w:hint="eastAsia" w:hAnsi="宋体"/>
          <w:b/>
          <w:color w:val="auto"/>
        </w:rPr>
        <w:t>22、开标异议</w:t>
      </w:r>
    </w:p>
    <w:p>
      <w:pPr>
        <w:pStyle w:val="16"/>
        <w:snapToGrid w:val="0"/>
        <w:spacing w:line="420" w:lineRule="exact"/>
        <w:ind w:firstLine="501" w:firstLineChars="228"/>
        <w:rPr>
          <w:rFonts w:hAnsi="宋体"/>
          <w:color w:val="auto"/>
        </w:rPr>
      </w:pPr>
      <w:r>
        <w:rPr>
          <w:rFonts w:hint="eastAsia" w:hAnsi="宋体"/>
          <w:color w:val="auto"/>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并制作记录。</w:t>
      </w:r>
    </w:p>
    <w:p>
      <w:pPr>
        <w:pStyle w:val="4"/>
        <w:rPr>
          <w:color w:val="auto"/>
        </w:rPr>
      </w:pPr>
      <w:bookmarkStart w:id="109" w:name="_Toc4167"/>
      <w:bookmarkStart w:id="110" w:name="_Toc11131"/>
      <w:bookmarkStart w:id="111" w:name="_Toc254970545"/>
      <w:bookmarkStart w:id="112" w:name="_Toc254970686"/>
      <w:r>
        <w:rPr>
          <w:rFonts w:hint="eastAsia"/>
          <w:color w:val="auto"/>
        </w:rPr>
        <w:t>五、资格审查</w:t>
      </w:r>
      <w:bookmarkEnd w:id="109"/>
      <w:bookmarkEnd w:id="110"/>
    </w:p>
    <w:p>
      <w:pPr>
        <w:pStyle w:val="16"/>
        <w:snapToGrid w:val="0"/>
        <w:spacing w:line="420" w:lineRule="exact"/>
        <w:ind w:left="1" w:firstLine="583" w:firstLineChars="265"/>
        <w:outlineLvl w:val="1"/>
        <w:rPr>
          <w:rFonts w:hAnsi="宋体"/>
          <w:color w:val="auto"/>
        </w:rPr>
      </w:pPr>
      <w:bookmarkStart w:id="113" w:name="_Toc18092"/>
      <w:bookmarkStart w:id="114" w:name="_Toc20880"/>
      <w:bookmarkStart w:id="115" w:name="_Toc8888"/>
      <w:r>
        <w:rPr>
          <w:rFonts w:hint="eastAsia" w:hAnsi="宋体"/>
          <w:color w:val="auto"/>
        </w:rPr>
        <w:t>23、开标会结束后，采购人或其授权的采购代理机构依法对投标人的资格进行审查。</w:t>
      </w:r>
      <w:r>
        <w:rPr>
          <w:rFonts w:hint="eastAsia" w:hAnsi="宋体"/>
          <w:b/>
          <w:color w:val="auto"/>
        </w:rPr>
        <w:t>合格投标人不足3家的，不得评标。</w:t>
      </w:r>
      <w:bookmarkEnd w:id="113"/>
      <w:bookmarkEnd w:id="114"/>
      <w:bookmarkEnd w:id="115"/>
    </w:p>
    <w:p>
      <w:pPr>
        <w:pStyle w:val="4"/>
        <w:rPr>
          <w:color w:val="auto"/>
        </w:rPr>
      </w:pPr>
      <w:bookmarkStart w:id="116" w:name="_Toc7562"/>
      <w:bookmarkStart w:id="117" w:name="_Toc15039"/>
      <w:r>
        <w:rPr>
          <w:rFonts w:hint="eastAsia"/>
          <w:color w:val="auto"/>
        </w:rPr>
        <w:t>六、评标</w:t>
      </w:r>
      <w:bookmarkEnd w:id="111"/>
      <w:bookmarkEnd w:id="112"/>
      <w:bookmarkEnd w:id="116"/>
      <w:bookmarkEnd w:id="117"/>
    </w:p>
    <w:p>
      <w:pPr>
        <w:pStyle w:val="16"/>
        <w:snapToGrid w:val="0"/>
        <w:spacing w:line="420" w:lineRule="exact"/>
        <w:ind w:left="29" w:leftChars="13" w:firstLine="497" w:firstLineChars="225"/>
        <w:rPr>
          <w:rFonts w:hAnsi="宋体"/>
          <w:b/>
          <w:color w:val="auto"/>
        </w:rPr>
      </w:pPr>
      <w:r>
        <w:rPr>
          <w:rFonts w:hint="eastAsia" w:hAnsi="宋体"/>
          <w:b/>
          <w:color w:val="auto"/>
        </w:rPr>
        <w:t>24、组建评标委员会</w:t>
      </w:r>
    </w:p>
    <w:p>
      <w:pPr>
        <w:pStyle w:val="16"/>
        <w:snapToGrid w:val="0"/>
        <w:spacing w:line="420" w:lineRule="exact"/>
        <w:ind w:left="29" w:leftChars="13" w:firstLine="495" w:firstLineChars="225"/>
        <w:rPr>
          <w:rFonts w:hAnsi="宋体"/>
          <w:color w:val="auto"/>
        </w:rPr>
      </w:pPr>
      <w:r>
        <w:rPr>
          <w:rFonts w:hint="eastAsia" w:hAnsi="宋体"/>
          <w:color w:val="auto"/>
        </w:rPr>
        <w:t>24.1评标委员会由采购人代表和评审专家组成，成员人数应当为5人以上单数，其中评审专家不得少于成员总数的三分之二。采购项目符合下列情形之一的，评标委员会成员人数应当为7人以上单数：1.采购预算金额在1000万元以上；2.技术复杂；3.社会影响较大。</w:t>
      </w:r>
    </w:p>
    <w:p>
      <w:pPr>
        <w:pStyle w:val="16"/>
        <w:snapToGrid w:val="0"/>
        <w:spacing w:line="420" w:lineRule="exact"/>
        <w:ind w:left="29" w:leftChars="13" w:firstLine="495" w:firstLineChars="225"/>
        <w:rPr>
          <w:rFonts w:hAnsi="宋体"/>
          <w:color w:val="auto"/>
        </w:rPr>
      </w:pPr>
      <w:r>
        <w:rPr>
          <w:rFonts w:hint="eastAsia" w:hAnsi="宋体"/>
          <w:color w:val="auto"/>
        </w:rPr>
        <w:t>24.2评审专家不得参加与自己有利害关系的政府采购项目的评审活动。有利害关系主要是指三年内曾在参加该采购项目供应商中任职（包括一般工作）或担任顾问，配偶或直系亲属在参加该采购项目的供应商中任职或担任顾问，与参加该采购项目供应商发生过法律纠纷，以及其他可能影响公正评标的情况。</w:t>
      </w:r>
    </w:p>
    <w:p>
      <w:pPr>
        <w:pStyle w:val="16"/>
        <w:snapToGrid w:val="0"/>
        <w:spacing w:line="420" w:lineRule="exact"/>
        <w:ind w:left="29" w:leftChars="13" w:firstLine="495" w:firstLineChars="225"/>
        <w:rPr>
          <w:rFonts w:hAnsi="宋体"/>
          <w:color w:val="auto"/>
        </w:rPr>
      </w:pPr>
      <w:r>
        <w:rPr>
          <w:rFonts w:hint="eastAsia" w:hAnsi="宋体"/>
          <w:color w:val="auto"/>
        </w:rPr>
        <w:t>24.3评标中因评标委员会成员缺席、回避或者健康等特殊原因导致评标委员会组成不符合规定的，采购人或者采购代理机构将依法补足后继续评标。被更换的评标委员会成员所作出的评标意见无效。无法及时补足评标委员会成员的，采购人或者采购代理机构将宣布停止评标活动，封存所有投标文件和开标、评标资料，依法重新组建评标委员会进行评标。原评标委员会所作出的评标意见无效。</w:t>
      </w:r>
    </w:p>
    <w:p>
      <w:pPr>
        <w:pStyle w:val="16"/>
        <w:snapToGrid w:val="0"/>
        <w:spacing w:line="420" w:lineRule="exact"/>
        <w:ind w:left="29" w:leftChars="13" w:firstLine="495" w:firstLineChars="225"/>
        <w:rPr>
          <w:rFonts w:hAnsi="宋体"/>
          <w:color w:val="auto"/>
        </w:rPr>
      </w:pPr>
      <w:r>
        <w:rPr>
          <w:rFonts w:hint="eastAsia" w:hAnsi="宋体"/>
          <w:color w:val="auto"/>
        </w:rPr>
        <w:t>24.4评标委员会成员对需要共同认定的事项存在争议的，应当按照少数服从多数的原则作出结论。持不同意见的评标委员会成员应当在评标报告上签署不同意见及理由，否则视为同意评标报告。</w:t>
      </w:r>
    </w:p>
    <w:p>
      <w:pPr>
        <w:pStyle w:val="16"/>
        <w:snapToGrid w:val="0"/>
        <w:spacing w:line="420" w:lineRule="exact"/>
        <w:ind w:left="29" w:leftChars="13" w:firstLine="495" w:firstLineChars="225"/>
        <w:rPr>
          <w:rFonts w:hAnsi="宋体"/>
          <w:color w:val="auto"/>
        </w:rPr>
      </w:pPr>
      <w:r>
        <w:rPr>
          <w:rFonts w:hint="eastAsia" w:hAnsi="宋体"/>
          <w:color w:val="auto"/>
        </w:rPr>
        <w:t>24.5评标委员会发现招标文件存在歧义、重大缺陷导致评标工作无法进行，或者招标文件内容违反国家有关强制性规定的，应当停止评标工作，与采购人或者采购代理机构沟通并作书面记录。采购人或采购代理机构确认后，应当修改招标文件，重新组织采购活动。</w:t>
      </w:r>
    </w:p>
    <w:p>
      <w:pPr>
        <w:pStyle w:val="16"/>
        <w:snapToGrid w:val="0"/>
        <w:spacing w:line="420" w:lineRule="exact"/>
        <w:ind w:left="29" w:leftChars="13" w:firstLine="497" w:firstLineChars="225"/>
        <w:rPr>
          <w:rFonts w:hAnsi="宋体"/>
          <w:b/>
          <w:color w:val="auto"/>
        </w:rPr>
      </w:pPr>
      <w:r>
        <w:rPr>
          <w:rFonts w:hint="eastAsia" w:hAnsi="宋体"/>
          <w:b/>
          <w:color w:val="auto"/>
        </w:rPr>
        <w:t>25、评标程序</w:t>
      </w:r>
    </w:p>
    <w:p>
      <w:pPr>
        <w:pStyle w:val="16"/>
        <w:snapToGrid w:val="0"/>
        <w:spacing w:line="420" w:lineRule="exact"/>
        <w:ind w:left="29" w:leftChars="13" w:firstLine="495" w:firstLineChars="225"/>
        <w:rPr>
          <w:rFonts w:hAnsi="宋体"/>
          <w:color w:val="auto"/>
        </w:rPr>
      </w:pPr>
      <w:r>
        <w:rPr>
          <w:rFonts w:hint="eastAsia" w:hAnsi="宋体"/>
          <w:color w:val="auto"/>
        </w:rPr>
        <w:t>本项目采用不公开方式评标，评标的依据为招标文件和投标文件。</w:t>
      </w:r>
    </w:p>
    <w:p>
      <w:pPr>
        <w:snapToGrid w:val="0"/>
        <w:spacing w:line="420" w:lineRule="exact"/>
        <w:ind w:firstLine="526" w:firstLineChars="238"/>
        <w:rPr>
          <w:b/>
          <w:color w:val="auto"/>
        </w:rPr>
      </w:pPr>
      <w:r>
        <w:rPr>
          <w:rFonts w:hint="eastAsia"/>
          <w:b/>
          <w:color w:val="auto"/>
        </w:rPr>
        <w:t>25.1</w:t>
      </w:r>
      <w:r>
        <w:rPr>
          <w:rFonts w:hint="eastAsia"/>
          <w:b/>
          <w:color w:val="auto"/>
          <w:lang w:val="en-US"/>
        </w:rPr>
        <w:t xml:space="preserve"> </w:t>
      </w:r>
      <w:r>
        <w:rPr>
          <w:rFonts w:hint="eastAsia"/>
          <w:b/>
          <w:color w:val="auto"/>
        </w:rPr>
        <w:t>符合性审查</w:t>
      </w:r>
    </w:p>
    <w:p>
      <w:pPr>
        <w:snapToGrid w:val="0"/>
        <w:spacing w:line="420" w:lineRule="exact"/>
        <w:ind w:firstLine="523" w:firstLineChars="238"/>
        <w:rPr>
          <w:color w:val="auto"/>
        </w:rPr>
      </w:pPr>
      <w:r>
        <w:rPr>
          <w:rFonts w:hint="eastAsia"/>
          <w:color w:val="auto"/>
        </w:rPr>
        <w:t>评标委员会对符合资格的投标人的投标文件进行符合性审查，以确定其是否满足招标文件的实质性要求。</w:t>
      </w:r>
    </w:p>
    <w:p>
      <w:pPr>
        <w:snapToGrid w:val="0"/>
        <w:spacing w:line="420" w:lineRule="exact"/>
        <w:ind w:firstLine="526" w:firstLineChars="238"/>
        <w:rPr>
          <w:b/>
          <w:color w:val="auto"/>
        </w:rPr>
      </w:pPr>
      <w:r>
        <w:rPr>
          <w:rFonts w:hint="eastAsia"/>
          <w:b/>
          <w:color w:val="auto"/>
        </w:rPr>
        <w:t>25.2 澄清问题</w:t>
      </w:r>
    </w:p>
    <w:p>
      <w:pPr>
        <w:snapToGrid w:val="0"/>
        <w:spacing w:line="420" w:lineRule="exact"/>
        <w:ind w:firstLine="523" w:firstLineChars="238"/>
        <w:rPr>
          <w:color w:val="auto"/>
        </w:rPr>
      </w:pPr>
      <w:r>
        <w:rPr>
          <w:rFonts w:hint="eastAsia"/>
          <w:color w:val="auto"/>
        </w:rPr>
        <w:t>对于投标文件中</w:t>
      </w:r>
      <w:r>
        <w:rPr>
          <w:rFonts w:hint="eastAsia"/>
          <w:b/>
          <w:color w:val="auto"/>
        </w:rPr>
        <w:t>含义不明确、同类问题表述不一致或者有明显文字和计算错误的内容</w:t>
      </w:r>
      <w:r>
        <w:rPr>
          <w:rFonts w:hint="eastAsia"/>
          <w:color w:val="auto"/>
        </w:rPr>
        <w:t>，评标委员会应当以书面形式要求投标人作出必要的澄清、说明或者补正。</w:t>
      </w:r>
    </w:p>
    <w:p>
      <w:pPr>
        <w:snapToGrid w:val="0"/>
        <w:spacing w:line="420" w:lineRule="exact"/>
        <w:ind w:firstLine="523" w:firstLineChars="238"/>
        <w:rPr>
          <w:color w:val="auto"/>
        </w:rPr>
      </w:pPr>
      <w:r>
        <w:rPr>
          <w:rFonts w:hint="eastAsia"/>
          <w:color w:val="auto"/>
        </w:rPr>
        <w:t>投标人的澄清、说明或者补正应当采用书面形式，并加盖公章，或者由法定代表人或其授权的代表签字。投标人的澄清、说明或者补正不得超出投标文件的范围或者改变投标文件的实质性内容。投标人代表未到场或者拒绝澄清或者澄清的内容改变了投标文件的实质性内容的，评标委员会有权视该投标文件无效。</w:t>
      </w:r>
    </w:p>
    <w:p>
      <w:pPr>
        <w:snapToGrid w:val="0"/>
        <w:spacing w:line="420" w:lineRule="exact"/>
        <w:ind w:firstLine="526" w:firstLineChars="238"/>
        <w:rPr>
          <w:b/>
          <w:color w:val="auto"/>
        </w:rPr>
      </w:pPr>
      <w:r>
        <w:rPr>
          <w:rFonts w:hint="eastAsia"/>
          <w:b/>
          <w:color w:val="auto"/>
        </w:rPr>
        <w:t>25.3</w:t>
      </w:r>
      <w:r>
        <w:rPr>
          <w:rFonts w:hint="eastAsia"/>
          <w:b/>
          <w:color w:val="auto"/>
          <w:lang w:val="en-US"/>
        </w:rPr>
        <w:t xml:space="preserve"> </w:t>
      </w:r>
      <w:r>
        <w:rPr>
          <w:rFonts w:hint="eastAsia"/>
          <w:b/>
          <w:color w:val="auto"/>
        </w:rPr>
        <w:t>详细评审</w:t>
      </w:r>
    </w:p>
    <w:p>
      <w:pPr>
        <w:snapToGrid w:val="0"/>
        <w:spacing w:line="420" w:lineRule="exact"/>
        <w:ind w:firstLine="523" w:firstLineChars="238"/>
        <w:rPr>
          <w:color w:val="auto"/>
        </w:rPr>
      </w:pPr>
      <w:r>
        <w:rPr>
          <w:rFonts w:hint="eastAsia"/>
          <w:color w:val="auto"/>
        </w:rPr>
        <w:t>25.3.1评标委员会应当按照招标文件中规定的评标方法和标准，对符合性审查合格的投标文件进行商务和技术评估，综合比较与评价。评标时，评标委员会各成员应当独立对每个投标人的投标文件进行评价，并汇总每个投标人的得分。</w:t>
      </w:r>
    </w:p>
    <w:p>
      <w:pPr>
        <w:snapToGrid w:val="0"/>
        <w:spacing w:line="420" w:lineRule="exact"/>
        <w:ind w:firstLine="526" w:firstLineChars="238"/>
        <w:rPr>
          <w:b/>
          <w:color w:val="auto"/>
        </w:rPr>
      </w:pPr>
      <w:r>
        <w:rPr>
          <w:rFonts w:hint="eastAsia"/>
          <w:b/>
          <w:color w:val="auto"/>
        </w:rPr>
        <w:t>25.3.2投标文件报价出现前后不一致的，按照下列规定修正：</w:t>
      </w:r>
    </w:p>
    <w:p>
      <w:pPr>
        <w:snapToGrid w:val="0"/>
        <w:spacing w:line="420" w:lineRule="exact"/>
        <w:ind w:firstLine="523" w:firstLineChars="238"/>
        <w:rPr>
          <w:color w:val="auto"/>
        </w:rPr>
      </w:pPr>
      <w:r>
        <w:rPr>
          <w:rFonts w:hint="eastAsia"/>
          <w:color w:val="auto"/>
        </w:rPr>
        <w:t>（1）投标文件中投标报价表内容与投标文件中相应内容不致的，以投标报价表为准；</w:t>
      </w:r>
    </w:p>
    <w:p>
      <w:pPr>
        <w:snapToGrid w:val="0"/>
        <w:spacing w:line="420" w:lineRule="exact"/>
        <w:ind w:firstLine="523" w:firstLineChars="238"/>
        <w:rPr>
          <w:color w:val="auto"/>
        </w:rPr>
      </w:pPr>
      <w:r>
        <w:rPr>
          <w:rFonts w:hint="eastAsia"/>
          <w:color w:val="auto"/>
        </w:rPr>
        <w:t>（2）大写金额和小写金额不一致的，以大写金额为准；</w:t>
      </w:r>
    </w:p>
    <w:p>
      <w:pPr>
        <w:snapToGrid w:val="0"/>
        <w:spacing w:line="420" w:lineRule="exact"/>
        <w:ind w:firstLine="523" w:firstLineChars="238"/>
        <w:rPr>
          <w:color w:val="auto"/>
        </w:rPr>
      </w:pPr>
      <w:r>
        <w:rPr>
          <w:rFonts w:hint="eastAsia"/>
          <w:color w:val="auto"/>
        </w:rPr>
        <w:t>（3）单价金额小数点或百分比有明显错位的，以投标报价表的总价为准，并修改单价；</w:t>
      </w:r>
    </w:p>
    <w:p>
      <w:pPr>
        <w:snapToGrid w:val="0"/>
        <w:spacing w:line="420" w:lineRule="exact"/>
        <w:ind w:firstLine="523" w:firstLineChars="238"/>
        <w:rPr>
          <w:color w:val="auto"/>
        </w:rPr>
      </w:pPr>
      <w:r>
        <w:rPr>
          <w:rFonts w:hint="eastAsia"/>
          <w:color w:val="auto"/>
        </w:rPr>
        <w:t>（4）总价金额与按单价汇总金额不一致的，以单价金额计算结果为准。</w:t>
      </w:r>
    </w:p>
    <w:p>
      <w:pPr>
        <w:snapToGrid w:val="0"/>
        <w:spacing w:line="420" w:lineRule="exact"/>
        <w:ind w:firstLine="523" w:firstLineChars="238"/>
        <w:rPr>
          <w:color w:val="auto"/>
        </w:rPr>
      </w:pPr>
      <w:r>
        <w:rPr>
          <w:rFonts w:hint="eastAsia"/>
          <w:color w:val="auto"/>
        </w:rPr>
        <w:t>同时出现两种以上不一致的，按照前款规定的顺序修正；修正后的报价按本章25.2款的规定经投标人确认后产生约束力，投标人不确认的，其投标无效。</w:t>
      </w:r>
    </w:p>
    <w:p>
      <w:pPr>
        <w:pStyle w:val="16"/>
        <w:tabs>
          <w:tab w:val="left" w:pos="630"/>
        </w:tabs>
        <w:snapToGrid w:val="0"/>
        <w:spacing w:line="420" w:lineRule="exact"/>
        <w:ind w:firstLine="526" w:firstLineChars="238"/>
        <w:rPr>
          <w:rFonts w:hAnsi="宋体"/>
          <w:b/>
          <w:color w:val="auto"/>
        </w:rPr>
      </w:pPr>
      <w:r>
        <w:rPr>
          <w:rFonts w:hint="eastAsia" w:hAnsi="宋体"/>
          <w:b/>
          <w:color w:val="auto"/>
        </w:rPr>
        <w:t>25.4</w:t>
      </w:r>
      <w:r>
        <w:rPr>
          <w:rFonts w:hint="eastAsia" w:hAnsi="宋体"/>
          <w:b/>
          <w:color w:val="auto"/>
          <w:lang w:val="en-US"/>
        </w:rPr>
        <w:t xml:space="preserve"> </w:t>
      </w:r>
      <w:r>
        <w:rPr>
          <w:rFonts w:hint="eastAsia" w:hAnsi="宋体"/>
          <w:b/>
          <w:color w:val="auto"/>
        </w:rPr>
        <w:t>评标原则和评标办法</w:t>
      </w:r>
    </w:p>
    <w:p>
      <w:pPr>
        <w:pStyle w:val="16"/>
        <w:snapToGrid w:val="0"/>
        <w:spacing w:line="420" w:lineRule="exact"/>
        <w:ind w:firstLine="523" w:firstLineChars="238"/>
        <w:rPr>
          <w:rFonts w:hAnsi="宋体"/>
          <w:color w:val="auto"/>
        </w:rPr>
      </w:pPr>
      <w:r>
        <w:rPr>
          <w:rFonts w:hint="eastAsia" w:hAnsi="宋体"/>
          <w:color w:val="auto"/>
        </w:rPr>
        <w:t>25.4.1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6"/>
        <w:snapToGrid w:val="0"/>
        <w:spacing w:line="420" w:lineRule="exact"/>
        <w:ind w:firstLine="523" w:firstLineChars="238"/>
        <w:rPr>
          <w:rFonts w:hAnsi="宋体"/>
          <w:color w:val="auto"/>
        </w:rPr>
      </w:pPr>
      <w:r>
        <w:rPr>
          <w:rFonts w:hint="eastAsia" w:hAnsi="宋体"/>
          <w:color w:val="auto"/>
        </w:rPr>
        <w:t>25.4.2评标办法。本项目评标办法是</w:t>
      </w:r>
      <w:r>
        <w:rPr>
          <w:rFonts w:hint="eastAsia" w:hAnsi="宋体"/>
          <w:color w:val="auto"/>
          <w:u w:val="single"/>
        </w:rPr>
        <w:t>综合评分法</w:t>
      </w:r>
      <w:r>
        <w:rPr>
          <w:rFonts w:hint="eastAsia" w:hAnsi="宋体"/>
          <w:color w:val="auto"/>
        </w:rPr>
        <w:t>，具体评标内容及评分标准等详见《第四章：评标办法及评分标准》。</w:t>
      </w:r>
    </w:p>
    <w:p>
      <w:pPr>
        <w:snapToGrid w:val="0"/>
        <w:spacing w:beforeLines="50" w:line="400" w:lineRule="exact"/>
        <w:ind w:firstLine="433" w:firstLineChars="196"/>
        <w:outlineLvl w:val="2"/>
        <w:rPr>
          <w:rFonts w:ascii="Times New Roman"/>
          <w:b/>
          <w:color w:val="auto"/>
        </w:rPr>
      </w:pPr>
      <w:bookmarkStart w:id="118" w:name="_Toc26242"/>
      <w:bookmarkStart w:id="119" w:name="_Toc2947"/>
      <w:bookmarkStart w:id="120" w:name="_Toc15255"/>
      <w:r>
        <w:rPr>
          <w:rFonts w:hint="eastAsia" w:ascii="Times New Roman"/>
          <w:b/>
          <w:color w:val="auto"/>
        </w:rPr>
        <w:t>26、投标无效的情形</w:t>
      </w:r>
      <w:bookmarkEnd w:id="118"/>
      <w:bookmarkEnd w:id="119"/>
      <w:bookmarkEnd w:id="120"/>
    </w:p>
    <w:p>
      <w:pPr>
        <w:snapToGrid w:val="0"/>
        <w:spacing w:line="400" w:lineRule="exact"/>
        <w:ind w:firstLine="440" w:firstLineChars="200"/>
        <w:rPr>
          <w:rFonts w:ascii="Times New Roman"/>
          <w:color w:val="auto"/>
        </w:rPr>
      </w:pPr>
      <w:r>
        <w:rPr>
          <w:rFonts w:hint="eastAsia" w:ascii="Times New Roman"/>
          <w:color w:val="auto"/>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400" w:lineRule="exact"/>
        <w:ind w:firstLine="442" w:firstLineChars="200"/>
        <w:rPr>
          <w:rFonts w:ascii="Times New Roman"/>
          <w:color w:val="auto"/>
        </w:rPr>
      </w:pPr>
      <w:r>
        <w:rPr>
          <w:rFonts w:hint="eastAsia" w:ascii="Times New Roman"/>
          <w:b/>
          <w:color w:val="auto"/>
        </w:rPr>
        <w:t>26.1在资格审查时，如发现下列情形之一的，投标文件将被视为无效：</w:t>
      </w:r>
    </w:p>
    <w:p>
      <w:pPr>
        <w:spacing w:line="360" w:lineRule="auto"/>
        <w:ind w:firstLine="431" w:firstLineChars="196"/>
        <w:rPr>
          <w:color w:val="auto"/>
          <w:szCs w:val="21"/>
        </w:rPr>
      </w:pPr>
      <w:r>
        <w:rPr>
          <w:rFonts w:hint="eastAsia"/>
          <w:color w:val="auto"/>
          <w:szCs w:val="21"/>
        </w:rPr>
        <w:t>（1）不具备招标文件中规定的资格要求的或未在规定时间内购买招标文件的；</w:t>
      </w:r>
    </w:p>
    <w:p>
      <w:pPr>
        <w:spacing w:line="360" w:lineRule="auto"/>
        <w:ind w:firstLine="431" w:firstLineChars="196"/>
        <w:rPr>
          <w:color w:val="auto"/>
          <w:szCs w:val="21"/>
        </w:rPr>
      </w:pPr>
      <w:r>
        <w:rPr>
          <w:rFonts w:hint="eastAsia"/>
          <w:color w:val="auto"/>
          <w:szCs w:val="21"/>
        </w:rPr>
        <w:t>（2）资格证明文件材料不全、不合格的，或者不符合招标文件标明的资格要求的；</w:t>
      </w:r>
    </w:p>
    <w:p>
      <w:pPr>
        <w:spacing w:line="360" w:lineRule="auto"/>
        <w:ind w:firstLine="431" w:firstLineChars="196"/>
        <w:rPr>
          <w:color w:val="auto"/>
          <w:szCs w:val="21"/>
        </w:rPr>
      </w:pPr>
      <w:r>
        <w:rPr>
          <w:rFonts w:hint="eastAsia"/>
          <w:color w:val="auto"/>
          <w:szCs w:val="21"/>
        </w:rPr>
        <w:t>（3）投标文件无法定代表人或其授权委托代理人签字，或未提供法定代表人授权委托书、投标声明书或者填写项目不齐全的；</w:t>
      </w:r>
    </w:p>
    <w:p>
      <w:pPr>
        <w:spacing w:line="360" w:lineRule="auto"/>
        <w:ind w:firstLine="431" w:firstLineChars="196"/>
        <w:rPr>
          <w:color w:val="auto"/>
          <w:szCs w:val="21"/>
        </w:rPr>
      </w:pPr>
      <w:r>
        <w:rPr>
          <w:rFonts w:hint="eastAsia"/>
          <w:color w:val="auto"/>
          <w:szCs w:val="21"/>
        </w:rPr>
        <w:t>（4）投标代表人未能出具身份证明或与法定代表人授权委托人身份不符的；</w:t>
      </w:r>
    </w:p>
    <w:p>
      <w:pPr>
        <w:spacing w:line="360" w:lineRule="auto"/>
        <w:ind w:firstLine="431" w:firstLineChars="196"/>
        <w:rPr>
          <w:color w:val="auto"/>
          <w:szCs w:val="21"/>
        </w:rPr>
      </w:pPr>
      <w:r>
        <w:rPr>
          <w:rFonts w:hint="eastAsia"/>
          <w:color w:val="auto"/>
          <w:szCs w:val="21"/>
        </w:rPr>
        <w:t>（5）未按照招标文件的规定提交投标保证金的；</w:t>
      </w:r>
    </w:p>
    <w:p>
      <w:pPr>
        <w:spacing w:line="360" w:lineRule="auto"/>
        <w:ind w:firstLine="431" w:firstLineChars="196"/>
        <w:rPr>
          <w:color w:val="auto"/>
          <w:szCs w:val="21"/>
        </w:rPr>
      </w:pPr>
      <w:r>
        <w:rPr>
          <w:rFonts w:hint="eastAsia"/>
          <w:color w:val="auto"/>
          <w:szCs w:val="21"/>
        </w:rPr>
        <w:t>（6）法律、法规和招标文件规定的其他无效情形。</w:t>
      </w:r>
    </w:p>
    <w:p>
      <w:pPr>
        <w:pStyle w:val="15"/>
        <w:snapToGrid w:val="0"/>
        <w:spacing w:line="400" w:lineRule="exact"/>
        <w:ind w:firstLine="398" w:firstLineChars="196"/>
        <w:rPr>
          <w:rFonts w:hAnsi="宋体"/>
          <w:b/>
          <w:color w:val="auto"/>
          <w:sz w:val="21"/>
        </w:rPr>
      </w:pPr>
      <w:r>
        <w:rPr>
          <w:rFonts w:hint="eastAsia" w:hAnsi="宋体"/>
          <w:b/>
          <w:color w:val="auto"/>
          <w:sz w:val="21"/>
        </w:rPr>
        <w:t>26.2在商务性及技术评审时，如发现下列情形之一的，投标文件将被视为无效：</w:t>
      </w:r>
    </w:p>
    <w:p>
      <w:pPr>
        <w:pStyle w:val="15"/>
        <w:snapToGrid w:val="0"/>
        <w:spacing w:line="400" w:lineRule="exact"/>
        <w:ind w:firstLine="395" w:firstLineChars="196"/>
        <w:rPr>
          <w:rFonts w:hAnsi="宋体"/>
          <w:color w:val="auto"/>
          <w:sz w:val="21"/>
        </w:rPr>
      </w:pPr>
      <w:r>
        <w:rPr>
          <w:rFonts w:hint="eastAsia" w:hAnsi="宋体"/>
          <w:color w:val="auto"/>
          <w:sz w:val="21"/>
        </w:rPr>
        <w:t>（1）投标文件未按招标文件要求签署、盖章的；</w:t>
      </w:r>
    </w:p>
    <w:p>
      <w:pPr>
        <w:snapToGrid w:val="0"/>
        <w:spacing w:line="400" w:lineRule="exact"/>
        <w:ind w:firstLine="431" w:firstLineChars="196"/>
        <w:rPr>
          <w:rFonts w:ascii="Times New Roman"/>
          <w:color w:val="auto"/>
        </w:rPr>
      </w:pPr>
      <w:r>
        <w:rPr>
          <w:rFonts w:hint="eastAsia"/>
          <w:color w:val="auto"/>
        </w:rPr>
        <w:t>（2）投标文件格式不符合第六章“投标文件格式”的要求或投标文件份数不符合招标文件要求的；</w:t>
      </w:r>
    </w:p>
    <w:p>
      <w:pPr>
        <w:pStyle w:val="15"/>
        <w:snapToGrid w:val="0"/>
        <w:spacing w:line="400" w:lineRule="exact"/>
        <w:ind w:firstLine="395" w:firstLineChars="196"/>
        <w:rPr>
          <w:rFonts w:hAnsi="宋体"/>
          <w:color w:val="auto"/>
          <w:sz w:val="21"/>
        </w:rPr>
      </w:pPr>
      <w:r>
        <w:rPr>
          <w:rFonts w:hint="eastAsia" w:ascii="Times New Roman" w:hAnsi="宋体"/>
          <w:color w:val="auto"/>
          <w:sz w:val="21"/>
        </w:rPr>
        <w:t>（3）</w:t>
      </w:r>
      <w:r>
        <w:rPr>
          <w:rFonts w:hint="eastAsia" w:hAnsi="宋体"/>
          <w:color w:val="auto"/>
          <w:sz w:val="21"/>
        </w:rPr>
        <w:t>投标文件的实质性内容未使用中文表述、意思表述不明确、前后矛盾或者使用计量单位不符合招标文件要求的（经评标委员会认定并允许其当场更正的笔误除外）</w:t>
      </w:r>
    </w:p>
    <w:p>
      <w:pPr>
        <w:snapToGrid w:val="0"/>
        <w:spacing w:line="400" w:lineRule="exact"/>
        <w:ind w:firstLine="431" w:firstLineChars="196"/>
        <w:rPr>
          <w:rFonts w:ascii="Times New Roman"/>
          <w:color w:val="auto"/>
        </w:rPr>
      </w:pPr>
      <w:r>
        <w:rPr>
          <w:rFonts w:hint="eastAsia"/>
          <w:color w:val="auto"/>
        </w:rPr>
        <w:t>（</w:t>
      </w:r>
      <w:r>
        <w:rPr>
          <w:rFonts w:hint="eastAsia"/>
          <w:snapToGrid w:val="0"/>
          <w:color w:val="auto"/>
        </w:rPr>
        <w:t>4）</w:t>
      </w:r>
      <w:r>
        <w:rPr>
          <w:rFonts w:hint="eastAsia"/>
          <w:color w:val="auto"/>
        </w:rPr>
        <w:t>招标文件要求必须提供的商务及技术部分的文件不齐全或者内容虚假的；</w:t>
      </w:r>
    </w:p>
    <w:p>
      <w:pPr>
        <w:pStyle w:val="15"/>
        <w:snapToGrid w:val="0"/>
        <w:spacing w:line="400" w:lineRule="exact"/>
        <w:ind w:firstLine="395" w:firstLineChars="196"/>
        <w:rPr>
          <w:rFonts w:hAnsi="宋体"/>
          <w:color w:val="auto"/>
          <w:sz w:val="21"/>
        </w:rPr>
      </w:pPr>
      <w:r>
        <w:rPr>
          <w:rFonts w:hint="eastAsia" w:hAnsi="宋体"/>
          <w:color w:val="auto"/>
          <w:sz w:val="21"/>
        </w:rPr>
        <w:t>（5）投标文件</w:t>
      </w:r>
      <w:r>
        <w:rPr>
          <w:rFonts w:hint="eastAsia" w:ascii="Times New Roman"/>
          <w:color w:val="auto"/>
          <w:sz w:val="21"/>
        </w:rPr>
        <w:t>未实质性响应招标文件中标注</w:t>
      </w:r>
      <w:r>
        <w:rPr>
          <w:rFonts w:ascii="Times New Roman"/>
          <w:color w:val="auto"/>
          <w:sz w:val="21"/>
        </w:rPr>
        <w:t>“</w:t>
      </w:r>
      <w:r>
        <w:rPr>
          <w:rFonts w:hint="eastAsia" w:ascii="Times New Roman"/>
          <w:color w:val="auto"/>
          <w:sz w:val="21"/>
        </w:rPr>
        <w:t>★</w:t>
      </w:r>
      <w:r>
        <w:rPr>
          <w:rFonts w:ascii="Times New Roman"/>
          <w:color w:val="auto"/>
          <w:sz w:val="21"/>
        </w:rPr>
        <w:t>”</w:t>
      </w:r>
      <w:r>
        <w:rPr>
          <w:rFonts w:hint="eastAsia" w:ascii="Times New Roman"/>
          <w:color w:val="auto"/>
          <w:sz w:val="21"/>
        </w:rPr>
        <w:t>的商务要求的；</w:t>
      </w:r>
    </w:p>
    <w:p>
      <w:pPr>
        <w:pStyle w:val="15"/>
        <w:snapToGrid w:val="0"/>
        <w:spacing w:line="420" w:lineRule="exact"/>
        <w:ind w:firstLine="395" w:firstLineChars="196"/>
        <w:rPr>
          <w:color w:val="auto"/>
          <w:sz w:val="32"/>
        </w:rPr>
      </w:pPr>
      <w:r>
        <w:rPr>
          <w:rFonts w:hint="eastAsia" w:hAnsi="宋体"/>
          <w:color w:val="auto"/>
          <w:sz w:val="21"/>
        </w:rPr>
        <w:t>（6）</w:t>
      </w:r>
      <w:r>
        <w:rPr>
          <w:rFonts w:hint="eastAsia" w:ascii="Times New Roman"/>
          <w:color w:val="auto"/>
          <w:sz w:val="21"/>
        </w:rPr>
        <w:t>投标文件未提供或未如实提供投标服务的具体内容，或者投标文件标明的响应或偏离与事实不符或虚假投标的；</w:t>
      </w:r>
    </w:p>
    <w:p>
      <w:pPr>
        <w:snapToGrid w:val="0"/>
        <w:spacing w:line="400" w:lineRule="exact"/>
        <w:ind w:firstLine="431" w:firstLineChars="196"/>
        <w:rPr>
          <w:color w:val="auto"/>
        </w:rPr>
      </w:pPr>
      <w:r>
        <w:rPr>
          <w:rFonts w:hint="eastAsia" w:ascii="Times New Roman"/>
          <w:color w:val="auto"/>
        </w:rPr>
        <w:t>（7）</w:t>
      </w:r>
      <w:r>
        <w:rPr>
          <w:rFonts w:hint="eastAsia"/>
          <w:snapToGrid w:val="0"/>
          <w:color w:val="auto"/>
        </w:rPr>
        <w:t>明显不符合招标文件要求的服务内容、质量标准，或者与</w:t>
      </w:r>
      <w:r>
        <w:rPr>
          <w:rFonts w:hint="eastAsia"/>
          <w:color w:val="auto"/>
        </w:rPr>
        <w:t>招标文件中标“★”的技术指标、主要功能项目发生实质性偏离的；</w:t>
      </w:r>
    </w:p>
    <w:p>
      <w:pPr>
        <w:snapToGrid w:val="0"/>
        <w:spacing w:line="400" w:lineRule="exact"/>
        <w:ind w:firstLine="431" w:firstLineChars="196"/>
        <w:rPr>
          <w:color w:val="auto"/>
        </w:rPr>
      </w:pPr>
      <w:r>
        <w:rPr>
          <w:rFonts w:hint="eastAsia"/>
          <w:color w:val="auto"/>
        </w:rPr>
        <w:t>（8）</w:t>
      </w:r>
      <w:r>
        <w:rPr>
          <w:rFonts w:hint="eastAsia" w:ascii="Times New Roman"/>
          <w:color w:val="auto"/>
        </w:rPr>
        <w:t>投标文件有采购人不能接受的附加条件的</w:t>
      </w:r>
      <w:r>
        <w:rPr>
          <w:rFonts w:hint="eastAsia"/>
          <w:snapToGrid w:val="0"/>
          <w:color w:val="auto"/>
        </w:rPr>
        <w:t>。</w:t>
      </w:r>
    </w:p>
    <w:p>
      <w:pPr>
        <w:snapToGrid w:val="0"/>
        <w:spacing w:line="420" w:lineRule="exact"/>
        <w:ind w:firstLine="440" w:firstLineChars="200"/>
        <w:rPr>
          <w:color w:val="auto"/>
        </w:rPr>
      </w:pPr>
      <w:r>
        <w:rPr>
          <w:rFonts w:hint="eastAsia"/>
          <w:color w:val="auto"/>
        </w:rPr>
        <w:t>（9）</w:t>
      </w:r>
      <w:r>
        <w:rPr>
          <w:rFonts w:hint="eastAsia"/>
          <w:snapToGrid w:val="0"/>
          <w:color w:val="auto"/>
        </w:rPr>
        <w:t>投标人代表未到场对评标委员会提出的投标文件澄清要求进行澄清或者拒绝评标委员会提出的投标文件澄清要求或者澄清的内容改变了投标文件的实质性内容的。</w:t>
      </w:r>
    </w:p>
    <w:p>
      <w:pPr>
        <w:pStyle w:val="15"/>
        <w:snapToGrid w:val="0"/>
        <w:spacing w:line="400" w:lineRule="exact"/>
        <w:ind w:firstLine="406" w:firstLineChars="200"/>
        <w:rPr>
          <w:rFonts w:hAnsi="宋体"/>
          <w:b/>
          <w:color w:val="auto"/>
          <w:sz w:val="21"/>
        </w:rPr>
      </w:pPr>
      <w:r>
        <w:rPr>
          <w:rFonts w:hint="eastAsia" w:hAnsi="宋体"/>
          <w:b/>
          <w:color w:val="auto"/>
          <w:sz w:val="21"/>
        </w:rPr>
        <w:t>26.3在报价评审时，如发现下列情形之一的，投标文件将被视为无效：</w:t>
      </w:r>
    </w:p>
    <w:p>
      <w:pPr>
        <w:pStyle w:val="15"/>
        <w:snapToGrid w:val="0"/>
        <w:spacing w:line="400" w:lineRule="exact"/>
        <w:ind w:firstLine="395" w:firstLineChars="196"/>
        <w:rPr>
          <w:rFonts w:hAnsi="宋体"/>
          <w:color w:val="auto"/>
          <w:sz w:val="21"/>
        </w:rPr>
      </w:pPr>
      <w:r>
        <w:rPr>
          <w:rFonts w:hint="eastAsia" w:hAnsi="宋体"/>
          <w:color w:val="auto"/>
          <w:sz w:val="21"/>
        </w:rPr>
        <w:t>（1）未采用人民币报价或者未按照招标文件标明的币种报价的；</w:t>
      </w:r>
    </w:p>
    <w:p>
      <w:pPr>
        <w:pStyle w:val="15"/>
        <w:snapToGrid w:val="0"/>
        <w:spacing w:line="400" w:lineRule="exact"/>
        <w:ind w:firstLine="395" w:firstLineChars="196"/>
        <w:rPr>
          <w:rFonts w:hAnsi="宋体"/>
          <w:color w:val="auto"/>
          <w:sz w:val="21"/>
        </w:rPr>
      </w:pPr>
      <w:r>
        <w:rPr>
          <w:rFonts w:hint="eastAsia" w:hAnsi="宋体"/>
          <w:color w:val="auto"/>
          <w:sz w:val="21"/>
        </w:rPr>
        <w:t>（2）报价超出有效报价范围的；</w:t>
      </w:r>
    </w:p>
    <w:p>
      <w:pPr>
        <w:pStyle w:val="15"/>
        <w:snapToGrid w:val="0"/>
        <w:spacing w:line="400" w:lineRule="exact"/>
        <w:ind w:firstLine="395" w:firstLineChars="196"/>
        <w:rPr>
          <w:rFonts w:hAnsi="宋体"/>
          <w:color w:val="auto"/>
          <w:sz w:val="21"/>
        </w:rPr>
      </w:pPr>
      <w:r>
        <w:rPr>
          <w:rFonts w:hint="eastAsia" w:hAnsi="宋体"/>
          <w:color w:val="auto"/>
          <w:sz w:val="21"/>
        </w:rPr>
        <w:t>（3）</w:t>
      </w:r>
      <w:r>
        <w:rPr>
          <w:rFonts w:hint="eastAsia"/>
          <w:color w:val="auto"/>
          <w:sz w:val="21"/>
        </w:rPr>
        <w:t>投标报价不是唯一报价，具有选择性。</w:t>
      </w:r>
    </w:p>
    <w:p>
      <w:pPr>
        <w:pStyle w:val="15"/>
        <w:snapToGrid w:val="0"/>
        <w:spacing w:line="360" w:lineRule="exact"/>
        <w:ind w:firstLine="395" w:firstLineChars="196"/>
        <w:rPr>
          <w:rFonts w:hAnsi="宋体"/>
          <w:color w:val="auto"/>
          <w:sz w:val="21"/>
        </w:rPr>
      </w:pPr>
      <w:r>
        <w:rPr>
          <w:rFonts w:hint="eastAsia"/>
          <w:color w:val="auto"/>
          <w:sz w:val="21"/>
        </w:rPr>
        <w:t>（4）</w:t>
      </w:r>
      <w:r>
        <w:rPr>
          <w:rFonts w:hint="eastAsia" w:hAnsi="宋体"/>
          <w:color w:val="auto"/>
          <w:sz w:val="21"/>
        </w:rPr>
        <w:t>评标委员会认为投标人的报价明显低于其他通过符合性审查投标人的报价，有可能影响服务质量或者不能诚信履约，投标人不能证明其报价合理性的。</w:t>
      </w:r>
    </w:p>
    <w:p>
      <w:pPr>
        <w:pStyle w:val="15"/>
        <w:snapToGrid w:val="0"/>
        <w:spacing w:line="400" w:lineRule="exact"/>
        <w:ind w:firstLine="406" w:firstLineChars="200"/>
        <w:rPr>
          <w:rFonts w:ascii="Times New Roman" w:hAnsi="宋体"/>
          <w:b/>
          <w:color w:val="auto"/>
          <w:sz w:val="21"/>
        </w:rPr>
      </w:pPr>
      <w:r>
        <w:rPr>
          <w:rFonts w:hint="eastAsia" w:ascii="Times New Roman" w:hAnsi="宋体"/>
          <w:b/>
          <w:color w:val="auto"/>
          <w:sz w:val="21"/>
        </w:rPr>
        <w:t>26.4有下列情形之一的视为投标人相互串通投标，投标文件将被视为无效：</w:t>
      </w:r>
    </w:p>
    <w:p>
      <w:pPr>
        <w:pStyle w:val="15"/>
        <w:snapToGrid w:val="0"/>
        <w:spacing w:line="400" w:lineRule="exact"/>
        <w:ind w:firstLine="395" w:firstLineChars="196"/>
        <w:rPr>
          <w:rFonts w:hAnsi="宋体"/>
          <w:color w:val="auto"/>
          <w:sz w:val="21"/>
        </w:rPr>
      </w:pPr>
      <w:r>
        <w:rPr>
          <w:rFonts w:hint="eastAsia" w:hAnsi="宋体"/>
          <w:color w:val="auto"/>
          <w:sz w:val="21"/>
        </w:rPr>
        <w:t>（1）不同投标人的投标文件由同一单位或者个人编制；</w:t>
      </w:r>
    </w:p>
    <w:p>
      <w:pPr>
        <w:pStyle w:val="15"/>
        <w:snapToGrid w:val="0"/>
        <w:spacing w:line="400" w:lineRule="exact"/>
        <w:ind w:firstLine="395" w:firstLineChars="196"/>
        <w:rPr>
          <w:rFonts w:hAnsi="宋体"/>
          <w:color w:val="auto"/>
          <w:sz w:val="21"/>
        </w:rPr>
      </w:pPr>
      <w:r>
        <w:rPr>
          <w:rFonts w:hint="eastAsia" w:hAnsi="宋体"/>
          <w:color w:val="auto"/>
          <w:sz w:val="21"/>
        </w:rPr>
        <w:t>（2）不同投标人委托同一单位或者个人办理投标事宜；</w:t>
      </w:r>
    </w:p>
    <w:p>
      <w:pPr>
        <w:pStyle w:val="15"/>
        <w:snapToGrid w:val="0"/>
        <w:spacing w:line="400" w:lineRule="exact"/>
        <w:ind w:firstLine="395" w:firstLineChars="196"/>
        <w:rPr>
          <w:rFonts w:hAnsi="宋体"/>
          <w:color w:val="auto"/>
          <w:sz w:val="21"/>
        </w:rPr>
      </w:pPr>
      <w:r>
        <w:rPr>
          <w:rFonts w:hint="eastAsia" w:hAnsi="宋体"/>
          <w:color w:val="auto"/>
          <w:sz w:val="21"/>
        </w:rPr>
        <w:t>（3）不同的投标人的投标文件载明的项目管理成员或者联系人为同一人；</w:t>
      </w:r>
    </w:p>
    <w:p>
      <w:pPr>
        <w:pStyle w:val="15"/>
        <w:snapToGrid w:val="0"/>
        <w:spacing w:line="400" w:lineRule="exact"/>
        <w:ind w:firstLine="395" w:firstLineChars="196"/>
        <w:rPr>
          <w:rFonts w:hAnsi="宋体"/>
          <w:color w:val="auto"/>
          <w:sz w:val="21"/>
        </w:rPr>
      </w:pPr>
      <w:r>
        <w:rPr>
          <w:rFonts w:hint="eastAsia" w:hAnsi="宋体"/>
          <w:color w:val="auto"/>
          <w:sz w:val="21"/>
        </w:rPr>
        <w:t>（4）不同投标人的投标文件异常一致或投标报价呈规律性差异；</w:t>
      </w:r>
    </w:p>
    <w:p>
      <w:pPr>
        <w:pStyle w:val="15"/>
        <w:snapToGrid w:val="0"/>
        <w:spacing w:line="400" w:lineRule="exact"/>
        <w:ind w:firstLine="395" w:firstLineChars="196"/>
        <w:rPr>
          <w:rFonts w:hAnsi="宋体"/>
          <w:color w:val="auto"/>
          <w:sz w:val="21"/>
        </w:rPr>
      </w:pPr>
      <w:r>
        <w:rPr>
          <w:rFonts w:hint="eastAsia" w:hAnsi="宋体"/>
          <w:color w:val="auto"/>
          <w:sz w:val="21"/>
        </w:rPr>
        <w:t>（5）不同投标人的投标文件相互混装；</w:t>
      </w:r>
    </w:p>
    <w:p>
      <w:pPr>
        <w:pStyle w:val="15"/>
        <w:snapToGrid w:val="0"/>
        <w:spacing w:line="400" w:lineRule="exact"/>
        <w:ind w:firstLine="395" w:firstLineChars="196"/>
        <w:rPr>
          <w:rFonts w:hAnsi="宋体"/>
          <w:color w:val="auto"/>
          <w:sz w:val="21"/>
        </w:rPr>
      </w:pPr>
      <w:r>
        <w:rPr>
          <w:rFonts w:hint="eastAsia" w:hAnsi="宋体"/>
          <w:color w:val="auto"/>
          <w:sz w:val="21"/>
        </w:rPr>
        <w:t>（6）不同投标人的投标保证金从同一单位或者个人账户转出。</w:t>
      </w:r>
    </w:p>
    <w:p>
      <w:pPr>
        <w:spacing w:line="400" w:lineRule="exact"/>
        <w:ind w:firstLine="433" w:firstLineChars="196"/>
        <w:rPr>
          <w:rFonts w:ascii="Times New Roman"/>
          <w:b/>
          <w:color w:val="auto"/>
        </w:rPr>
      </w:pPr>
      <w:r>
        <w:rPr>
          <w:rFonts w:hint="eastAsia" w:ascii="Times New Roman"/>
          <w:b/>
          <w:color w:val="auto"/>
        </w:rPr>
        <w:t>26.5关联供应商不得参加同一合同项下政府采购活动，否则投标文件将被视为无效</w:t>
      </w:r>
    </w:p>
    <w:p>
      <w:pPr>
        <w:pStyle w:val="15"/>
        <w:snapToGrid w:val="0"/>
        <w:spacing w:line="400" w:lineRule="exact"/>
        <w:ind w:firstLine="395" w:firstLineChars="196"/>
        <w:rPr>
          <w:rFonts w:hAnsi="宋体"/>
          <w:color w:val="auto"/>
          <w:sz w:val="21"/>
        </w:rPr>
      </w:pPr>
      <w:r>
        <w:rPr>
          <w:rFonts w:hint="eastAsia" w:hAnsi="宋体"/>
          <w:color w:val="auto"/>
          <w:sz w:val="21"/>
        </w:rPr>
        <w:t>（1）单位负责人为同一人或者存在直接控股、管理关系的不同的供应商，不得参加同一合同项下的政府采购活动。</w:t>
      </w:r>
    </w:p>
    <w:p>
      <w:pPr>
        <w:pStyle w:val="16"/>
        <w:snapToGrid w:val="0"/>
        <w:spacing w:line="380" w:lineRule="exact"/>
        <w:ind w:left="2" w:leftChars="1" w:firstLine="440" w:firstLineChars="200"/>
        <w:rPr>
          <w:rFonts w:ascii="仿宋_GB2312" w:hAnsi="宋体" w:eastAsia="仿宋_GB2312"/>
          <w:color w:val="auto"/>
          <w:sz w:val="24"/>
        </w:rPr>
      </w:pPr>
      <w:r>
        <w:rPr>
          <w:rFonts w:hint="eastAsia"/>
          <w:color w:val="auto"/>
        </w:rPr>
        <w:t>（2）生产厂商授权给供应商后自己不得参加同一合同项下的政府采购活动；生产厂商对同一品牌同一型号的货物，仅能委托一个代理商参加投标。</w:t>
      </w:r>
    </w:p>
    <w:p>
      <w:pPr>
        <w:pStyle w:val="15"/>
        <w:snapToGrid w:val="0"/>
        <w:spacing w:line="400" w:lineRule="exact"/>
        <w:ind w:firstLine="398" w:firstLineChars="196"/>
        <w:rPr>
          <w:rFonts w:hAnsi="宋体"/>
          <w:b/>
          <w:color w:val="auto"/>
          <w:sz w:val="21"/>
        </w:rPr>
      </w:pPr>
      <w:r>
        <w:rPr>
          <w:rFonts w:hint="eastAsia" w:hAnsi="宋体"/>
          <w:b/>
          <w:color w:val="auto"/>
          <w:sz w:val="21"/>
        </w:rPr>
        <w:t>26.6被拒绝的投标文件为无效。</w:t>
      </w:r>
    </w:p>
    <w:p>
      <w:pPr>
        <w:pStyle w:val="16"/>
        <w:spacing w:line="420" w:lineRule="exact"/>
        <w:ind w:firstLine="433" w:firstLineChars="196"/>
        <w:rPr>
          <w:rFonts w:hAnsi="宋体"/>
          <w:b/>
          <w:color w:val="auto"/>
        </w:rPr>
      </w:pPr>
      <w:r>
        <w:rPr>
          <w:rFonts w:hint="eastAsia" w:hAnsi="宋体"/>
          <w:b/>
          <w:color w:val="auto"/>
        </w:rPr>
        <w:t>27、投标截止后投标人不足3家或者通过资格审查或符合性审查的投标人不足3家的，除采购任务取消情形外，按照以下方式处理：</w:t>
      </w:r>
    </w:p>
    <w:p>
      <w:pPr>
        <w:pStyle w:val="16"/>
        <w:spacing w:line="420" w:lineRule="exact"/>
        <w:ind w:firstLine="440" w:firstLineChars="200"/>
        <w:rPr>
          <w:rFonts w:hAnsi="宋体"/>
          <w:color w:val="auto"/>
        </w:rPr>
      </w:pPr>
      <w:r>
        <w:rPr>
          <w:rFonts w:hint="eastAsia" w:hAnsi="宋体"/>
          <w:color w:val="auto"/>
        </w:rPr>
        <w:t>（1）招标文件存在不合理条款或者招标程序不符合规定的，采购人、采购代理机构改正后依法重新招标；</w:t>
      </w:r>
    </w:p>
    <w:p>
      <w:pPr>
        <w:pStyle w:val="16"/>
        <w:spacing w:line="420" w:lineRule="exact"/>
        <w:ind w:firstLine="440" w:firstLineChars="200"/>
        <w:rPr>
          <w:rFonts w:hAnsi="宋体"/>
          <w:color w:val="auto"/>
        </w:rPr>
      </w:pPr>
      <w:r>
        <w:rPr>
          <w:rFonts w:hint="eastAsia" w:hAnsi="宋体"/>
          <w:color w:val="auto"/>
        </w:rPr>
        <w:t>（2）招标文件没有不合理条款、招标程序符合规定，需要采用其他采购方式采购的，采购人应当依法报有关部门批准。</w:t>
      </w:r>
    </w:p>
    <w:p>
      <w:pPr>
        <w:pStyle w:val="4"/>
        <w:rPr>
          <w:color w:val="auto"/>
        </w:rPr>
      </w:pPr>
      <w:bookmarkStart w:id="121" w:name="_Toc22643"/>
      <w:bookmarkStart w:id="122" w:name="_Toc1816"/>
      <w:r>
        <w:rPr>
          <w:rFonts w:hint="eastAsia"/>
          <w:color w:val="auto"/>
        </w:rPr>
        <w:t>七、评标过程的监控</w:t>
      </w:r>
      <w:bookmarkEnd w:id="121"/>
      <w:bookmarkEnd w:id="122"/>
    </w:p>
    <w:p>
      <w:pPr>
        <w:pStyle w:val="16"/>
        <w:snapToGrid w:val="0"/>
        <w:spacing w:line="420" w:lineRule="exact"/>
        <w:ind w:firstLine="550" w:firstLineChars="250"/>
        <w:rPr>
          <w:rFonts w:hAnsi="宋体"/>
          <w:color w:val="auto"/>
        </w:rPr>
      </w:pPr>
      <w:r>
        <w:rPr>
          <w:rFonts w:hint="eastAsia" w:hAnsi="宋体"/>
          <w:color w:val="auto"/>
        </w:rPr>
        <w:t>28、本项目评标过程实行全程录音、录像监控，投标人在评标过程中所进行的试图影响评标结果的不公正活动，可能导致其投标被拒绝。</w:t>
      </w:r>
    </w:p>
    <w:p>
      <w:pPr>
        <w:pStyle w:val="4"/>
        <w:rPr>
          <w:color w:val="auto"/>
        </w:rPr>
      </w:pPr>
      <w:bookmarkStart w:id="123" w:name="_Toc254970687"/>
      <w:bookmarkStart w:id="124" w:name="_Toc12"/>
      <w:bookmarkStart w:id="125" w:name="_Toc254970546"/>
      <w:bookmarkStart w:id="126" w:name="_Toc8540"/>
      <w:r>
        <w:rPr>
          <w:rFonts w:hint="eastAsia"/>
          <w:color w:val="auto"/>
        </w:rPr>
        <w:t>八、评标结果</w:t>
      </w:r>
      <w:bookmarkEnd w:id="123"/>
      <w:bookmarkEnd w:id="124"/>
      <w:bookmarkEnd w:id="125"/>
      <w:bookmarkEnd w:id="126"/>
    </w:p>
    <w:p>
      <w:pPr>
        <w:pStyle w:val="16"/>
        <w:spacing w:line="420" w:lineRule="exact"/>
        <w:ind w:firstLine="550" w:firstLineChars="250"/>
        <w:rPr>
          <w:rFonts w:hAnsi="宋体"/>
          <w:color w:val="auto"/>
        </w:rPr>
      </w:pPr>
      <w:r>
        <w:rPr>
          <w:rFonts w:hint="eastAsia" w:hAnsi="宋体"/>
          <w:color w:val="auto"/>
        </w:rPr>
        <w:t>29、采购代理机构将在评标结束后2个工作日内将评标报告送采购人。采购人自收到评标报告之日起5个工作日内，在评标报告推荐的中标候选人中按顺序确定中标人。中标候选人并列的，由采购人或采购人委托评标委员会按照招标文件规定的方式确定中标人；招标文件未规定的，采取随机抽取的方式确定。</w:t>
      </w:r>
    </w:p>
    <w:p>
      <w:pPr>
        <w:pStyle w:val="16"/>
        <w:spacing w:line="420" w:lineRule="exact"/>
        <w:ind w:firstLine="434"/>
        <w:rPr>
          <w:rFonts w:hAnsi="宋体"/>
          <w:color w:val="auto"/>
        </w:rPr>
      </w:pPr>
      <w:r>
        <w:rPr>
          <w:rFonts w:hint="eastAsia" w:hAnsi="宋体"/>
          <w:color w:val="auto"/>
        </w:rPr>
        <w:t>30、中标人确定后，采购代理机构在2个工作日内在招标公告发布的媒体发布中标公告。</w:t>
      </w:r>
    </w:p>
    <w:p>
      <w:pPr>
        <w:pStyle w:val="16"/>
        <w:spacing w:line="420" w:lineRule="exact"/>
        <w:ind w:firstLine="434"/>
        <w:rPr>
          <w:rFonts w:hAnsi="宋体"/>
          <w:color w:val="auto"/>
        </w:rPr>
      </w:pPr>
      <w:r>
        <w:rPr>
          <w:rFonts w:hint="eastAsia" w:hAnsi="宋体"/>
          <w:color w:val="auto"/>
        </w:rPr>
        <w:t>31、在发布中标公告的同时，采购代理机构向中标人发出中标通知书。</w:t>
      </w:r>
    </w:p>
    <w:p>
      <w:pPr>
        <w:pStyle w:val="16"/>
        <w:spacing w:line="420" w:lineRule="exact"/>
        <w:ind w:firstLine="440" w:firstLineChars="200"/>
        <w:rPr>
          <w:rFonts w:hAnsi="宋体"/>
          <w:color w:val="auto"/>
        </w:rPr>
      </w:pPr>
      <w:r>
        <w:rPr>
          <w:rFonts w:hint="eastAsia" w:hAnsi="宋体"/>
          <w:color w:val="auto"/>
        </w:rPr>
        <w:t>32、中标通知书发出后，采购人不得违法改变中标结果，中标人无正当理由不得放弃中标。</w:t>
      </w:r>
    </w:p>
    <w:p>
      <w:pPr>
        <w:pStyle w:val="4"/>
        <w:rPr>
          <w:color w:val="auto"/>
        </w:rPr>
      </w:pPr>
      <w:bookmarkStart w:id="127" w:name="_Toc23929"/>
      <w:bookmarkStart w:id="128" w:name="_Toc12067"/>
      <w:r>
        <w:rPr>
          <w:rFonts w:hint="eastAsia"/>
          <w:color w:val="auto"/>
        </w:rPr>
        <w:t>九 、签订合同</w:t>
      </w:r>
      <w:bookmarkEnd w:id="127"/>
      <w:bookmarkEnd w:id="128"/>
    </w:p>
    <w:p>
      <w:pPr>
        <w:pStyle w:val="16"/>
        <w:spacing w:line="420" w:lineRule="exact"/>
        <w:ind w:firstLine="434"/>
        <w:rPr>
          <w:rFonts w:hAnsi="宋体"/>
          <w:b/>
          <w:color w:val="auto"/>
        </w:rPr>
      </w:pPr>
      <w:r>
        <w:rPr>
          <w:rFonts w:hint="eastAsia" w:hAnsi="宋体"/>
          <w:b/>
          <w:color w:val="auto"/>
        </w:rPr>
        <w:t>33、履约保证金</w:t>
      </w:r>
    </w:p>
    <w:p>
      <w:pPr>
        <w:pStyle w:val="16"/>
        <w:spacing w:line="420" w:lineRule="exact"/>
        <w:ind w:firstLine="434"/>
        <w:rPr>
          <w:rFonts w:hAnsi="宋体"/>
          <w:color w:val="auto"/>
        </w:rPr>
      </w:pPr>
      <w:r>
        <w:rPr>
          <w:rFonts w:hint="eastAsia" w:hAnsi="宋体"/>
          <w:color w:val="auto"/>
        </w:rPr>
        <w:t>33.1如“投标须知前附表”要求缴纳履约保证金的，在签订合同前，中标人应按“投标须知前附表”规定的金额、缴纳形式向招标采购单位提交履约保证金。联合体中标的，其履约保证金由牵头人递交，并应符合“投标须知前附表”规定的金额、缴纳形式要求。中标人不能按要求提交履约保证金的，视为放弃中标，采购人有权没收其保证金，给采购人造成的损失超过保证金数额的，中标人还应当对超过部分予以赔偿。</w:t>
      </w:r>
    </w:p>
    <w:p>
      <w:pPr>
        <w:pStyle w:val="16"/>
        <w:spacing w:line="420" w:lineRule="exact"/>
        <w:ind w:firstLine="434"/>
        <w:rPr>
          <w:rFonts w:hAnsi="宋体"/>
          <w:color w:val="auto"/>
        </w:rPr>
      </w:pPr>
      <w:r>
        <w:rPr>
          <w:rFonts w:hint="eastAsia" w:hAnsi="宋体"/>
          <w:color w:val="auto"/>
        </w:rPr>
        <w:t>33.2签订合同后，如中标人不按双方签订的合同规定履约，则其全部履约保证金不予退还，履约保证金不足以赔偿损失的，按实际损失赔偿。</w:t>
      </w:r>
    </w:p>
    <w:p>
      <w:pPr>
        <w:pStyle w:val="16"/>
        <w:spacing w:line="420" w:lineRule="exact"/>
        <w:ind w:firstLine="434"/>
        <w:rPr>
          <w:rFonts w:hAnsi="宋体"/>
          <w:color w:val="auto"/>
        </w:rPr>
      </w:pPr>
      <w:r>
        <w:rPr>
          <w:rFonts w:hint="eastAsia" w:hAnsi="宋体"/>
          <w:color w:val="auto"/>
        </w:rPr>
        <w:t>33.3中标人按合同约定交货验收合格后，提交政府采购项目合同验收报告（格式见附件1），填写履约保证金退付意见书并经采购人确认后，履约保证金由采购代理机构以银行转帐方式按履约保证金退付意见书上双方明确的金额退还（不计利息）。履约保证金也可以转为项目质保金。</w:t>
      </w:r>
    </w:p>
    <w:p>
      <w:pPr>
        <w:pStyle w:val="16"/>
        <w:spacing w:line="420" w:lineRule="exact"/>
        <w:ind w:firstLine="434"/>
        <w:rPr>
          <w:rFonts w:hAnsi="宋体"/>
          <w:color w:val="auto"/>
        </w:rPr>
      </w:pPr>
      <w:r>
        <w:rPr>
          <w:rFonts w:hint="eastAsia" w:hAnsi="宋体"/>
          <w:color w:val="auto"/>
        </w:rPr>
        <w:t>33.4在履约保证金退还日期前，若中标人的开户名称、开户银行、帐号有变动的，请以书面形式通知采购代理机构，否则由此产生的后果由中标人自负。</w:t>
      </w:r>
    </w:p>
    <w:p>
      <w:pPr>
        <w:pStyle w:val="16"/>
        <w:spacing w:line="420" w:lineRule="exact"/>
        <w:ind w:firstLine="433" w:firstLineChars="196"/>
        <w:rPr>
          <w:rFonts w:hAnsi="宋体"/>
          <w:color w:val="auto"/>
        </w:rPr>
      </w:pPr>
      <w:r>
        <w:rPr>
          <w:rFonts w:hint="eastAsia" w:hAnsi="宋体"/>
          <w:b/>
          <w:color w:val="auto"/>
        </w:rPr>
        <w:t>34、签订合同</w:t>
      </w:r>
    </w:p>
    <w:p>
      <w:pPr>
        <w:pStyle w:val="16"/>
        <w:spacing w:line="420" w:lineRule="exact"/>
        <w:ind w:firstLine="426"/>
        <w:rPr>
          <w:rFonts w:hAnsi="宋体"/>
          <w:color w:val="auto"/>
        </w:rPr>
      </w:pPr>
      <w:r>
        <w:rPr>
          <w:rFonts w:hint="eastAsia" w:hAnsi="宋体"/>
          <w:color w:val="auto"/>
        </w:rPr>
        <w:t>34.1投标人接到中标通知书后，应按中标通知书规定的时间、地点与采购人签订合同。</w:t>
      </w:r>
    </w:p>
    <w:p>
      <w:pPr>
        <w:pStyle w:val="16"/>
        <w:spacing w:line="420" w:lineRule="exact"/>
        <w:ind w:firstLine="426"/>
        <w:rPr>
          <w:rFonts w:hAnsi="宋体"/>
          <w:color w:val="auto"/>
        </w:rPr>
      </w:pPr>
      <w:r>
        <w:rPr>
          <w:rFonts w:hint="eastAsia" w:hAnsi="宋体"/>
          <w:color w:val="auto"/>
        </w:rPr>
        <w:t>34.2如中标人不按中标通知书的规定签订合同，则按中标人违约处理，采购代理机构将没收中标人投标的全部投标保证金并上缴同级财政国库。</w:t>
      </w:r>
    </w:p>
    <w:p>
      <w:pPr>
        <w:pStyle w:val="16"/>
        <w:spacing w:line="420" w:lineRule="exact"/>
        <w:ind w:firstLine="440" w:firstLineChars="200"/>
        <w:outlineLvl w:val="0"/>
        <w:rPr>
          <w:rFonts w:hAnsi="宋体"/>
          <w:color w:val="auto"/>
        </w:rPr>
      </w:pPr>
      <w:bookmarkStart w:id="129" w:name="_Toc9530"/>
      <w:bookmarkStart w:id="130" w:name="_Toc5250"/>
      <w:bookmarkStart w:id="131" w:name="_Toc16949"/>
      <w:bookmarkStart w:id="132" w:name="_Toc7233"/>
      <w:r>
        <w:rPr>
          <w:rFonts w:hint="eastAsia" w:hAnsi="宋体"/>
          <w:color w:val="auto"/>
        </w:rPr>
        <w:t>34.3中标人因不可抗力或者自身原因不能履行采购合同的，采购人可以与中标人之后排名第一的中标候选供应商签订采购合同，以此类推。采购人也可以重新开展政府采购活动。</w:t>
      </w:r>
      <w:bookmarkEnd w:id="129"/>
      <w:bookmarkEnd w:id="130"/>
      <w:bookmarkEnd w:id="131"/>
      <w:bookmarkEnd w:id="132"/>
    </w:p>
    <w:p>
      <w:pPr>
        <w:pStyle w:val="16"/>
        <w:spacing w:line="420" w:lineRule="exact"/>
        <w:ind w:firstLine="440" w:firstLineChars="200"/>
        <w:outlineLvl w:val="0"/>
        <w:rPr>
          <w:rFonts w:hAnsi="宋体"/>
          <w:color w:val="auto"/>
        </w:rPr>
      </w:pPr>
      <w:bookmarkStart w:id="133" w:name="_Toc8750"/>
      <w:bookmarkStart w:id="134" w:name="_Toc2800"/>
      <w:bookmarkStart w:id="135" w:name="_Toc3568"/>
      <w:bookmarkStart w:id="136" w:name="_Toc6627"/>
      <w:r>
        <w:rPr>
          <w:rFonts w:hint="eastAsia" w:hAnsi="宋体"/>
          <w:color w:val="auto"/>
        </w:rPr>
        <w:t>34.4</w:t>
      </w:r>
      <w:r>
        <w:rPr>
          <w:rFonts w:hint="eastAsia" w:hAnsi="宋体"/>
          <w:color w:val="auto"/>
          <w:lang w:val="en-US"/>
        </w:rPr>
        <w:t xml:space="preserve"> </w:t>
      </w:r>
      <w:r>
        <w:rPr>
          <w:rFonts w:hint="eastAsia" w:hAnsi="宋体"/>
          <w:color w:val="auto"/>
        </w:rPr>
        <w:t>采购合同公告</w:t>
      </w:r>
      <w:bookmarkEnd w:id="133"/>
      <w:bookmarkEnd w:id="134"/>
      <w:bookmarkEnd w:id="135"/>
      <w:bookmarkEnd w:id="136"/>
    </w:p>
    <w:p>
      <w:pPr>
        <w:pStyle w:val="16"/>
        <w:spacing w:line="420" w:lineRule="exact"/>
        <w:ind w:firstLine="440" w:firstLineChars="200"/>
        <w:outlineLvl w:val="0"/>
        <w:rPr>
          <w:rFonts w:hAnsi="宋体"/>
          <w:color w:val="auto"/>
        </w:rPr>
      </w:pPr>
      <w:bookmarkStart w:id="137" w:name="_Toc27972"/>
      <w:bookmarkStart w:id="138" w:name="_Toc1388"/>
      <w:bookmarkStart w:id="139" w:name="_Toc22415"/>
      <w:bookmarkStart w:id="140" w:name="_Toc3460"/>
      <w:r>
        <w:rPr>
          <w:rFonts w:hint="eastAsia" w:hAnsi="宋体"/>
          <w:color w:val="auto"/>
        </w:rPr>
        <w:t>根据《中华人民共和国政府采购法实施条例》第五十条规定，采购人应当自采购合同签订之日起2个工作日内，将政府采购合同在省级以上人民政府财政部门指定的媒体上公告，但政府采购合同中涉及国家秘密、商业秘密的内容除外。</w:t>
      </w:r>
      <w:bookmarkEnd w:id="137"/>
      <w:bookmarkEnd w:id="138"/>
      <w:bookmarkEnd w:id="139"/>
      <w:bookmarkEnd w:id="140"/>
    </w:p>
    <w:p>
      <w:pPr>
        <w:pStyle w:val="4"/>
        <w:rPr>
          <w:color w:val="auto"/>
        </w:rPr>
      </w:pPr>
      <w:bookmarkStart w:id="141" w:name="_Toc27862"/>
      <w:bookmarkStart w:id="142" w:name="_Toc10818"/>
      <w:r>
        <w:rPr>
          <w:rFonts w:hint="eastAsia"/>
          <w:color w:val="auto"/>
        </w:rPr>
        <w:t>十、其他事项</w:t>
      </w:r>
      <w:bookmarkEnd w:id="141"/>
      <w:bookmarkEnd w:id="142"/>
    </w:p>
    <w:p>
      <w:pPr>
        <w:pStyle w:val="16"/>
        <w:spacing w:line="420" w:lineRule="exact"/>
        <w:ind w:firstLine="433" w:firstLineChars="196"/>
        <w:rPr>
          <w:rFonts w:hAnsi="宋体"/>
          <w:b/>
          <w:color w:val="auto"/>
        </w:rPr>
      </w:pPr>
      <w:r>
        <w:rPr>
          <w:rFonts w:hint="eastAsia" w:hAnsi="宋体"/>
          <w:b/>
          <w:color w:val="auto"/>
        </w:rPr>
        <w:t>35、代理服务费</w:t>
      </w:r>
    </w:p>
    <w:p>
      <w:pPr>
        <w:pStyle w:val="16"/>
        <w:spacing w:line="420" w:lineRule="exact"/>
        <w:ind w:firstLine="440" w:firstLineChars="200"/>
        <w:rPr>
          <w:rFonts w:hAnsi="宋体"/>
          <w:color w:val="auto"/>
        </w:rPr>
      </w:pPr>
      <w:r>
        <w:rPr>
          <w:rFonts w:hint="eastAsia" w:hAnsi="宋体"/>
          <w:color w:val="auto"/>
        </w:rPr>
        <w:t>35.1代理服务费由中标人向采购代理机构支付。签订合同前，中标人应向采购代理机构一次付清代理服务费。</w:t>
      </w:r>
    </w:p>
    <w:p>
      <w:pPr>
        <w:pStyle w:val="16"/>
        <w:spacing w:line="420" w:lineRule="exact"/>
        <w:ind w:firstLine="440" w:firstLineChars="200"/>
        <w:rPr>
          <w:rFonts w:hAnsi="宋体"/>
          <w:color w:val="auto"/>
        </w:rPr>
      </w:pPr>
      <w:r>
        <w:rPr>
          <w:rFonts w:hint="eastAsia" w:hAnsi="宋体"/>
          <w:color w:val="auto"/>
        </w:rPr>
        <w:t>35.2代理服务收费标准：按广西壮族自治区物价局转发国家发展改革委关于降低部分建设项目收费标准规范收费行为等有关问题的通知（桂价费〔2011〕55号）计取。</w:t>
      </w:r>
    </w:p>
    <w:p>
      <w:pPr>
        <w:pStyle w:val="16"/>
        <w:spacing w:line="420" w:lineRule="exact"/>
        <w:rPr>
          <w:rFonts w:hAnsi="宋体"/>
          <w:b/>
          <w:color w:val="auto"/>
        </w:rPr>
      </w:pPr>
      <w:r>
        <w:rPr>
          <w:rFonts w:hint="eastAsia" w:hAnsi="宋体"/>
          <w:b/>
          <w:color w:val="auto"/>
        </w:rPr>
        <w:t xml:space="preserve"> </w:t>
      </w:r>
      <w:r>
        <w:rPr>
          <w:rFonts w:hint="eastAsia" w:hAnsi="宋体"/>
          <w:b/>
          <w:color w:val="auto"/>
          <w:lang w:val="en-US"/>
        </w:rPr>
        <w:t xml:space="preserve">   </w:t>
      </w:r>
      <w:r>
        <w:rPr>
          <w:rFonts w:hint="eastAsia" w:hAnsi="宋体"/>
          <w:b/>
          <w:color w:val="auto"/>
        </w:rPr>
        <w:t>36、解释权</w:t>
      </w:r>
    </w:p>
    <w:p>
      <w:pPr>
        <w:pStyle w:val="16"/>
        <w:spacing w:line="420" w:lineRule="exact"/>
        <w:ind w:firstLine="440" w:firstLineChars="200"/>
        <w:rPr>
          <w:rFonts w:hAnsi="宋体"/>
          <w:color w:val="auto"/>
        </w:rPr>
      </w:pPr>
      <w:r>
        <w:rPr>
          <w:rFonts w:hint="eastAsia" w:hAnsi="宋体"/>
          <w:color w:val="auto"/>
        </w:rPr>
        <w:t>见“投标人须知前附表”。</w:t>
      </w:r>
    </w:p>
    <w:p>
      <w:pPr>
        <w:pStyle w:val="16"/>
        <w:spacing w:line="420" w:lineRule="exact"/>
        <w:ind w:firstLine="442" w:firstLineChars="200"/>
        <w:rPr>
          <w:rFonts w:hAnsi="宋体"/>
          <w:b/>
          <w:color w:val="auto"/>
        </w:rPr>
      </w:pPr>
      <w:r>
        <w:rPr>
          <w:rFonts w:hint="eastAsia" w:hAnsi="宋体"/>
          <w:b/>
          <w:color w:val="auto"/>
        </w:rPr>
        <w:t>37、其他</w:t>
      </w:r>
    </w:p>
    <w:p>
      <w:pPr>
        <w:pStyle w:val="16"/>
        <w:spacing w:line="420" w:lineRule="exact"/>
        <w:ind w:firstLine="440" w:firstLineChars="200"/>
        <w:rPr>
          <w:rFonts w:hAnsi="宋体"/>
          <w:color w:val="auto"/>
        </w:rPr>
      </w:pPr>
      <w:r>
        <w:rPr>
          <w:rFonts w:hint="eastAsia" w:hAnsi="宋体"/>
          <w:color w:val="auto"/>
        </w:rPr>
        <w:t>见“投标人须知前附表”。</w:t>
      </w:r>
    </w:p>
    <w:p>
      <w:pPr>
        <w:pStyle w:val="16"/>
        <w:spacing w:line="420" w:lineRule="exact"/>
        <w:ind w:firstLine="440" w:firstLineChars="200"/>
        <w:rPr>
          <w:rFonts w:hAnsi="宋体"/>
          <w:color w:val="auto"/>
        </w:rPr>
      </w:pPr>
      <w:r>
        <w:rPr>
          <w:rFonts w:hint="eastAsia" w:hAnsi="宋体"/>
          <w:color w:val="auto"/>
        </w:rPr>
        <w:br w:type="page"/>
      </w:r>
    </w:p>
    <w:p>
      <w:pPr>
        <w:pStyle w:val="16"/>
        <w:jc w:val="center"/>
        <w:outlineLvl w:val="0"/>
        <w:rPr>
          <w:b/>
          <w:bCs/>
          <w:color w:val="auto"/>
          <w:sz w:val="36"/>
        </w:rPr>
      </w:pPr>
      <w:bookmarkStart w:id="143" w:name="_Toc13043"/>
      <w:bookmarkStart w:id="144" w:name="_Toc9573"/>
      <w:bookmarkStart w:id="145" w:name="_Toc23822_WPSOffice_Level1"/>
      <w:bookmarkStart w:id="146" w:name="_Toc16802"/>
      <w:r>
        <w:rPr>
          <w:rStyle w:val="44"/>
          <w:rFonts w:hint="eastAsia"/>
          <w:color w:val="auto"/>
        </w:rPr>
        <w:t xml:space="preserve">第四章  </w:t>
      </w:r>
      <w:bookmarkEnd w:id="11"/>
      <w:bookmarkEnd w:id="12"/>
      <w:bookmarkEnd w:id="13"/>
      <w:bookmarkEnd w:id="14"/>
      <w:r>
        <w:rPr>
          <w:rStyle w:val="44"/>
          <w:rFonts w:hint="eastAsia"/>
          <w:color w:val="auto"/>
        </w:rPr>
        <w:t>评标办法及评分标准</w:t>
      </w:r>
      <w:bookmarkEnd w:id="143"/>
      <w:bookmarkEnd w:id="144"/>
      <w:bookmarkEnd w:id="145"/>
      <w:bookmarkEnd w:id="146"/>
    </w:p>
    <w:p>
      <w:pPr>
        <w:widowControl/>
        <w:spacing w:line="360" w:lineRule="atLeast"/>
        <w:jc w:val="center"/>
        <w:rPr>
          <w:color w:val="auto"/>
          <w:sz w:val="28"/>
          <w:szCs w:val="28"/>
        </w:rPr>
      </w:pPr>
      <w:r>
        <w:rPr>
          <w:rFonts w:hint="eastAsia"/>
          <w:b/>
          <w:bCs/>
          <w:color w:val="auto"/>
          <w:sz w:val="28"/>
          <w:szCs w:val="28"/>
          <w:lang w:val="en-US" w:eastAsia="zh-CN"/>
        </w:rPr>
        <w:t xml:space="preserve">    </w:t>
      </w:r>
      <w:r>
        <w:rPr>
          <w:rFonts w:hint="eastAsia"/>
          <w:b/>
          <w:bCs/>
          <w:color w:val="auto"/>
          <w:sz w:val="28"/>
          <w:szCs w:val="28"/>
        </w:rPr>
        <w:t>综合评分法</w:t>
      </w:r>
    </w:p>
    <w:p>
      <w:pPr>
        <w:pStyle w:val="16"/>
        <w:spacing w:line="360" w:lineRule="auto"/>
        <w:rPr>
          <w:rFonts w:hAnsi="宋体"/>
          <w:color w:val="auto"/>
        </w:rPr>
      </w:pPr>
      <w:r>
        <w:rPr>
          <w:rFonts w:hint="eastAsia" w:hAnsi="宋体"/>
          <w:color w:val="auto"/>
        </w:rPr>
        <w:t>一、评标原则</w:t>
      </w:r>
    </w:p>
    <w:p>
      <w:pPr>
        <w:pStyle w:val="16"/>
        <w:spacing w:line="360" w:lineRule="auto"/>
        <w:ind w:firstLine="303" w:firstLineChars="138"/>
        <w:rPr>
          <w:rFonts w:hAnsi="宋体"/>
          <w:color w:val="auto"/>
        </w:rPr>
      </w:pPr>
      <w:r>
        <w:rPr>
          <w:rFonts w:hint="eastAsia" w:hAnsi="宋体"/>
          <w:color w:val="auto"/>
        </w:rPr>
        <w:t>1、评标依据：评标委员会将以招投标文件为评标依据，对投标人的投标报价、技术、商务等方面内容按百分制打分。</w:t>
      </w:r>
    </w:p>
    <w:p>
      <w:pPr>
        <w:pStyle w:val="16"/>
        <w:spacing w:line="360" w:lineRule="auto"/>
        <w:ind w:firstLine="303" w:firstLineChars="138"/>
        <w:rPr>
          <w:rFonts w:hAnsi="宋体"/>
          <w:color w:val="auto"/>
        </w:rPr>
      </w:pPr>
      <w:r>
        <w:rPr>
          <w:rFonts w:hint="eastAsia" w:hAnsi="宋体"/>
          <w:color w:val="auto"/>
        </w:rPr>
        <w:t>2、对于非专门面向中小微企业的项目，按照《政府采购促进中小企业发展暂行办法》（财库[2011]181号），投标单位认定为小型和微型企业的（以投标文件提供的《中小企业声明函》原件或中小企业主管部门出具的相关证明文件为准），对投标价给予</w:t>
      </w:r>
      <w:r>
        <w:rPr>
          <w:rFonts w:hint="eastAsia" w:hAnsi="宋体"/>
          <w:color w:val="auto"/>
          <w:lang w:val="en-US"/>
        </w:rPr>
        <w:t>10</w:t>
      </w:r>
      <w:r>
        <w:rPr>
          <w:rFonts w:hint="eastAsia" w:hAnsi="宋体"/>
          <w:color w:val="auto"/>
        </w:rPr>
        <w:t>%的扣除，扣除后的价格为评标报价，即评标报价=投标价×（1-</w:t>
      </w:r>
      <w:r>
        <w:rPr>
          <w:rFonts w:hint="eastAsia" w:hAnsi="宋体"/>
          <w:color w:val="auto"/>
          <w:lang w:val="en-US"/>
        </w:rPr>
        <w:t>10</w:t>
      </w:r>
      <w:r>
        <w:rPr>
          <w:rFonts w:hint="eastAsia" w:hAnsi="宋体"/>
          <w:color w:val="auto"/>
        </w:rPr>
        <w:t>%）；大中型企业与小型、微型企业组成联合体投标，其中小型、微型企业的协议合同金额占到联合体协议合同总金额30%以上的，联合体投标价给予2%的扣除，扣除后的价格为评标价，即评标报价=投标价×（1-2%）；除上述情况外，评标报价=投标价。按照《财政部、司法部关于政府采购支持监狱企业发展有关问题的通知》（财库〔2014〕68号）之规定，监狱企业视同小型、微型企业；监狱企业参加政府采购活动时，应当提供由省级以上监狱管理局、戒毒管理局(含新疆生产建设兵团)出具的属于监狱企业的证明文件。按照《三部门联合发布关于促进残疾人就业政府采购政策的通知》（财库〔2017〕141号）之规定，残疾人福利性单位视同小型、微型企业；符合条件的残疾人福利性单位在参加政府采购活动时，应当提供本通知规定的《残疾人福利性单位声明函》。监狱企业或残疾人福利性单位属于小型、微型企业的，不重复享受投标报价扣除政策。投标人对声明函的真实性负责。</w:t>
      </w:r>
    </w:p>
    <w:p>
      <w:pPr>
        <w:pStyle w:val="16"/>
        <w:spacing w:line="360" w:lineRule="auto"/>
        <w:ind w:firstLine="303" w:firstLineChars="138"/>
        <w:rPr>
          <w:rFonts w:hAnsi="宋体"/>
          <w:color w:val="auto"/>
        </w:rPr>
      </w:pPr>
      <w:r>
        <w:rPr>
          <w:rFonts w:hint="eastAsia" w:hAnsi="宋体"/>
          <w:color w:val="auto"/>
        </w:rPr>
        <w:t>3、评标方式：以封闭方式进行。</w:t>
      </w:r>
    </w:p>
    <w:p>
      <w:pPr>
        <w:pStyle w:val="16"/>
        <w:spacing w:line="360" w:lineRule="auto"/>
        <w:outlineLvl w:val="0"/>
        <w:rPr>
          <w:rFonts w:hAnsi="宋体"/>
          <w:color w:val="auto"/>
        </w:rPr>
      </w:pPr>
      <w:bookmarkStart w:id="147" w:name="_Toc19700"/>
      <w:bookmarkStart w:id="148" w:name="_Toc23540"/>
      <w:bookmarkStart w:id="149" w:name="_Toc5396"/>
      <w:bookmarkStart w:id="150" w:name="_Toc27321"/>
      <w:r>
        <w:rPr>
          <w:rFonts w:hint="eastAsia" w:hAnsi="宋体"/>
          <w:color w:val="auto"/>
        </w:rPr>
        <w:t>二、评定方法</w:t>
      </w:r>
      <w:bookmarkEnd w:id="147"/>
      <w:bookmarkEnd w:id="148"/>
      <w:bookmarkEnd w:id="149"/>
      <w:bookmarkEnd w:id="150"/>
    </w:p>
    <w:tbl>
      <w:tblPr>
        <w:tblStyle w:val="29"/>
        <w:tblW w:w="98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795"/>
        <w:gridCol w:w="1720"/>
        <w:gridCol w:w="73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795" w:type="dxa"/>
            <w:tcBorders>
              <w:top w:val="single" w:color="auto" w:sz="12" w:space="0"/>
            </w:tcBorders>
            <w:tcMar>
              <w:top w:w="113" w:type="dxa"/>
              <w:left w:w="57" w:type="dxa"/>
              <w:bottom w:w="57" w:type="dxa"/>
              <w:right w:w="57" w:type="dxa"/>
            </w:tcMar>
            <w:vAlign w:val="center"/>
          </w:tcPr>
          <w:p>
            <w:pPr>
              <w:pStyle w:val="45"/>
              <w:adjustRightInd w:val="0"/>
              <w:snapToGrid w:val="0"/>
              <w:spacing w:line="360" w:lineRule="auto"/>
              <w:jc w:val="center"/>
              <w:rPr>
                <w:rFonts w:ascii="宋体" w:hAnsi="宋体" w:cs="宋体"/>
                <w:color w:val="auto"/>
                <w:kern w:val="2"/>
              </w:rPr>
            </w:pPr>
            <w:r>
              <w:rPr>
                <w:rFonts w:hint="eastAsia" w:ascii="宋体" w:hAnsi="宋体" w:cs="宋体"/>
                <w:color w:val="auto"/>
                <w:kern w:val="2"/>
              </w:rPr>
              <w:t>序号</w:t>
            </w:r>
          </w:p>
        </w:tc>
        <w:tc>
          <w:tcPr>
            <w:tcW w:w="1720" w:type="dxa"/>
            <w:tcBorders>
              <w:top w:val="single" w:color="auto" w:sz="12" w:space="0"/>
            </w:tcBorders>
            <w:tcMar>
              <w:top w:w="113" w:type="dxa"/>
              <w:left w:w="57" w:type="dxa"/>
              <w:bottom w:w="57" w:type="dxa"/>
              <w:right w:w="57" w:type="dxa"/>
            </w:tcMar>
            <w:vAlign w:val="center"/>
          </w:tcPr>
          <w:p>
            <w:pPr>
              <w:pStyle w:val="45"/>
              <w:adjustRightInd w:val="0"/>
              <w:snapToGrid w:val="0"/>
              <w:spacing w:line="360" w:lineRule="auto"/>
              <w:jc w:val="center"/>
              <w:rPr>
                <w:rFonts w:ascii="宋体" w:hAnsi="宋体" w:cs="宋体"/>
                <w:color w:val="auto"/>
                <w:kern w:val="2"/>
              </w:rPr>
            </w:pPr>
            <w:r>
              <w:rPr>
                <w:rFonts w:hint="eastAsia" w:ascii="宋体" w:hAnsi="宋体" w:cs="宋体"/>
                <w:color w:val="auto"/>
                <w:kern w:val="2"/>
              </w:rPr>
              <w:t>评审内容</w:t>
            </w:r>
          </w:p>
        </w:tc>
        <w:tc>
          <w:tcPr>
            <w:tcW w:w="7345" w:type="dxa"/>
            <w:tcBorders>
              <w:top w:val="single" w:color="auto" w:sz="12" w:space="0"/>
            </w:tcBorders>
            <w:tcMar>
              <w:top w:w="113" w:type="dxa"/>
              <w:left w:w="57" w:type="dxa"/>
              <w:bottom w:w="57" w:type="dxa"/>
              <w:right w:w="57" w:type="dxa"/>
            </w:tcMar>
            <w:vAlign w:val="center"/>
          </w:tcPr>
          <w:p>
            <w:pPr>
              <w:pStyle w:val="45"/>
              <w:adjustRightInd w:val="0"/>
              <w:snapToGrid w:val="0"/>
              <w:spacing w:line="360" w:lineRule="auto"/>
              <w:jc w:val="center"/>
              <w:rPr>
                <w:rFonts w:ascii="宋体" w:hAnsi="宋体" w:cs="宋体"/>
                <w:color w:val="auto"/>
                <w:kern w:val="2"/>
              </w:rPr>
            </w:pPr>
            <w:r>
              <w:rPr>
                <w:rFonts w:hint="eastAsia" w:ascii="宋体" w:hAnsi="宋体" w:cs="宋体"/>
                <w:color w:val="auto"/>
                <w:kern w:val="2"/>
              </w:rPr>
              <w:t>评分标准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9860" w:type="dxa"/>
            <w:gridSpan w:val="3"/>
            <w:tcBorders>
              <w:top w:val="single" w:color="auto" w:sz="12" w:space="0"/>
            </w:tcBorders>
            <w:tcMar>
              <w:top w:w="113" w:type="dxa"/>
              <w:left w:w="57" w:type="dxa"/>
              <w:bottom w:w="57" w:type="dxa"/>
              <w:right w:w="57" w:type="dxa"/>
            </w:tcMar>
            <w:vAlign w:val="center"/>
          </w:tcPr>
          <w:p>
            <w:pPr>
              <w:pStyle w:val="45"/>
              <w:adjustRightInd w:val="0"/>
              <w:snapToGrid w:val="0"/>
              <w:spacing w:line="360" w:lineRule="auto"/>
              <w:jc w:val="center"/>
              <w:rPr>
                <w:rFonts w:ascii="宋体" w:hAnsi="宋体" w:cs="宋体"/>
                <w:color w:val="auto"/>
                <w:kern w:val="2"/>
              </w:rPr>
            </w:pPr>
            <w:r>
              <w:rPr>
                <w:rFonts w:hint="eastAsia" w:ascii="宋体" w:hAnsi="宋体" w:cs="宋体"/>
                <w:b/>
                <w:bCs/>
                <w:color w:val="auto"/>
              </w:rPr>
              <w:t>一、服务方案评分细则（满分55分）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795" w:type="dxa"/>
            <w:tcMar>
              <w:top w:w="113" w:type="dxa"/>
              <w:left w:w="57" w:type="dxa"/>
              <w:bottom w:w="57" w:type="dxa"/>
              <w:right w:w="57" w:type="dxa"/>
            </w:tcMar>
            <w:vAlign w:val="center"/>
          </w:tcPr>
          <w:p>
            <w:pPr>
              <w:pStyle w:val="45"/>
              <w:adjustRightInd w:val="0"/>
              <w:snapToGrid w:val="0"/>
              <w:spacing w:line="360" w:lineRule="auto"/>
              <w:jc w:val="center"/>
              <w:rPr>
                <w:rFonts w:ascii="宋体" w:hAnsi="宋体" w:cs="宋体"/>
                <w:color w:val="auto"/>
                <w:kern w:val="2"/>
              </w:rPr>
            </w:pPr>
            <w:r>
              <w:rPr>
                <w:rFonts w:hint="eastAsia" w:ascii="宋体" w:hAnsi="宋体" w:cs="宋体"/>
                <w:color w:val="auto"/>
                <w:kern w:val="2"/>
              </w:rPr>
              <w:t>1</w:t>
            </w:r>
          </w:p>
        </w:tc>
        <w:tc>
          <w:tcPr>
            <w:tcW w:w="1720" w:type="dxa"/>
            <w:tcMar>
              <w:top w:w="113" w:type="dxa"/>
              <w:left w:w="57" w:type="dxa"/>
              <w:bottom w:w="57" w:type="dxa"/>
              <w:right w:w="57" w:type="dxa"/>
            </w:tcMar>
            <w:vAlign w:val="center"/>
          </w:tcPr>
          <w:p>
            <w:pPr>
              <w:pStyle w:val="45"/>
              <w:adjustRightInd w:val="0"/>
              <w:snapToGrid w:val="0"/>
              <w:spacing w:line="360" w:lineRule="auto"/>
              <w:jc w:val="center"/>
              <w:rPr>
                <w:rFonts w:ascii="宋体" w:hAnsi="宋体" w:cs="宋体"/>
                <w:color w:val="auto"/>
                <w:kern w:val="2"/>
              </w:rPr>
            </w:pPr>
            <w:r>
              <w:rPr>
                <w:rFonts w:hint="eastAsia" w:ascii="宋体" w:hAnsi="宋体" w:cs="宋体"/>
                <w:color w:val="auto"/>
                <w:kern w:val="2"/>
              </w:rPr>
              <w:t>对项目的理解及完成任务的方法</w:t>
            </w:r>
          </w:p>
          <w:p>
            <w:pPr>
              <w:pStyle w:val="45"/>
              <w:adjustRightInd w:val="0"/>
              <w:snapToGrid w:val="0"/>
              <w:spacing w:line="360" w:lineRule="auto"/>
              <w:jc w:val="center"/>
              <w:rPr>
                <w:rFonts w:ascii="宋体" w:hAnsi="宋体" w:cs="宋体"/>
                <w:color w:val="auto"/>
                <w:kern w:val="2"/>
              </w:rPr>
            </w:pPr>
            <w:r>
              <w:rPr>
                <w:rFonts w:hint="eastAsia" w:ascii="宋体" w:hAnsi="宋体" w:cs="宋体"/>
                <w:color w:val="auto"/>
                <w:kern w:val="2"/>
              </w:rPr>
              <w:t>（满分6分）</w:t>
            </w:r>
          </w:p>
        </w:tc>
        <w:tc>
          <w:tcPr>
            <w:tcW w:w="7345" w:type="dxa"/>
            <w:tcMar>
              <w:top w:w="113" w:type="dxa"/>
              <w:left w:w="57" w:type="dxa"/>
              <w:bottom w:w="57" w:type="dxa"/>
              <w:right w:w="57" w:type="dxa"/>
            </w:tcMar>
            <w:vAlign w:val="center"/>
          </w:tcPr>
          <w:p>
            <w:pPr>
              <w:pStyle w:val="45"/>
              <w:adjustRightInd w:val="0"/>
              <w:snapToGrid w:val="0"/>
              <w:spacing w:line="360" w:lineRule="auto"/>
              <w:jc w:val="left"/>
              <w:rPr>
                <w:rFonts w:ascii="宋体" w:hAnsi="宋体" w:cs="宋体"/>
                <w:color w:val="auto"/>
                <w:kern w:val="2"/>
              </w:rPr>
            </w:pPr>
            <w:r>
              <w:rPr>
                <w:rFonts w:hint="eastAsia" w:ascii="宋体" w:hAnsi="宋体" w:cs="宋体"/>
                <w:color w:val="auto"/>
                <w:kern w:val="2"/>
              </w:rPr>
              <w:t>一档（4.1-6分）：对本项目的项目概况有完全了解，能根据招标文件完整列出全过程造价咨询服务的主要工作内容及各项工作内容的技术特点、难点重点，并对重点难点有解决的措施，措施得力。</w:t>
            </w:r>
          </w:p>
          <w:p>
            <w:pPr>
              <w:pStyle w:val="45"/>
              <w:adjustRightInd w:val="0"/>
              <w:snapToGrid w:val="0"/>
              <w:spacing w:line="360" w:lineRule="auto"/>
              <w:jc w:val="left"/>
              <w:rPr>
                <w:rFonts w:ascii="宋体" w:hAnsi="宋体" w:cs="宋体"/>
                <w:color w:val="auto"/>
                <w:kern w:val="2"/>
              </w:rPr>
            </w:pPr>
            <w:r>
              <w:rPr>
                <w:rFonts w:hint="eastAsia" w:ascii="宋体" w:hAnsi="宋体" w:cs="宋体"/>
                <w:color w:val="auto"/>
                <w:kern w:val="2"/>
              </w:rPr>
              <w:t>二档（2.1-4分）：对本项目的项目概况有基本了解，能根据招标文件基本列出全过程造价咨询服务的主要工作内容及各项工作内容的技术特点、难点重点，并对重点难点有解决的措施，措施得当。</w:t>
            </w:r>
          </w:p>
          <w:p>
            <w:pPr>
              <w:pStyle w:val="45"/>
              <w:adjustRightInd w:val="0"/>
              <w:snapToGrid w:val="0"/>
              <w:spacing w:line="360" w:lineRule="auto"/>
              <w:jc w:val="left"/>
              <w:rPr>
                <w:rFonts w:ascii="宋体" w:hAnsi="宋体" w:cs="宋体"/>
                <w:color w:val="auto"/>
                <w:kern w:val="2"/>
              </w:rPr>
            </w:pPr>
            <w:r>
              <w:rPr>
                <w:rFonts w:hint="eastAsia" w:ascii="宋体" w:hAnsi="宋体" w:cs="宋体"/>
                <w:color w:val="auto"/>
                <w:kern w:val="2"/>
              </w:rPr>
              <w:t>三档（0.1-2分：对本项目的项目概况有大致了解，能根据招标文件大致列出全过程造价咨询服务的主要工作内容以及各项工作内容的技术特点、难点重点。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795" w:type="dxa"/>
            <w:tcMar>
              <w:top w:w="113" w:type="dxa"/>
              <w:left w:w="57" w:type="dxa"/>
              <w:bottom w:w="57" w:type="dxa"/>
              <w:right w:w="57" w:type="dxa"/>
            </w:tcMar>
            <w:vAlign w:val="center"/>
          </w:tcPr>
          <w:p>
            <w:pPr>
              <w:pStyle w:val="45"/>
              <w:adjustRightInd w:val="0"/>
              <w:snapToGrid w:val="0"/>
              <w:spacing w:line="360" w:lineRule="auto"/>
              <w:jc w:val="center"/>
              <w:rPr>
                <w:rFonts w:ascii="宋体" w:hAnsi="宋体" w:cs="宋体"/>
                <w:color w:val="auto"/>
                <w:kern w:val="2"/>
              </w:rPr>
            </w:pPr>
            <w:r>
              <w:rPr>
                <w:rFonts w:hint="eastAsia" w:ascii="宋体" w:hAnsi="宋体" w:cs="宋体"/>
                <w:color w:val="auto"/>
                <w:kern w:val="2"/>
              </w:rPr>
              <w:t>2</w:t>
            </w:r>
          </w:p>
        </w:tc>
        <w:tc>
          <w:tcPr>
            <w:tcW w:w="1720" w:type="dxa"/>
            <w:tcMar>
              <w:top w:w="113" w:type="dxa"/>
              <w:left w:w="57" w:type="dxa"/>
              <w:bottom w:w="57" w:type="dxa"/>
              <w:right w:w="57" w:type="dxa"/>
            </w:tcMar>
            <w:vAlign w:val="center"/>
          </w:tcPr>
          <w:p>
            <w:pPr>
              <w:pStyle w:val="45"/>
              <w:adjustRightInd w:val="0"/>
              <w:snapToGrid w:val="0"/>
              <w:spacing w:line="360" w:lineRule="auto"/>
              <w:jc w:val="center"/>
              <w:rPr>
                <w:rFonts w:ascii="宋体" w:hAnsi="宋体" w:cs="宋体"/>
                <w:color w:val="auto"/>
                <w:kern w:val="2"/>
              </w:rPr>
            </w:pPr>
            <w:r>
              <w:rPr>
                <w:rFonts w:hint="eastAsia" w:ascii="宋体" w:hAnsi="宋体" w:cs="宋体"/>
                <w:color w:val="auto"/>
                <w:kern w:val="2"/>
              </w:rPr>
              <w:t>服务方案</w:t>
            </w:r>
          </w:p>
          <w:p>
            <w:pPr>
              <w:pStyle w:val="45"/>
              <w:adjustRightInd w:val="0"/>
              <w:snapToGrid w:val="0"/>
              <w:spacing w:line="360" w:lineRule="auto"/>
              <w:jc w:val="center"/>
              <w:rPr>
                <w:rFonts w:ascii="宋体" w:hAnsi="宋体" w:cs="宋体"/>
                <w:color w:val="auto"/>
                <w:kern w:val="2"/>
              </w:rPr>
            </w:pPr>
            <w:r>
              <w:rPr>
                <w:rFonts w:hint="eastAsia" w:ascii="宋体" w:hAnsi="宋体" w:cs="宋体"/>
                <w:color w:val="auto"/>
                <w:kern w:val="2"/>
              </w:rPr>
              <w:t>（满分20分）</w:t>
            </w:r>
          </w:p>
        </w:tc>
        <w:tc>
          <w:tcPr>
            <w:tcW w:w="7345" w:type="dxa"/>
            <w:tcMar>
              <w:top w:w="113" w:type="dxa"/>
              <w:left w:w="57" w:type="dxa"/>
              <w:bottom w:w="57" w:type="dxa"/>
              <w:right w:w="57" w:type="dxa"/>
            </w:tcMar>
            <w:vAlign w:val="center"/>
          </w:tcPr>
          <w:p>
            <w:pPr>
              <w:pStyle w:val="45"/>
              <w:adjustRightInd w:val="0"/>
              <w:snapToGrid w:val="0"/>
              <w:spacing w:line="360" w:lineRule="auto"/>
              <w:jc w:val="left"/>
              <w:rPr>
                <w:rStyle w:val="39"/>
                <w:color w:val="auto"/>
              </w:rPr>
            </w:pPr>
            <w:r>
              <w:rPr>
                <w:rFonts w:hint="eastAsia" w:ascii="宋体" w:hAnsi="宋体" w:cs="宋体"/>
                <w:color w:val="auto"/>
                <w:kern w:val="2"/>
              </w:rPr>
              <w:t>一档（14.1-20分）：供应商简介中有公司基本情况介绍（包括公司成立年限、资质情况、经营状况、办公面积、有关部门的资信评价、办公条件、有无违法国家政策、法规情况等），项目团队的建设列有拟投入的主要人员及项目人员架构和各项目人员的工作要求、职责，对工作流程</w:t>
            </w:r>
            <w:r>
              <w:rPr>
                <w:rStyle w:val="39"/>
                <w:color w:val="auto"/>
              </w:rPr>
              <w:t>前期决策阶段</w:t>
            </w:r>
            <w:r>
              <w:rPr>
                <w:rStyle w:val="39"/>
                <w:rFonts w:hint="eastAsia"/>
                <w:color w:val="auto"/>
              </w:rPr>
              <w:t>、</w:t>
            </w:r>
            <w:r>
              <w:rPr>
                <w:rStyle w:val="39"/>
                <w:color w:val="auto"/>
              </w:rPr>
              <w:t>勘察设计阶段</w:t>
            </w:r>
            <w:r>
              <w:rPr>
                <w:rStyle w:val="39"/>
                <w:rFonts w:hint="eastAsia"/>
                <w:color w:val="auto"/>
              </w:rPr>
              <w:t>、</w:t>
            </w:r>
            <w:r>
              <w:rPr>
                <w:rStyle w:val="39"/>
                <w:color w:val="auto"/>
              </w:rPr>
              <w:t>项目准备阶段</w:t>
            </w:r>
            <w:r>
              <w:rPr>
                <w:rStyle w:val="39"/>
                <w:rFonts w:hint="eastAsia"/>
                <w:color w:val="auto"/>
              </w:rPr>
              <w:t>、</w:t>
            </w:r>
            <w:r>
              <w:rPr>
                <w:rStyle w:val="39"/>
                <w:color w:val="auto"/>
              </w:rPr>
              <w:t>项目实施阶段</w:t>
            </w:r>
            <w:r>
              <w:rPr>
                <w:rStyle w:val="39"/>
                <w:rFonts w:hint="eastAsia"/>
                <w:color w:val="auto"/>
              </w:rPr>
              <w:t>、</w:t>
            </w:r>
            <w:r>
              <w:rPr>
                <w:rStyle w:val="39"/>
                <w:color w:val="auto"/>
              </w:rPr>
              <w:t>竣工验收阶段</w:t>
            </w:r>
            <w:r>
              <w:rPr>
                <w:rStyle w:val="39"/>
                <w:rFonts w:hint="eastAsia"/>
                <w:color w:val="auto"/>
              </w:rPr>
              <w:t>、</w:t>
            </w:r>
            <w:r>
              <w:rPr>
                <w:rStyle w:val="39"/>
                <w:color w:val="auto"/>
              </w:rPr>
              <w:t>运维评价阶段</w:t>
            </w:r>
            <w:r>
              <w:rPr>
                <w:rStyle w:val="39"/>
                <w:rFonts w:hint="eastAsia"/>
                <w:color w:val="auto"/>
              </w:rPr>
              <w:t>各阶段工作的主要内容及重点难点的解决措施，实施要求中</w:t>
            </w:r>
            <w:r>
              <w:rPr>
                <w:rStyle w:val="39"/>
                <w:color w:val="auto"/>
              </w:rPr>
              <w:t>沟通要求</w:t>
            </w:r>
            <w:r>
              <w:rPr>
                <w:rStyle w:val="39"/>
                <w:rFonts w:hint="eastAsia"/>
                <w:color w:val="auto"/>
              </w:rPr>
              <w:t>、</w:t>
            </w:r>
            <w:r>
              <w:rPr>
                <w:rStyle w:val="39"/>
                <w:color w:val="auto"/>
              </w:rPr>
              <w:t>过程要求</w:t>
            </w:r>
            <w:r>
              <w:rPr>
                <w:rStyle w:val="39"/>
                <w:rFonts w:hint="eastAsia"/>
                <w:color w:val="auto"/>
              </w:rPr>
              <w:t>、</w:t>
            </w:r>
            <w:r>
              <w:rPr>
                <w:rStyle w:val="39"/>
                <w:color w:val="auto"/>
              </w:rPr>
              <w:t>成果文件编制要求</w:t>
            </w:r>
            <w:r>
              <w:rPr>
                <w:rStyle w:val="39"/>
                <w:rFonts w:hint="eastAsia"/>
                <w:color w:val="auto"/>
              </w:rPr>
              <w:t>均有列出且内容优秀的；</w:t>
            </w:r>
          </w:p>
          <w:p>
            <w:pPr>
              <w:pStyle w:val="45"/>
              <w:adjustRightInd w:val="0"/>
              <w:snapToGrid w:val="0"/>
              <w:spacing w:line="360" w:lineRule="auto"/>
              <w:jc w:val="left"/>
              <w:rPr>
                <w:rFonts w:ascii="宋体" w:hAnsi="宋体" w:cs="宋体"/>
                <w:color w:val="auto"/>
                <w:kern w:val="2"/>
              </w:rPr>
            </w:pPr>
            <w:r>
              <w:rPr>
                <w:rFonts w:hint="eastAsia" w:ascii="宋体" w:hAnsi="宋体" w:cs="宋体"/>
                <w:color w:val="auto"/>
                <w:kern w:val="2"/>
              </w:rPr>
              <w:t>二档（7.1-14分）：供应商简介中有公司基本情况介绍（包括公司成立年限、资质情况、经营状况），项目团队的建设列有拟投入的主要人员及主要工作内容，能基本列出各项工作流程及项目实施要求的且各项内容良好的；</w:t>
            </w:r>
          </w:p>
          <w:p>
            <w:pPr>
              <w:pStyle w:val="45"/>
              <w:adjustRightInd w:val="0"/>
              <w:snapToGrid w:val="0"/>
              <w:spacing w:line="360" w:lineRule="auto"/>
              <w:jc w:val="left"/>
              <w:rPr>
                <w:rFonts w:ascii="宋体" w:hAnsi="宋体" w:cs="宋体"/>
                <w:color w:val="auto"/>
                <w:kern w:val="2"/>
              </w:rPr>
            </w:pPr>
            <w:r>
              <w:rPr>
                <w:rFonts w:hint="eastAsia" w:ascii="宋体" w:hAnsi="宋体" w:cs="宋体"/>
                <w:color w:val="auto"/>
                <w:kern w:val="2"/>
              </w:rPr>
              <w:t>三档（0.1-7分）：服务方案包含有供应商简介、项目团队的建设、项目工作流程、实施要求等内容，各项内容一般的。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795" w:type="dxa"/>
            <w:tcMar>
              <w:top w:w="113" w:type="dxa"/>
              <w:left w:w="57" w:type="dxa"/>
              <w:bottom w:w="57" w:type="dxa"/>
              <w:right w:w="57" w:type="dxa"/>
            </w:tcMar>
            <w:vAlign w:val="center"/>
          </w:tcPr>
          <w:p>
            <w:pPr>
              <w:pStyle w:val="45"/>
              <w:adjustRightInd w:val="0"/>
              <w:snapToGrid w:val="0"/>
              <w:spacing w:line="360" w:lineRule="auto"/>
              <w:jc w:val="center"/>
              <w:rPr>
                <w:rFonts w:ascii="宋体" w:hAnsi="宋体" w:cs="宋体"/>
                <w:color w:val="auto"/>
                <w:kern w:val="2"/>
              </w:rPr>
            </w:pPr>
            <w:r>
              <w:rPr>
                <w:rFonts w:hint="eastAsia" w:ascii="宋体" w:hAnsi="宋体" w:cs="宋体"/>
                <w:color w:val="auto"/>
                <w:kern w:val="2"/>
              </w:rPr>
              <w:t>3</w:t>
            </w:r>
          </w:p>
        </w:tc>
        <w:tc>
          <w:tcPr>
            <w:tcW w:w="1720" w:type="dxa"/>
            <w:tcMar>
              <w:top w:w="113" w:type="dxa"/>
              <w:left w:w="57" w:type="dxa"/>
              <w:bottom w:w="57" w:type="dxa"/>
              <w:right w:w="57" w:type="dxa"/>
            </w:tcMar>
            <w:vAlign w:val="center"/>
          </w:tcPr>
          <w:p>
            <w:pPr>
              <w:pStyle w:val="45"/>
              <w:adjustRightInd w:val="0"/>
              <w:snapToGrid w:val="0"/>
              <w:spacing w:line="360" w:lineRule="auto"/>
              <w:jc w:val="center"/>
              <w:rPr>
                <w:rFonts w:ascii="宋体" w:hAnsi="宋体" w:cs="宋体"/>
                <w:color w:val="auto"/>
                <w:kern w:val="2"/>
              </w:rPr>
            </w:pPr>
            <w:r>
              <w:rPr>
                <w:rFonts w:hint="eastAsia" w:ascii="宋体" w:hAnsi="宋体" w:cs="宋体"/>
                <w:color w:val="auto"/>
                <w:kern w:val="2"/>
              </w:rPr>
              <w:t>质量控制措施、合理化建议及服务承诺</w:t>
            </w:r>
          </w:p>
          <w:p>
            <w:pPr>
              <w:pStyle w:val="45"/>
              <w:adjustRightInd w:val="0"/>
              <w:snapToGrid w:val="0"/>
              <w:spacing w:line="360" w:lineRule="auto"/>
              <w:jc w:val="center"/>
              <w:rPr>
                <w:rFonts w:ascii="宋体" w:hAnsi="宋体" w:cs="宋体"/>
                <w:color w:val="auto"/>
                <w:kern w:val="2"/>
              </w:rPr>
            </w:pPr>
            <w:r>
              <w:rPr>
                <w:rFonts w:hint="eastAsia" w:ascii="宋体" w:hAnsi="宋体" w:cs="宋体"/>
                <w:color w:val="auto"/>
                <w:kern w:val="2"/>
              </w:rPr>
              <w:t>（满分9分）</w:t>
            </w:r>
          </w:p>
        </w:tc>
        <w:tc>
          <w:tcPr>
            <w:tcW w:w="7345" w:type="dxa"/>
            <w:tcMar>
              <w:top w:w="113" w:type="dxa"/>
              <w:left w:w="57" w:type="dxa"/>
              <w:bottom w:w="57" w:type="dxa"/>
              <w:right w:w="57" w:type="dxa"/>
            </w:tcMar>
            <w:vAlign w:val="center"/>
          </w:tcPr>
          <w:p>
            <w:pPr>
              <w:pStyle w:val="45"/>
              <w:adjustRightInd w:val="0"/>
              <w:snapToGrid w:val="0"/>
              <w:spacing w:line="360" w:lineRule="auto"/>
              <w:jc w:val="left"/>
              <w:rPr>
                <w:rFonts w:ascii="宋体" w:hAnsi="宋体" w:cs="宋体"/>
                <w:color w:val="auto"/>
                <w:kern w:val="2"/>
              </w:rPr>
            </w:pPr>
            <w:r>
              <w:rPr>
                <w:rFonts w:hint="eastAsia" w:ascii="宋体" w:hAnsi="宋体" w:cs="宋体"/>
                <w:color w:val="auto"/>
                <w:kern w:val="2"/>
              </w:rPr>
              <w:t>一档（6.1-9分）：质量保证计划全面细致，结合实际、措施具体，有完整的内部管理工作制度,建立有效的内部管理机制,风险防范管理制度完整有效,职业道德管理制度完整、可行,执行最新的行业管理规定，有廉政工作的承诺并具有较好的针对性的合理化建议及服务承诺。</w:t>
            </w:r>
          </w:p>
          <w:p>
            <w:pPr>
              <w:pStyle w:val="45"/>
              <w:adjustRightInd w:val="0"/>
              <w:snapToGrid w:val="0"/>
              <w:spacing w:line="360" w:lineRule="auto"/>
              <w:jc w:val="left"/>
              <w:rPr>
                <w:rFonts w:ascii="宋体" w:hAnsi="宋体" w:cs="宋体"/>
                <w:color w:val="auto"/>
                <w:kern w:val="2"/>
              </w:rPr>
            </w:pPr>
            <w:r>
              <w:rPr>
                <w:rFonts w:hint="eastAsia" w:ascii="宋体" w:hAnsi="宋体" w:cs="宋体"/>
                <w:color w:val="auto"/>
                <w:kern w:val="2"/>
              </w:rPr>
              <w:t>二档（3.1-6分）：质量保证计划比较全面细致，比较结合实际、措施比较具体；有内部管理工作制度,建立有效的内部管理机制,风险防范管理制度完整,职业道德管理制度可行,具有一定的针对性的合理性建议及服务承诺。</w:t>
            </w:r>
          </w:p>
          <w:p>
            <w:pPr>
              <w:pStyle w:val="45"/>
              <w:adjustRightInd w:val="0"/>
              <w:snapToGrid w:val="0"/>
              <w:spacing w:line="360" w:lineRule="auto"/>
              <w:jc w:val="left"/>
              <w:rPr>
                <w:rFonts w:ascii="宋体" w:hAnsi="宋体" w:cs="宋体"/>
                <w:color w:val="auto"/>
                <w:kern w:val="2"/>
              </w:rPr>
            </w:pPr>
            <w:r>
              <w:rPr>
                <w:rFonts w:hint="eastAsia" w:ascii="宋体" w:hAnsi="宋体" w:cs="宋体"/>
                <w:color w:val="auto"/>
                <w:kern w:val="2"/>
              </w:rPr>
              <w:t>三档（0.1-3分）：质量保证计划基本全面细致，基本结合实际，有内部管理工作制度，内部管理机制不完整，风险防范管理制度基本可行，缺少针对性的合理性建议及服务承诺。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795" w:type="dxa"/>
            <w:tcMar>
              <w:top w:w="113" w:type="dxa"/>
              <w:left w:w="57" w:type="dxa"/>
              <w:bottom w:w="57" w:type="dxa"/>
              <w:right w:w="57" w:type="dxa"/>
            </w:tcMar>
            <w:vAlign w:val="center"/>
          </w:tcPr>
          <w:p>
            <w:pPr>
              <w:pStyle w:val="45"/>
              <w:adjustRightInd w:val="0"/>
              <w:snapToGrid w:val="0"/>
              <w:spacing w:line="360" w:lineRule="auto"/>
              <w:jc w:val="center"/>
              <w:rPr>
                <w:rFonts w:ascii="宋体" w:hAnsi="宋体" w:cs="宋体"/>
                <w:color w:val="auto"/>
                <w:kern w:val="2"/>
              </w:rPr>
            </w:pPr>
            <w:r>
              <w:rPr>
                <w:rFonts w:hint="eastAsia" w:ascii="宋体" w:hAnsi="宋体" w:cs="宋体"/>
                <w:color w:val="auto"/>
                <w:kern w:val="2"/>
              </w:rPr>
              <w:t>4</w:t>
            </w:r>
          </w:p>
        </w:tc>
        <w:tc>
          <w:tcPr>
            <w:tcW w:w="1720" w:type="dxa"/>
            <w:tcMar>
              <w:top w:w="113" w:type="dxa"/>
              <w:left w:w="57" w:type="dxa"/>
              <w:bottom w:w="57" w:type="dxa"/>
              <w:right w:w="57" w:type="dxa"/>
            </w:tcMar>
            <w:vAlign w:val="center"/>
          </w:tcPr>
          <w:p>
            <w:pPr>
              <w:pStyle w:val="45"/>
              <w:adjustRightInd w:val="0"/>
              <w:snapToGrid w:val="0"/>
              <w:spacing w:line="360" w:lineRule="auto"/>
              <w:jc w:val="center"/>
              <w:rPr>
                <w:rFonts w:ascii="宋体" w:hAnsi="宋体" w:cs="宋体"/>
                <w:color w:val="auto"/>
                <w:kern w:val="2"/>
              </w:rPr>
            </w:pPr>
            <w:r>
              <w:rPr>
                <w:rFonts w:hint="eastAsia" w:ascii="宋体" w:hAnsi="宋体" w:cs="宋体"/>
                <w:color w:val="auto"/>
                <w:kern w:val="2"/>
              </w:rPr>
              <w:t>项目人员机构</w:t>
            </w:r>
          </w:p>
          <w:p>
            <w:pPr>
              <w:pStyle w:val="45"/>
              <w:adjustRightInd w:val="0"/>
              <w:snapToGrid w:val="0"/>
              <w:spacing w:line="360" w:lineRule="auto"/>
              <w:jc w:val="center"/>
              <w:rPr>
                <w:rFonts w:ascii="宋体" w:hAnsi="宋体" w:cs="宋体"/>
                <w:color w:val="auto"/>
                <w:kern w:val="2"/>
              </w:rPr>
            </w:pPr>
            <w:r>
              <w:rPr>
                <w:rFonts w:hint="eastAsia" w:ascii="宋体" w:hAnsi="宋体" w:cs="宋体"/>
                <w:color w:val="auto"/>
                <w:kern w:val="2"/>
              </w:rPr>
              <w:t>（满分20分）</w:t>
            </w:r>
          </w:p>
        </w:tc>
        <w:tc>
          <w:tcPr>
            <w:tcW w:w="7345" w:type="dxa"/>
            <w:tcMar>
              <w:top w:w="113" w:type="dxa"/>
              <w:left w:w="57" w:type="dxa"/>
              <w:bottom w:w="57" w:type="dxa"/>
              <w:right w:w="57" w:type="dxa"/>
            </w:tcMar>
            <w:vAlign w:val="center"/>
          </w:tcPr>
          <w:p>
            <w:pPr>
              <w:pStyle w:val="45"/>
              <w:numPr>
                <w:ilvl w:val="0"/>
                <w:numId w:val="6"/>
              </w:numPr>
              <w:adjustRightInd w:val="0"/>
              <w:snapToGrid w:val="0"/>
              <w:spacing w:line="360" w:lineRule="auto"/>
              <w:jc w:val="left"/>
              <w:rPr>
                <w:rFonts w:ascii="宋体" w:hAnsi="宋体" w:cs="宋体"/>
                <w:color w:val="auto"/>
                <w:lang w:val="zh-CN"/>
              </w:rPr>
            </w:pPr>
            <w:r>
              <w:rPr>
                <w:rFonts w:hint="eastAsia" w:ascii="宋体" w:hAnsi="宋体" w:cs="宋体"/>
                <w:color w:val="auto"/>
                <w:lang w:val="zh-CN"/>
              </w:rPr>
              <w:t>投标人拟投入本项目服务人员中具有注册造价工程师证书人员超过</w:t>
            </w:r>
            <w:r>
              <w:rPr>
                <w:rFonts w:hint="eastAsia" w:ascii="宋体" w:hAnsi="宋体" w:cs="宋体"/>
                <w:color w:val="auto"/>
              </w:rPr>
              <w:t>12</w:t>
            </w:r>
            <w:r>
              <w:rPr>
                <w:rFonts w:hint="eastAsia" w:ascii="宋体" w:hAnsi="宋体" w:cs="宋体"/>
                <w:color w:val="auto"/>
                <w:lang w:val="zh-CN"/>
              </w:rPr>
              <w:t>人的（含</w:t>
            </w:r>
            <w:r>
              <w:rPr>
                <w:rFonts w:hint="eastAsia" w:ascii="宋体" w:hAnsi="宋体" w:cs="宋体"/>
                <w:color w:val="auto"/>
              </w:rPr>
              <w:t>12人</w:t>
            </w:r>
            <w:r>
              <w:rPr>
                <w:rFonts w:hint="eastAsia" w:ascii="宋体" w:hAnsi="宋体" w:cs="宋体"/>
                <w:color w:val="auto"/>
                <w:lang w:val="zh-CN"/>
              </w:rPr>
              <w:t>）</w:t>
            </w:r>
            <w:r>
              <w:rPr>
                <w:rFonts w:hint="eastAsia" w:ascii="宋体" w:hAnsi="宋体" w:cs="宋体"/>
                <w:color w:val="auto"/>
              </w:rPr>
              <w:t>分且拟投入的注册造价工程师中有1名公路专业的</w:t>
            </w:r>
            <w:r>
              <w:rPr>
                <w:rFonts w:hint="eastAsia" w:ascii="宋体" w:hAnsi="宋体" w:cs="宋体"/>
                <w:color w:val="auto"/>
                <w:lang w:val="zh-CN"/>
              </w:rPr>
              <w:t>得</w:t>
            </w:r>
            <w:r>
              <w:rPr>
                <w:rFonts w:hint="eastAsia" w:ascii="宋体" w:hAnsi="宋体" w:cs="宋体"/>
                <w:color w:val="auto"/>
              </w:rPr>
              <w:t>6</w:t>
            </w:r>
            <w:r>
              <w:rPr>
                <w:rFonts w:hint="eastAsia" w:ascii="宋体" w:hAnsi="宋体" w:cs="宋体"/>
                <w:color w:val="auto"/>
                <w:lang w:val="zh-CN"/>
              </w:rPr>
              <w:t>分，未达到</w:t>
            </w:r>
            <w:r>
              <w:rPr>
                <w:rFonts w:hint="eastAsia" w:ascii="宋体" w:hAnsi="宋体" w:cs="宋体"/>
                <w:color w:val="auto"/>
              </w:rPr>
              <w:t>12人的不得分，</w:t>
            </w:r>
            <w:r>
              <w:rPr>
                <w:rFonts w:hint="eastAsia" w:ascii="宋体" w:hAnsi="宋体" w:cs="宋体"/>
                <w:color w:val="auto"/>
                <w:lang w:val="zh-CN"/>
              </w:rPr>
              <w:t>每增加</w:t>
            </w:r>
            <w:r>
              <w:rPr>
                <w:rFonts w:hint="eastAsia" w:ascii="宋体" w:hAnsi="宋体" w:cs="宋体"/>
                <w:color w:val="auto"/>
              </w:rPr>
              <w:t>一名注册造价工程师</w:t>
            </w:r>
            <w:r>
              <w:rPr>
                <w:rFonts w:hint="eastAsia" w:ascii="宋体" w:hAnsi="宋体" w:cs="宋体"/>
                <w:color w:val="auto"/>
                <w:lang w:val="zh-CN"/>
              </w:rPr>
              <w:t>加</w:t>
            </w:r>
            <w:r>
              <w:rPr>
                <w:rFonts w:hint="eastAsia" w:ascii="宋体" w:hAnsi="宋体" w:cs="宋体"/>
                <w:color w:val="auto"/>
              </w:rPr>
              <w:t>1分，本项满分10分。</w:t>
            </w:r>
            <w:r>
              <w:rPr>
                <w:rFonts w:hint="eastAsia" w:ascii="宋体" w:hAnsi="宋体" w:cs="宋体"/>
                <w:color w:val="auto"/>
                <w:lang w:val="zh-CN"/>
              </w:rPr>
              <w:t>（须提供资格证书及缴纳社保证明复印件</w:t>
            </w:r>
            <w:r>
              <w:rPr>
                <w:rFonts w:hint="eastAsia" w:ascii="宋体" w:hAnsi="宋体" w:cs="宋体"/>
                <w:color w:val="auto"/>
              </w:rPr>
              <w:t>1</w:t>
            </w:r>
            <w:r>
              <w:rPr>
                <w:rFonts w:hint="eastAsia" w:ascii="宋体" w:hAnsi="宋体" w:cs="宋体"/>
                <w:color w:val="auto"/>
                <w:lang w:val="zh-CN"/>
              </w:rPr>
              <w:t>，否则不得分）</w:t>
            </w:r>
          </w:p>
          <w:p>
            <w:pPr>
              <w:pStyle w:val="45"/>
              <w:numPr>
                <w:ilvl w:val="0"/>
                <w:numId w:val="6"/>
              </w:numPr>
              <w:adjustRightInd w:val="0"/>
              <w:snapToGrid w:val="0"/>
              <w:spacing w:line="360" w:lineRule="auto"/>
              <w:jc w:val="left"/>
              <w:rPr>
                <w:rFonts w:ascii="宋体" w:hAnsi="宋体" w:cs="宋体"/>
                <w:color w:val="auto"/>
                <w:lang w:val="zh-CN"/>
              </w:rPr>
            </w:pPr>
            <w:r>
              <w:rPr>
                <w:rFonts w:hint="eastAsia" w:ascii="宋体" w:hAnsi="宋体" w:cs="宋体"/>
                <w:color w:val="auto"/>
                <w:lang w:val="zh-CN"/>
              </w:rPr>
              <w:t>拟投入的注册造价师中（除项目负责人外）同时具有高级职称的每人加</w:t>
            </w:r>
            <w:r>
              <w:rPr>
                <w:rFonts w:hint="eastAsia" w:ascii="宋体" w:hAnsi="宋体" w:cs="宋体"/>
                <w:color w:val="auto"/>
              </w:rPr>
              <w:t>0.5</w:t>
            </w:r>
            <w:r>
              <w:rPr>
                <w:rFonts w:hint="eastAsia" w:ascii="宋体" w:hAnsi="宋体" w:cs="宋体"/>
                <w:color w:val="auto"/>
                <w:lang w:val="zh-CN"/>
              </w:rPr>
              <w:t>分（满分</w:t>
            </w:r>
            <w:r>
              <w:rPr>
                <w:rFonts w:hint="eastAsia" w:ascii="宋体" w:hAnsi="宋体" w:cs="宋体"/>
                <w:color w:val="auto"/>
              </w:rPr>
              <w:t>4</w:t>
            </w:r>
            <w:r>
              <w:rPr>
                <w:rFonts w:hint="eastAsia" w:ascii="宋体" w:hAnsi="宋体" w:cs="宋体"/>
                <w:color w:val="auto"/>
                <w:lang w:val="zh-CN"/>
              </w:rPr>
              <w:t xml:space="preserve">分） </w:t>
            </w:r>
          </w:p>
          <w:p>
            <w:pPr>
              <w:pStyle w:val="45"/>
              <w:numPr>
                <w:ilvl w:val="0"/>
                <w:numId w:val="6"/>
              </w:numPr>
              <w:adjustRightInd w:val="0"/>
              <w:snapToGrid w:val="0"/>
              <w:spacing w:line="360" w:lineRule="auto"/>
              <w:jc w:val="left"/>
              <w:rPr>
                <w:rFonts w:ascii="宋体" w:hAnsi="宋体" w:cs="宋体"/>
                <w:color w:val="auto"/>
                <w:lang w:val="zh-CN"/>
              </w:rPr>
            </w:pPr>
            <w:r>
              <w:rPr>
                <w:rFonts w:hint="eastAsia" w:ascii="宋体" w:hAnsi="宋体" w:cs="宋体"/>
                <w:color w:val="auto"/>
                <w:lang w:val="zh-CN"/>
              </w:rPr>
              <w:t xml:space="preserve">拟投入的项目负责人须具有住房和城乡建设部颁发的有效的注册造价工程师执业证书。（附投标人为其缴纳的 </w:t>
            </w:r>
            <w:r>
              <w:rPr>
                <w:rFonts w:hint="eastAsia" w:ascii="宋体" w:hAnsi="宋体" w:cs="宋体"/>
                <w:color w:val="auto"/>
              </w:rPr>
              <w:t>2020年7月份至2020年9月份</w:t>
            </w:r>
            <w:r>
              <w:rPr>
                <w:rFonts w:hint="eastAsia" w:ascii="宋体" w:hAnsi="宋体" w:cs="宋体"/>
                <w:color w:val="auto"/>
                <w:lang w:val="zh-CN"/>
              </w:rPr>
              <w:t xml:space="preserve">的社会保险证明材料等相关材料复印件）。 </w:t>
            </w:r>
          </w:p>
          <w:p>
            <w:pPr>
              <w:pStyle w:val="45"/>
              <w:adjustRightInd w:val="0"/>
              <w:snapToGrid w:val="0"/>
              <w:spacing w:line="360" w:lineRule="auto"/>
              <w:ind w:firstLine="210" w:firstLineChars="100"/>
              <w:jc w:val="left"/>
              <w:rPr>
                <w:rFonts w:ascii="宋体" w:hAnsi="宋体" w:cs="宋体"/>
                <w:color w:val="auto"/>
              </w:rPr>
            </w:pPr>
            <w:r>
              <w:rPr>
                <w:rFonts w:hint="eastAsia" w:ascii="宋体" w:hAnsi="宋体" w:cs="宋体"/>
                <w:color w:val="auto"/>
                <w:lang w:val="zh-CN"/>
              </w:rPr>
              <w:t>①拟投入的本项目负责人有全国注册造价师执业资格证</w:t>
            </w:r>
            <w:r>
              <w:rPr>
                <w:rFonts w:hint="eastAsia" w:ascii="宋体" w:hAnsi="宋体" w:cs="宋体"/>
                <w:color w:val="auto"/>
              </w:rPr>
              <w:t>10</w:t>
            </w:r>
            <w:r>
              <w:rPr>
                <w:rFonts w:hint="eastAsia" w:ascii="宋体" w:hAnsi="宋体" w:cs="宋体"/>
                <w:color w:val="auto"/>
                <w:lang w:val="zh-CN"/>
              </w:rPr>
              <w:t xml:space="preserve"> 年以上并具备</w:t>
            </w:r>
            <w:r>
              <w:rPr>
                <w:rFonts w:hint="eastAsia"/>
                <w:color w:val="auto"/>
                <w:spacing w:val="2"/>
                <w:sz w:val="22"/>
                <w:szCs w:val="22"/>
              </w:rPr>
              <w:t>高级工程师职称证书</w:t>
            </w:r>
            <w:r>
              <w:rPr>
                <w:rFonts w:hint="eastAsia" w:ascii="宋体" w:hAnsi="宋体" w:cs="宋体"/>
                <w:color w:val="auto"/>
                <w:lang w:val="zh-CN"/>
              </w:rPr>
              <w:t xml:space="preserve">的得 </w:t>
            </w:r>
            <w:r>
              <w:rPr>
                <w:rFonts w:hint="eastAsia" w:ascii="宋体" w:hAnsi="宋体" w:cs="宋体"/>
                <w:color w:val="auto"/>
              </w:rPr>
              <w:t>3</w:t>
            </w:r>
            <w:r>
              <w:rPr>
                <w:rFonts w:hint="eastAsia" w:ascii="宋体" w:hAnsi="宋体" w:cs="宋体"/>
                <w:color w:val="auto"/>
                <w:lang w:val="zh-CN"/>
              </w:rPr>
              <w:t>分，同时具有注册监理工程师证的加</w:t>
            </w:r>
            <w:r>
              <w:rPr>
                <w:rFonts w:hint="eastAsia" w:ascii="宋体" w:hAnsi="宋体" w:cs="宋体"/>
                <w:color w:val="auto"/>
              </w:rPr>
              <w:t>2分，</w:t>
            </w:r>
            <w:r>
              <w:rPr>
                <w:rFonts w:hint="eastAsia" w:ascii="宋体" w:hAnsi="宋体" w:cs="宋体"/>
                <w:color w:val="auto"/>
                <w:lang w:val="zh-CN"/>
              </w:rPr>
              <w:t xml:space="preserve">此项满分 5 分。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9860" w:type="dxa"/>
            <w:gridSpan w:val="3"/>
            <w:tcMar>
              <w:top w:w="113" w:type="dxa"/>
              <w:left w:w="57" w:type="dxa"/>
              <w:bottom w:w="57" w:type="dxa"/>
              <w:right w:w="57" w:type="dxa"/>
            </w:tcMar>
            <w:vAlign w:val="center"/>
          </w:tcPr>
          <w:p>
            <w:pPr>
              <w:pStyle w:val="45"/>
              <w:adjustRightInd w:val="0"/>
              <w:snapToGrid w:val="0"/>
              <w:spacing w:line="360" w:lineRule="auto"/>
              <w:jc w:val="center"/>
              <w:rPr>
                <w:rFonts w:ascii="宋体" w:hAnsi="宋体" w:cs="宋体"/>
                <w:color w:val="auto"/>
                <w:kern w:val="2"/>
              </w:rPr>
            </w:pPr>
            <w:r>
              <w:rPr>
                <w:rFonts w:hint="eastAsia" w:ascii="宋体" w:hAnsi="宋体" w:cs="宋体"/>
                <w:b/>
                <w:bCs/>
                <w:color w:val="auto"/>
              </w:rPr>
              <w:t>二、商务部分评分细则（满分35分）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795" w:type="dxa"/>
            <w:tcMar>
              <w:top w:w="113" w:type="dxa"/>
              <w:left w:w="57" w:type="dxa"/>
              <w:bottom w:w="57" w:type="dxa"/>
              <w:right w:w="57" w:type="dxa"/>
            </w:tcMar>
            <w:vAlign w:val="center"/>
          </w:tcPr>
          <w:p>
            <w:pPr>
              <w:pStyle w:val="45"/>
              <w:adjustRightInd w:val="0"/>
              <w:snapToGrid w:val="0"/>
              <w:spacing w:line="360" w:lineRule="auto"/>
              <w:jc w:val="center"/>
              <w:rPr>
                <w:rFonts w:ascii="宋体" w:hAnsi="宋体" w:cs="宋体"/>
                <w:color w:val="auto"/>
                <w:kern w:val="2"/>
              </w:rPr>
            </w:pPr>
            <w:r>
              <w:rPr>
                <w:rFonts w:hint="eastAsia" w:ascii="宋体" w:hAnsi="宋体" w:cs="宋体"/>
                <w:color w:val="auto"/>
                <w:kern w:val="2"/>
              </w:rPr>
              <w:t>1</w:t>
            </w:r>
          </w:p>
        </w:tc>
        <w:tc>
          <w:tcPr>
            <w:tcW w:w="1720" w:type="dxa"/>
            <w:shd w:val="clear" w:color="auto" w:fill="auto"/>
            <w:tcMar>
              <w:top w:w="113" w:type="dxa"/>
              <w:left w:w="57" w:type="dxa"/>
              <w:bottom w:w="57" w:type="dxa"/>
              <w:right w:w="57" w:type="dxa"/>
            </w:tcMar>
            <w:vAlign w:val="center"/>
          </w:tcPr>
          <w:p>
            <w:pPr>
              <w:pStyle w:val="46"/>
              <w:spacing w:line="360" w:lineRule="auto"/>
              <w:jc w:val="center"/>
              <w:rPr>
                <w:rFonts w:ascii="宋体" w:hAnsi="宋体" w:cs="宋体"/>
                <w:bCs/>
                <w:color w:val="auto"/>
                <w:kern w:val="0"/>
                <w:sz w:val="21"/>
                <w:szCs w:val="21"/>
              </w:rPr>
            </w:pPr>
            <w:r>
              <w:rPr>
                <w:rFonts w:hint="eastAsia" w:ascii="宋体" w:hAnsi="宋体" w:cs="宋体"/>
                <w:bCs/>
                <w:color w:val="auto"/>
                <w:kern w:val="0"/>
                <w:sz w:val="21"/>
                <w:szCs w:val="21"/>
              </w:rPr>
              <w:t>投标人企业信誉</w:t>
            </w:r>
          </w:p>
          <w:p>
            <w:pPr>
              <w:pStyle w:val="46"/>
              <w:spacing w:line="360" w:lineRule="auto"/>
              <w:jc w:val="center"/>
              <w:rPr>
                <w:rFonts w:ascii="宋体" w:hAnsi="宋体" w:cs="宋体"/>
                <w:color w:val="auto"/>
                <w:sz w:val="21"/>
                <w:szCs w:val="21"/>
              </w:rPr>
            </w:pPr>
            <w:r>
              <w:rPr>
                <w:rFonts w:hint="eastAsia" w:ascii="宋体" w:hAnsi="宋体" w:cs="宋体"/>
                <w:bCs/>
                <w:color w:val="auto"/>
                <w:kern w:val="0"/>
                <w:sz w:val="21"/>
                <w:szCs w:val="21"/>
              </w:rPr>
              <w:t>(满分11分）</w:t>
            </w:r>
          </w:p>
        </w:tc>
        <w:tc>
          <w:tcPr>
            <w:tcW w:w="7345" w:type="dxa"/>
            <w:shd w:val="clear" w:color="auto" w:fill="auto"/>
            <w:tcMar>
              <w:top w:w="113" w:type="dxa"/>
              <w:left w:w="57" w:type="dxa"/>
              <w:bottom w:w="57" w:type="dxa"/>
              <w:right w:w="57" w:type="dxa"/>
            </w:tcMar>
            <w:vAlign w:val="center"/>
          </w:tcPr>
          <w:p>
            <w:pPr>
              <w:spacing w:line="360" w:lineRule="auto"/>
              <w:rPr>
                <w:color w:val="auto"/>
                <w:szCs w:val="21"/>
              </w:rPr>
            </w:pPr>
            <w:r>
              <w:rPr>
                <w:rFonts w:hint="eastAsia"/>
                <w:b/>
                <w:bCs/>
                <w:color w:val="auto"/>
                <w:szCs w:val="21"/>
              </w:rPr>
              <w:t>（1</w:t>
            </w:r>
            <w:r>
              <w:rPr>
                <w:rFonts w:hint="eastAsia"/>
                <w:b/>
                <w:bCs/>
                <w:color w:val="auto"/>
                <w:szCs w:val="21"/>
                <w:lang w:val="en-US"/>
              </w:rPr>
              <w:t>）</w:t>
            </w:r>
            <w:r>
              <w:rPr>
                <w:rFonts w:hint="eastAsia"/>
                <w:color w:val="auto"/>
                <w:szCs w:val="21"/>
              </w:rPr>
              <w:t>ISO认证体系信誉（满分为3分）：投标人提供质量管理、环境管理、职业健康安全管理三项认证体系的，且均在有效期内的，提供一项得1分，满分为3分。</w:t>
            </w:r>
          </w:p>
          <w:p>
            <w:pPr>
              <w:spacing w:line="360" w:lineRule="auto"/>
              <w:rPr>
                <w:color w:val="auto"/>
                <w:szCs w:val="21"/>
              </w:rPr>
            </w:pPr>
            <w:r>
              <w:rPr>
                <w:rFonts w:hint="eastAsia"/>
                <w:b/>
                <w:bCs/>
                <w:color w:val="auto"/>
                <w:szCs w:val="21"/>
              </w:rPr>
              <w:t>（2）</w:t>
            </w:r>
            <w:r>
              <w:rPr>
                <w:rFonts w:hint="eastAsia"/>
                <w:color w:val="auto"/>
                <w:szCs w:val="21"/>
              </w:rPr>
              <w:t>诚信等级（满分为</w:t>
            </w:r>
            <w:r>
              <w:rPr>
                <w:rFonts w:hint="eastAsia"/>
                <w:color w:val="auto"/>
                <w:szCs w:val="21"/>
                <w:lang w:val="en-US"/>
              </w:rPr>
              <w:t>2</w:t>
            </w:r>
            <w:r>
              <w:rPr>
                <w:rFonts w:hint="eastAsia"/>
                <w:color w:val="auto"/>
                <w:szCs w:val="21"/>
              </w:rPr>
              <w:t>分）：获得中国建设工程造价管理协会认证,且均在有效期内。AAA以下得1分。AAA得</w:t>
            </w:r>
            <w:r>
              <w:rPr>
                <w:rFonts w:hint="eastAsia"/>
                <w:color w:val="auto"/>
                <w:szCs w:val="21"/>
                <w:lang w:val="en-US"/>
              </w:rPr>
              <w:t>3</w:t>
            </w:r>
            <w:r>
              <w:rPr>
                <w:rFonts w:hint="eastAsia"/>
                <w:color w:val="auto"/>
                <w:szCs w:val="21"/>
              </w:rPr>
              <w:t>分，满分为</w:t>
            </w:r>
            <w:r>
              <w:rPr>
                <w:rFonts w:hint="eastAsia"/>
                <w:color w:val="auto"/>
                <w:szCs w:val="21"/>
                <w:lang w:val="en-US"/>
              </w:rPr>
              <w:t>3</w:t>
            </w:r>
            <w:r>
              <w:rPr>
                <w:rFonts w:hint="eastAsia"/>
                <w:color w:val="auto"/>
                <w:szCs w:val="21"/>
              </w:rPr>
              <w:t>分。</w:t>
            </w:r>
          </w:p>
          <w:p>
            <w:pPr>
              <w:spacing w:line="360" w:lineRule="auto"/>
              <w:rPr>
                <w:color w:val="auto"/>
                <w:szCs w:val="21"/>
              </w:rPr>
            </w:pPr>
            <w:r>
              <w:rPr>
                <w:rFonts w:hint="eastAsia"/>
                <w:b/>
                <w:bCs/>
                <w:color w:val="auto"/>
                <w:szCs w:val="21"/>
              </w:rPr>
              <w:t>（3）</w:t>
            </w:r>
            <w:r>
              <w:rPr>
                <w:rFonts w:hint="eastAsia"/>
                <w:color w:val="auto"/>
                <w:szCs w:val="21"/>
              </w:rPr>
              <w:t>201</w:t>
            </w:r>
            <w:r>
              <w:rPr>
                <w:rFonts w:hint="eastAsia"/>
                <w:color w:val="auto"/>
                <w:szCs w:val="21"/>
                <w:lang w:val="en-US"/>
              </w:rPr>
              <w:t>6</w:t>
            </w:r>
            <w:r>
              <w:rPr>
                <w:rFonts w:hint="eastAsia"/>
                <w:color w:val="auto"/>
                <w:szCs w:val="21"/>
              </w:rPr>
              <w:t>年以来投标人获得省级建设工程造价管理协会、中国建设工程造价管理协会颁发的荣誉证书的，每项得1分，此项满分</w:t>
            </w:r>
            <w:r>
              <w:rPr>
                <w:rFonts w:hint="eastAsia"/>
                <w:color w:val="auto"/>
                <w:szCs w:val="21"/>
                <w:lang w:val="en-US"/>
              </w:rPr>
              <w:t>3</w:t>
            </w:r>
            <w:r>
              <w:rPr>
                <w:rFonts w:hint="eastAsia"/>
                <w:color w:val="auto"/>
                <w:szCs w:val="21"/>
              </w:rPr>
              <w:t>分。</w:t>
            </w:r>
          </w:p>
          <w:p>
            <w:pPr>
              <w:spacing w:line="360" w:lineRule="auto"/>
              <w:rPr>
                <w:color w:val="auto"/>
                <w:szCs w:val="21"/>
                <w:lang w:val="en-US"/>
              </w:rPr>
            </w:pPr>
            <w:r>
              <w:rPr>
                <w:rFonts w:hint="eastAsia"/>
                <w:b/>
                <w:bCs/>
                <w:color w:val="auto"/>
                <w:szCs w:val="21"/>
                <w:lang w:val="en-US"/>
              </w:rPr>
              <w:t>(4)</w:t>
            </w:r>
            <w:r>
              <w:rPr>
                <w:rFonts w:hint="eastAsia"/>
                <w:color w:val="auto"/>
                <w:szCs w:val="21"/>
                <w:lang w:val="en-US"/>
              </w:rPr>
              <w:t>投标人注册地在崇左市或在崇左市设立有分支机构或办公场所的加2分。（须提供营业执照副本复印件或租赁合同复印件并加盖单位公章）</w:t>
            </w:r>
          </w:p>
          <w:p>
            <w:pPr>
              <w:spacing w:line="360" w:lineRule="auto"/>
              <w:rPr>
                <w:color w:val="auto"/>
                <w:szCs w:val="21"/>
              </w:rPr>
            </w:pPr>
            <w:r>
              <w:rPr>
                <w:rFonts w:hint="eastAsia"/>
                <w:color w:val="auto"/>
                <w:szCs w:val="21"/>
              </w:rPr>
              <w:t>说明：投标文件必须提供以上证明文件的复印件，荣誉证书时间以获奖证书颁发的时间为准（加盖公章）。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95" w:type="dxa"/>
            <w:tcMar>
              <w:top w:w="113" w:type="dxa"/>
              <w:left w:w="57" w:type="dxa"/>
              <w:bottom w:w="57" w:type="dxa"/>
              <w:right w:w="57" w:type="dxa"/>
            </w:tcMar>
            <w:vAlign w:val="center"/>
          </w:tcPr>
          <w:p>
            <w:pPr>
              <w:pStyle w:val="45"/>
              <w:adjustRightInd w:val="0"/>
              <w:snapToGrid w:val="0"/>
              <w:spacing w:line="360" w:lineRule="auto"/>
              <w:jc w:val="center"/>
              <w:rPr>
                <w:rFonts w:ascii="宋体" w:hAnsi="宋体" w:cs="宋体"/>
                <w:color w:val="auto"/>
                <w:kern w:val="2"/>
              </w:rPr>
            </w:pPr>
            <w:r>
              <w:rPr>
                <w:rFonts w:hint="eastAsia" w:ascii="宋体" w:hAnsi="宋体" w:cs="宋体"/>
                <w:color w:val="auto"/>
                <w:kern w:val="2"/>
              </w:rPr>
              <w:t>2</w:t>
            </w:r>
          </w:p>
        </w:tc>
        <w:tc>
          <w:tcPr>
            <w:tcW w:w="1720" w:type="dxa"/>
            <w:shd w:val="clear" w:color="auto" w:fill="auto"/>
            <w:tcMar>
              <w:top w:w="113" w:type="dxa"/>
              <w:left w:w="57" w:type="dxa"/>
              <w:bottom w:w="57" w:type="dxa"/>
              <w:right w:w="57" w:type="dxa"/>
            </w:tcMar>
            <w:vAlign w:val="center"/>
          </w:tcPr>
          <w:p>
            <w:pPr>
              <w:pStyle w:val="46"/>
              <w:spacing w:line="360" w:lineRule="auto"/>
              <w:jc w:val="center"/>
              <w:rPr>
                <w:rFonts w:ascii="宋体" w:hAnsi="宋体" w:cs="宋体"/>
                <w:bCs/>
                <w:color w:val="auto"/>
                <w:kern w:val="0"/>
                <w:sz w:val="21"/>
                <w:szCs w:val="21"/>
              </w:rPr>
            </w:pPr>
            <w:r>
              <w:rPr>
                <w:rFonts w:hint="eastAsia" w:ascii="宋体" w:hAnsi="宋体" w:cs="宋体"/>
                <w:color w:val="auto"/>
                <w:sz w:val="21"/>
                <w:szCs w:val="21"/>
              </w:rPr>
              <w:t>投标人业绩</w:t>
            </w:r>
          </w:p>
          <w:p>
            <w:pPr>
              <w:pStyle w:val="46"/>
              <w:spacing w:line="360" w:lineRule="auto"/>
              <w:jc w:val="center"/>
              <w:rPr>
                <w:rFonts w:ascii="宋体" w:hAnsi="宋体" w:cs="宋体"/>
                <w:bCs/>
                <w:color w:val="auto"/>
                <w:kern w:val="0"/>
                <w:sz w:val="21"/>
                <w:szCs w:val="21"/>
              </w:rPr>
            </w:pPr>
            <w:r>
              <w:rPr>
                <w:rFonts w:hint="eastAsia" w:ascii="宋体" w:hAnsi="宋体" w:cs="宋体"/>
                <w:color w:val="auto"/>
                <w:sz w:val="21"/>
                <w:szCs w:val="21"/>
              </w:rPr>
              <w:t>(满分24分）</w:t>
            </w:r>
          </w:p>
        </w:tc>
        <w:tc>
          <w:tcPr>
            <w:tcW w:w="7345" w:type="dxa"/>
            <w:shd w:val="clear" w:color="auto" w:fill="auto"/>
            <w:tcMar>
              <w:top w:w="113" w:type="dxa"/>
              <w:left w:w="57" w:type="dxa"/>
              <w:bottom w:w="57" w:type="dxa"/>
              <w:right w:w="57" w:type="dxa"/>
            </w:tcMar>
            <w:vAlign w:val="center"/>
          </w:tcPr>
          <w:p>
            <w:pPr>
              <w:spacing w:line="360" w:lineRule="auto"/>
              <w:rPr>
                <w:color w:val="auto"/>
                <w:szCs w:val="21"/>
              </w:rPr>
            </w:pPr>
            <w:r>
              <w:rPr>
                <w:rFonts w:hint="eastAsia"/>
                <w:color w:val="auto"/>
                <w:szCs w:val="21"/>
              </w:rPr>
              <w:t>1、201</w:t>
            </w:r>
            <w:r>
              <w:rPr>
                <w:rFonts w:hint="eastAsia"/>
                <w:color w:val="auto"/>
                <w:szCs w:val="21"/>
                <w:lang w:val="en-US"/>
              </w:rPr>
              <w:t>6</w:t>
            </w:r>
            <w:r>
              <w:rPr>
                <w:rFonts w:hint="eastAsia"/>
                <w:color w:val="auto"/>
                <w:szCs w:val="21"/>
              </w:rPr>
              <w:t>年以来，投标人承接过工程造价咨询服务项目总投资额或建安费在</w:t>
            </w:r>
            <w:r>
              <w:rPr>
                <w:rFonts w:hint="eastAsia"/>
                <w:color w:val="auto"/>
                <w:szCs w:val="21"/>
                <w:lang w:val="en-US"/>
              </w:rPr>
              <w:t>5000万</w:t>
            </w:r>
            <w:r>
              <w:rPr>
                <w:rFonts w:hint="eastAsia"/>
                <w:color w:val="auto"/>
                <w:szCs w:val="21"/>
              </w:rPr>
              <w:t>元-</w:t>
            </w:r>
            <w:r>
              <w:rPr>
                <w:rFonts w:hint="eastAsia"/>
                <w:color w:val="auto"/>
                <w:szCs w:val="21"/>
                <w:lang w:val="en-US"/>
              </w:rPr>
              <w:t>1</w:t>
            </w:r>
            <w:r>
              <w:rPr>
                <w:rFonts w:hint="eastAsia"/>
                <w:color w:val="auto"/>
                <w:szCs w:val="21"/>
              </w:rPr>
              <w:t>亿元（不含</w:t>
            </w:r>
            <w:r>
              <w:rPr>
                <w:rFonts w:hint="eastAsia"/>
                <w:color w:val="auto"/>
                <w:szCs w:val="21"/>
                <w:lang w:val="en-US"/>
              </w:rPr>
              <w:t>1</w:t>
            </w:r>
            <w:r>
              <w:rPr>
                <w:rFonts w:hint="eastAsia"/>
                <w:color w:val="auto"/>
                <w:szCs w:val="21"/>
              </w:rPr>
              <w:t>亿），每个项目得</w:t>
            </w:r>
            <w:r>
              <w:rPr>
                <w:rFonts w:hint="eastAsia"/>
                <w:color w:val="auto"/>
                <w:szCs w:val="21"/>
                <w:lang w:val="en-US"/>
              </w:rPr>
              <w:t>1.5</w:t>
            </w:r>
            <w:r>
              <w:rPr>
                <w:rFonts w:hint="eastAsia"/>
                <w:color w:val="auto"/>
                <w:szCs w:val="21"/>
              </w:rPr>
              <w:t>分；2015年以来，投标人承接过工程造价咨询服务项目总投资额或建安费在</w:t>
            </w:r>
            <w:r>
              <w:rPr>
                <w:rFonts w:hint="eastAsia"/>
                <w:color w:val="auto"/>
                <w:szCs w:val="21"/>
                <w:lang w:val="en-US"/>
              </w:rPr>
              <w:t>1</w:t>
            </w:r>
            <w:r>
              <w:rPr>
                <w:rFonts w:hint="eastAsia"/>
                <w:color w:val="auto"/>
                <w:szCs w:val="21"/>
              </w:rPr>
              <w:t>亿元-</w:t>
            </w:r>
            <w:r>
              <w:rPr>
                <w:rFonts w:hint="eastAsia"/>
                <w:color w:val="auto"/>
                <w:szCs w:val="21"/>
                <w:lang w:val="en-US"/>
              </w:rPr>
              <w:t>5</w:t>
            </w:r>
            <w:r>
              <w:rPr>
                <w:rFonts w:hint="eastAsia"/>
                <w:color w:val="auto"/>
                <w:szCs w:val="21"/>
              </w:rPr>
              <w:t>亿元（不含</w:t>
            </w:r>
            <w:r>
              <w:rPr>
                <w:rFonts w:hint="eastAsia"/>
                <w:color w:val="auto"/>
                <w:szCs w:val="21"/>
                <w:lang w:val="en-US"/>
              </w:rPr>
              <w:t>5</w:t>
            </w:r>
            <w:r>
              <w:rPr>
                <w:rFonts w:hint="eastAsia"/>
                <w:color w:val="auto"/>
                <w:szCs w:val="21"/>
              </w:rPr>
              <w:t>亿），每个项目得</w:t>
            </w:r>
            <w:r>
              <w:rPr>
                <w:rFonts w:hint="eastAsia"/>
                <w:color w:val="auto"/>
                <w:szCs w:val="21"/>
                <w:lang w:val="en-US"/>
              </w:rPr>
              <w:t>3</w:t>
            </w:r>
            <w:r>
              <w:rPr>
                <w:rFonts w:hint="eastAsia"/>
                <w:color w:val="auto"/>
                <w:szCs w:val="21"/>
              </w:rPr>
              <w:t>分；201</w:t>
            </w:r>
            <w:r>
              <w:rPr>
                <w:rFonts w:hint="eastAsia"/>
                <w:color w:val="auto"/>
                <w:szCs w:val="21"/>
                <w:lang w:val="en-US"/>
              </w:rPr>
              <w:t>6</w:t>
            </w:r>
            <w:r>
              <w:rPr>
                <w:rFonts w:hint="eastAsia"/>
                <w:color w:val="auto"/>
                <w:szCs w:val="21"/>
              </w:rPr>
              <w:t>年以来，投标人承接过全过程造价咨询服务项目造价总投资额或建安费在</w:t>
            </w:r>
            <w:r>
              <w:rPr>
                <w:rFonts w:hint="eastAsia"/>
                <w:color w:val="auto"/>
                <w:szCs w:val="21"/>
                <w:lang w:val="en-US"/>
              </w:rPr>
              <w:t>5</w:t>
            </w:r>
            <w:r>
              <w:rPr>
                <w:rFonts w:hint="eastAsia"/>
                <w:color w:val="auto"/>
                <w:szCs w:val="21"/>
              </w:rPr>
              <w:t>亿元以上，每个项目得</w:t>
            </w:r>
            <w:r>
              <w:rPr>
                <w:rFonts w:hint="eastAsia"/>
                <w:color w:val="auto"/>
                <w:szCs w:val="21"/>
                <w:lang w:val="en-US"/>
              </w:rPr>
              <w:t>5</w:t>
            </w:r>
            <w:r>
              <w:rPr>
                <w:rFonts w:hint="eastAsia"/>
                <w:color w:val="auto"/>
                <w:szCs w:val="21"/>
              </w:rPr>
              <w:t>分；此项满分</w:t>
            </w:r>
            <w:r>
              <w:rPr>
                <w:rFonts w:hint="eastAsia"/>
                <w:color w:val="auto"/>
                <w:szCs w:val="21"/>
                <w:lang w:val="en-US"/>
              </w:rPr>
              <w:t>10</w:t>
            </w:r>
            <w:r>
              <w:rPr>
                <w:rFonts w:hint="eastAsia"/>
                <w:color w:val="auto"/>
                <w:szCs w:val="21"/>
              </w:rPr>
              <w:t>分。</w:t>
            </w:r>
            <w:r>
              <w:rPr>
                <w:rFonts w:hint="eastAsia"/>
                <w:color w:val="auto"/>
                <w:szCs w:val="21"/>
                <w:lang w:val="en-US"/>
              </w:rPr>
              <w:t>(原件备查）</w:t>
            </w:r>
          </w:p>
          <w:p>
            <w:pPr>
              <w:pStyle w:val="2"/>
              <w:jc w:val="both"/>
              <w:rPr>
                <w:color w:val="auto"/>
                <w:sz w:val="22"/>
                <w:szCs w:val="22"/>
              </w:rPr>
            </w:pPr>
            <w:r>
              <w:rPr>
                <w:rFonts w:hint="eastAsia"/>
                <w:color w:val="auto"/>
                <w:sz w:val="22"/>
                <w:szCs w:val="22"/>
              </w:rPr>
              <w:t>2</w:t>
            </w:r>
            <w:r>
              <w:rPr>
                <w:rFonts w:hint="eastAsia"/>
                <w:color w:val="auto"/>
              </w:rPr>
              <w:t>、</w:t>
            </w:r>
            <w:r>
              <w:rPr>
                <w:rFonts w:hint="eastAsia"/>
                <w:color w:val="auto"/>
                <w:sz w:val="22"/>
                <w:szCs w:val="22"/>
              </w:rPr>
              <w:t>201</w:t>
            </w:r>
            <w:r>
              <w:rPr>
                <w:rFonts w:hint="eastAsia"/>
                <w:color w:val="auto"/>
                <w:sz w:val="22"/>
                <w:szCs w:val="22"/>
                <w:lang w:val="en-US"/>
              </w:rPr>
              <w:t>6</w:t>
            </w:r>
            <w:r>
              <w:rPr>
                <w:rFonts w:hint="eastAsia"/>
                <w:color w:val="auto"/>
                <w:sz w:val="22"/>
                <w:szCs w:val="22"/>
              </w:rPr>
              <w:t>年以来，投标人承接过公路全过程造价咨询服务项目造价总投资额或建安费在</w:t>
            </w:r>
            <w:r>
              <w:rPr>
                <w:rFonts w:hint="eastAsia"/>
                <w:color w:val="auto"/>
                <w:sz w:val="22"/>
                <w:szCs w:val="22"/>
                <w:lang w:val="en-US"/>
              </w:rPr>
              <w:t>10</w:t>
            </w:r>
            <w:r>
              <w:rPr>
                <w:rFonts w:hint="eastAsia"/>
                <w:color w:val="auto"/>
                <w:sz w:val="22"/>
                <w:szCs w:val="22"/>
              </w:rPr>
              <w:t>亿元以上，每个项目得</w:t>
            </w:r>
            <w:r>
              <w:rPr>
                <w:rFonts w:hint="eastAsia"/>
                <w:color w:val="auto"/>
                <w:sz w:val="22"/>
                <w:szCs w:val="22"/>
                <w:lang w:val="en-US"/>
              </w:rPr>
              <w:t>5</w:t>
            </w:r>
            <w:r>
              <w:rPr>
                <w:rFonts w:hint="eastAsia"/>
                <w:color w:val="auto"/>
                <w:sz w:val="22"/>
                <w:szCs w:val="22"/>
              </w:rPr>
              <w:t>分；此项满分</w:t>
            </w:r>
            <w:r>
              <w:rPr>
                <w:rFonts w:hint="eastAsia"/>
                <w:color w:val="auto"/>
                <w:sz w:val="22"/>
                <w:szCs w:val="22"/>
                <w:lang w:val="en-US"/>
              </w:rPr>
              <w:t>5</w:t>
            </w:r>
            <w:r>
              <w:rPr>
                <w:rFonts w:hint="eastAsia"/>
                <w:color w:val="auto"/>
                <w:sz w:val="22"/>
                <w:szCs w:val="22"/>
              </w:rPr>
              <w:t>分。</w:t>
            </w:r>
            <w:r>
              <w:rPr>
                <w:rFonts w:hint="eastAsia"/>
                <w:color w:val="auto"/>
                <w:lang w:val="en-US"/>
              </w:rPr>
              <w:t>(原件备查）</w:t>
            </w:r>
          </w:p>
          <w:p>
            <w:pPr>
              <w:spacing w:line="360" w:lineRule="auto"/>
              <w:rPr>
                <w:color w:val="auto"/>
                <w:szCs w:val="21"/>
                <w:lang w:val="en-US"/>
              </w:rPr>
            </w:pPr>
            <w:r>
              <w:rPr>
                <w:rFonts w:hint="eastAsia"/>
                <w:color w:val="auto"/>
                <w:szCs w:val="21"/>
                <w:lang w:val="en-US"/>
              </w:rPr>
              <w:t>3、投标人自2016年以来有入崇左市审计局中介协审机构服务定点库的加3分，满分3分。（备注：提供合同复印件或中标通知书并加盖单位公章）</w:t>
            </w:r>
          </w:p>
          <w:p>
            <w:pPr>
              <w:spacing w:line="360" w:lineRule="auto"/>
              <w:rPr>
                <w:color w:val="auto"/>
                <w:szCs w:val="21"/>
                <w:lang w:val="en-US"/>
              </w:rPr>
            </w:pPr>
            <w:r>
              <w:rPr>
                <w:rFonts w:hint="eastAsia"/>
                <w:color w:val="auto"/>
                <w:szCs w:val="21"/>
                <w:lang w:val="en-US"/>
              </w:rPr>
              <w:t>4、投标人自2016年以来有入过自治区本级预算单位造价服务定点库的加3分，满分3分。（备注：提供合同复印件或中标通知书并加盖单位公章）</w:t>
            </w:r>
          </w:p>
          <w:p>
            <w:pPr>
              <w:spacing w:line="360" w:lineRule="auto"/>
              <w:rPr>
                <w:color w:val="auto"/>
                <w:szCs w:val="21"/>
                <w:lang w:val="en-US"/>
              </w:rPr>
            </w:pPr>
            <w:r>
              <w:rPr>
                <w:rFonts w:hint="eastAsia"/>
                <w:color w:val="auto"/>
                <w:szCs w:val="21"/>
                <w:lang w:val="en-US"/>
              </w:rPr>
              <w:t>5、投标人被列入“自治区住房城乡建设厅广西全过程工程咨询第一批试点企业”的得3分，满分3分。（提供相关证明文件复印件并加盖单位公章）</w:t>
            </w:r>
          </w:p>
          <w:p>
            <w:pPr>
              <w:spacing w:line="360" w:lineRule="auto"/>
              <w:rPr>
                <w:color w:val="auto"/>
                <w:szCs w:val="21"/>
              </w:rPr>
            </w:pPr>
            <w:r>
              <w:rPr>
                <w:rFonts w:hint="eastAsia"/>
                <w:color w:val="auto"/>
                <w:szCs w:val="21"/>
                <w:lang w:val="en-US"/>
              </w:rPr>
              <w:t>说明：投标人必须提供委托书复印件或合同复印件或其他可以证明承接业务的文件材料。(原件备查）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9860" w:type="dxa"/>
            <w:gridSpan w:val="3"/>
            <w:tcMar>
              <w:top w:w="113" w:type="dxa"/>
              <w:left w:w="57" w:type="dxa"/>
              <w:bottom w:w="57" w:type="dxa"/>
              <w:right w:w="57" w:type="dxa"/>
            </w:tcMar>
            <w:vAlign w:val="center"/>
          </w:tcPr>
          <w:p>
            <w:pPr>
              <w:spacing w:line="360" w:lineRule="auto"/>
              <w:jc w:val="center"/>
              <w:rPr>
                <w:color w:val="auto"/>
                <w:szCs w:val="21"/>
              </w:rPr>
            </w:pPr>
            <w:r>
              <w:rPr>
                <w:rFonts w:hint="eastAsia"/>
                <w:b/>
                <w:bCs/>
                <w:color w:val="auto"/>
                <w:szCs w:val="21"/>
              </w:rPr>
              <w:t>三、投标报价评分细则（满分</w:t>
            </w:r>
            <w:r>
              <w:rPr>
                <w:rFonts w:hint="eastAsia"/>
                <w:b/>
                <w:bCs/>
                <w:color w:val="auto"/>
                <w:szCs w:val="21"/>
                <w:lang w:val="en-US"/>
              </w:rPr>
              <w:t>10</w:t>
            </w:r>
            <w:r>
              <w:rPr>
                <w:rFonts w:hint="eastAsia"/>
                <w:b/>
                <w:bCs/>
                <w:color w:val="auto"/>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80" w:hRule="atLeast"/>
          <w:jc w:val="center"/>
        </w:trPr>
        <w:tc>
          <w:tcPr>
            <w:tcW w:w="795" w:type="dxa"/>
            <w:tcMar>
              <w:top w:w="113" w:type="dxa"/>
              <w:left w:w="57" w:type="dxa"/>
              <w:bottom w:w="57" w:type="dxa"/>
              <w:right w:w="57" w:type="dxa"/>
            </w:tcMar>
            <w:vAlign w:val="center"/>
          </w:tcPr>
          <w:p>
            <w:pPr>
              <w:pStyle w:val="45"/>
              <w:adjustRightInd w:val="0"/>
              <w:snapToGrid w:val="0"/>
              <w:spacing w:line="360" w:lineRule="auto"/>
              <w:jc w:val="center"/>
              <w:rPr>
                <w:rFonts w:ascii="宋体" w:hAnsi="宋体" w:cs="宋体"/>
                <w:color w:val="auto"/>
                <w:kern w:val="2"/>
              </w:rPr>
            </w:pPr>
            <w:r>
              <w:rPr>
                <w:rFonts w:hint="eastAsia" w:ascii="宋体" w:hAnsi="宋体" w:cs="宋体"/>
                <w:color w:val="auto"/>
                <w:kern w:val="2"/>
              </w:rPr>
              <w:t>1</w:t>
            </w:r>
          </w:p>
        </w:tc>
        <w:tc>
          <w:tcPr>
            <w:tcW w:w="1720" w:type="dxa"/>
            <w:tcMar>
              <w:top w:w="113" w:type="dxa"/>
              <w:left w:w="57" w:type="dxa"/>
              <w:bottom w:w="57" w:type="dxa"/>
              <w:right w:w="57" w:type="dxa"/>
            </w:tcMar>
            <w:vAlign w:val="center"/>
          </w:tcPr>
          <w:p>
            <w:pPr>
              <w:pStyle w:val="46"/>
              <w:spacing w:line="360" w:lineRule="auto"/>
              <w:jc w:val="center"/>
              <w:rPr>
                <w:rFonts w:ascii="宋体" w:hAnsi="宋体" w:cs="宋体"/>
                <w:color w:val="auto"/>
                <w:sz w:val="21"/>
                <w:szCs w:val="21"/>
              </w:rPr>
            </w:pPr>
            <w:r>
              <w:rPr>
                <w:rFonts w:hint="eastAsia" w:ascii="宋体" w:hAnsi="宋体" w:cs="宋体"/>
                <w:color w:val="auto"/>
                <w:sz w:val="21"/>
                <w:szCs w:val="21"/>
              </w:rPr>
              <w:t>投标报价（10分）</w:t>
            </w:r>
          </w:p>
        </w:tc>
        <w:tc>
          <w:tcPr>
            <w:tcW w:w="7345" w:type="dxa"/>
            <w:tcMar>
              <w:top w:w="113" w:type="dxa"/>
              <w:left w:w="57" w:type="dxa"/>
              <w:bottom w:w="57" w:type="dxa"/>
              <w:right w:w="57" w:type="dxa"/>
            </w:tcMar>
            <w:vAlign w:val="center"/>
          </w:tcPr>
          <w:p>
            <w:pPr>
              <w:pStyle w:val="25"/>
              <w:ind w:left="0" w:leftChars="0" w:firstLine="0" w:firstLineChars="0"/>
              <w:rPr>
                <w:color w:val="auto"/>
              </w:rPr>
            </w:pPr>
            <w:r>
              <w:rPr>
                <w:rFonts w:hint="eastAsia"/>
                <w:color w:val="auto"/>
              </w:rPr>
              <w:t>报价分计算公式：某投标人价格分=（投标人最低投标</w:t>
            </w:r>
            <w:r>
              <w:rPr>
                <w:rFonts w:hint="eastAsia"/>
                <w:color w:val="auto"/>
                <w:lang w:eastAsia="zh-CN"/>
              </w:rPr>
              <w:t>报价</w:t>
            </w:r>
            <w:r>
              <w:rPr>
                <w:rFonts w:hint="eastAsia"/>
                <w:color w:val="auto"/>
              </w:rPr>
              <w:t>/某投标人投标</w:t>
            </w:r>
            <w:r>
              <w:rPr>
                <w:rFonts w:hint="eastAsia"/>
                <w:color w:val="auto"/>
                <w:lang w:eastAsia="zh-CN"/>
              </w:rPr>
              <w:t>报价</w:t>
            </w:r>
            <w:r>
              <w:rPr>
                <w:rFonts w:hint="eastAsia"/>
                <w:color w:val="auto"/>
              </w:rPr>
              <w:t>）×10分</w:t>
            </w:r>
          </w:p>
        </w:tc>
      </w:tr>
    </w:tbl>
    <w:p>
      <w:pPr>
        <w:pStyle w:val="16"/>
        <w:spacing w:line="360" w:lineRule="auto"/>
        <w:rPr>
          <w:rFonts w:hAnsi="宋体"/>
          <w:color w:val="auto"/>
        </w:rPr>
      </w:pPr>
    </w:p>
    <w:p>
      <w:pPr>
        <w:pStyle w:val="16"/>
        <w:spacing w:line="360" w:lineRule="auto"/>
        <w:rPr>
          <w:rFonts w:hAnsi="宋体"/>
          <w:color w:val="auto"/>
        </w:rPr>
      </w:pPr>
      <w:r>
        <w:rPr>
          <w:rFonts w:hint="eastAsia" w:hAnsi="宋体"/>
          <w:color w:val="auto"/>
        </w:rPr>
        <w:t>三、中标候选人推荐原则</w:t>
      </w:r>
    </w:p>
    <w:p>
      <w:pPr>
        <w:wordWrap w:val="0"/>
        <w:spacing w:line="360" w:lineRule="auto"/>
        <w:ind w:firstLine="440" w:firstLineChars="200"/>
        <w:rPr>
          <w:color w:val="auto"/>
        </w:rPr>
      </w:pPr>
      <w:r>
        <w:rPr>
          <w:rFonts w:hint="eastAsia"/>
          <w:color w:val="auto"/>
        </w:rPr>
        <w:t>评标委员会将根据总得分由高到低排列次序（综合得分相同时，以投标报价由低到高顺序排列；综合得分相同且投标报价也相同的，按技术指标优劣顺序排列）并推荐前三名为中标候选人排名。招标采购单位应当确定评审委员会推荐排名第一的中标候选人为中标人。排名第一的中标候选人放弃中标、因不可抗力提出不能履行合同，或者招标文件规定应当提交质量保证金而在规定的期限内未能提交的，招标采购单位可以确定排名第二的中标候选人为中标人。排名第二的中标候选人因前款规定的同样原因不能签订合同的，招标采购单位可以确定排名第三的中标候选人为中标人，其余以此类推。招标采购单位也可以重新进行政府采购活动。</w:t>
      </w:r>
      <w:r>
        <w:rPr>
          <w:rFonts w:hint="eastAsia"/>
          <w:b/>
          <w:color w:val="auto"/>
        </w:rPr>
        <w:br w:type="page"/>
      </w:r>
      <w:bookmarkStart w:id="151" w:name="_Toc213326423"/>
    </w:p>
    <w:p>
      <w:pPr>
        <w:pStyle w:val="3"/>
        <w:rPr>
          <w:color w:val="auto"/>
        </w:rPr>
      </w:pPr>
      <w:bookmarkStart w:id="152" w:name="_Toc13136"/>
      <w:r>
        <w:rPr>
          <w:rFonts w:hint="eastAsia"/>
          <w:color w:val="auto"/>
        </w:rPr>
        <w:t>第五章  合同主要条款格式</w:t>
      </w:r>
      <w:bookmarkEnd w:id="152"/>
    </w:p>
    <w:p>
      <w:pPr>
        <w:snapToGrid w:val="0"/>
        <w:jc w:val="center"/>
        <w:rPr>
          <w:rFonts w:cs="Times New Roman"/>
          <w:bCs/>
          <w:color w:val="auto"/>
          <w:sz w:val="32"/>
          <w:szCs w:val="32"/>
        </w:rPr>
      </w:pPr>
    </w:p>
    <w:p>
      <w:pPr>
        <w:pStyle w:val="25"/>
        <w:ind w:left="279" w:leftChars="37" w:hanging="198" w:hangingChars="62"/>
        <w:rPr>
          <w:rFonts w:ascii="宋体" w:hAnsi="宋体"/>
          <w:bCs/>
          <w:color w:val="auto"/>
          <w:sz w:val="32"/>
          <w:szCs w:val="32"/>
        </w:rPr>
      </w:pPr>
    </w:p>
    <w:p>
      <w:pPr>
        <w:rPr>
          <w:color w:val="auto"/>
        </w:rPr>
      </w:pPr>
    </w:p>
    <w:p>
      <w:pPr>
        <w:pStyle w:val="25"/>
        <w:ind w:left="880" w:hanging="440"/>
        <w:rPr>
          <w:color w:val="auto"/>
        </w:rPr>
      </w:pPr>
    </w:p>
    <w:p>
      <w:pPr>
        <w:rPr>
          <w:color w:val="auto"/>
        </w:rPr>
      </w:pPr>
    </w:p>
    <w:p>
      <w:pPr>
        <w:pStyle w:val="25"/>
        <w:ind w:left="880" w:hanging="440"/>
        <w:rPr>
          <w:color w:val="auto"/>
        </w:rPr>
      </w:pPr>
    </w:p>
    <w:p>
      <w:pPr>
        <w:rPr>
          <w:color w:val="auto"/>
        </w:rPr>
      </w:pPr>
    </w:p>
    <w:p>
      <w:pPr>
        <w:pStyle w:val="25"/>
        <w:ind w:left="880" w:hanging="440"/>
        <w:rPr>
          <w:color w:val="auto"/>
        </w:rPr>
      </w:pPr>
    </w:p>
    <w:p>
      <w:pPr>
        <w:rPr>
          <w:color w:val="auto"/>
        </w:rPr>
      </w:pPr>
    </w:p>
    <w:p>
      <w:pPr>
        <w:pStyle w:val="25"/>
        <w:ind w:left="880" w:hanging="440"/>
        <w:rPr>
          <w:color w:val="auto"/>
        </w:rPr>
      </w:pPr>
    </w:p>
    <w:p>
      <w:pPr>
        <w:rPr>
          <w:color w:val="auto"/>
        </w:rPr>
      </w:pPr>
    </w:p>
    <w:p>
      <w:pPr>
        <w:pStyle w:val="25"/>
        <w:ind w:left="880" w:hanging="440"/>
        <w:rPr>
          <w:color w:val="auto"/>
        </w:rPr>
      </w:pPr>
    </w:p>
    <w:p>
      <w:pPr>
        <w:rPr>
          <w:color w:val="auto"/>
        </w:rPr>
      </w:pPr>
    </w:p>
    <w:p>
      <w:pPr>
        <w:pStyle w:val="25"/>
        <w:ind w:left="880" w:hanging="440"/>
        <w:rPr>
          <w:color w:val="auto"/>
        </w:rPr>
      </w:pPr>
    </w:p>
    <w:p>
      <w:pPr>
        <w:rPr>
          <w:color w:val="auto"/>
        </w:rPr>
      </w:pPr>
    </w:p>
    <w:p>
      <w:pPr>
        <w:pStyle w:val="25"/>
        <w:ind w:left="880" w:hanging="440"/>
        <w:rPr>
          <w:color w:val="auto"/>
        </w:rPr>
      </w:pPr>
    </w:p>
    <w:p>
      <w:pPr>
        <w:rPr>
          <w:color w:val="auto"/>
        </w:rPr>
      </w:pPr>
    </w:p>
    <w:p>
      <w:pPr>
        <w:pStyle w:val="25"/>
        <w:ind w:left="880" w:hanging="440"/>
        <w:rPr>
          <w:color w:val="auto"/>
        </w:rPr>
      </w:pPr>
    </w:p>
    <w:p>
      <w:pPr>
        <w:rPr>
          <w:color w:val="auto"/>
        </w:rPr>
      </w:pPr>
    </w:p>
    <w:p>
      <w:pPr>
        <w:pStyle w:val="25"/>
        <w:ind w:left="880" w:hanging="440"/>
        <w:rPr>
          <w:color w:val="auto"/>
        </w:rPr>
      </w:pPr>
    </w:p>
    <w:p>
      <w:pPr>
        <w:rPr>
          <w:color w:val="auto"/>
        </w:rPr>
      </w:pPr>
    </w:p>
    <w:p>
      <w:pPr>
        <w:pStyle w:val="25"/>
        <w:ind w:left="880" w:hanging="440"/>
        <w:rPr>
          <w:color w:val="auto"/>
        </w:rPr>
      </w:pPr>
    </w:p>
    <w:p>
      <w:pPr>
        <w:rPr>
          <w:color w:val="auto"/>
        </w:rPr>
      </w:pPr>
    </w:p>
    <w:p>
      <w:pPr>
        <w:pStyle w:val="25"/>
        <w:ind w:left="880" w:hanging="440"/>
        <w:rPr>
          <w:color w:val="auto"/>
        </w:rPr>
      </w:pPr>
    </w:p>
    <w:p>
      <w:pPr>
        <w:rPr>
          <w:color w:val="auto"/>
        </w:rPr>
      </w:pPr>
    </w:p>
    <w:p>
      <w:pPr>
        <w:pStyle w:val="25"/>
        <w:ind w:left="880" w:hanging="440"/>
        <w:rPr>
          <w:color w:val="auto"/>
        </w:rPr>
      </w:pPr>
    </w:p>
    <w:p>
      <w:pPr>
        <w:rPr>
          <w:color w:val="auto"/>
        </w:rPr>
      </w:pPr>
    </w:p>
    <w:p>
      <w:pPr>
        <w:pStyle w:val="25"/>
        <w:ind w:left="880" w:hanging="440"/>
        <w:rPr>
          <w:color w:val="auto"/>
        </w:rPr>
      </w:pPr>
    </w:p>
    <w:p>
      <w:pPr>
        <w:rPr>
          <w:color w:val="auto"/>
        </w:rPr>
      </w:pPr>
    </w:p>
    <w:p>
      <w:pPr>
        <w:pStyle w:val="25"/>
        <w:ind w:left="880" w:hanging="440"/>
        <w:rPr>
          <w:color w:val="auto"/>
        </w:rPr>
      </w:pPr>
    </w:p>
    <w:p>
      <w:pPr>
        <w:rPr>
          <w:color w:val="auto"/>
        </w:rPr>
      </w:pPr>
    </w:p>
    <w:p>
      <w:pPr>
        <w:pStyle w:val="25"/>
        <w:ind w:left="880" w:hanging="440"/>
        <w:rPr>
          <w:color w:val="auto"/>
        </w:rPr>
      </w:pPr>
    </w:p>
    <w:p>
      <w:pPr>
        <w:rPr>
          <w:color w:val="auto"/>
        </w:rPr>
      </w:pPr>
    </w:p>
    <w:p>
      <w:pPr>
        <w:pStyle w:val="25"/>
        <w:ind w:left="880" w:hanging="440"/>
        <w:rPr>
          <w:color w:val="auto"/>
        </w:rPr>
      </w:pPr>
    </w:p>
    <w:p>
      <w:pPr>
        <w:rPr>
          <w:color w:val="auto"/>
        </w:rPr>
      </w:pPr>
    </w:p>
    <w:p>
      <w:pPr>
        <w:pStyle w:val="25"/>
        <w:ind w:left="880" w:hanging="440"/>
        <w:rPr>
          <w:color w:val="auto"/>
        </w:rPr>
      </w:pPr>
    </w:p>
    <w:p>
      <w:pPr>
        <w:rPr>
          <w:color w:val="auto"/>
        </w:rPr>
      </w:pPr>
    </w:p>
    <w:p>
      <w:pPr>
        <w:pStyle w:val="25"/>
        <w:ind w:left="880" w:hanging="440"/>
        <w:rPr>
          <w:color w:val="auto"/>
        </w:rPr>
      </w:pPr>
    </w:p>
    <w:p>
      <w:pPr>
        <w:rPr>
          <w:color w:val="auto"/>
        </w:rPr>
      </w:pPr>
    </w:p>
    <w:p>
      <w:pPr>
        <w:pStyle w:val="25"/>
        <w:ind w:left="880" w:hanging="440"/>
        <w:rPr>
          <w:color w:val="auto"/>
        </w:rPr>
      </w:pPr>
    </w:p>
    <w:p>
      <w:pPr>
        <w:rPr>
          <w:color w:val="auto"/>
        </w:rPr>
      </w:pPr>
    </w:p>
    <w:p>
      <w:pPr>
        <w:rPr>
          <w:color w:val="auto"/>
        </w:rPr>
      </w:pPr>
    </w:p>
    <w:p>
      <w:pPr>
        <w:rPr>
          <w:color w:val="auto"/>
        </w:rPr>
      </w:pPr>
    </w:p>
    <w:p>
      <w:pPr>
        <w:spacing w:line="360" w:lineRule="exact"/>
        <w:rPr>
          <w:rFonts w:cs="Courier New"/>
          <w:b/>
          <w:color w:val="auto"/>
          <w:sz w:val="18"/>
          <w:szCs w:val="18"/>
        </w:rPr>
      </w:pPr>
      <w:r>
        <w:rPr>
          <w:rFonts w:hint="eastAsia" w:cs="Courier New"/>
          <w:b/>
          <w:color w:val="auto"/>
          <w:sz w:val="18"/>
          <w:szCs w:val="18"/>
        </w:rPr>
        <w:t>说明：</w:t>
      </w:r>
    </w:p>
    <w:p>
      <w:pPr>
        <w:spacing w:line="360" w:lineRule="exact"/>
        <w:ind w:firstLine="354" w:firstLineChars="196"/>
        <w:rPr>
          <w:rFonts w:cs="Courier New"/>
          <w:b/>
          <w:color w:val="auto"/>
          <w:sz w:val="18"/>
          <w:szCs w:val="18"/>
        </w:rPr>
      </w:pPr>
      <w:r>
        <w:rPr>
          <w:rFonts w:hint="eastAsia" w:cs="Courier New"/>
          <w:b/>
          <w:color w:val="auto"/>
          <w:sz w:val="18"/>
          <w:szCs w:val="18"/>
        </w:rPr>
        <w:t>1、本合同书仅供签订正式合同时参考用，正式合同书应包括此参考格式之内容。</w:t>
      </w:r>
    </w:p>
    <w:p>
      <w:pPr>
        <w:spacing w:line="360" w:lineRule="exact"/>
        <w:ind w:firstLine="354" w:firstLineChars="196"/>
        <w:rPr>
          <w:rFonts w:cs="Courier New"/>
          <w:b/>
          <w:color w:val="auto"/>
          <w:sz w:val="18"/>
          <w:szCs w:val="18"/>
        </w:rPr>
      </w:pPr>
      <w:r>
        <w:rPr>
          <w:rFonts w:hint="eastAsia" w:cs="Courier New"/>
          <w:b/>
          <w:color w:val="auto"/>
          <w:sz w:val="18"/>
          <w:szCs w:val="18"/>
        </w:rPr>
        <w:t>2、合同签订双方可根据项目的具体要求进行修订，但合同条款不得与采购文件和成交投标人投标文件有实质性偏离。</w:t>
      </w:r>
    </w:p>
    <w:p>
      <w:pPr>
        <w:widowControl/>
        <w:rPr>
          <w:bCs/>
          <w:color w:val="auto"/>
          <w:sz w:val="24"/>
        </w:rPr>
      </w:pPr>
    </w:p>
    <w:p>
      <w:pPr>
        <w:widowControl/>
        <w:rPr>
          <w:bCs/>
          <w:color w:val="auto"/>
          <w:sz w:val="24"/>
        </w:rPr>
      </w:pPr>
    </w:p>
    <w:p>
      <w:pPr>
        <w:widowControl/>
        <w:rPr>
          <w:bCs/>
          <w:color w:val="auto"/>
          <w:sz w:val="24"/>
        </w:rPr>
      </w:pPr>
    </w:p>
    <w:p>
      <w:pPr>
        <w:widowControl/>
        <w:rPr>
          <w:b/>
          <w:color w:val="auto"/>
          <w:sz w:val="24"/>
        </w:rPr>
      </w:pPr>
    </w:p>
    <w:p>
      <w:pPr>
        <w:widowControl/>
        <w:rPr>
          <w:b/>
          <w:color w:val="auto"/>
          <w:sz w:val="24"/>
        </w:rPr>
      </w:pPr>
    </w:p>
    <w:p>
      <w:pPr>
        <w:widowControl/>
        <w:ind w:firstLine="4337" w:firstLineChars="1800"/>
        <w:rPr>
          <w:b/>
          <w:color w:val="auto"/>
          <w:sz w:val="24"/>
        </w:rPr>
      </w:pPr>
    </w:p>
    <w:p>
      <w:pPr>
        <w:widowControl/>
        <w:ind w:firstLine="4337" w:firstLineChars="1800"/>
        <w:rPr>
          <w:b/>
          <w:color w:val="auto"/>
          <w:sz w:val="24"/>
        </w:rPr>
      </w:pPr>
    </w:p>
    <w:p>
      <w:pPr>
        <w:widowControl/>
        <w:ind w:firstLine="4337" w:firstLineChars="1800"/>
        <w:rPr>
          <w:b/>
          <w:color w:val="auto"/>
          <w:sz w:val="24"/>
        </w:rPr>
      </w:pPr>
      <w:r>
        <w:rPr>
          <w:rFonts w:hint="eastAsia"/>
          <w:b/>
          <w:color w:val="auto"/>
          <w:sz w:val="24"/>
        </w:rPr>
        <w:t>合同编号：_________</w:t>
      </w:r>
    </w:p>
    <w:p>
      <w:pPr>
        <w:widowControl/>
        <w:rPr>
          <w:color w:val="auto"/>
          <w:sz w:val="36"/>
          <w:szCs w:val="36"/>
        </w:rPr>
      </w:pPr>
    </w:p>
    <w:p>
      <w:pPr>
        <w:widowControl/>
        <w:rPr>
          <w:color w:val="auto"/>
          <w:sz w:val="36"/>
          <w:szCs w:val="36"/>
        </w:rPr>
      </w:pPr>
    </w:p>
    <w:p>
      <w:pPr>
        <w:widowControl/>
        <w:rPr>
          <w:color w:val="auto"/>
          <w:sz w:val="36"/>
          <w:szCs w:val="36"/>
        </w:rPr>
      </w:pPr>
    </w:p>
    <w:p>
      <w:pPr>
        <w:widowControl/>
        <w:rPr>
          <w:color w:val="auto"/>
          <w:sz w:val="36"/>
          <w:szCs w:val="36"/>
        </w:rPr>
      </w:pPr>
    </w:p>
    <w:p>
      <w:pPr>
        <w:widowControl/>
        <w:rPr>
          <w:color w:val="auto"/>
          <w:sz w:val="36"/>
          <w:szCs w:val="36"/>
        </w:rPr>
      </w:pPr>
    </w:p>
    <w:p>
      <w:pPr>
        <w:widowControl/>
        <w:rPr>
          <w:color w:val="auto"/>
          <w:sz w:val="36"/>
          <w:szCs w:val="36"/>
        </w:rPr>
      </w:pPr>
    </w:p>
    <w:p>
      <w:pPr>
        <w:widowControl/>
        <w:spacing w:line="360" w:lineRule="auto"/>
        <w:jc w:val="center"/>
        <w:rPr>
          <w:color w:val="auto"/>
          <w:sz w:val="36"/>
          <w:szCs w:val="36"/>
        </w:rPr>
      </w:pPr>
      <w:r>
        <w:rPr>
          <w:b/>
          <w:color w:val="auto"/>
          <w:sz w:val="36"/>
          <w:szCs w:val="36"/>
        </w:rPr>
        <w:t>建设工程造价咨询合同</w:t>
      </w:r>
      <w:r>
        <w:rPr>
          <w:color w:val="auto"/>
          <w:sz w:val="36"/>
          <w:szCs w:val="36"/>
        </w:rPr>
        <w:br w:type="textWrapping"/>
      </w:r>
      <w:r>
        <w:rPr>
          <w:b/>
          <w:color w:val="auto"/>
          <w:sz w:val="36"/>
          <w:szCs w:val="36"/>
        </w:rPr>
        <w:t>（示范文本）</w:t>
      </w:r>
      <w:r>
        <w:rPr>
          <w:color w:val="auto"/>
          <w:sz w:val="36"/>
          <w:szCs w:val="36"/>
        </w:rPr>
        <w:br w:type="textWrapping"/>
      </w:r>
    </w:p>
    <w:p>
      <w:pPr>
        <w:widowControl/>
        <w:rPr>
          <w:color w:val="auto"/>
          <w:sz w:val="36"/>
          <w:szCs w:val="36"/>
        </w:rPr>
      </w:pPr>
    </w:p>
    <w:p>
      <w:pPr>
        <w:widowControl/>
        <w:spacing w:before="100" w:beforeAutospacing="1" w:after="100" w:afterAutospacing="1"/>
        <w:jc w:val="center"/>
        <w:rPr>
          <w:b/>
          <w:bCs/>
          <w:smallCaps/>
          <w:color w:val="auto"/>
          <w:sz w:val="36"/>
          <w:szCs w:val="36"/>
        </w:rPr>
      </w:pPr>
    </w:p>
    <w:p>
      <w:pPr>
        <w:widowControl/>
        <w:spacing w:before="100" w:beforeAutospacing="1" w:after="100" w:afterAutospacing="1"/>
        <w:jc w:val="center"/>
        <w:rPr>
          <w:b/>
          <w:bCs/>
          <w:smallCaps/>
          <w:color w:val="auto"/>
          <w:sz w:val="36"/>
          <w:szCs w:val="36"/>
        </w:rPr>
      </w:pPr>
    </w:p>
    <w:p>
      <w:pPr>
        <w:widowControl/>
        <w:spacing w:before="100" w:beforeAutospacing="1" w:after="100" w:afterAutospacing="1"/>
        <w:jc w:val="center"/>
        <w:rPr>
          <w:b/>
          <w:bCs/>
          <w:smallCaps/>
          <w:color w:val="auto"/>
          <w:sz w:val="36"/>
          <w:szCs w:val="36"/>
        </w:rPr>
      </w:pPr>
    </w:p>
    <w:p>
      <w:pPr>
        <w:widowControl/>
        <w:spacing w:before="100" w:beforeAutospacing="1" w:after="100" w:afterAutospacing="1"/>
        <w:jc w:val="center"/>
        <w:rPr>
          <w:b/>
          <w:bCs/>
          <w:smallCaps/>
          <w:color w:val="auto"/>
          <w:sz w:val="36"/>
          <w:szCs w:val="36"/>
        </w:rPr>
      </w:pPr>
      <w:r>
        <w:rPr>
          <w:rFonts w:hint="eastAsia"/>
          <w:b/>
          <w:bCs/>
          <w:smallCaps/>
          <w:color w:val="auto"/>
          <w:sz w:val="36"/>
          <w:szCs w:val="36"/>
        </w:rPr>
        <w:t>住 房 和 城 乡 建 设 部</w:t>
      </w:r>
    </w:p>
    <w:p>
      <w:pPr>
        <w:jc w:val="center"/>
        <w:rPr>
          <w:rFonts w:ascii="Times New Roman" w:hAnsi="Times New Roman" w:cs="Times New Roman"/>
          <w:b/>
          <w:bCs/>
          <w:color w:val="auto"/>
          <w:sz w:val="36"/>
          <w:szCs w:val="36"/>
        </w:rPr>
      </w:pPr>
      <w:r>
        <w:rPr>
          <w:rFonts w:hint="eastAsia" w:ascii="Times New Roman" w:hAnsi="Times New Roman" w:cs="Times New Roman"/>
          <w:b/>
          <w:bCs/>
          <w:color w:val="auto"/>
          <w:sz w:val="36"/>
          <w:szCs w:val="36"/>
        </w:rPr>
        <w:t>制定</w:t>
      </w:r>
    </w:p>
    <w:p>
      <w:pPr>
        <w:rPr>
          <w:rFonts w:ascii="Times New Roman" w:hAnsi="Times New Roman" w:cs="Times New Roman"/>
          <w:color w:val="auto"/>
          <w:sz w:val="36"/>
          <w:szCs w:val="36"/>
        </w:rPr>
      </w:pPr>
    </w:p>
    <w:p>
      <w:pPr>
        <w:pStyle w:val="2"/>
        <w:rPr>
          <w:color w:val="auto"/>
        </w:rPr>
      </w:pPr>
    </w:p>
    <w:p>
      <w:pPr>
        <w:rPr>
          <w:rFonts w:ascii="Times New Roman" w:hAnsi="Times New Roman" w:cs="Times New Roman"/>
          <w:color w:val="auto"/>
          <w:sz w:val="36"/>
          <w:szCs w:val="36"/>
        </w:rPr>
      </w:pPr>
    </w:p>
    <w:p>
      <w:pPr>
        <w:keepNext/>
        <w:keepLines/>
        <w:spacing w:before="120" w:after="120" w:line="578" w:lineRule="auto"/>
        <w:jc w:val="center"/>
        <w:outlineLvl w:val="0"/>
        <w:rPr>
          <w:rFonts w:ascii="Times New Roman" w:hAnsi="Times New Roman" w:cs="Times New Roman"/>
          <w:b/>
          <w:bCs/>
          <w:color w:val="auto"/>
          <w:kern w:val="44"/>
          <w:sz w:val="28"/>
          <w:szCs w:val="28"/>
        </w:rPr>
      </w:pPr>
      <w:bookmarkStart w:id="153" w:name="_Toc20147"/>
      <w:bookmarkStart w:id="154" w:name="_Toc419045055"/>
      <w:bookmarkStart w:id="155" w:name="_Toc422322470"/>
      <w:r>
        <w:rPr>
          <w:rFonts w:hint="eastAsia" w:ascii="Times New Roman" w:hAnsi="Times New Roman" w:cs="Times New Roman"/>
          <w:b/>
          <w:bCs/>
          <w:color w:val="auto"/>
          <w:kern w:val="44"/>
          <w:sz w:val="28"/>
          <w:szCs w:val="28"/>
        </w:rPr>
        <w:t>第一部分　协议书</w:t>
      </w:r>
      <w:bookmarkEnd w:id="153"/>
      <w:bookmarkEnd w:id="154"/>
      <w:bookmarkEnd w:id="155"/>
    </w:p>
    <w:p>
      <w:pPr>
        <w:widowControl/>
        <w:spacing w:line="400" w:lineRule="exact"/>
        <w:ind w:left="440" w:leftChars="200"/>
        <w:rPr>
          <w:rFonts w:cs="Times New Roman"/>
          <w:color w:val="auto"/>
          <w:szCs w:val="21"/>
        </w:rPr>
      </w:pPr>
      <w:bookmarkStart w:id="156" w:name="7"/>
    </w:p>
    <w:p>
      <w:pPr>
        <w:widowControl/>
        <w:spacing w:line="400" w:lineRule="exact"/>
        <w:ind w:left="440" w:leftChars="200"/>
        <w:rPr>
          <w:rFonts w:cs="Times New Roman"/>
          <w:color w:val="auto"/>
          <w:szCs w:val="21"/>
          <w:u w:val="single"/>
        </w:rPr>
      </w:pPr>
      <w:r>
        <w:rPr>
          <w:rFonts w:hint="eastAsia" w:cs="Times New Roman"/>
          <w:color w:val="auto"/>
          <w:szCs w:val="21"/>
        </w:rPr>
        <w:t>委托人（全称）：</w:t>
      </w:r>
    </w:p>
    <w:p>
      <w:pPr>
        <w:widowControl/>
        <w:spacing w:line="400" w:lineRule="exact"/>
        <w:ind w:left="440" w:leftChars="200"/>
        <w:rPr>
          <w:rFonts w:cs="Times New Roman"/>
          <w:color w:val="auto"/>
          <w:szCs w:val="21"/>
          <w:u w:val="single"/>
        </w:rPr>
      </w:pPr>
      <w:r>
        <w:rPr>
          <w:rFonts w:hint="eastAsia" w:cs="Times New Roman"/>
          <w:color w:val="auto"/>
          <w:szCs w:val="21"/>
        </w:rPr>
        <w:t>咨询人（全称）：</w:t>
      </w:r>
    </w:p>
    <w:p>
      <w:pPr>
        <w:pStyle w:val="25"/>
        <w:ind w:left="880" w:hanging="440"/>
        <w:rPr>
          <w:color w:val="auto"/>
        </w:rPr>
      </w:pPr>
    </w:p>
    <w:p>
      <w:pPr>
        <w:widowControl/>
        <w:spacing w:line="400" w:lineRule="exact"/>
        <w:ind w:firstLine="440" w:firstLineChars="200"/>
        <w:rPr>
          <w:rFonts w:cs="Times New Roman"/>
          <w:color w:val="auto"/>
          <w:szCs w:val="21"/>
        </w:rPr>
      </w:pPr>
      <w:r>
        <w:rPr>
          <w:rFonts w:hint="eastAsia" w:cs="Times New Roman"/>
          <w:color w:val="auto"/>
          <w:szCs w:val="21"/>
        </w:rPr>
        <w:t>根据《</w:t>
      </w:r>
      <w:r>
        <w:rPr>
          <w:color w:val="auto"/>
        </w:rPr>
        <w:fldChar w:fldCharType="begin"/>
      </w:r>
      <w:r>
        <w:rPr>
          <w:color w:val="auto"/>
        </w:rPr>
        <w:instrText xml:space="preserve"> HYPERLINK "javascript:SLC(21651,0)" </w:instrText>
      </w:r>
      <w:r>
        <w:rPr>
          <w:color w:val="auto"/>
        </w:rPr>
        <w:fldChar w:fldCharType="separate"/>
      </w:r>
      <w:r>
        <w:rPr>
          <w:rFonts w:hint="eastAsia" w:cs="Times New Roman"/>
          <w:color w:val="auto"/>
          <w:szCs w:val="21"/>
        </w:rPr>
        <w:t>中华人民共和国合同法</w:t>
      </w:r>
      <w:r>
        <w:rPr>
          <w:rFonts w:hint="eastAsia" w:cs="Times New Roman"/>
          <w:color w:val="auto"/>
          <w:szCs w:val="21"/>
        </w:rPr>
        <w:fldChar w:fldCharType="end"/>
      </w:r>
      <w:r>
        <w:rPr>
          <w:rFonts w:hint="eastAsia" w:cs="Times New Roman"/>
          <w:color w:val="auto"/>
          <w:szCs w:val="21"/>
        </w:rPr>
        <w:t>》及其他有关法律、法规，遵循平等、自愿、公平和诚实信用的原则，双方就下述建设工程委托造价咨询与其他服务事项协商一致，订立本合同。</w:t>
      </w:r>
    </w:p>
    <w:p>
      <w:pPr>
        <w:numPr>
          <w:ilvl w:val="0"/>
          <w:numId w:val="7"/>
        </w:numPr>
        <w:spacing w:line="400" w:lineRule="exact"/>
        <w:ind w:firstLine="422" w:firstLineChars="200"/>
        <w:rPr>
          <w:rFonts w:cs="Times New Roman"/>
          <w:color w:val="auto"/>
          <w:szCs w:val="21"/>
        </w:rPr>
      </w:pPr>
      <w:bookmarkStart w:id="157" w:name="_Toc422322471"/>
      <w:bookmarkStart w:id="158" w:name="_Toc419045056"/>
      <w:r>
        <w:rPr>
          <w:rFonts w:hint="eastAsia" w:cs="Times New Roman"/>
          <w:b/>
          <w:bCs/>
          <w:color w:val="auto"/>
          <w:kern w:val="2"/>
          <w:sz w:val="21"/>
          <w:szCs w:val="21"/>
          <w:lang w:val="en-US" w:bidi="ar-SA"/>
        </w:rPr>
        <w:t>工程概况</w:t>
      </w:r>
      <w:bookmarkEnd w:id="157"/>
      <w:r>
        <w:rPr>
          <w:rFonts w:hint="eastAsia" w:cs="Times New Roman"/>
          <w:b/>
          <w:bCs/>
          <w:color w:val="auto"/>
          <w:kern w:val="2"/>
          <w:sz w:val="21"/>
          <w:szCs w:val="21"/>
          <w:lang w:val="en-US" w:bidi="ar-SA"/>
        </w:rPr>
        <w:br w:type="textWrapping"/>
      </w:r>
      <w:r>
        <w:rPr>
          <w:rFonts w:hint="eastAsia" w:cs="Times New Roman"/>
          <w:color w:val="auto"/>
          <w:szCs w:val="21"/>
        </w:rPr>
        <w:t xml:space="preserve">     1.工程名称：大新德天至宁明花山公路（硕龙至天西段）二期工程</w:t>
      </w:r>
    </w:p>
    <w:p>
      <w:pPr>
        <w:spacing w:line="400" w:lineRule="exact"/>
        <w:ind w:firstLine="440" w:firstLineChars="200"/>
        <w:rPr>
          <w:rFonts w:cs="Times New Roman"/>
          <w:color w:val="auto"/>
          <w:szCs w:val="21"/>
        </w:rPr>
      </w:pPr>
      <w:r>
        <w:rPr>
          <w:rFonts w:hint="eastAsia"/>
          <w:color w:val="auto"/>
          <w:lang w:val="en-US"/>
        </w:rPr>
        <w:t xml:space="preserve"> 2.招标项目名称：</w:t>
      </w:r>
      <w:r>
        <w:rPr>
          <w:rFonts w:hint="eastAsia" w:cs="Times New Roman"/>
          <w:color w:val="auto"/>
          <w:szCs w:val="21"/>
        </w:rPr>
        <w:t>大新德天至宁明花山公路（硕龙至天西段）二期工程全过程造价咨询（从项目实施阶段起）</w:t>
      </w:r>
    </w:p>
    <w:p>
      <w:pPr>
        <w:pStyle w:val="2"/>
        <w:rPr>
          <w:color w:val="auto"/>
          <w:lang w:val="en-US"/>
        </w:rPr>
      </w:pPr>
    </w:p>
    <w:p>
      <w:pPr>
        <w:spacing w:line="400" w:lineRule="exact"/>
        <w:ind w:firstLine="440" w:firstLineChars="200"/>
        <w:rPr>
          <w:rFonts w:cs="Times New Roman"/>
          <w:color w:val="auto"/>
          <w:szCs w:val="21"/>
        </w:rPr>
      </w:pPr>
      <w:r>
        <w:rPr>
          <w:rFonts w:hint="eastAsia" w:cs="Times New Roman"/>
          <w:color w:val="auto"/>
          <w:szCs w:val="21"/>
        </w:rPr>
        <w:t xml:space="preserve"> 2.工程地点：</w:t>
      </w:r>
      <w:bookmarkEnd w:id="158"/>
      <w:r>
        <w:rPr>
          <w:rFonts w:hint="eastAsia" w:cs="Times New Roman"/>
          <w:color w:val="auto"/>
          <w:szCs w:val="21"/>
        </w:rPr>
        <w:t xml:space="preserve"> 崇左市</w:t>
      </w:r>
    </w:p>
    <w:p>
      <w:pPr>
        <w:widowControl/>
        <w:spacing w:line="400" w:lineRule="exact"/>
        <w:ind w:firstLine="550" w:firstLineChars="250"/>
        <w:rPr>
          <w:rFonts w:cs="Times New Roman"/>
          <w:color w:val="auto"/>
          <w:szCs w:val="21"/>
          <w:lang w:val="en-US"/>
        </w:rPr>
      </w:pPr>
      <w:r>
        <w:rPr>
          <w:rFonts w:hint="eastAsia" w:cs="Times New Roman"/>
          <w:color w:val="auto"/>
          <w:szCs w:val="21"/>
        </w:rPr>
        <w:t>3.工程规模：大新德天至宁明花山公路(硕龙至天西段)工程经(崇发改交通[2020]9号)文批复同意调整项目可行性研究报告，二期工程为硕龙至岩应段，路线起于硕龙镇巴</w:t>
      </w:r>
      <w:r>
        <w:rPr>
          <w:rFonts w:hint="eastAsia" w:cs="Times New Roman"/>
          <w:color w:val="auto"/>
          <w:szCs w:val="21"/>
          <w:lang w:eastAsia="zh-CN"/>
        </w:rPr>
        <w:t>米</w:t>
      </w:r>
      <w:r>
        <w:rPr>
          <w:rFonts w:hint="eastAsia" w:cs="Times New Roman"/>
          <w:color w:val="auto"/>
          <w:szCs w:val="21"/>
        </w:rPr>
        <w:t>附近，终于岩应接期工程，二期工程桩号为K0+000K9+092，二期工程终点为一期工程起点，该处设置断链，二期工程终点K9+092=一期工程起点K8+800，长链长度为292m。二期实施全长9.092km。采用一级公路技术标准，设计速度60km/h，路基宽22.5</w:t>
      </w:r>
      <w:r>
        <w:rPr>
          <w:rFonts w:hint="eastAsia" w:cs="Times New Roman"/>
          <w:color w:val="auto"/>
          <w:szCs w:val="21"/>
          <w:lang w:val="en-US"/>
        </w:rPr>
        <w:t>/18.5</w:t>
      </w:r>
      <w:r>
        <w:rPr>
          <w:rFonts w:hint="eastAsia" w:cs="Times New Roman"/>
          <w:color w:val="auto"/>
          <w:szCs w:val="21"/>
        </w:rPr>
        <w:t>m。</w:t>
      </w:r>
    </w:p>
    <w:p>
      <w:pPr>
        <w:widowControl/>
        <w:spacing w:line="400" w:lineRule="exact"/>
        <w:ind w:firstLine="550" w:firstLineChars="250"/>
        <w:rPr>
          <w:rFonts w:cs="Times New Roman"/>
          <w:color w:val="auto"/>
          <w:szCs w:val="21"/>
        </w:rPr>
      </w:pPr>
      <w:r>
        <w:rPr>
          <w:rFonts w:hint="eastAsia" w:cs="Times New Roman"/>
          <w:color w:val="auto"/>
          <w:szCs w:val="21"/>
        </w:rPr>
        <w:t>4.投资金额：</w:t>
      </w:r>
      <w:r>
        <w:rPr>
          <w:rFonts w:hint="eastAsia" w:cs="Times New Roman"/>
          <w:color w:val="auto"/>
          <w:szCs w:val="21"/>
          <w:lang w:val="en-US"/>
        </w:rPr>
        <w:t>400万元</w:t>
      </w:r>
      <w:r>
        <w:rPr>
          <w:rFonts w:hint="eastAsia" w:cs="Times New Roman"/>
          <w:color w:val="auto"/>
          <w:szCs w:val="21"/>
        </w:rPr>
        <w:t>。</w:t>
      </w:r>
    </w:p>
    <w:p>
      <w:pPr>
        <w:widowControl/>
        <w:spacing w:line="400" w:lineRule="exact"/>
        <w:ind w:firstLine="550" w:firstLineChars="250"/>
        <w:rPr>
          <w:rFonts w:cs="Times New Roman"/>
          <w:color w:val="auto"/>
          <w:szCs w:val="21"/>
        </w:rPr>
      </w:pPr>
      <w:r>
        <w:rPr>
          <w:rFonts w:hint="eastAsia" w:cs="Times New Roman"/>
          <w:color w:val="auto"/>
          <w:szCs w:val="21"/>
        </w:rPr>
        <w:t>5.资金来源：</w:t>
      </w:r>
      <w:r>
        <w:rPr>
          <w:rFonts w:hint="eastAsia" w:cs="Times New Roman"/>
          <w:color w:val="auto"/>
          <w:szCs w:val="21"/>
          <w:u w:val="single"/>
        </w:rPr>
        <w:t>上级补助和单位自筹</w:t>
      </w:r>
      <w:r>
        <w:rPr>
          <w:rFonts w:hint="eastAsia" w:cs="Times New Roman"/>
          <w:color w:val="auto"/>
          <w:szCs w:val="21"/>
        </w:rPr>
        <w:t>。</w:t>
      </w:r>
    </w:p>
    <w:p>
      <w:pPr>
        <w:widowControl/>
        <w:spacing w:line="400" w:lineRule="exact"/>
        <w:ind w:firstLine="550" w:firstLineChars="250"/>
        <w:rPr>
          <w:rFonts w:cs="Times New Roman"/>
          <w:color w:val="auto"/>
          <w:szCs w:val="21"/>
        </w:rPr>
      </w:pPr>
      <w:r>
        <w:rPr>
          <w:rFonts w:hint="eastAsia" w:cs="Times New Roman"/>
          <w:color w:val="auto"/>
          <w:szCs w:val="21"/>
        </w:rPr>
        <w:t>6.建设工期或周期：</w:t>
      </w:r>
      <w:r>
        <w:rPr>
          <w:rFonts w:hint="eastAsia" w:cs="Times New Roman"/>
          <w:color w:val="auto"/>
          <w:szCs w:val="21"/>
          <w:u w:val="single"/>
        </w:rPr>
        <w:tab/>
      </w:r>
      <w:r>
        <w:rPr>
          <w:rFonts w:hint="eastAsia" w:cs="Times New Roman"/>
          <w:color w:val="auto"/>
          <w:szCs w:val="21"/>
          <w:u w:val="single"/>
          <w:lang w:val="en-US"/>
        </w:rPr>
        <w:t xml:space="preserve"> </w:t>
      </w:r>
      <w:r>
        <w:rPr>
          <w:rFonts w:hint="eastAsia" w:cs="Times New Roman"/>
          <w:color w:val="auto"/>
          <w:szCs w:val="21"/>
        </w:rPr>
        <w:t>。</w:t>
      </w:r>
    </w:p>
    <w:p>
      <w:pPr>
        <w:widowControl/>
        <w:spacing w:line="400" w:lineRule="exact"/>
        <w:ind w:firstLine="550" w:firstLineChars="250"/>
        <w:rPr>
          <w:rFonts w:cs="Times New Roman"/>
          <w:color w:val="auto"/>
          <w:szCs w:val="21"/>
        </w:rPr>
      </w:pPr>
      <w:r>
        <w:rPr>
          <w:rFonts w:hint="eastAsia" w:cs="Times New Roman"/>
          <w:color w:val="auto"/>
          <w:szCs w:val="21"/>
        </w:rPr>
        <w:t>7.其他：</w:t>
      </w:r>
      <w:r>
        <w:rPr>
          <w:rFonts w:hint="eastAsia" w:cs="Times New Roman"/>
          <w:color w:val="auto"/>
          <w:szCs w:val="21"/>
          <w:u w:val="single"/>
        </w:rPr>
        <w:tab/>
      </w:r>
      <w:r>
        <w:rPr>
          <w:rFonts w:hint="eastAsia" w:cs="Times New Roman"/>
          <w:color w:val="auto"/>
          <w:szCs w:val="21"/>
          <w:u w:val="single"/>
        </w:rPr>
        <w:tab/>
      </w:r>
      <w:r>
        <w:rPr>
          <w:rFonts w:hint="eastAsia" w:cs="Times New Roman"/>
          <w:color w:val="auto"/>
          <w:szCs w:val="21"/>
        </w:rPr>
        <w:t>。</w:t>
      </w:r>
      <w:bookmarkEnd w:id="156"/>
    </w:p>
    <w:p>
      <w:pPr>
        <w:pStyle w:val="27"/>
        <w:spacing w:before="0" w:after="0" w:line="400" w:lineRule="exact"/>
        <w:ind w:firstLine="422" w:firstLineChars="200"/>
        <w:jc w:val="left"/>
        <w:rPr>
          <w:rFonts w:ascii="宋体" w:hAnsi="宋体"/>
          <w:color w:val="auto"/>
          <w:sz w:val="21"/>
          <w:szCs w:val="21"/>
        </w:rPr>
      </w:pPr>
      <w:bookmarkStart w:id="159" w:name="_Toc422322472"/>
      <w:bookmarkStart w:id="160" w:name="_Toc6870"/>
      <w:bookmarkStart w:id="161" w:name="_Toc419045059"/>
      <w:r>
        <w:rPr>
          <w:rFonts w:hint="eastAsia" w:ascii="宋体" w:hAnsi="宋体"/>
          <w:color w:val="auto"/>
          <w:sz w:val="21"/>
          <w:szCs w:val="21"/>
        </w:rPr>
        <w:t>二、服务范围及工作内容</w:t>
      </w:r>
      <w:bookmarkEnd w:id="159"/>
      <w:bookmarkEnd w:id="160"/>
      <w:bookmarkEnd w:id="161"/>
    </w:p>
    <w:p>
      <w:pPr>
        <w:spacing w:line="560" w:lineRule="exact"/>
        <w:ind w:firstLine="440" w:firstLineChars="200"/>
        <w:rPr>
          <w:rFonts w:asciiTheme="minorEastAsia" w:hAnsiTheme="minorEastAsia" w:eastAsiaTheme="minorEastAsia"/>
          <w:color w:val="auto"/>
          <w:u w:val="single"/>
        </w:rPr>
      </w:pPr>
      <w:bookmarkStart w:id="162" w:name="_Toc419045060"/>
      <w:bookmarkStart w:id="163" w:name="9"/>
      <w:r>
        <w:rPr>
          <w:rFonts w:hint="eastAsia" w:cs="Times New Roman" w:asciiTheme="minorEastAsia" w:hAnsiTheme="minorEastAsia" w:eastAsiaTheme="minorEastAsia"/>
          <w:color w:val="auto"/>
        </w:rPr>
        <w:t>双方约定的服务范围及工作内容：</w:t>
      </w:r>
      <w:r>
        <w:rPr>
          <w:rFonts w:hint="eastAsia" w:cs="Times New Roman" w:asciiTheme="minorEastAsia" w:hAnsiTheme="minorEastAsia" w:eastAsiaTheme="minorEastAsia"/>
          <w:color w:val="auto"/>
          <w:u w:val="single"/>
        </w:rPr>
        <w:t>大新德天至宁明花山公路（硕龙至天西段）二期工程全过程造价咨询（从项目实施阶段起）</w:t>
      </w:r>
      <w:r>
        <w:rPr>
          <w:rFonts w:asciiTheme="minorEastAsia" w:hAnsiTheme="minorEastAsia" w:eastAsiaTheme="minorEastAsia"/>
          <w:color w:val="auto"/>
          <w:u w:val="single"/>
        </w:rPr>
        <w:t>(</w:t>
      </w:r>
      <w:r>
        <w:rPr>
          <w:rFonts w:hint="eastAsia" w:asciiTheme="minorEastAsia" w:hAnsiTheme="minorEastAsia" w:eastAsiaTheme="minorEastAsia"/>
          <w:color w:val="auto"/>
          <w:u w:val="single"/>
        </w:rPr>
        <w:t>包括但不限于：项目前期支出费用审查、项目设计阶段造价审查、招标人发包范围内的含所有红线内外临时与永久工程(包括新建与改造)提供工程量清单及招标控制价编制，拟中标人投标文件审核、施工合同审核、建安工程费用资金使用计划的审核、工程计量与工程款支付审核、询价与核价工作、工程变更、工程索赔和工程签证工作、项目竣工结算</w:t>
      </w:r>
      <w:r>
        <w:rPr>
          <w:rFonts w:hint="eastAsia" w:asciiTheme="minorEastAsia" w:hAnsiTheme="minorEastAsia" w:eastAsiaTheme="minorEastAsia"/>
          <w:color w:val="auto"/>
          <w:u w:val="single"/>
          <w:lang w:val="en-US"/>
        </w:rPr>
        <w:t>编制或</w:t>
      </w:r>
      <w:r>
        <w:rPr>
          <w:rFonts w:hint="eastAsia" w:asciiTheme="minorEastAsia" w:hAnsiTheme="minorEastAsia" w:eastAsiaTheme="minorEastAsia"/>
          <w:color w:val="auto"/>
          <w:u w:val="single"/>
        </w:rPr>
        <w:t>审核、施工合同解除需要的中期结算</w:t>
      </w:r>
      <w:r>
        <w:rPr>
          <w:rFonts w:hint="eastAsia" w:asciiTheme="minorEastAsia" w:hAnsiTheme="minorEastAsia" w:eastAsiaTheme="minorEastAsia"/>
          <w:color w:val="auto"/>
          <w:u w:val="single"/>
          <w:lang w:val="en-US"/>
        </w:rPr>
        <w:t>审核</w:t>
      </w:r>
      <w:r>
        <w:rPr>
          <w:rFonts w:hint="eastAsia" w:asciiTheme="minorEastAsia" w:hAnsiTheme="minorEastAsia" w:eastAsiaTheme="minorEastAsia"/>
          <w:color w:val="auto"/>
          <w:u w:val="single"/>
        </w:rPr>
        <w:t>等服务。造价成果文件需提供纸质版、电子版(含软件版)。</w:t>
      </w:r>
    </w:p>
    <w:p>
      <w:pPr>
        <w:spacing w:line="560" w:lineRule="exact"/>
        <w:ind w:firstLine="442" w:firstLineChars="200"/>
        <w:rPr>
          <w:rFonts w:asciiTheme="minorEastAsia" w:hAnsiTheme="minorEastAsia" w:eastAsiaTheme="minorEastAsia"/>
          <w:b/>
          <w:bCs/>
          <w:color w:val="auto"/>
        </w:rPr>
      </w:pPr>
      <w:r>
        <w:rPr>
          <w:rFonts w:hint="eastAsia" w:asciiTheme="minorEastAsia" w:hAnsiTheme="minorEastAsia" w:eastAsiaTheme="minorEastAsia"/>
          <w:b/>
          <w:bCs/>
          <w:color w:val="auto"/>
        </w:rPr>
        <w:t>1、主要的工作内容包括</w:t>
      </w:r>
    </w:p>
    <w:p>
      <w:pPr>
        <w:spacing w:line="360" w:lineRule="auto"/>
        <w:ind w:firstLine="440" w:firstLineChars="200"/>
        <w:rPr>
          <w:bCs/>
          <w:color w:val="auto"/>
          <w:szCs w:val="21"/>
        </w:rPr>
      </w:pPr>
      <w:r>
        <w:rPr>
          <w:rFonts w:hint="eastAsia"/>
          <w:bCs/>
          <w:color w:val="auto"/>
          <w:szCs w:val="21"/>
        </w:rPr>
        <w:t>（1）招标文件、合同文件的审核。对招标文件、合同文件的合法性、合规性、合理性作出判断，并提出相应的修改建议和意见，并将审核结果在审计报告中反映；</w:t>
      </w:r>
    </w:p>
    <w:p>
      <w:pPr>
        <w:spacing w:line="360" w:lineRule="auto"/>
        <w:ind w:firstLine="440" w:firstLineChars="200"/>
        <w:rPr>
          <w:bCs/>
          <w:color w:val="auto"/>
          <w:szCs w:val="21"/>
        </w:rPr>
      </w:pPr>
      <w:r>
        <w:rPr>
          <w:rFonts w:hint="eastAsia"/>
          <w:bCs/>
          <w:color w:val="auto"/>
          <w:szCs w:val="21"/>
        </w:rPr>
        <w:t>（2）工程量清单编制。根据设计图纸对项目公司送审的工程量清单进行编制，并对以设计图纸工程量清单的准确性负责；</w:t>
      </w:r>
    </w:p>
    <w:p>
      <w:pPr>
        <w:spacing w:line="360" w:lineRule="auto"/>
        <w:ind w:firstLine="440" w:firstLineChars="200"/>
        <w:rPr>
          <w:bCs/>
          <w:color w:val="auto"/>
          <w:szCs w:val="21"/>
        </w:rPr>
      </w:pPr>
      <w:r>
        <w:rPr>
          <w:rFonts w:hint="eastAsia"/>
          <w:bCs/>
          <w:color w:val="auto"/>
          <w:szCs w:val="21"/>
        </w:rPr>
        <w:t>（3）招标控制价或标底的</w:t>
      </w:r>
      <w:r>
        <w:rPr>
          <w:rFonts w:hint="eastAsia"/>
          <w:bCs/>
          <w:color w:val="auto"/>
          <w:szCs w:val="21"/>
          <w:lang w:eastAsia="zh-CN"/>
        </w:rPr>
        <w:t>编制</w:t>
      </w:r>
      <w:r>
        <w:rPr>
          <w:rFonts w:hint="eastAsia"/>
          <w:bCs/>
          <w:color w:val="auto"/>
          <w:szCs w:val="21"/>
        </w:rPr>
        <w:t>。对招标控制价或标底编制的合规性、合理性作出判断，并在审计报告中反映；</w:t>
      </w:r>
    </w:p>
    <w:p>
      <w:pPr>
        <w:spacing w:line="360" w:lineRule="auto"/>
        <w:ind w:firstLine="440" w:firstLineChars="200"/>
        <w:rPr>
          <w:bCs/>
          <w:color w:val="auto"/>
          <w:szCs w:val="21"/>
        </w:rPr>
      </w:pPr>
      <w:r>
        <w:rPr>
          <w:rFonts w:hint="eastAsia"/>
          <w:bCs/>
          <w:color w:val="auto"/>
          <w:szCs w:val="21"/>
        </w:rPr>
        <w:t>（4）根据甲方需要提供材料、设备、工程等各种造价信息、资料，并出具相关造价信息的确认文件，对造价信息的真实性负责；</w:t>
      </w:r>
    </w:p>
    <w:p>
      <w:pPr>
        <w:spacing w:line="360" w:lineRule="auto"/>
        <w:ind w:firstLine="440" w:firstLineChars="200"/>
        <w:rPr>
          <w:bCs/>
          <w:color w:val="auto"/>
          <w:szCs w:val="21"/>
        </w:rPr>
      </w:pPr>
      <w:r>
        <w:rPr>
          <w:rFonts w:hint="eastAsia"/>
          <w:bCs/>
          <w:color w:val="auto"/>
          <w:szCs w:val="21"/>
        </w:rPr>
        <w:t>（5）合同执行情况审查。对合同执行情况的合法性、合规性、合理性作出判断，及时指出合同执行中存在的不规范行为并在审计报告中反映；</w:t>
      </w:r>
    </w:p>
    <w:p>
      <w:pPr>
        <w:spacing w:line="360" w:lineRule="auto"/>
        <w:ind w:firstLine="440" w:firstLineChars="200"/>
        <w:rPr>
          <w:bCs/>
          <w:color w:val="auto"/>
          <w:szCs w:val="21"/>
        </w:rPr>
      </w:pPr>
      <w:r>
        <w:rPr>
          <w:rFonts w:hint="eastAsia"/>
          <w:bCs/>
          <w:color w:val="auto"/>
          <w:szCs w:val="21"/>
        </w:rPr>
        <w:t>（6）参与特殊材料、设备的定价，到货验收工作，并提出合理化建议；</w:t>
      </w:r>
    </w:p>
    <w:p>
      <w:pPr>
        <w:spacing w:line="360" w:lineRule="auto"/>
        <w:ind w:firstLine="440" w:firstLineChars="200"/>
        <w:rPr>
          <w:bCs/>
          <w:color w:val="auto"/>
          <w:szCs w:val="21"/>
        </w:rPr>
      </w:pPr>
      <w:r>
        <w:rPr>
          <w:rFonts w:hint="eastAsia"/>
          <w:bCs/>
          <w:color w:val="auto"/>
          <w:szCs w:val="21"/>
        </w:rPr>
        <w:t>（7）对项目公司材料管理制度、采购材料管理行为进行审查，对其合法性、合规性、合理性作出判断，及时指出合同执行过程中存在的不规范行为，并在审计报告中反映；</w:t>
      </w:r>
    </w:p>
    <w:p>
      <w:pPr>
        <w:spacing w:line="360" w:lineRule="auto"/>
        <w:ind w:firstLine="440" w:firstLineChars="200"/>
        <w:rPr>
          <w:bCs/>
          <w:color w:val="auto"/>
          <w:szCs w:val="21"/>
        </w:rPr>
      </w:pPr>
      <w:r>
        <w:rPr>
          <w:rFonts w:hint="eastAsia"/>
          <w:bCs/>
          <w:color w:val="auto"/>
          <w:szCs w:val="21"/>
        </w:rPr>
        <w:t>（8）参与工程造价控制的有关会议，提出合理化建议，并收集整理相关会议记录；</w:t>
      </w:r>
    </w:p>
    <w:p>
      <w:pPr>
        <w:spacing w:line="360" w:lineRule="auto"/>
        <w:ind w:firstLine="440" w:firstLineChars="200"/>
        <w:rPr>
          <w:bCs/>
          <w:color w:val="auto"/>
          <w:szCs w:val="21"/>
        </w:rPr>
      </w:pPr>
      <w:r>
        <w:rPr>
          <w:rFonts w:hint="eastAsia"/>
          <w:bCs/>
          <w:color w:val="auto"/>
          <w:szCs w:val="21"/>
        </w:rPr>
        <w:t>（9）工程造价的动态控制，积极配合实施机构，控制、优化工程变更，根据工程用途及市场行情，出建设性的优化方案：</w:t>
      </w:r>
    </w:p>
    <w:p>
      <w:pPr>
        <w:spacing w:line="360" w:lineRule="auto"/>
        <w:ind w:firstLine="440" w:firstLineChars="200"/>
        <w:rPr>
          <w:bCs/>
          <w:color w:val="auto"/>
          <w:szCs w:val="21"/>
        </w:rPr>
      </w:pPr>
      <w:r>
        <w:rPr>
          <w:rFonts w:hint="eastAsia"/>
          <w:bCs/>
          <w:color w:val="auto"/>
          <w:szCs w:val="21"/>
        </w:rPr>
        <w:t>(10)参与设计方案变更、重大工程变更、工程签证的审核、认证，涉及造价增减的，要做好影像取证、文字记录，及时办理审计确认手续，建立相应的台账存档，督促项目公司、施工单位、监理单位、设计单位等相关单位及时对变更签证资料进行签字确认，将无法及时确认的变更签证项目情况在审计报告中反映；</w:t>
      </w:r>
    </w:p>
    <w:p>
      <w:pPr>
        <w:spacing w:line="360" w:lineRule="auto"/>
        <w:ind w:firstLine="440" w:firstLineChars="200"/>
        <w:rPr>
          <w:bCs/>
          <w:color w:val="auto"/>
          <w:szCs w:val="21"/>
        </w:rPr>
      </w:pPr>
      <w:r>
        <w:rPr>
          <w:rFonts w:hint="eastAsia"/>
          <w:bCs/>
          <w:color w:val="auto"/>
          <w:szCs w:val="21"/>
        </w:rPr>
        <w:t>（11）施工图预算审核，对施工图预算的合法性、合规性、合理性作出判断，提出相应的修改和意见，并将审计结果在审计报告中反映；</w:t>
      </w:r>
    </w:p>
    <w:p>
      <w:pPr>
        <w:spacing w:line="360" w:lineRule="auto"/>
        <w:ind w:firstLine="440" w:firstLineChars="200"/>
        <w:rPr>
          <w:bCs/>
          <w:color w:val="auto"/>
          <w:szCs w:val="21"/>
        </w:rPr>
      </w:pPr>
      <w:r>
        <w:rPr>
          <w:rFonts w:hint="eastAsia"/>
          <w:bCs/>
          <w:color w:val="auto"/>
          <w:szCs w:val="21"/>
        </w:rPr>
        <w:t>（12）建立审计整改台账，持续对审计发现的问题、审计建议进行跟踪落实，并将项目公司对审计发现问题的整改情况在审计报告中反映；</w:t>
      </w:r>
    </w:p>
    <w:p>
      <w:pPr>
        <w:spacing w:line="360" w:lineRule="auto"/>
        <w:ind w:firstLine="440" w:firstLineChars="200"/>
        <w:rPr>
          <w:bCs/>
          <w:color w:val="auto"/>
          <w:szCs w:val="21"/>
        </w:rPr>
      </w:pPr>
      <w:r>
        <w:rPr>
          <w:rFonts w:hint="eastAsia"/>
          <w:bCs/>
          <w:color w:val="auto"/>
          <w:szCs w:val="21"/>
        </w:rPr>
        <w:t>（13）每半年（上半年6月25日前，下半年12月25日前）上报跟踪审计总结，同时根据实施机构的需求出具有关现场跟踪审计的专题分析；</w:t>
      </w:r>
    </w:p>
    <w:p>
      <w:pPr>
        <w:spacing w:line="360" w:lineRule="auto"/>
        <w:ind w:firstLine="440" w:firstLineChars="200"/>
        <w:rPr>
          <w:bCs/>
          <w:color w:val="auto"/>
          <w:szCs w:val="21"/>
        </w:rPr>
      </w:pPr>
      <w:r>
        <w:rPr>
          <w:rFonts w:hint="eastAsia"/>
          <w:bCs/>
          <w:color w:val="auto"/>
          <w:szCs w:val="21"/>
        </w:rPr>
        <w:t>（14）及时审核分阶段完工的分部工程结算并出具审核报告；</w:t>
      </w:r>
    </w:p>
    <w:p>
      <w:pPr>
        <w:spacing w:line="360" w:lineRule="auto"/>
        <w:ind w:firstLine="440" w:firstLineChars="200"/>
        <w:rPr>
          <w:bCs/>
          <w:color w:val="auto"/>
          <w:szCs w:val="21"/>
        </w:rPr>
      </w:pPr>
      <w:r>
        <w:rPr>
          <w:rFonts w:hint="eastAsia"/>
          <w:bCs/>
          <w:color w:val="auto"/>
          <w:szCs w:val="21"/>
        </w:rPr>
        <w:t>（15）每月按时审核月工程量及进度款，根据工程形象进度审核监理公司审核后的工程造价，并签署付款意见。</w:t>
      </w:r>
    </w:p>
    <w:p>
      <w:pPr>
        <w:spacing w:line="360" w:lineRule="auto"/>
        <w:ind w:firstLine="440" w:firstLineChars="200"/>
        <w:rPr>
          <w:bCs/>
          <w:color w:val="auto"/>
          <w:szCs w:val="21"/>
        </w:rPr>
      </w:pPr>
      <w:r>
        <w:rPr>
          <w:rFonts w:hint="eastAsia"/>
          <w:bCs/>
          <w:color w:val="auto"/>
          <w:szCs w:val="21"/>
        </w:rPr>
        <w:t>（16）参与争议处理等方面的工作以及配合上级审计部门完成审核本工程结算的工作。</w:t>
      </w:r>
    </w:p>
    <w:p>
      <w:pPr>
        <w:spacing w:line="360" w:lineRule="auto"/>
        <w:ind w:firstLine="440" w:firstLineChars="200"/>
        <w:rPr>
          <w:bCs/>
          <w:color w:val="auto"/>
          <w:szCs w:val="21"/>
        </w:rPr>
      </w:pPr>
      <w:r>
        <w:rPr>
          <w:rFonts w:hint="eastAsia"/>
          <w:bCs/>
          <w:color w:val="auto"/>
          <w:szCs w:val="21"/>
        </w:rPr>
        <w:t>（17）参与工程例会，配合实施机构做好与施工方、监理方的工程造价协调工作，每月向实施机构进行一次书面工作汇报，进行造价风险分析与造价风险评估并提出合理化建议；</w:t>
      </w:r>
    </w:p>
    <w:p>
      <w:pPr>
        <w:spacing w:line="360" w:lineRule="auto"/>
        <w:ind w:firstLine="440" w:firstLineChars="200"/>
        <w:rPr>
          <w:bCs/>
          <w:color w:val="auto"/>
          <w:szCs w:val="21"/>
        </w:rPr>
      </w:pPr>
      <w:r>
        <w:rPr>
          <w:rFonts w:hint="eastAsia"/>
          <w:bCs/>
          <w:color w:val="auto"/>
          <w:szCs w:val="21"/>
        </w:rPr>
        <w:t>（18）实施阶段：合同、概预算、招标控制价（含工程量清单）审查审核、清单更新、工程变更审核、调价、工程洽商审核、主要材料及设备定价审核、工程计量支付、索赔等；</w:t>
      </w:r>
    </w:p>
    <w:p>
      <w:pPr>
        <w:spacing w:line="360" w:lineRule="auto"/>
        <w:ind w:firstLine="440" w:firstLineChars="200"/>
        <w:rPr>
          <w:bCs/>
          <w:color w:val="auto"/>
          <w:szCs w:val="21"/>
        </w:rPr>
      </w:pPr>
      <w:r>
        <w:rPr>
          <w:rFonts w:hint="eastAsia"/>
          <w:bCs/>
          <w:color w:val="auto"/>
          <w:szCs w:val="21"/>
        </w:rPr>
        <w:t>（19）结算阶段：结算审核、工程结算书编制或审核；</w:t>
      </w:r>
    </w:p>
    <w:p>
      <w:pPr>
        <w:spacing w:line="360" w:lineRule="auto"/>
        <w:ind w:firstLine="440" w:firstLineChars="200"/>
        <w:rPr>
          <w:bCs/>
          <w:color w:val="auto"/>
          <w:szCs w:val="21"/>
        </w:rPr>
      </w:pPr>
      <w:r>
        <w:rPr>
          <w:rFonts w:hint="eastAsia"/>
          <w:bCs/>
          <w:color w:val="auto"/>
          <w:szCs w:val="21"/>
        </w:rPr>
        <w:t>（20）其他工作：实施机构委托的其他工作：审核部分服务项目的招标控制价、结算、参加造价咨询管理工作相关的工程会议。</w:t>
      </w:r>
    </w:p>
    <w:p>
      <w:pPr>
        <w:spacing w:line="400" w:lineRule="exact"/>
        <w:ind w:firstLine="440" w:firstLineChars="200"/>
        <w:rPr>
          <w:rFonts w:cs="Times New Roman"/>
          <w:color w:val="auto"/>
          <w:szCs w:val="21"/>
        </w:rPr>
      </w:pPr>
      <w:r>
        <w:rPr>
          <w:rFonts w:hint="eastAsia"/>
          <w:bCs/>
          <w:color w:val="auto"/>
          <w:szCs w:val="21"/>
        </w:rPr>
        <w:t>（21）其他与跟踪审计相关事宜；</w:t>
      </w:r>
    </w:p>
    <w:p>
      <w:pPr>
        <w:pStyle w:val="27"/>
        <w:spacing w:before="0" w:after="0" w:line="400" w:lineRule="exact"/>
        <w:ind w:firstLine="422" w:firstLineChars="200"/>
        <w:jc w:val="left"/>
        <w:rPr>
          <w:rFonts w:ascii="宋体" w:hAnsi="宋体"/>
          <w:color w:val="auto"/>
          <w:sz w:val="21"/>
          <w:szCs w:val="21"/>
        </w:rPr>
      </w:pPr>
      <w:bookmarkStart w:id="164" w:name="_Toc422322473"/>
      <w:bookmarkStart w:id="165" w:name="_Toc32376"/>
      <w:r>
        <w:rPr>
          <w:rFonts w:hint="eastAsia" w:ascii="宋体" w:hAnsi="宋体"/>
          <w:color w:val="auto"/>
          <w:sz w:val="21"/>
          <w:szCs w:val="21"/>
        </w:rPr>
        <w:t>三、服务期限</w:t>
      </w:r>
      <w:bookmarkEnd w:id="162"/>
      <w:bookmarkEnd w:id="164"/>
      <w:bookmarkEnd w:id="165"/>
    </w:p>
    <w:bookmarkEnd w:id="163"/>
    <w:p>
      <w:pPr>
        <w:pStyle w:val="27"/>
        <w:spacing w:before="0" w:after="0" w:line="400" w:lineRule="exact"/>
        <w:ind w:firstLine="420" w:firstLineChars="200"/>
        <w:jc w:val="left"/>
        <w:rPr>
          <w:rFonts w:ascii="宋体" w:hAnsi="宋体"/>
          <w:b w:val="0"/>
          <w:bCs w:val="0"/>
          <w:color w:val="auto"/>
          <w:sz w:val="21"/>
          <w:szCs w:val="21"/>
        </w:rPr>
      </w:pPr>
      <w:bookmarkStart w:id="166" w:name="_Toc21152"/>
      <w:bookmarkStart w:id="167" w:name="_Toc422322474"/>
      <w:bookmarkStart w:id="168" w:name="_Toc419045061"/>
      <w:r>
        <w:rPr>
          <w:rFonts w:hint="eastAsia" w:ascii="宋体" w:hAnsi="宋体"/>
          <w:b w:val="0"/>
          <w:bCs w:val="0"/>
          <w:color w:val="auto"/>
          <w:sz w:val="21"/>
          <w:szCs w:val="21"/>
        </w:rPr>
        <w:t>签订合同之日起至工程竣工结算造价最终审定为止。</w:t>
      </w:r>
      <w:bookmarkEnd w:id="166"/>
    </w:p>
    <w:p>
      <w:pPr>
        <w:pStyle w:val="27"/>
        <w:spacing w:before="0" w:after="0" w:line="400" w:lineRule="exact"/>
        <w:ind w:firstLine="422" w:firstLineChars="200"/>
        <w:jc w:val="left"/>
        <w:rPr>
          <w:rFonts w:ascii="宋体" w:hAnsi="宋体"/>
          <w:color w:val="auto"/>
          <w:sz w:val="21"/>
          <w:szCs w:val="21"/>
        </w:rPr>
      </w:pPr>
      <w:bookmarkStart w:id="169" w:name="_Toc4980"/>
      <w:r>
        <w:rPr>
          <w:rFonts w:hint="eastAsia" w:ascii="宋体" w:hAnsi="宋体"/>
          <w:color w:val="auto"/>
          <w:sz w:val="21"/>
          <w:szCs w:val="21"/>
        </w:rPr>
        <w:t>四、质量标准</w:t>
      </w:r>
      <w:bookmarkEnd w:id="167"/>
      <w:bookmarkEnd w:id="168"/>
      <w:bookmarkEnd w:id="169"/>
    </w:p>
    <w:p>
      <w:pPr>
        <w:spacing w:line="400" w:lineRule="exact"/>
        <w:ind w:firstLine="440" w:firstLineChars="200"/>
        <w:rPr>
          <w:rFonts w:cs="Times New Roman"/>
          <w:color w:val="auto"/>
          <w:szCs w:val="21"/>
        </w:rPr>
      </w:pPr>
      <w:r>
        <w:rPr>
          <w:rFonts w:hint="eastAsia" w:cs="Times New Roman"/>
          <w:color w:val="auto"/>
          <w:szCs w:val="21"/>
        </w:rPr>
        <w:t>工程造价咨询成果文件应符合：《建设工程造价咨询成果文件质量标准》CECA/GC7-2012的要求。</w:t>
      </w:r>
    </w:p>
    <w:p>
      <w:pPr>
        <w:pStyle w:val="27"/>
        <w:spacing w:before="0" w:after="0" w:line="400" w:lineRule="exact"/>
        <w:ind w:firstLine="422" w:firstLineChars="200"/>
        <w:jc w:val="left"/>
        <w:rPr>
          <w:rFonts w:ascii="宋体" w:hAnsi="宋体"/>
          <w:color w:val="auto"/>
          <w:sz w:val="21"/>
          <w:szCs w:val="21"/>
        </w:rPr>
      </w:pPr>
      <w:bookmarkStart w:id="170" w:name="_Toc10691"/>
      <w:bookmarkStart w:id="171" w:name="_Toc419045062"/>
      <w:bookmarkStart w:id="172" w:name="_Toc422322475"/>
      <w:bookmarkStart w:id="173" w:name="12"/>
      <w:r>
        <w:rPr>
          <w:rFonts w:hint="eastAsia" w:ascii="宋体" w:hAnsi="宋体"/>
          <w:color w:val="auto"/>
          <w:sz w:val="21"/>
          <w:szCs w:val="21"/>
        </w:rPr>
        <w:t>五、酬金或计取方式</w:t>
      </w:r>
      <w:bookmarkEnd w:id="170"/>
      <w:bookmarkEnd w:id="171"/>
      <w:bookmarkEnd w:id="172"/>
    </w:p>
    <w:p>
      <w:pPr>
        <w:spacing w:line="400" w:lineRule="exact"/>
        <w:ind w:firstLine="220" w:firstLineChars="100"/>
        <w:rPr>
          <w:rFonts w:cs="Times New Roman"/>
          <w:color w:val="auto"/>
          <w:szCs w:val="21"/>
          <w:u w:val="single"/>
        </w:rPr>
      </w:pPr>
      <w:r>
        <w:rPr>
          <w:rFonts w:hint="eastAsia" w:cs="Times New Roman"/>
          <w:color w:val="auto"/>
          <w:szCs w:val="21"/>
        </w:rPr>
        <w:t xml:space="preserve">  1.</w:t>
      </w:r>
      <w:r>
        <w:rPr>
          <w:rFonts w:cs="Times New Roman"/>
          <w:color w:val="auto"/>
        </w:rPr>
        <w:t>签约合同价定为人民币</w:t>
      </w:r>
      <w:r>
        <w:rPr>
          <w:rFonts w:hint="eastAsia" w:cs="Times New Roman"/>
          <w:color w:val="auto"/>
          <w:szCs w:val="21"/>
        </w:rPr>
        <w:t>：</w:t>
      </w:r>
      <w:r>
        <w:rPr>
          <w:rFonts w:hint="eastAsia" w:cs="Times New Roman"/>
          <w:color w:val="auto"/>
          <w:szCs w:val="21"/>
          <w:u w:val="single"/>
          <w:lang w:val="en-US"/>
        </w:rPr>
        <w:t xml:space="preserve">            </w:t>
      </w:r>
      <w:r>
        <w:rPr>
          <w:rFonts w:hint="eastAsia" w:cs="Times New Roman"/>
          <w:color w:val="auto"/>
          <w:szCs w:val="21"/>
          <w:u w:val="single"/>
        </w:rPr>
        <w:t>（大写）（</w:t>
      </w:r>
      <w:r>
        <w:rPr>
          <w:rFonts w:ascii="Arial" w:hAnsi="Arial" w:cs="Arial"/>
          <w:color w:val="auto"/>
          <w:szCs w:val="21"/>
          <w:u w:val="single"/>
        </w:rPr>
        <w:t>¥</w:t>
      </w:r>
      <w:r>
        <w:rPr>
          <w:rFonts w:cs="Times New Roman"/>
          <w:color w:val="auto"/>
          <w:szCs w:val="21"/>
          <w:u w:val="single"/>
        </w:rPr>
        <w:t xml:space="preserve">            ）</w:t>
      </w:r>
      <w:r>
        <w:rPr>
          <w:rFonts w:hint="eastAsia" w:cs="Times New Roman"/>
          <w:color w:val="auto"/>
          <w:szCs w:val="21"/>
          <w:u w:val="single"/>
        </w:rPr>
        <w:t xml:space="preserve">。 </w:t>
      </w:r>
    </w:p>
    <w:p>
      <w:pPr>
        <w:spacing w:line="400" w:lineRule="exact"/>
        <w:ind w:firstLine="440" w:firstLineChars="200"/>
        <w:rPr>
          <w:rFonts w:cs="Times New Roman"/>
          <w:color w:val="auto"/>
          <w:szCs w:val="21"/>
        </w:rPr>
      </w:pPr>
      <w:r>
        <w:rPr>
          <w:rFonts w:hint="eastAsia" w:cs="Times New Roman"/>
          <w:color w:val="auto"/>
          <w:szCs w:val="21"/>
        </w:rPr>
        <w:t>2.计取方式：本项目全过程造价咨询服务费为人民币元。本合同价为包干总价，包括服务的价格；必要的保险费用和各项税金；实施和完成服务工作所需的设备、劳务、技术服务费、交通、维护、保险、办公场地、管理费、税费、利润、交通维护、工艺损耗、人员进退场及现场勘查、研究实验、报审、研究成果出版等费用和政策性文件规定及合同包含的所有风险、责任等各项应有的费用。</w:t>
      </w:r>
    </w:p>
    <w:p>
      <w:pPr>
        <w:spacing w:line="400" w:lineRule="exact"/>
        <w:ind w:firstLine="440" w:firstLineChars="200"/>
        <w:rPr>
          <w:rFonts w:hint="eastAsia"/>
          <w:bCs/>
          <w:color w:val="auto"/>
          <w:kern w:val="2"/>
          <w:lang w:val="en-US"/>
        </w:rPr>
      </w:pPr>
      <w:bookmarkStart w:id="174" w:name="_Toc419045058"/>
      <w:bookmarkStart w:id="175" w:name="_Toc422322476"/>
      <w:r>
        <w:rPr>
          <w:rFonts w:hint="eastAsia"/>
          <w:bCs/>
          <w:color w:val="auto"/>
          <w:kern w:val="2"/>
          <w:lang w:val="en-US"/>
        </w:rPr>
        <w:t>3.咨询服务报酬的支付：</w:t>
      </w:r>
    </w:p>
    <w:p>
      <w:pPr>
        <w:spacing w:line="400" w:lineRule="exact"/>
        <w:ind w:firstLine="440" w:firstLineChars="200"/>
        <w:rPr>
          <w:rFonts w:hint="eastAsia"/>
          <w:bCs/>
          <w:color w:val="auto"/>
          <w:kern w:val="2"/>
          <w:lang w:val="en-US"/>
        </w:rPr>
      </w:pPr>
      <w:r>
        <w:rPr>
          <w:rFonts w:hint="eastAsia"/>
          <w:bCs/>
          <w:color w:val="auto"/>
          <w:kern w:val="2"/>
          <w:lang w:val="en-US"/>
        </w:rPr>
        <w:t>（1）咨询人与委托人完成合同签订，向委托人提交书面付款申请及增值税专用发票后，委托人在收到申请之日起15个工作日内审核，经委托人审批同意后，将合同暂定总价的30%支付给咨询人；</w:t>
      </w:r>
    </w:p>
    <w:p>
      <w:pPr>
        <w:spacing w:line="400" w:lineRule="exact"/>
        <w:ind w:firstLine="440" w:firstLineChars="200"/>
        <w:rPr>
          <w:rFonts w:hint="eastAsia"/>
          <w:bCs/>
          <w:color w:val="auto"/>
          <w:kern w:val="2"/>
          <w:lang w:val="en-US"/>
        </w:rPr>
      </w:pPr>
      <w:r>
        <w:rPr>
          <w:rFonts w:hint="eastAsia"/>
          <w:bCs/>
          <w:color w:val="auto"/>
          <w:kern w:val="2"/>
          <w:lang w:val="en-US"/>
        </w:rPr>
        <w:t>（2）咨询人完成主体各个项目工程量清单及其招标控制价编制工作并通过审核，向委托人提交完整的最终成果文件且向委托人提交书面付款申请及增值税专用发票后，委托人在收到申请之日起15个工作日内审核，经委托人审批同意后，将合同暂定总价的25%支付给咨询人；</w:t>
      </w:r>
    </w:p>
    <w:p>
      <w:pPr>
        <w:spacing w:line="400" w:lineRule="exact"/>
        <w:ind w:firstLine="440" w:firstLineChars="200"/>
        <w:rPr>
          <w:rFonts w:hint="eastAsia"/>
          <w:bCs/>
          <w:color w:val="auto"/>
          <w:kern w:val="2"/>
          <w:lang w:val="en-US"/>
        </w:rPr>
      </w:pPr>
      <w:r>
        <w:rPr>
          <w:rFonts w:hint="eastAsia"/>
          <w:bCs/>
          <w:color w:val="auto"/>
          <w:kern w:val="2"/>
          <w:lang w:val="en-US"/>
        </w:rPr>
        <w:t>（3）咨询人完成各项签证审核以及项目各类收方工作并通过审核，向委托人提交完整的最终成果文件且向委托人提交书面付款申请及增值税专用发票后。委托人在收到申请之日起15个工作日内审核，经委托人审批同意后，将合同暂定总价的20%支付给咨询人；</w:t>
      </w:r>
    </w:p>
    <w:p>
      <w:pPr>
        <w:spacing w:line="400" w:lineRule="exact"/>
        <w:ind w:firstLine="440" w:firstLineChars="200"/>
        <w:rPr>
          <w:rFonts w:hint="eastAsia"/>
          <w:bCs/>
          <w:color w:val="auto"/>
          <w:kern w:val="2"/>
          <w:lang w:val="en-US"/>
        </w:rPr>
      </w:pPr>
      <w:r>
        <w:rPr>
          <w:rFonts w:hint="eastAsia"/>
          <w:bCs/>
          <w:color w:val="auto"/>
          <w:kern w:val="2"/>
          <w:lang w:val="en-US"/>
        </w:rPr>
        <w:t>（4）大新德天至宁明花山公路（硕龙至天西段）二期工程全过程造价咨询（从项目实施阶段起）项目全部工程结算完毕且本项目委托咨询内容全部完成后，相关资料移交委托人后，咨询人提交书面付款申请及增值税专用发票后，通过委托人审批同意，将合同暂定总价的25%支付给咨询人。</w:t>
      </w:r>
    </w:p>
    <w:p>
      <w:pPr>
        <w:spacing w:line="400" w:lineRule="exact"/>
        <w:ind w:firstLine="442" w:firstLineChars="200"/>
        <w:rPr>
          <w:rFonts w:cs="Times New Roman"/>
          <w:color w:val="auto"/>
          <w:szCs w:val="21"/>
        </w:rPr>
      </w:pPr>
      <w:r>
        <w:rPr>
          <w:rFonts w:hint="eastAsia" w:ascii="Times New Roman" w:hAnsi="Times New Roman" w:cs="Times New Roman"/>
          <w:b/>
          <w:color w:val="auto"/>
          <w:szCs w:val="21"/>
        </w:rPr>
        <w:t>六、合同文件的构成</w:t>
      </w:r>
      <w:bookmarkEnd w:id="174"/>
      <w:bookmarkEnd w:id="175"/>
      <w:r>
        <w:rPr>
          <w:rFonts w:cs="Times New Roman"/>
          <w:b/>
          <w:bCs/>
          <w:color w:val="auto"/>
          <w:szCs w:val="21"/>
        </w:rPr>
        <w:br w:type="textWrapping"/>
      </w:r>
      <w:r>
        <w:rPr>
          <w:rFonts w:hint="eastAsia" w:cs="Times New Roman"/>
          <w:color w:val="auto"/>
          <w:szCs w:val="21"/>
        </w:rPr>
        <w:t>本协议书与下列文件一起构成合同文件:</w:t>
      </w:r>
    </w:p>
    <w:p>
      <w:pPr>
        <w:widowControl/>
        <w:spacing w:line="400" w:lineRule="exact"/>
        <w:ind w:left="481"/>
        <w:rPr>
          <w:rFonts w:cs="Times New Roman"/>
          <w:color w:val="auto"/>
          <w:szCs w:val="21"/>
        </w:rPr>
      </w:pPr>
      <w:r>
        <w:rPr>
          <w:rFonts w:hint="eastAsia" w:cs="Times New Roman"/>
          <w:color w:val="auto"/>
          <w:szCs w:val="21"/>
        </w:rPr>
        <w:t>1.中标通知书或委托书（如果有）；</w:t>
      </w:r>
    </w:p>
    <w:p>
      <w:pPr>
        <w:widowControl/>
        <w:spacing w:line="400" w:lineRule="exact"/>
        <w:ind w:left="481"/>
        <w:rPr>
          <w:rFonts w:cs="Times New Roman"/>
          <w:color w:val="auto"/>
          <w:szCs w:val="21"/>
        </w:rPr>
      </w:pPr>
      <w:r>
        <w:rPr>
          <w:rFonts w:hint="eastAsia" w:cs="Times New Roman"/>
          <w:color w:val="auto"/>
          <w:szCs w:val="21"/>
        </w:rPr>
        <w:t>2.投标函及投标函附录或造价咨询服务建议书（如果有）；</w:t>
      </w:r>
    </w:p>
    <w:p>
      <w:pPr>
        <w:widowControl/>
        <w:spacing w:line="400" w:lineRule="exact"/>
        <w:ind w:left="481"/>
        <w:rPr>
          <w:rFonts w:cs="Times New Roman"/>
          <w:color w:val="auto"/>
          <w:szCs w:val="21"/>
        </w:rPr>
      </w:pPr>
      <w:r>
        <w:rPr>
          <w:rFonts w:hint="eastAsia" w:cs="Times New Roman"/>
          <w:color w:val="auto"/>
          <w:szCs w:val="21"/>
        </w:rPr>
        <w:t>3.专用条件及附录；</w:t>
      </w:r>
    </w:p>
    <w:p>
      <w:pPr>
        <w:widowControl/>
        <w:spacing w:line="400" w:lineRule="exact"/>
        <w:ind w:left="481"/>
        <w:rPr>
          <w:rFonts w:cs="Times New Roman"/>
          <w:color w:val="auto"/>
          <w:szCs w:val="21"/>
        </w:rPr>
      </w:pPr>
      <w:r>
        <w:rPr>
          <w:rFonts w:hint="eastAsia" w:cs="Times New Roman"/>
          <w:color w:val="auto"/>
          <w:szCs w:val="21"/>
        </w:rPr>
        <w:t>4.通用条件；</w:t>
      </w:r>
    </w:p>
    <w:p>
      <w:pPr>
        <w:widowControl/>
        <w:spacing w:line="400" w:lineRule="exact"/>
        <w:ind w:left="481"/>
        <w:rPr>
          <w:rFonts w:cs="Times New Roman"/>
          <w:color w:val="auto"/>
          <w:szCs w:val="21"/>
        </w:rPr>
      </w:pPr>
      <w:r>
        <w:rPr>
          <w:rFonts w:hint="eastAsia" w:cs="Times New Roman"/>
          <w:color w:val="auto"/>
          <w:szCs w:val="21"/>
        </w:rPr>
        <w:t>5.其他合同文件。</w:t>
      </w:r>
    </w:p>
    <w:p>
      <w:pPr>
        <w:widowControl/>
        <w:spacing w:line="400" w:lineRule="exact"/>
        <w:ind w:firstLine="440" w:firstLineChars="200"/>
        <w:rPr>
          <w:rFonts w:cs="Times New Roman"/>
          <w:color w:val="auto"/>
          <w:szCs w:val="21"/>
        </w:rPr>
      </w:pPr>
      <w:r>
        <w:rPr>
          <w:rFonts w:cs="Times New Roman"/>
          <w:color w:val="auto"/>
          <w:szCs w:val="21"/>
        </w:rPr>
        <w:t>上述各项合同文件包括合同当事人就该项合同文件所作出的补充和修改</w:t>
      </w:r>
      <w:r>
        <w:rPr>
          <w:rFonts w:hint="eastAsia" w:cs="Times New Roman"/>
          <w:color w:val="auto"/>
          <w:szCs w:val="21"/>
        </w:rPr>
        <w:t>，</w:t>
      </w:r>
      <w:r>
        <w:rPr>
          <w:rFonts w:cs="Times New Roman"/>
          <w:color w:val="auto"/>
          <w:szCs w:val="21"/>
        </w:rPr>
        <w:t>属于同一类内容的文件，应以最新签署的为准。</w:t>
      </w:r>
    </w:p>
    <w:p>
      <w:pPr>
        <w:widowControl/>
        <w:spacing w:line="400" w:lineRule="exact"/>
        <w:ind w:firstLine="440" w:firstLineChars="200"/>
        <w:rPr>
          <w:rFonts w:cs="Times New Roman"/>
          <w:bCs/>
          <w:smallCaps/>
          <w:color w:val="auto"/>
          <w:szCs w:val="21"/>
        </w:rPr>
      </w:pPr>
      <w:r>
        <w:rPr>
          <w:rFonts w:hint="eastAsia" w:cs="Times New Roman"/>
          <w:color w:val="auto"/>
          <w:szCs w:val="21"/>
        </w:rPr>
        <w:t>在合同订立及履行过程中形成的与合同有关的文件（包括补充协议）均构成合同文件的组成部分。</w:t>
      </w:r>
    </w:p>
    <w:p>
      <w:pPr>
        <w:pStyle w:val="27"/>
        <w:spacing w:before="0" w:after="0" w:line="400" w:lineRule="exact"/>
        <w:ind w:firstLine="422" w:firstLineChars="200"/>
        <w:jc w:val="left"/>
        <w:rPr>
          <w:color w:val="auto"/>
          <w:sz w:val="21"/>
        </w:rPr>
      </w:pPr>
      <w:bookmarkStart w:id="176" w:name="_Toc419045057"/>
      <w:bookmarkStart w:id="177" w:name="_Toc422322477"/>
      <w:bookmarkStart w:id="178" w:name="_Toc27237"/>
      <w:r>
        <w:rPr>
          <w:rFonts w:hint="eastAsia"/>
          <w:color w:val="auto"/>
          <w:sz w:val="21"/>
        </w:rPr>
        <w:t>七、</w:t>
      </w:r>
      <w:bookmarkStart w:id="179" w:name="8"/>
      <w:r>
        <w:rPr>
          <w:rFonts w:hint="eastAsia"/>
          <w:color w:val="auto"/>
          <w:sz w:val="21"/>
        </w:rPr>
        <w:t>词语</w:t>
      </w:r>
      <w:bookmarkEnd w:id="176"/>
      <w:r>
        <w:rPr>
          <w:rFonts w:hint="eastAsia"/>
          <w:color w:val="auto"/>
          <w:sz w:val="21"/>
        </w:rPr>
        <w:t>定义</w:t>
      </w:r>
      <w:bookmarkEnd w:id="177"/>
      <w:bookmarkEnd w:id="178"/>
    </w:p>
    <w:p>
      <w:pPr>
        <w:spacing w:line="400" w:lineRule="exact"/>
        <w:ind w:firstLine="440" w:firstLineChars="200"/>
        <w:rPr>
          <w:rFonts w:cs="Times New Roman"/>
          <w:color w:val="auto"/>
          <w:szCs w:val="21"/>
        </w:rPr>
      </w:pPr>
      <w:r>
        <w:rPr>
          <w:rFonts w:hint="eastAsia" w:cs="Times New Roman"/>
          <w:color w:val="auto"/>
          <w:szCs w:val="21"/>
        </w:rPr>
        <w:t>协议书中相关词语的含义与通用条件中的定义与解释相同。</w:t>
      </w:r>
      <w:bookmarkEnd w:id="179"/>
    </w:p>
    <w:p>
      <w:pPr>
        <w:pStyle w:val="27"/>
        <w:spacing w:before="0" w:after="0" w:line="400" w:lineRule="exact"/>
        <w:ind w:firstLine="422" w:firstLineChars="200"/>
        <w:jc w:val="left"/>
        <w:rPr>
          <w:rFonts w:ascii="宋体" w:hAnsi="宋体"/>
          <w:color w:val="auto"/>
          <w:sz w:val="21"/>
          <w:szCs w:val="21"/>
        </w:rPr>
      </w:pPr>
      <w:bookmarkStart w:id="180" w:name="_Toc419045063"/>
      <w:bookmarkStart w:id="181" w:name="_Toc422322478"/>
      <w:bookmarkStart w:id="182" w:name="_Toc13311"/>
      <w:r>
        <w:rPr>
          <w:rFonts w:hint="eastAsia" w:ascii="宋体" w:hAnsi="宋体"/>
          <w:color w:val="auto"/>
          <w:sz w:val="21"/>
          <w:szCs w:val="21"/>
        </w:rPr>
        <w:t>八、合同订立</w:t>
      </w:r>
      <w:bookmarkEnd w:id="180"/>
      <w:bookmarkEnd w:id="181"/>
      <w:bookmarkEnd w:id="182"/>
    </w:p>
    <w:p>
      <w:pPr>
        <w:widowControl/>
        <w:spacing w:line="400" w:lineRule="exact"/>
        <w:ind w:firstLine="440" w:firstLineChars="200"/>
        <w:rPr>
          <w:rFonts w:cs="Times New Roman"/>
          <w:color w:val="auto"/>
          <w:szCs w:val="21"/>
        </w:rPr>
      </w:pPr>
      <w:r>
        <w:rPr>
          <w:rFonts w:hint="eastAsia" w:cs="Times New Roman"/>
          <w:color w:val="auto"/>
          <w:szCs w:val="21"/>
        </w:rPr>
        <w:t>1.订立时间：_________年_________月_________日。</w:t>
      </w:r>
    </w:p>
    <w:p>
      <w:pPr>
        <w:widowControl/>
        <w:spacing w:line="400" w:lineRule="exact"/>
        <w:ind w:firstLine="440" w:firstLineChars="200"/>
        <w:rPr>
          <w:rFonts w:cs="Times New Roman"/>
          <w:color w:val="auto"/>
          <w:szCs w:val="21"/>
        </w:rPr>
      </w:pPr>
      <w:r>
        <w:rPr>
          <w:rFonts w:hint="eastAsia" w:cs="Times New Roman"/>
          <w:color w:val="auto"/>
          <w:szCs w:val="21"/>
        </w:rPr>
        <w:t>2.订立地点：________________________________。</w:t>
      </w:r>
    </w:p>
    <w:p>
      <w:pPr>
        <w:pStyle w:val="27"/>
        <w:spacing w:before="0" w:after="0" w:line="400" w:lineRule="exact"/>
        <w:ind w:firstLine="422" w:firstLineChars="200"/>
        <w:jc w:val="left"/>
        <w:rPr>
          <w:rFonts w:ascii="宋体" w:hAnsi="宋体"/>
          <w:color w:val="auto"/>
          <w:sz w:val="21"/>
          <w:szCs w:val="21"/>
        </w:rPr>
      </w:pPr>
      <w:bookmarkStart w:id="183" w:name="_Toc12832"/>
      <w:bookmarkStart w:id="184" w:name="_Toc422322479"/>
      <w:bookmarkStart w:id="185" w:name="_Toc419045064"/>
      <w:r>
        <w:rPr>
          <w:rFonts w:hint="eastAsia" w:ascii="宋体" w:hAnsi="宋体"/>
          <w:color w:val="auto"/>
          <w:sz w:val="21"/>
          <w:szCs w:val="21"/>
        </w:rPr>
        <w:t>九、合同生效</w:t>
      </w:r>
      <w:bookmarkEnd w:id="183"/>
      <w:bookmarkEnd w:id="184"/>
      <w:bookmarkEnd w:id="185"/>
    </w:p>
    <w:p>
      <w:pPr>
        <w:widowControl/>
        <w:spacing w:line="400" w:lineRule="exact"/>
        <w:ind w:firstLine="440" w:firstLineChars="200"/>
        <w:rPr>
          <w:rFonts w:cs="Times New Roman"/>
          <w:color w:val="auto"/>
          <w:szCs w:val="21"/>
        </w:rPr>
      </w:pPr>
      <w:r>
        <w:rPr>
          <w:rFonts w:hint="eastAsia" w:cs="Times New Roman"/>
          <w:color w:val="auto"/>
          <w:szCs w:val="21"/>
        </w:rPr>
        <w:t>本合同自___________________________________________________生效。</w:t>
      </w:r>
    </w:p>
    <w:p>
      <w:pPr>
        <w:pStyle w:val="27"/>
        <w:spacing w:before="0" w:after="0" w:line="400" w:lineRule="exact"/>
        <w:ind w:firstLine="422" w:firstLineChars="200"/>
        <w:jc w:val="left"/>
        <w:rPr>
          <w:rFonts w:ascii="宋体" w:hAnsi="宋体"/>
          <w:color w:val="auto"/>
          <w:sz w:val="21"/>
          <w:szCs w:val="21"/>
        </w:rPr>
      </w:pPr>
      <w:bookmarkStart w:id="186" w:name="_Toc419045065"/>
      <w:bookmarkStart w:id="187" w:name="_Toc422322480"/>
      <w:bookmarkStart w:id="188" w:name="_Toc28322"/>
      <w:r>
        <w:rPr>
          <w:rFonts w:hint="eastAsia" w:ascii="宋体" w:hAnsi="宋体"/>
          <w:color w:val="auto"/>
          <w:sz w:val="21"/>
          <w:szCs w:val="21"/>
        </w:rPr>
        <w:t>十、合同份数</w:t>
      </w:r>
      <w:bookmarkEnd w:id="186"/>
      <w:bookmarkEnd w:id="187"/>
      <w:bookmarkEnd w:id="188"/>
    </w:p>
    <w:p>
      <w:pPr>
        <w:widowControl/>
        <w:spacing w:line="400" w:lineRule="exact"/>
        <w:ind w:firstLine="440" w:firstLineChars="200"/>
        <w:rPr>
          <w:rFonts w:cs="Times New Roman"/>
          <w:color w:val="auto"/>
          <w:szCs w:val="21"/>
        </w:rPr>
      </w:pPr>
      <w:r>
        <w:rPr>
          <w:rFonts w:hint="eastAsia" w:cs="Times New Roman"/>
          <w:color w:val="auto"/>
          <w:szCs w:val="21"/>
        </w:rPr>
        <w:t>本合同一式_____份，具有同等法律效力，其中委托人执_____份，咨询人执_____份。</w:t>
      </w:r>
    </w:p>
    <w:p>
      <w:pPr>
        <w:widowControl/>
        <w:spacing w:line="400" w:lineRule="exact"/>
        <w:ind w:firstLine="440" w:firstLineChars="200"/>
        <w:rPr>
          <w:rFonts w:cs="Times New Roman"/>
          <w:color w:val="auto"/>
          <w:szCs w:val="21"/>
        </w:rPr>
      </w:pPr>
    </w:p>
    <w:p>
      <w:pPr>
        <w:widowControl/>
        <w:spacing w:line="400" w:lineRule="exact"/>
        <w:rPr>
          <w:rFonts w:cs="Times New Roman"/>
          <w:color w:val="auto"/>
          <w:szCs w:val="21"/>
        </w:rPr>
      </w:pPr>
    </w:p>
    <w:p>
      <w:pPr>
        <w:widowControl/>
        <w:spacing w:line="400" w:lineRule="exact"/>
        <w:ind w:firstLine="440" w:firstLineChars="200"/>
        <w:rPr>
          <w:rFonts w:cs="Times New Roman"/>
          <w:color w:val="auto"/>
          <w:szCs w:val="21"/>
        </w:rPr>
      </w:pPr>
      <w:r>
        <w:rPr>
          <w:rFonts w:hint="eastAsia" w:cs="Times New Roman"/>
          <w:color w:val="auto"/>
          <w:szCs w:val="21"/>
        </w:rPr>
        <w:t xml:space="preserve">委 托 人：___________（盖章）       咨 询 人：___________（盖章） </w:t>
      </w:r>
      <w:r>
        <w:rPr>
          <w:rFonts w:hint="eastAsia" w:cs="Times New Roman"/>
          <w:color w:val="auto"/>
          <w:szCs w:val="21"/>
        </w:rPr>
        <w:br w:type="textWrapping"/>
      </w:r>
      <w:r>
        <w:rPr>
          <w:rFonts w:hint="eastAsia" w:cs="Times New Roman"/>
          <w:color w:val="auto"/>
          <w:szCs w:val="21"/>
        </w:rPr>
        <w:t xml:space="preserve">    法定代表人或其授权的                法定代表人或其授权的</w:t>
      </w:r>
    </w:p>
    <w:p>
      <w:pPr>
        <w:widowControl/>
        <w:spacing w:line="400" w:lineRule="exact"/>
        <w:ind w:firstLine="200"/>
        <w:rPr>
          <w:rFonts w:cs="Times New Roman"/>
          <w:color w:val="auto"/>
          <w:szCs w:val="21"/>
        </w:rPr>
      </w:pPr>
      <w:r>
        <w:rPr>
          <w:rFonts w:hint="eastAsia" w:cs="Times New Roman"/>
          <w:color w:val="auto"/>
          <w:szCs w:val="21"/>
        </w:rPr>
        <w:t xml:space="preserve">  代理人：_________（签字）           代理人：_________（签字）         </w:t>
      </w:r>
      <w:r>
        <w:rPr>
          <w:rFonts w:hint="eastAsia" w:cs="Times New Roman"/>
          <w:color w:val="auto"/>
          <w:szCs w:val="21"/>
        </w:rPr>
        <w:br w:type="textWrapping"/>
      </w:r>
      <w:r>
        <w:rPr>
          <w:rFonts w:hint="eastAsia" w:cs="Times New Roman"/>
          <w:color w:val="auto"/>
          <w:szCs w:val="21"/>
        </w:rPr>
        <w:t xml:space="preserve">    组织机构代码：                      组织机构代码：</w:t>
      </w:r>
    </w:p>
    <w:p>
      <w:pPr>
        <w:widowControl/>
        <w:spacing w:line="400" w:lineRule="exact"/>
        <w:ind w:firstLine="200"/>
        <w:rPr>
          <w:rFonts w:cs="Times New Roman"/>
          <w:color w:val="auto"/>
          <w:szCs w:val="21"/>
        </w:rPr>
      </w:pPr>
      <w:r>
        <w:rPr>
          <w:rFonts w:hint="eastAsia" w:cs="Times New Roman"/>
          <w:color w:val="auto"/>
          <w:szCs w:val="21"/>
        </w:rPr>
        <w:t xml:space="preserve">  纳税人识别码：                      纳税人识别码：</w:t>
      </w:r>
    </w:p>
    <w:p>
      <w:pPr>
        <w:widowControl/>
        <w:spacing w:line="400" w:lineRule="exact"/>
        <w:ind w:firstLine="200"/>
        <w:rPr>
          <w:rFonts w:cs="Times New Roman"/>
          <w:color w:val="auto"/>
          <w:szCs w:val="21"/>
        </w:rPr>
      </w:pPr>
      <w:r>
        <w:rPr>
          <w:rFonts w:hint="eastAsia" w:cs="Times New Roman"/>
          <w:color w:val="auto"/>
          <w:szCs w:val="21"/>
        </w:rPr>
        <w:t xml:space="preserve">  住    所：                          住    所：</w:t>
      </w:r>
    </w:p>
    <w:p>
      <w:pPr>
        <w:widowControl/>
        <w:spacing w:line="400" w:lineRule="exact"/>
        <w:ind w:firstLine="440" w:firstLineChars="200"/>
        <w:rPr>
          <w:rFonts w:cs="Times New Roman"/>
          <w:color w:val="auto"/>
          <w:szCs w:val="21"/>
        </w:rPr>
      </w:pPr>
      <w:r>
        <w:rPr>
          <w:rFonts w:hint="eastAsia" w:cs="Times New Roman"/>
          <w:color w:val="auto"/>
          <w:szCs w:val="21"/>
        </w:rPr>
        <w:t>账    号：                          账    号：</w:t>
      </w:r>
    </w:p>
    <w:p>
      <w:pPr>
        <w:widowControl/>
        <w:spacing w:line="400" w:lineRule="exact"/>
        <w:ind w:firstLine="440" w:firstLineChars="200"/>
        <w:rPr>
          <w:rFonts w:cs="Times New Roman"/>
          <w:color w:val="auto"/>
          <w:szCs w:val="21"/>
        </w:rPr>
      </w:pPr>
      <w:r>
        <w:rPr>
          <w:rFonts w:hint="eastAsia" w:cs="Times New Roman"/>
          <w:color w:val="auto"/>
          <w:szCs w:val="21"/>
        </w:rPr>
        <w:t>开户银行：                          开户银行：</w:t>
      </w:r>
      <w:r>
        <w:rPr>
          <w:rFonts w:hint="eastAsia" w:cs="Times New Roman"/>
          <w:color w:val="auto"/>
          <w:szCs w:val="21"/>
        </w:rPr>
        <w:br w:type="textWrapping"/>
      </w:r>
      <w:r>
        <w:rPr>
          <w:rFonts w:hint="eastAsia" w:cs="Times New Roman"/>
          <w:color w:val="auto"/>
          <w:szCs w:val="21"/>
        </w:rPr>
        <w:t xml:space="preserve">    邮政编码：                          邮政编码：</w:t>
      </w:r>
      <w:r>
        <w:rPr>
          <w:rFonts w:hint="eastAsia" w:cs="Times New Roman"/>
          <w:color w:val="auto"/>
          <w:szCs w:val="21"/>
        </w:rPr>
        <w:br w:type="textWrapping"/>
      </w:r>
      <w:r>
        <w:rPr>
          <w:rFonts w:hint="eastAsia" w:cs="Times New Roman"/>
          <w:color w:val="auto"/>
          <w:szCs w:val="21"/>
        </w:rPr>
        <w:t xml:space="preserve">    电    话：                          电    话：</w:t>
      </w:r>
    </w:p>
    <w:p>
      <w:pPr>
        <w:widowControl/>
        <w:spacing w:line="400" w:lineRule="exact"/>
        <w:ind w:firstLine="440" w:firstLineChars="200"/>
        <w:rPr>
          <w:rFonts w:cs="Times New Roman"/>
          <w:color w:val="auto"/>
          <w:szCs w:val="21"/>
        </w:rPr>
      </w:pPr>
      <w:r>
        <w:rPr>
          <w:rFonts w:hint="eastAsia" w:cs="Times New Roman"/>
          <w:color w:val="auto"/>
          <w:szCs w:val="21"/>
        </w:rPr>
        <w:t>传    真：                          传    真：</w:t>
      </w:r>
      <w:r>
        <w:rPr>
          <w:rFonts w:hint="eastAsia" w:cs="Times New Roman"/>
          <w:color w:val="auto"/>
          <w:szCs w:val="21"/>
        </w:rPr>
        <w:br w:type="textWrapping"/>
      </w:r>
      <w:r>
        <w:rPr>
          <w:rFonts w:hint="eastAsia" w:cs="Times New Roman"/>
          <w:color w:val="auto"/>
          <w:szCs w:val="21"/>
        </w:rPr>
        <w:t xml:space="preserve">    电子信箱：                          电子信箱：</w:t>
      </w:r>
      <w:bookmarkEnd w:id="173"/>
      <w:bookmarkStart w:id="189" w:name="_Toc422322481"/>
      <w:bookmarkStart w:id="190" w:name="_Toc419045066"/>
    </w:p>
    <w:p>
      <w:pPr>
        <w:pStyle w:val="25"/>
        <w:ind w:left="880" w:hanging="440"/>
        <w:rPr>
          <w:color w:val="auto"/>
        </w:rPr>
      </w:pPr>
    </w:p>
    <w:bookmarkEnd w:id="189"/>
    <w:bookmarkEnd w:id="190"/>
    <w:p>
      <w:pPr>
        <w:rPr>
          <w:rFonts w:ascii="仿宋" w:hAnsi="仿宋" w:eastAsia="仿宋" w:cs="Times New Roman"/>
          <w:b/>
          <w:bCs/>
          <w:color w:val="auto"/>
          <w:kern w:val="44"/>
          <w:sz w:val="32"/>
          <w:szCs w:val="32"/>
        </w:rPr>
      </w:pPr>
      <w:bookmarkStart w:id="191" w:name="_Toc32091"/>
      <w:bookmarkStart w:id="192" w:name="_Toc25879_WPSOffice_Level1"/>
      <w:bookmarkStart w:id="193" w:name="_Toc15523"/>
      <w:bookmarkStart w:id="194" w:name="_Toc24107"/>
      <w:r>
        <w:rPr>
          <w:rFonts w:hint="eastAsia" w:ascii="仿宋" w:hAnsi="仿宋" w:eastAsia="仿宋" w:cs="Times New Roman"/>
          <w:b/>
          <w:bCs/>
          <w:color w:val="auto"/>
          <w:kern w:val="44"/>
          <w:sz w:val="32"/>
          <w:szCs w:val="32"/>
        </w:rPr>
        <w:br w:type="page"/>
      </w:r>
    </w:p>
    <w:p>
      <w:pPr>
        <w:keepNext/>
        <w:keepLines/>
        <w:spacing w:before="120" w:after="120" w:line="560" w:lineRule="exact"/>
        <w:jc w:val="center"/>
        <w:outlineLvl w:val="0"/>
        <w:rPr>
          <w:rFonts w:ascii="仿宋" w:hAnsi="仿宋" w:eastAsia="仿宋" w:cs="Times New Roman"/>
          <w:b/>
          <w:bCs/>
          <w:color w:val="auto"/>
          <w:kern w:val="44"/>
          <w:sz w:val="32"/>
          <w:szCs w:val="32"/>
        </w:rPr>
      </w:pPr>
      <w:r>
        <w:rPr>
          <w:rFonts w:hint="eastAsia" w:ascii="仿宋" w:hAnsi="仿宋" w:eastAsia="仿宋" w:cs="Times New Roman"/>
          <w:b/>
          <w:bCs/>
          <w:color w:val="auto"/>
          <w:kern w:val="44"/>
          <w:sz w:val="32"/>
          <w:szCs w:val="32"/>
        </w:rPr>
        <w:t>第二部分　通用条件</w:t>
      </w:r>
      <w:bookmarkEnd w:id="191"/>
    </w:p>
    <w:p>
      <w:pPr>
        <w:spacing w:line="560" w:lineRule="exact"/>
        <w:rPr>
          <w:color w:val="auto"/>
          <w:spacing w:val="20"/>
          <w:sz w:val="24"/>
          <w:szCs w:val="24"/>
        </w:rPr>
      </w:pPr>
      <w:bookmarkStart w:id="195" w:name="_Toc419045098"/>
      <w:bookmarkStart w:id="196" w:name="_Toc422322521"/>
      <w:r>
        <w:rPr>
          <w:rFonts w:hint="eastAsia"/>
          <w:bCs/>
          <w:color w:val="auto"/>
          <w:spacing w:val="20"/>
          <w:sz w:val="24"/>
          <w:szCs w:val="24"/>
        </w:rPr>
        <w:t>1.</w:t>
      </w:r>
      <w:r>
        <w:rPr>
          <w:rFonts w:hint="eastAsia"/>
          <w:color w:val="auto"/>
          <w:spacing w:val="20"/>
          <w:sz w:val="24"/>
          <w:szCs w:val="24"/>
        </w:rPr>
        <w:t>词</w:t>
      </w:r>
      <w:r>
        <w:rPr>
          <w:rFonts w:hint="eastAsia"/>
          <w:color w:val="auto"/>
          <w:spacing w:val="2"/>
          <w:sz w:val="24"/>
          <w:szCs w:val="24"/>
        </w:rPr>
        <w:t>语</w:t>
      </w:r>
      <w:r>
        <w:rPr>
          <w:rFonts w:hint="eastAsia"/>
          <w:color w:val="auto"/>
          <w:spacing w:val="20"/>
          <w:sz w:val="24"/>
          <w:szCs w:val="24"/>
        </w:rPr>
        <w:t>定</w:t>
      </w:r>
      <w:r>
        <w:rPr>
          <w:rFonts w:hint="eastAsia"/>
          <w:color w:val="auto"/>
          <w:spacing w:val="2"/>
          <w:sz w:val="24"/>
          <w:szCs w:val="24"/>
        </w:rPr>
        <w:t>义</w:t>
      </w:r>
      <w:r>
        <w:rPr>
          <w:rFonts w:hint="eastAsia"/>
          <w:color w:val="auto"/>
          <w:spacing w:val="20"/>
          <w:sz w:val="24"/>
          <w:szCs w:val="24"/>
        </w:rPr>
        <w:t>、语</w:t>
      </w:r>
      <w:r>
        <w:rPr>
          <w:rFonts w:hint="eastAsia"/>
          <w:color w:val="auto"/>
          <w:spacing w:val="2"/>
          <w:sz w:val="24"/>
          <w:szCs w:val="24"/>
        </w:rPr>
        <w:t>言</w:t>
      </w:r>
      <w:r>
        <w:rPr>
          <w:rFonts w:hint="eastAsia"/>
          <w:color w:val="auto"/>
          <w:spacing w:val="20"/>
          <w:sz w:val="24"/>
          <w:szCs w:val="24"/>
        </w:rPr>
        <w:t>、</w:t>
      </w:r>
      <w:r>
        <w:rPr>
          <w:rFonts w:hint="eastAsia"/>
          <w:color w:val="auto"/>
          <w:spacing w:val="2"/>
          <w:sz w:val="24"/>
          <w:szCs w:val="24"/>
        </w:rPr>
        <w:t>解</w:t>
      </w:r>
      <w:r>
        <w:rPr>
          <w:rFonts w:hint="eastAsia"/>
          <w:color w:val="auto"/>
          <w:spacing w:val="20"/>
          <w:sz w:val="24"/>
          <w:szCs w:val="24"/>
        </w:rPr>
        <w:t>释顺</w:t>
      </w:r>
      <w:r>
        <w:rPr>
          <w:rFonts w:hint="eastAsia"/>
          <w:color w:val="auto"/>
          <w:spacing w:val="2"/>
          <w:sz w:val="24"/>
          <w:szCs w:val="24"/>
        </w:rPr>
        <w:t>序</w:t>
      </w:r>
      <w:r>
        <w:rPr>
          <w:rFonts w:hint="eastAsia"/>
          <w:color w:val="auto"/>
          <w:spacing w:val="20"/>
          <w:sz w:val="24"/>
          <w:szCs w:val="24"/>
        </w:rPr>
        <w:t>与适</w:t>
      </w:r>
      <w:r>
        <w:rPr>
          <w:rFonts w:hint="eastAsia"/>
          <w:color w:val="auto"/>
          <w:spacing w:val="2"/>
          <w:sz w:val="24"/>
          <w:szCs w:val="24"/>
        </w:rPr>
        <w:t>用</w:t>
      </w:r>
      <w:r>
        <w:rPr>
          <w:rFonts w:hint="eastAsia"/>
          <w:color w:val="auto"/>
          <w:spacing w:val="20"/>
          <w:sz w:val="24"/>
          <w:szCs w:val="24"/>
        </w:rPr>
        <w:t>法律</w:t>
      </w:r>
    </w:p>
    <w:p>
      <w:pPr>
        <w:spacing w:line="560" w:lineRule="exact"/>
        <w:ind w:left="550" w:leftChars="250"/>
        <w:rPr>
          <w:bCs/>
          <w:color w:val="auto"/>
          <w:spacing w:val="20"/>
          <w:sz w:val="24"/>
          <w:szCs w:val="24"/>
        </w:rPr>
      </w:pPr>
      <w:r>
        <w:rPr>
          <w:rFonts w:hint="eastAsia"/>
          <w:bCs/>
          <w:color w:val="auto"/>
          <w:spacing w:val="20"/>
          <w:sz w:val="24"/>
          <w:szCs w:val="24"/>
        </w:rPr>
        <w:t>1.1词语定义</w:t>
      </w:r>
    </w:p>
    <w:p>
      <w:pPr>
        <w:spacing w:line="560" w:lineRule="exact"/>
        <w:ind w:left="550" w:leftChars="250"/>
        <w:rPr>
          <w:bCs/>
          <w:color w:val="auto"/>
          <w:spacing w:val="20"/>
          <w:sz w:val="24"/>
          <w:szCs w:val="24"/>
        </w:rPr>
      </w:pPr>
      <w:r>
        <w:rPr>
          <w:rFonts w:hint="eastAsia"/>
          <w:bCs/>
          <w:color w:val="auto"/>
          <w:spacing w:val="20"/>
          <w:sz w:val="24"/>
          <w:szCs w:val="24"/>
        </w:rPr>
        <w:t>组成本合同的全部文件中的下列名词和用语应具有本款所赋予的含义：</w:t>
      </w:r>
    </w:p>
    <w:p>
      <w:pPr>
        <w:spacing w:line="560" w:lineRule="exact"/>
        <w:ind w:left="548" w:leftChars="249" w:firstLine="5" w:firstLineChars="2"/>
        <w:rPr>
          <w:bCs/>
          <w:color w:val="auto"/>
          <w:spacing w:val="20"/>
          <w:sz w:val="24"/>
          <w:szCs w:val="24"/>
        </w:rPr>
      </w:pPr>
      <w:r>
        <w:rPr>
          <w:rFonts w:hint="eastAsia"/>
          <w:bCs/>
          <w:color w:val="auto"/>
          <w:spacing w:val="20"/>
          <w:sz w:val="24"/>
          <w:szCs w:val="24"/>
        </w:rPr>
        <w:t>1.1.1“工程”是指按照本合同约定实施造价咨询与其他服务的建设工程。</w:t>
      </w:r>
    </w:p>
    <w:p>
      <w:pPr>
        <w:spacing w:line="560" w:lineRule="exact"/>
        <w:ind w:left="548" w:leftChars="249" w:firstLine="5" w:firstLineChars="2"/>
        <w:rPr>
          <w:bCs/>
          <w:color w:val="auto"/>
          <w:spacing w:val="20"/>
          <w:sz w:val="24"/>
          <w:szCs w:val="24"/>
        </w:rPr>
      </w:pPr>
      <w:r>
        <w:rPr>
          <w:rFonts w:hint="eastAsia"/>
          <w:bCs/>
          <w:color w:val="auto"/>
          <w:spacing w:val="20"/>
          <w:sz w:val="24"/>
          <w:szCs w:val="24"/>
        </w:rPr>
        <w:t>1.1.2“工程造价”是指工程项目建设过程中预计或实际支出的全部费用。</w:t>
      </w:r>
    </w:p>
    <w:p>
      <w:pPr>
        <w:spacing w:line="560" w:lineRule="exact"/>
        <w:ind w:left="29" w:leftChars="13" w:firstLine="582" w:firstLineChars="208"/>
        <w:rPr>
          <w:bCs/>
          <w:color w:val="auto"/>
          <w:spacing w:val="20"/>
          <w:sz w:val="24"/>
          <w:szCs w:val="24"/>
        </w:rPr>
      </w:pPr>
      <w:r>
        <w:rPr>
          <w:rFonts w:hint="eastAsia"/>
          <w:bCs/>
          <w:color w:val="auto"/>
          <w:spacing w:val="20"/>
          <w:sz w:val="24"/>
          <w:szCs w:val="24"/>
        </w:rPr>
        <w:t>1.1.3“委托人”是指本合同中委托造价咨询与其他服务的一方，及其合法的继承人或受让人。</w:t>
      </w:r>
    </w:p>
    <w:p>
      <w:pPr>
        <w:spacing w:line="560" w:lineRule="exact"/>
        <w:ind w:left="29" w:leftChars="13" w:firstLine="582" w:firstLineChars="208"/>
        <w:rPr>
          <w:bCs/>
          <w:color w:val="auto"/>
          <w:spacing w:val="20"/>
          <w:sz w:val="24"/>
          <w:szCs w:val="24"/>
        </w:rPr>
      </w:pPr>
      <w:r>
        <w:rPr>
          <w:rFonts w:hint="eastAsia"/>
          <w:bCs/>
          <w:color w:val="auto"/>
          <w:spacing w:val="20"/>
          <w:sz w:val="24"/>
          <w:szCs w:val="24"/>
        </w:rPr>
        <w:t>1.1.4“咨询人”是指本合同中提供造价咨询与其他服务的一方，及其合法的继承人。</w:t>
      </w:r>
    </w:p>
    <w:p>
      <w:pPr>
        <w:spacing w:line="560" w:lineRule="exact"/>
        <w:ind w:left="548" w:leftChars="249" w:firstLine="5" w:firstLineChars="2"/>
        <w:rPr>
          <w:bCs/>
          <w:color w:val="auto"/>
          <w:spacing w:val="20"/>
          <w:sz w:val="24"/>
          <w:szCs w:val="24"/>
        </w:rPr>
      </w:pPr>
      <w:r>
        <w:rPr>
          <w:rFonts w:hint="eastAsia"/>
          <w:bCs/>
          <w:color w:val="auto"/>
          <w:spacing w:val="20"/>
          <w:sz w:val="24"/>
          <w:szCs w:val="24"/>
        </w:rPr>
        <w:t>1.1.5“第三人”是指除委托人、咨询人以外与本咨询业务有关的当事人。</w:t>
      </w:r>
    </w:p>
    <w:p>
      <w:pPr>
        <w:spacing w:line="560" w:lineRule="exact"/>
        <w:ind w:left="548" w:leftChars="249" w:firstLine="5" w:firstLineChars="2"/>
        <w:rPr>
          <w:bCs/>
          <w:color w:val="auto"/>
          <w:spacing w:val="20"/>
          <w:sz w:val="24"/>
          <w:szCs w:val="24"/>
        </w:rPr>
      </w:pPr>
      <w:r>
        <w:rPr>
          <w:rFonts w:hint="eastAsia"/>
          <w:bCs/>
          <w:color w:val="auto"/>
          <w:spacing w:val="20"/>
          <w:sz w:val="24"/>
          <w:szCs w:val="24"/>
        </w:rPr>
        <w:t>1.1.6“正常工作”是指本合同订立时通用条件和专用条件中约定的咨询人的工作。</w:t>
      </w:r>
    </w:p>
    <w:p>
      <w:pPr>
        <w:spacing w:before="38" w:line="560" w:lineRule="exact"/>
        <w:ind w:left="548" w:leftChars="249" w:firstLine="5" w:firstLineChars="2"/>
        <w:rPr>
          <w:bCs/>
          <w:color w:val="auto"/>
          <w:spacing w:val="20"/>
          <w:sz w:val="24"/>
          <w:szCs w:val="24"/>
        </w:rPr>
      </w:pPr>
      <w:r>
        <w:rPr>
          <w:rFonts w:hint="eastAsia"/>
          <w:bCs/>
          <w:color w:val="auto"/>
          <w:spacing w:val="20"/>
          <w:sz w:val="24"/>
          <w:szCs w:val="24"/>
        </w:rPr>
        <w:t>1.1.7“附加工作”是指咨询人根据合同条件完成的正常工作以外的工作。</w:t>
      </w:r>
    </w:p>
    <w:p>
      <w:pPr>
        <w:spacing w:line="560" w:lineRule="exact"/>
        <w:ind w:left="44" w:leftChars="20" w:firstLine="565" w:firstLineChars="202"/>
        <w:rPr>
          <w:bCs/>
          <w:color w:val="auto"/>
          <w:spacing w:val="20"/>
          <w:sz w:val="24"/>
          <w:szCs w:val="24"/>
        </w:rPr>
      </w:pPr>
      <w:r>
        <w:rPr>
          <w:rFonts w:hint="eastAsia"/>
          <w:bCs/>
          <w:color w:val="auto"/>
          <w:spacing w:val="20"/>
          <w:sz w:val="24"/>
          <w:szCs w:val="24"/>
        </w:rPr>
        <w:t>1.1.8“项</w:t>
      </w:r>
      <w:r>
        <w:rPr>
          <w:rFonts w:hint="eastAsia"/>
          <w:bCs/>
          <w:color w:val="auto"/>
          <w:spacing w:val="2"/>
          <w:sz w:val="24"/>
          <w:szCs w:val="24"/>
        </w:rPr>
        <w:t>目</w:t>
      </w:r>
      <w:r>
        <w:rPr>
          <w:rFonts w:hint="eastAsia"/>
          <w:bCs/>
          <w:color w:val="auto"/>
          <w:spacing w:val="20"/>
          <w:sz w:val="24"/>
          <w:szCs w:val="24"/>
        </w:rPr>
        <w:t>咨询</w:t>
      </w:r>
      <w:r>
        <w:rPr>
          <w:rFonts w:hint="eastAsia"/>
          <w:bCs/>
          <w:color w:val="auto"/>
          <w:spacing w:val="2"/>
          <w:sz w:val="24"/>
          <w:szCs w:val="24"/>
        </w:rPr>
        <w:t>团</w:t>
      </w:r>
      <w:r>
        <w:rPr>
          <w:rFonts w:hint="eastAsia"/>
          <w:bCs/>
          <w:color w:val="auto"/>
          <w:spacing w:val="20"/>
          <w:sz w:val="24"/>
          <w:szCs w:val="24"/>
        </w:rPr>
        <w:t>队</w:t>
      </w:r>
      <w:r>
        <w:rPr>
          <w:rFonts w:hint="eastAsia"/>
          <w:bCs/>
          <w:color w:val="auto"/>
          <w:spacing w:val="2"/>
          <w:sz w:val="24"/>
          <w:szCs w:val="24"/>
        </w:rPr>
        <w:t>”</w:t>
      </w:r>
      <w:r>
        <w:rPr>
          <w:rFonts w:hint="eastAsia"/>
          <w:bCs/>
          <w:color w:val="auto"/>
          <w:spacing w:val="20"/>
          <w:sz w:val="24"/>
          <w:szCs w:val="24"/>
        </w:rPr>
        <w:t>是</w:t>
      </w:r>
      <w:r>
        <w:rPr>
          <w:rFonts w:hint="eastAsia"/>
          <w:bCs/>
          <w:color w:val="auto"/>
          <w:spacing w:val="2"/>
          <w:sz w:val="24"/>
          <w:szCs w:val="24"/>
        </w:rPr>
        <w:t>指</w:t>
      </w:r>
      <w:r>
        <w:rPr>
          <w:rFonts w:hint="eastAsia"/>
          <w:bCs/>
          <w:color w:val="auto"/>
          <w:spacing w:val="20"/>
          <w:sz w:val="24"/>
          <w:szCs w:val="24"/>
        </w:rPr>
        <w:t>咨询</w:t>
      </w:r>
      <w:r>
        <w:rPr>
          <w:rFonts w:hint="eastAsia"/>
          <w:bCs/>
          <w:color w:val="auto"/>
          <w:spacing w:val="2"/>
          <w:sz w:val="24"/>
          <w:szCs w:val="24"/>
        </w:rPr>
        <w:t>人</w:t>
      </w:r>
      <w:r>
        <w:rPr>
          <w:rFonts w:hint="eastAsia"/>
          <w:bCs/>
          <w:color w:val="auto"/>
          <w:spacing w:val="20"/>
          <w:sz w:val="24"/>
          <w:szCs w:val="24"/>
        </w:rPr>
        <w:t>指</w:t>
      </w:r>
      <w:r>
        <w:rPr>
          <w:rFonts w:hint="eastAsia"/>
          <w:bCs/>
          <w:color w:val="auto"/>
          <w:spacing w:val="2"/>
          <w:sz w:val="24"/>
          <w:szCs w:val="24"/>
        </w:rPr>
        <w:t>派</w:t>
      </w:r>
      <w:r>
        <w:rPr>
          <w:rFonts w:hint="eastAsia"/>
          <w:bCs/>
          <w:color w:val="auto"/>
          <w:spacing w:val="20"/>
          <w:sz w:val="24"/>
          <w:szCs w:val="24"/>
        </w:rPr>
        <w:t>负责</w:t>
      </w:r>
      <w:r>
        <w:rPr>
          <w:rFonts w:hint="eastAsia"/>
          <w:bCs/>
          <w:color w:val="auto"/>
          <w:spacing w:val="2"/>
          <w:sz w:val="24"/>
          <w:szCs w:val="24"/>
        </w:rPr>
        <w:t>履</w:t>
      </w:r>
      <w:r>
        <w:rPr>
          <w:rFonts w:hint="eastAsia"/>
          <w:bCs/>
          <w:color w:val="auto"/>
          <w:spacing w:val="20"/>
          <w:sz w:val="24"/>
          <w:szCs w:val="24"/>
        </w:rPr>
        <w:t>行本</w:t>
      </w:r>
      <w:r>
        <w:rPr>
          <w:rFonts w:hint="eastAsia"/>
          <w:bCs/>
          <w:color w:val="auto"/>
          <w:spacing w:val="2"/>
          <w:sz w:val="24"/>
          <w:szCs w:val="24"/>
        </w:rPr>
        <w:t>合</w:t>
      </w:r>
      <w:r>
        <w:rPr>
          <w:rFonts w:hint="eastAsia"/>
          <w:bCs/>
          <w:color w:val="auto"/>
          <w:spacing w:val="20"/>
          <w:sz w:val="24"/>
          <w:szCs w:val="24"/>
        </w:rPr>
        <w:t>同的</w:t>
      </w:r>
      <w:r>
        <w:rPr>
          <w:rFonts w:hint="eastAsia"/>
          <w:bCs/>
          <w:color w:val="auto"/>
          <w:spacing w:val="2"/>
          <w:sz w:val="24"/>
          <w:szCs w:val="24"/>
        </w:rPr>
        <w:t>团</w:t>
      </w:r>
      <w:r>
        <w:rPr>
          <w:rFonts w:hint="eastAsia"/>
          <w:bCs/>
          <w:color w:val="auto"/>
          <w:spacing w:val="20"/>
          <w:sz w:val="24"/>
          <w:szCs w:val="24"/>
        </w:rPr>
        <w:t>队，</w:t>
      </w:r>
      <w:r>
        <w:rPr>
          <w:rFonts w:hint="eastAsia"/>
          <w:bCs/>
          <w:color w:val="auto"/>
          <w:spacing w:val="2"/>
          <w:sz w:val="24"/>
          <w:szCs w:val="24"/>
        </w:rPr>
        <w:t>其</w:t>
      </w:r>
      <w:r>
        <w:rPr>
          <w:rFonts w:hint="eastAsia"/>
          <w:bCs/>
          <w:color w:val="auto"/>
          <w:spacing w:val="20"/>
          <w:sz w:val="24"/>
          <w:szCs w:val="24"/>
        </w:rPr>
        <w:t>团</w:t>
      </w:r>
      <w:r>
        <w:rPr>
          <w:rFonts w:hint="eastAsia"/>
          <w:bCs/>
          <w:color w:val="auto"/>
          <w:spacing w:val="2"/>
          <w:sz w:val="24"/>
          <w:szCs w:val="24"/>
        </w:rPr>
        <w:t>队</w:t>
      </w:r>
      <w:r>
        <w:rPr>
          <w:rFonts w:hint="eastAsia"/>
          <w:bCs/>
          <w:color w:val="auto"/>
          <w:spacing w:val="20"/>
          <w:sz w:val="24"/>
          <w:szCs w:val="24"/>
        </w:rPr>
        <w:t>成员为本合同的项目咨询人员。</w:t>
      </w:r>
    </w:p>
    <w:p>
      <w:pPr>
        <w:spacing w:line="560" w:lineRule="exact"/>
        <w:ind w:left="44" w:leftChars="20" w:firstLine="565" w:firstLineChars="202"/>
        <w:rPr>
          <w:bCs/>
          <w:color w:val="auto"/>
          <w:spacing w:val="20"/>
          <w:sz w:val="24"/>
          <w:szCs w:val="24"/>
        </w:rPr>
      </w:pPr>
      <w:r>
        <w:rPr>
          <w:rFonts w:hint="eastAsia"/>
          <w:bCs/>
          <w:color w:val="auto"/>
          <w:spacing w:val="20"/>
          <w:sz w:val="24"/>
          <w:szCs w:val="24"/>
        </w:rPr>
        <w:t>1.1.9“项</w:t>
      </w:r>
      <w:r>
        <w:rPr>
          <w:rFonts w:hint="eastAsia"/>
          <w:bCs/>
          <w:color w:val="auto"/>
          <w:spacing w:val="2"/>
          <w:sz w:val="24"/>
          <w:szCs w:val="24"/>
        </w:rPr>
        <w:t>目</w:t>
      </w:r>
      <w:r>
        <w:rPr>
          <w:rFonts w:hint="eastAsia"/>
          <w:bCs/>
          <w:color w:val="auto"/>
          <w:spacing w:val="20"/>
          <w:sz w:val="24"/>
          <w:szCs w:val="24"/>
        </w:rPr>
        <w:t>负责</w:t>
      </w:r>
      <w:r>
        <w:rPr>
          <w:rFonts w:hint="eastAsia"/>
          <w:bCs/>
          <w:color w:val="auto"/>
          <w:spacing w:val="2"/>
          <w:sz w:val="24"/>
          <w:szCs w:val="24"/>
        </w:rPr>
        <w:t>人</w:t>
      </w:r>
      <w:r>
        <w:rPr>
          <w:rFonts w:hint="eastAsia"/>
          <w:bCs/>
          <w:color w:val="auto"/>
          <w:spacing w:val="20"/>
          <w:sz w:val="24"/>
          <w:szCs w:val="24"/>
        </w:rPr>
        <w:t>”是</w:t>
      </w:r>
      <w:r>
        <w:rPr>
          <w:rFonts w:hint="eastAsia"/>
          <w:bCs/>
          <w:color w:val="auto"/>
          <w:spacing w:val="2"/>
          <w:sz w:val="24"/>
          <w:szCs w:val="24"/>
        </w:rPr>
        <w:t>指</w:t>
      </w:r>
      <w:r>
        <w:rPr>
          <w:rFonts w:hint="eastAsia"/>
          <w:bCs/>
          <w:color w:val="auto"/>
          <w:spacing w:val="20"/>
          <w:sz w:val="24"/>
          <w:szCs w:val="24"/>
        </w:rPr>
        <w:t>由咨</w:t>
      </w:r>
      <w:r>
        <w:rPr>
          <w:rFonts w:hint="eastAsia"/>
          <w:bCs/>
          <w:color w:val="auto"/>
          <w:spacing w:val="2"/>
          <w:sz w:val="24"/>
          <w:szCs w:val="24"/>
        </w:rPr>
        <w:t>询</w:t>
      </w:r>
      <w:r>
        <w:rPr>
          <w:rFonts w:hint="eastAsia"/>
          <w:bCs/>
          <w:color w:val="auto"/>
          <w:spacing w:val="20"/>
          <w:sz w:val="24"/>
          <w:szCs w:val="24"/>
        </w:rPr>
        <w:t>人</w:t>
      </w:r>
      <w:r>
        <w:rPr>
          <w:rFonts w:hint="eastAsia"/>
          <w:bCs/>
          <w:color w:val="auto"/>
          <w:spacing w:val="2"/>
          <w:sz w:val="24"/>
          <w:szCs w:val="24"/>
        </w:rPr>
        <w:t>的</w:t>
      </w:r>
      <w:r>
        <w:rPr>
          <w:rFonts w:hint="eastAsia"/>
          <w:bCs/>
          <w:color w:val="auto"/>
          <w:spacing w:val="20"/>
          <w:sz w:val="24"/>
          <w:szCs w:val="24"/>
        </w:rPr>
        <w:t>法定</w:t>
      </w:r>
      <w:r>
        <w:rPr>
          <w:rFonts w:hint="eastAsia"/>
          <w:bCs/>
          <w:color w:val="auto"/>
          <w:spacing w:val="2"/>
          <w:sz w:val="24"/>
          <w:szCs w:val="24"/>
        </w:rPr>
        <w:t>代</w:t>
      </w:r>
      <w:r>
        <w:rPr>
          <w:rFonts w:hint="eastAsia"/>
          <w:bCs/>
          <w:color w:val="auto"/>
          <w:spacing w:val="20"/>
          <w:sz w:val="24"/>
          <w:szCs w:val="24"/>
        </w:rPr>
        <w:t>表人</w:t>
      </w:r>
      <w:r>
        <w:rPr>
          <w:rFonts w:hint="eastAsia"/>
          <w:bCs/>
          <w:color w:val="auto"/>
          <w:spacing w:val="2"/>
          <w:sz w:val="24"/>
          <w:szCs w:val="24"/>
        </w:rPr>
        <w:t>书</w:t>
      </w:r>
      <w:r>
        <w:rPr>
          <w:rFonts w:hint="eastAsia"/>
          <w:bCs/>
          <w:color w:val="auto"/>
          <w:spacing w:val="20"/>
          <w:sz w:val="24"/>
          <w:szCs w:val="24"/>
        </w:rPr>
        <w:t>面授</w:t>
      </w:r>
      <w:r>
        <w:rPr>
          <w:rFonts w:hint="eastAsia"/>
          <w:bCs/>
          <w:color w:val="auto"/>
          <w:spacing w:val="2"/>
          <w:sz w:val="24"/>
          <w:szCs w:val="24"/>
        </w:rPr>
        <w:t>权</w:t>
      </w:r>
      <w:r>
        <w:rPr>
          <w:rFonts w:hint="eastAsia"/>
          <w:bCs/>
          <w:color w:val="auto"/>
          <w:spacing w:val="20"/>
          <w:sz w:val="24"/>
          <w:szCs w:val="24"/>
        </w:rPr>
        <w:t>，在</w:t>
      </w:r>
      <w:r>
        <w:rPr>
          <w:rFonts w:hint="eastAsia"/>
          <w:bCs/>
          <w:color w:val="auto"/>
          <w:spacing w:val="2"/>
          <w:sz w:val="24"/>
          <w:szCs w:val="24"/>
        </w:rPr>
        <w:t>授</w:t>
      </w:r>
      <w:r>
        <w:rPr>
          <w:rFonts w:hint="eastAsia"/>
          <w:bCs/>
          <w:color w:val="auto"/>
          <w:spacing w:val="20"/>
          <w:sz w:val="24"/>
          <w:szCs w:val="24"/>
        </w:rPr>
        <w:t>权</w:t>
      </w:r>
      <w:r>
        <w:rPr>
          <w:rFonts w:hint="eastAsia"/>
          <w:bCs/>
          <w:color w:val="auto"/>
          <w:spacing w:val="2"/>
          <w:sz w:val="24"/>
          <w:szCs w:val="24"/>
        </w:rPr>
        <w:t>范</w:t>
      </w:r>
      <w:r>
        <w:rPr>
          <w:rFonts w:hint="eastAsia"/>
          <w:bCs/>
          <w:color w:val="auto"/>
          <w:spacing w:val="20"/>
          <w:sz w:val="24"/>
          <w:szCs w:val="24"/>
        </w:rPr>
        <w:t>围内负责履行本合同、主持项目咨询团队工作的负责人。</w:t>
      </w:r>
    </w:p>
    <w:p>
      <w:pPr>
        <w:spacing w:line="560" w:lineRule="exact"/>
        <w:ind w:left="44" w:leftChars="20" w:firstLine="565" w:firstLineChars="202"/>
        <w:rPr>
          <w:bCs/>
          <w:color w:val="auto"/>
          <w:spacing w:val="20"/>
          <w:sz w:val="24"/>
          <w:szCs w:val="24"/>
        </w:rPr>
      </w:pPr>
      <w:r>
        <w:rPr>
          <w:rFonts w:hint="eastAsia"/>
          <w:bCs/>
          <w:color w:val="auto"/>
          <w:spacing w:val="20"/>
          <w:sz w:val="24"/>
          <w:szCs w:val="24"/>
        </w:rPr>
        <w:t>1.1.10“委托人代表”是指由委托人的法定代表人书面授权，在授权范围内行使委托人权利的人。</w:t>
      </w:r>
      <w:bookmarkStart w:id="197" w:name="_bookmark7"/>
      <w:bookmarkEnd w:id="197"/>
    </w:p>
    <w:p>
      <w:pPr>
        <w:spacing w:line="560" w:lineRule="exact"/>
        <w:ind w:left="44" w:leftChars="20" w:firstLine="565" w:firstLineChars="202"/>
        <w:rPr>
          <w:bCs/>
          <w:color w:val="auto"/>
          <w:spacing w:val="20"/>
          <w:sz w:val="24"/>
          <w:szCs w:val="24"/>
        </w:rPr>
      </w:pPr>
      <w:r>
        <w:rPr>
          <w:rFonts w:hint="eastAsia"/>
          <w:bCs/>
          <w:color w:val="auto"/>
          <w:spacing w:val="20"/>
          <w:sz w:val="24"/>
          <w:szCs w:val="24"/>
        </w:rPr>
        <w:t>1.1.1</w:t>
      </w:r>
      <w:r>
        <w:rPr>
          <w:rFonts w:hint="eastAsia"/>
          <w:bCs/>
          <w:color w:val="auto"/>
          <w:spacing w:val="4"/>
          <w:sz w:val="24"/>
          <w:szCs w:val="24"/>
        </w:rPr>
        <w:t>1“酬金”是指咨询人</w:t>
      </w:r>
      <w:r>
        <w:rPr>
          <w:rFonts w:hint="eastAsia"/>
          <w:bCs/>
          <w:color w:val="auto"/>
          <w:spacing w:val="7"/>
          <w:sz w:val="24"/>
          <w:szCs w:val="24"/>
        </w:rPr>
        <w:t>履</w:t>
      </w:r>
      <w:r>
        <w:rPr>
          <w:rFonts w:hint="eastAsia"/>
          <w:bCs/>
          <w:color w:val="auto"/>
          <w:spacing w:val="4"/>
          <w:sz w:val="24"/>
          <w:szCs w:val="24"/>
        </w:rPr>
        <w:t>行本合同义务，委托</w:t>
      </w:r>
      <w:r>
        <w:rPr>
          <w:rFonts w:hint="eastAsia"/>
          <w:bCs/>
          <w:color w:val="auto"/>
          <w:spacing w:val="7"/>
          <w:sz w:val="24"/>
          <w:szCs w:val="24"/>
        </w:rPr>
        <w:t>人</w:t>
      </w:r>
      <w:r>
        <w:rPr>
          <w:rFonts w:hint="eastAsia"/>
          <w:bCs/>
          <w:color w:val="auto"/>
          <w:spacing w:val="4"/>
          <w:sz w:val="24"/>
          <w:szCs w:val="24"/>
        </w:rPr>
        <w:t>按照本合同约定给</w:t>
      </w:r>
      <w:r>
        <w:rPr>
          <w:rFonts w:hint="eastAsia"/>
          <w:bCs/>
          <w:color w:val="auto"/>
          <w:spacing w:val="20"/>
          <w:sz w:val="24"/>
          <w:szCs w:val="24"/>
        </w:rPr>
        <w:t>付咨询人的金额。</w:t>
      </w:r>
    </w:p>
    <w:p>
      <w:pPr>
        <w:spacing w:line="560" w:lineRule="exact"/>
        <w:ind w:left="44" w:leftChars="20" w:firstLine="565" w:firstLineChars="202"/>
        <w:rPr>
          <w:bCs/>
          <w:color w:val="auto"/>
          <w:spacing w:val="20"/>
          <w:sz w:val="24"/>
          <w:szCs w:val="24"/>
        </w:rPr>
      </w:pPr>
      <w:r>
        <w:rPr>
          <w:rFonts w:hint="eastAsia"/>
          <w:bCs/>
          <w:color w:val="auto"/>
          <w:spacing w:val="20"/>
          <w:sz w:val="24"/>
          <w:szCs w:val="24"/>
        </w:rPr>
        <w:t>1.1.12“正常工作酬金”是指在协议书中载明的，咨询人完成正常工作，委托人应给付咨询人的酬金。</w:t>
      </w:r>
    </w:p>
    <w:p>
      <w:pPr>
        <w:spacing w:line="560" w:lineRule="exact"/>
        <w:ind w:left="57" w:leftChars="26" w:firstLine="565" w:firstLineChars="202"/>
        <w:rPr>
          <w:bCs/>
          <w:color w:val="auto"/>
          <w:spacing w:val="20"/>
          <w:sz w:val="24"/>
          <w:szCs w:val="24"/>
        </w:rPr>
      </w:pPr>
      <w:r>
        <w:rPr>
          <w:rFonts w:hint="eastAsia"/>
          <w:bCs/>
          <w:color w:val="auto"/>
          <w:spacing w:val="20"/>
          <w:sz w:val="24"/>
          <w:szCs w:val="24"/>
        </w:rPr>
        <w:t>1.1.13“附加工作酬金”是指咨询人完成附加工作，委托人应给付咨询人的酬金。</w:t>
      </w:r>
    </w:p>
    <w:p>
      <w:pPr>
        <w:spacing w:line="560" w:lineRule="exact"/>
        <w:ind w:left="57" w:leftChars="26" w:firstLine="565" w:firstLineChars="202"/>
        <w:rPr>
          <w:bCs/>
          <w:color w:val="auto"/>
          <w:spacing w:val="20"/>
          <w:sz w:val="24"/>
          <w:szCs w:val="24"/>
        </w:rPr>
      </w:pPr>
      <w:r>
        <w:rPr>
          <w:rFonts w:hint="eastAsia"/>
          <w:bCs/>
          <w:color w:val="auto"/>
          <w:spacing w:val="20"/>
          <w:sz w:val="24"/>
          <w:szCs w:val="24"/>
        </w:rPr>
        <w:t>1.1.14 “书面形式”是指合同书、信件和数据电文（包括电报、电传、传真、电子数据交换和电子邮件）等可以有形地表现所载内容的形式。</w:t>
      </w:r>
    </w:p>
    <w:p>
      <w:pPr>
        <w:spacing w:line="560" w:lineRule="exact"/>
        <w:ind w:left="57" w:leftChars="26" w:firstLine="565" w:firstLineChars="202"/>
        <w:rPr>
          <w:bCs/>
          <w:color w:val="auto"/>
          <w:spacing w:val="20"/>
          <w:sz w:val="24"/>
          <w:szCs w:val="24"/>
        </w:rPr>
      </w:pPr>
      <w:r>
        <w:rPr>
          <w:rFonts w:hint="eastAsia"/>
          <w:bCs/>
          <w:color w:val="auto"/>
          <w:spacing w:val="20"/>
          <w:sz w:val="24"/>
          <w:szCs w:val="24"/>
        </w:rPr>
        <w:t>1.1.15 “不可抗力”是指委托人和咨询人在订立本合同时不可预见，在合同履行过程中不可避免并不能克服的自然灾害和社会性突发事件，如地震、海啸、瘟疫、水灾、骚乱、暴动、战争等情形。</w:t>
      </w:r>
    </w:p>
    <w:p>
      <w:pPr>
        <w:pStyle w:val="2"/>
        <w:rPr>
          <w:bCs/>
          <w:color w:val="auto"/>
          <w:spacing w:val="20"/>
          <w:sz w:val="24"/>
          <w:szCs w:val="24"/>
          <w:lang w:val="en-US"/>
        </w:rPr>
      </w:pPr>
      <w:r>
        <w:rPr>
          <w:rFonts w:hint="eastAsia"/>
          <w:bCs/>
          <w:color w:val="auto"/>
          <w:spacing w:val="20"/>
          <w:sz w:val="24"/>
          <w:szCs w:val="24"/>
          <w:lang w:val="en-US"/>
        </w:rPr>
        <w:t xml:space="preserve">    </w:t>
      </w:r>
      <w:r>
        <w:rPr>
          <w:rFonts w:hint="eastAsia"/>
          <w:bCs/>
          <w:color w:val="auto"/>
          <w:spacing w:val="20"/>
          <w:sz w:val="24"/>
          <w:szCs w:val="24"/>
        </w:rPr>
        <w:t>1.1.1</w:t>
      </w:r>
      <w:r>
        <w:rPr>
          <w:rFonts w:hint="eastAsia"/>
          <w:bCs/>
          <w:color w:val="auto"/>
          <w:spacing w:val="20"/>
          <w:sz w:val="24"/>
          <w:szCs w:val="24"/>
          <w:lang w:val="en-US" w:eastAsia="zh-CN"/>
        </w:rPr>
        <w:t xml:space="preserve">6 </w:t>
      </w:r>
      <w:r>
        <w:rPr>
          <w:rFonts w:hint="eastAsia"/>
          <w:bCs/>
          <w:color w:val="auto"/>
          <w:spacing w:val="20"/>
          <w:sz w:val="24"/>
          <w:szCs w:val="24"/>
          <w:lang w:val="en-US"/>
        </w:rPr>
        <w:t>实施机构是指崇左市交通运输局</w:t>
      </w:r>
    </w:p>
    <w:p>
      <w:pPr>
        <w:pStyle w:val="2"/>
        <w:rPr>
          <w:bCs/>
          <w:color w:val="auto"/>
          <w:spacing w:val="20"/>
          <w:sz w:val="24"/>
          <w:szCs w:val="24"/>
          <w:lang w:val="en-US"/>
        </w:rPr>
      </w:pPr>
      <w:r>
        <w:rPr>
          <w:rFonts w:hint="eastAsia"/>
          <w:bCs/>
          <w:color w:val="auto"/>
          <w:spacing w:val="20"/>
          <w:sz w:val="24"/>
          <w:szCs w:val="24"/>
          <w:lang w:val="en-US"/>
        </w:rPr>
        <w:t xml:space="preserve">    </w:t>
      </w:r>
      <w:r>
        <w:rPr>
          <w:rFonts w:hint="eastAsia"/>
          <w:bCs/>
          <w:color w:val="auto"/>
          <w:spacing w:val="20"/>
          <w:sz w:val="24"/>
          <w:szCs w:val="24"/>
        </w:rPr>
        <w:t>1.1.1</w:t>
      </w:r>
      <w:r>
        <w:rPr>
          <w:rFonts w:hint="eastAsia"/>
          <w:bCs/>
          <w:color w:val="auto"/>
          <w:spacing w:val="20"/>
          <w:sz w:val="24"/>
          <w:szCs w:val="24"/>
          <w:lang w:val="en-US" w:eastAsia="zh-CN"/>
        </w:rPr>
        <w:t xml:space="preserve">7 </w:t>
      </w:r>
      <w:r>
        <w:rPr>
          <w:rFonts w:hint="eastAsia"/>
          <w:bCs/>
          <w:color w:val="auto"/>
          <w:spacing w:val="20"/>
          <w:sz w:val="24"/>
          <w:szCs w:val="24"/>
          <w:lang w:val="en-US"/>
        </w:rPr>
        <w:t>项目公司是指广西兴崇基础设施投资有限公司</w:t>
      </w:r>
    </w:p>
    <w:p>
      <w:pPr>
        <w:spacing w:before="98" w:line="560" w:lineRule="exact"/>
        <w:ind w:firstLine="560" w:firstLineChars="200"/>
        <w:rPr>
          <w:bCs/>
          <w:color w:val="auto"/>
          <w:spacing w:val="20"/>
          <w:sz w:val="24"/>
          <w:szCs w:val="24"/>
        </w:rPr>
      </w:pPr>
      <w:r>
        <w:rPr>
          <w:rFonts w:hint="eastAsia"/>
          <w:bCs/>
          <w:color w:val="auto"/>
          <w:spacing w:val="20"/>
          <w:sz w:val="24"/>
          <w:szCs w:val="24"/>
        </w:rPr>
        <w:t>1.2语言</w:t>
      </w:r>
    </w:p>
    <w:p>
      <w:pPr>
        <w:spacing w:before="98" w:line="560" w:lineRule="exact"/>
        <w:ind w:firstLine="496" w:firstLineChars="200"/>
        <w:rPr>
          <w:bCs/>
          <w:color w:val="auto"/>
          <w:spacing w:val="20"/>
          <w:sz w:val="24"/>
          <w:szCs w:val="24"/>
        </w:rPr>
      </w:pPr>
      <w:r>
        <w:rPr>
          <w:rFonts w:hint="eastAsia"/>
          <w:bCs/>
          <w:color w:val="auto"/>
          <w:spacing w:val="4"/>
          <w:sz w:val="24"/>
          <w:szCs w:val="24"/>
        </w:rPr>
        <w:t>本合同使用中文书写、解释和</w:t>
      </w:r>
      <w:r>
        <w:rPr>
          <w:rFonts w:hint="eastAsia"/>
          <w:bCs/>
          <w:color w:val="auto"/>
          <w:spacing w:val="2"/>
          <w:sz w:val="24"/>
          <w:szCs w:val="24"/>
        </w:rPr>
        <w:t>说</w:t>
      </w:r>
      <w:r>
        <w:rPr>
          <w:rFonts w:hint="eastAsia"/>
          <w:bCs/>
          <w:color w:val="auto"/>
          <w:spacing w:val="4"/>
          <w:sz w:val="24"/>
          <w:szCs w:val="24"/>
        </w:rPr>
        <w:t>明。如专用条件约定使用两种及以上语</w:t>
      </w:r>
      <w:r>
        <w:rPr>
          <w:rFonts w:hint="eastAsia"/>
          <w:bCs/>
          <w:color w:val="auto"/>
          <w:spacing w:val="20"/>
          <w:sz w:val="24"/>
          <w:szCs w:val="24"/>
        </w:rPr>
        <w:t>言文字时，应以中文为准。</w:t>
      </w:r>
    </w:p>
    <w:p>
      <w:pPr>
        <w:spacing w:line="560" w:lineRule="exact"/>
        <w:ind w:firstLine="560" w:firstLineChars="200"/>
        <w:rPr>
          <w:bCs/>
          <w:color w:val="auto"/>
          <w:spacing w:val="20"/>
          <w:sz w:val="24"/>
          <w:szCs w:val="24"/>
        </w:rPr>
      </w:pPr>
      <w:r>
        <w:rPr>
          <w:rFonts w:hint="eastAsia"/>
          <w:bCs/>
          <w:color w:val="auto"/>
          <w:spacing w:val="20"/>
          <w:sz w:val="24"/>
          <w:szCs w:val="24"/>
        </w:rPr>
        <w:t>1.3合同文件的优先顺序</w:t>
      </w:r>
    </w:p>
    <w:p>
      <w:pPr>
        <w:spacing w:line="560" w:lineRule="exact"/>
        <w:ind w:firstLine="560" w:firstLineChars="200"/>
        <w:rPr>
          <w:bCs/>
          <w:color w:val="auto"/>
          <w:spacing w:val="20"/>
          <w:sz w:val="24"/>
          <w:szCs w:val="24"/>
        </w:rPr>
      </w:pPr>
      <w:r>
        <w:rPr>
          <w:rFonts w:hint="eastAsia"/>
          <w:bCs/>
          <w:color w:val="auto"/>
          <w:spacing w:val="20"/>
          <w:sz w:val="24"/>
          <w:szCs w:val="24"/>
        </w:rPr>
        <w:t>组成本合同的下列文件彼此应能相互解释、互为说明。除专用条件另有约定外，本合同文件的解释顺序如下：</w:t>
      </w:r>
    </w:p>
    <w:p>
      <w:pPr>
        <w:spacing w:before="40" w:line="560" w:lineRule="exact"/>
        <w:ind w:firstLine="610" w:firstLineChars="218"/>
        <w:rPr>
          <w:bCs/>
          <w:color w:val="auto"/>
          <w:spacing w:val="20"/>
          <w:sz w:val="24"/>
          <w:szCs w:val="24"/>
        </w:rPr>
      </w:pPr>
      <w:r>
        <w:rPr>
          <w:rFonts w:hint="eastAsia"/>
          <w:bCs/>
          <w:color w:val="auto"/>
          <w:spacing w:val="20"/>
          <w:sz w:val="24"/>
          <w:szCs w:val="24"/>
        </w:rPr>
        <w:t>1.协议书</w:t>
      </w:r>
    </w:p>
    <w:p>
      <w:pPr>
        <w:spacing w:before="38" w:line="560" w:lineRule="exact"/>
        <w:ind w:firstLine="610" w:firstLineChars="218"/>
        <w:rPr>
          <w:bCs/>
          <w:color w:val="auto"/>
          <w:spacing w:val="20"/>
          <w:sz w:val="24"/>
          <w:szCs w:val="24"/>
        </w:rPr>
      </w:pPr>
      <w:r>
        <w:rPr>
          <w:rFonts w:hint="eastAsia"/>
          <w:bCs/>
          <w:color w:val="auto"/>
          <w:spacing w:val="20"/>
          <w:sz w:val="24"/>
          <w:szCs w:val="24"/>
        </w:rPr>
        <w:t>2.中标通知书或委托书（如果有）；</w:t>
      </w:r>
    </w:p>
    <w:p>
      <w:pPr>
        <w:spacing w:line="560" w:lineRule="exact"/>
        <w:ind w:firstLine="610" w:firstLineChars="218"/>
        <w:rPr>
          <w:bCs/>
          <w:color w:val="auto"/>
          <w:spacing w:val="20"/>
          <w:sz w:val="24"/>
          <w:szCs w:val="24"/>
        </w:rPr>
      </w:pPr>
      <w:r>
        <w:rPr>
          <w:rFonts w:hint="eastAsia"/>
          <w:bCs/>
          <w:color w:val="auto"/>
          <w:spacing w:val="20"/>
          <w:sz w:val="24"/>
          <w:szCs w:val="24"/>
        </w:rPr>
        <w:t>3.专用条件及附录；</w:t>
      </w:r>
    </w:p>
    <w:p>
      <w:pPr>
        <w:spacing w:line="560" w:lineRule="exact"/>
        <w:ind w:firstLine="610" w:firstLineChars="218"/>
        <w:rPr>
          <w:bCs/>
          <w:color w:val="auto"/>
          <w:spacing w:val="20"/>
          <w:sz w:val="24"/>
          <w:szCs w:val="24"/>
        </w:rPr>
      </w:pPr>
      <w:r>
        <w:rPr>
          <w:rFonts w:hint="eastAsia"/>
          <w:bCs/>
          <w:color w:val="auto"/>
          <w:spacing w:val="20"/>
          <w:sz w:val="24"/>
          <w:szCs w:val="24"/>
        </w:rPr>
        <w:t>4.通用条件；</w:t>
      </w:r>
    </w:p>
    <w:p>
      <w:pPr>
        <w:spacing w:line="560" w:lineRule="exact"/>
        <w:ind w:firstLine="610" w:firstLineChars="218"/>
        <w:rPr>
          <w:bCs/>
          <w:color w:val="auto"/>
          <w:spacing w:val="20"/>
          <w:sz w:val="24"/>
          <w:szCs w:val="24"/>
        </w:rPr>
      </w:pPr>
      <w:r>
        <w:rPr>
          <w:rFonts w:hint="eastAsia"/>
          <w:bCs/>
          <w:color w:val="auto"/>
          <w:spacing w:val="20"/>
          <w:sz w:val="24"/>
          <w:szCs w:val="24"/>
        </w:rPr>
        <w:t>5.投标函及投标函附录或造价咨询服务建议书（如果有）；</w:t>
      </w:r>
    </w:p>
    <w:p>
      <w:pPr>
        <w:spacing w:line="560" w:lineRule="exact"/>
        <w:ind w:firstLine="610" w:firstLineChars="218"/>
        <w:rPr>
          <w:bCs/>
          <w:color w:val="auto"/>
          <w:spacing w:val="20"/>
          <w:sz w:val="24"/>
          <w:szCs w:val="24"/>
        </w:rPr>
      </w:pPr>
      <w:r>
        <w:rPr>
          <w:rFonts w:hint="eastAsia"/>
          <w:bCs/>
          <w:color w:val="auto"/>
          <w:spacing w:val="20"/>
          <w:sz w:val="24"/>
          <w:szCs w:val="24"/>
        </w:rPr>
        <w:t>6.其他合同文件。</w:t>
      </w:r>
    </w:p>
    <w:p>
      <w:pPr>
        <w:spacing w:line="560" w:lineRule="exact"/>
        <w:ind w:hanging="12"/>
        <w:rPr>
          <w:bCs/>
          <w:color w:val="auto"/>
          <w:spacing w:val="20"/>
          <w:sz w:val="24"/>
          <w:szCs w:val="24"/>
        </w:rPr>
      </w:pPr>
      <w:r>
        <w:rPr>
          <w:rFonts w:hint="eastAsia"/>
          <w:bCs/>
          <w:color w:val="auto"/>
          <w:spacing w:val="20"/>
          <w:sz w:val="24"/>
          <w:szCs w:val="24"/>
        </w:rPr>
        <w:t>上述各项合同文件包括合同当事人就该项合同文件所作出的补充和修改，属于同一类内容的文件，应以最新签署的为准。</w:t>
      </w:r>
    </w:p>
    <w:p>
      <w:pPr>
        <w:spacing w:before="38" w:line="560" w:lineRule="exact"/>
        <w:ind w:left="628" w:leftChars="228" w:hanging="126" w:hangingChars="45"/>
        <w:rPr>
          <w:bCs/>
          <w:color w:val="auto"/>
          <w:spacing w:val="20"/>
          <w:sz w:val="24"/>
          <w:szCs w:val="24"/>
        </w:rPr>
      </w:pPr>
      <w:r>
        <w:rPr>
          <w:rFonts w:hint="eastAsia"/>
          <w:bCs/>
          <w:color w:val="auto"/>
          <w:spacing w:val="20"/>
          <w:sz w:val="24"/>
          <w:szCs w:val="24"/>
        </w:rPr>
        <w:t>在合同订立及履行过程中形成的与合同有关的文件均构成合同文件的组成部分。</w:t>
      </w:r>
    </w:p>
    <w:p>
      <w:pPr>
        <w:spacing w:line="560" w:lineRule="exact"/>
        <w:ind w:firstLine="560" w:firstLineChars="200"/>
        <w:rPr>
          <w:bCs/>
          <w:color w:val="auto"/>
          <w:spacing w:val="20"/>
          <w:sz w:val="24"/>
          <w:szCs w:val="24"/>
        </w:rPr>
      </w:pPr>
      <w:r>
        <w:rPr>
          <w:rFonts w:hint="eastAsia"/>
          <w:bCs/>
          <w:color w:val="auto"/>
          <w:spacing w:val="20"/>
          <w:sz w:val="24"/>
          <w:szCs w:val="24"/>
        </w:rPr>
        <w:t>1.4适用法律</w:t>
      </w:r>
    </w:p>
    <w:p>
      <w:pPr>
        <w:spacing w:line="560" w:lineRule="exact"/>
        <w:ind w:firstLine="560" w:firstLineChars="200"/>
        <w:rPr>
          <w:bCs/>
          <w:color w:val="auto"/>
          <w:spacing w:val="20"/>
          <w:sz w:val="24"/>
          <w:szCs w:val="24"/>
        </w:rPr>
      </w:pPr>
      <w:bookmarkStart w:id="198" w:name="_bookmark8"/>
      <w:bookmarkEnd w:id="198"/>
      <w:r>
        <w:rPr>
          <w:rFonts w:hint="eastAsia"/>
          <w:bCs/>
          <w:color w:val="auto"/>
          <w:spacing w:val="20"/>
          <w:sz w:val="24"/>
          <w:szCs w:val="24"/>
        </w:rPr>
        <w:t>本合同适用中华人民共和国法律、行政法规、部门规章以及工程所在地的地方性法规、自治条例、单行条例和地方政府规章等。</w:t>
      </w:r>
    </w:p>
    <w:p>
      <w:pPr>
        <w:spacing w:line="560" w:lineRule="exact"/>
        <w:ind w:left="-20" w:leftChars="-9" w:firstLine="543" w:firstLineChars="194"/>
        <w:rPr>
          <w:bCs/>
          <w:color w:val="auto"/>
          <w:spacing w:val="20"/>
          <w:sz w:val="24"/>
          <w:szCs w:val="24"/>
        </w:rPr>
      </w:pPr>
      <w:r>
        <w:rPr>
          <w:rFonts w:hint="eastAsia"/>
          <w:bCs/>
          <w:color w:val="auto"/>
          <w:spacing w:val="20"/>
          <w:sz w:val="24"/>
          <w:szCs w:val="24"/>
        </w:rPr>
        <w:t>合同当事人可以在专用条件中约定本合同适用的其他规范、规程、定额、技术标准等规范性文件。</w:t>
      </w:r>
    </w:p>
    <w:p>
      <w:pPr>
        <w:spacing w:line="560" w:lineRule="exact"/>
        <w:ind w:left="600"/>
        <w:rPr>
          <w:bCs/>
          <w:color w:val="auto"/>
          <w:sz w:val="24"/>
          <w:szCs w:val="24"/>
        </w:rPr>
      </w:pPr>
      <w:r>
        <w:rPr>
          <w:rFonts w:hint="eastAsia"/>
          <w:bCs/>
          <w:color w:val="auto"/>
          <w:sz w:val="24"/>
          <w:szCs w:val="24"/>
        </w:rPr>
        <w:t>2.委</w:t>
      </w:r>
      <w:r>
        <w:rPr>
          <w:rFonts w:hint="eastAsia"/>
          <w:bCs/>
          <w:color w:val="auto"/>
          <w:spacing w:val="2"/>
          <w:sz w:val="24"/>
          <w:szCs w:val="24"/>
        </w:rPr>
        <w:t>托</w:t>
      </w:r>
      <w:r>
        <w:rPr>
          <w:rFonts w:hint="eastAsia"/>
          <w:bCs/>
          <w:color w:val="auto"/>
          <w:sz w:val="24"/>
          <w:szCs w:val="24"/>
        </w:rPr>
        <w:t>人的</w:t>
      </w:r>
      <w:r>
        <w:rPr>
          <w:rFonts w:hint="eastAsia"/>
          <w:bCs/>
          <w:color w:val="auto"/>
          <w:spacing w:val="2"/>
          <w:sz w:val="24"/>
          <w:szCs w:val="24"/>
        </w:rPr>
        <w:t>义</w:t>
      </w:r>
      <w:r>
        <w:rPr>
          <w:rFonts w:hint="eastAsia"/>
          <w:bCs/>
          <w:color w:val="auto"/>
          <w:sz w:val="24"/>
          <w:szCs w:val="24"/>
        </w:rPr>
        <w:t>务</w:t>
      </w:r>
    </w:p>
    <w:p>
      <w:pPr>
        <w:spacing w:line="560" w:lineRule="exact"/>
        <w:ind w:firstLine="700" w:firstLineChars="250"/>
        <w:rPr>
          <w:bCs/>
          <w:color w:val="auto"/>
          <w:spacing w:val="20"/>
          <w:sz w:val="24"/>
          <w:szCs w:val="24"/>
        </w:rPr>
      </w:pPr>
      <w:r>
        <w:rPr>
          <w:rFonts w:hint="eastAsia"/>
          <w:bCs/>
          <w:color w:val="auto"/>
          <w:spacing w:val="20"/>
          <w:sz w:val="24"/>
          <w:szCs w:val="24"/>
        </w:rPr>
        <w:t>2.1提供资料</w:t>
      </w:r>
    </w:p>
    <w:p>
      <w:pPr>
        <w:spacing w:line="560" w:lineRule="exact"/>
        <w:ind w:left="120" w:firstLine="480"/>
        <w:rPr>
          <w:bCs/>
          <w:color w:val="auto"/>
          <w:spacing w:val="20"/>
          <w:sz w:val="24"/>
          <w:szCs w:val="24"/>
        </w:rPr>
      </w:pPr>
      <w:r>
        <w:rPr>
          <w:rFonts w:hint="eastAsia"/>
          <w:bCs/>
          <w:color w:val="auto"/>
          <w:spacing w:val="20"/>
          <w:sz w:val="24"/>
          <w:szCs w:val="24"/>
        </w:rPr>
        <w:t>委托人应当在专用条件约定的时间内，按照附录C的约定无偿向咨询人提供与本合同咨询业务有关的资料。在本合同履行过程中，委托人应及时向咨询人提供最新的与本合同咨询业务有关的资料。委托人应对所提供资料的真实</w:t>
      </w:r>
    </w:p>
    <w:p>
      <w:pPr>
        <w:spacing w:line="560" w:lineRule="exact"/>
        <w:ind w:firstLine="140" w:firstLineChars="50"/>
        <w:rPr>
          <w:bCs/>
          <w:color w:val="auto"/>
          <w:spacing w:val="20"/>
          <w:sz w:val="24"/>
          <w:szCs w:val="24"/>
        </w:rPr>
      </w:pPr>
      <w:r>
        <w:rPr>
          <w:rFonts w:hint="eastAsia"/>
          <w:bCs/>
          <w:color w:val="auto"/>
          <w:spacing w:val="20"/>
          <w:sz w:val="24"/>
          <w:szCs w:val="24"/>
        </w:rPr>
        <w:t>性、准确性、合法性与完整性负责。</w:t>
      </w:r>
    </w:p>
    <w:p>
      <w:pPr>
        <w:spacing w:before="95" w:line="560" w:lineRule="exact"/>
        <w:ind w:left="885" w:leftChars="275" w:hanging="280" w:hangingChars="100"/>
        <w:rPr>
          <w:bCs/>
          <w:color w:val="auto"/>
          <w:spacing w:val="20"/>
          <w:sz w:val="24"/>
          <w:szCs w:val="24"/>
        </w:rPr>
      </w:pPr>
      <w:r>
        <w:rPr>
          <w:rFonts w:hint="eastAsia"/>
          <w:bCs/>
          <w:color w:val="auto"/>
          <w:spacing w:val="20"/>
          <w:sz w:val="24"/>
          <w:szCs w:val="24"/>
        </w:rPr>
        <w:t>2.2提供工作条件</w:t>
      </w:r>
    </w:p>
    <w:p>
      <w:pPr>
        <w:spacing w:before="95" w:line="560" w:lineRule="exact"/>
        <w:ind w:left="885" w:leftChars="275" w:hanging="280" w:hangingChars="100"/>
        <w:rPr>
          <w:bCs/>
          <w:color w:val="auto"/>
          <w:spacing w:val="20"/>
          <w:sz w:val="24"/>
          <w:szCs w:val="24"/>
        </w:rPr>
      </w:pPr>
      <w:r>
        <w:rPr>
          <w:rFonts w:hint="eastAsia"/>
          <w:bCs/>
          <w:color w:val="auto"/>
          <w:spacing w:val="20"/>
          <w:sz w:val="24"/>
          <w:szCs w:val="24"/>
        </w:rPr>
        <w:t>委托人应为咨询人完成造价咨询提供必要的条件。</w:t>
      </w:r>
    </w:p>
    <w:p>
      <w:pPr>
        <w:spacing w:before="36" w:line="560" w:lineRule="exact"/>
        <w:ind w:left="120" w:firstLine="480"/>
        <w:rPr>
          <w:bCs/>
          <w:color w:val="auto"/>
          <w:spacing w:val="20"/>
          <w:sz w:val="24"/>
          <w:szCs w:val="24"/>
        </w:rPr>
      </w:pPr>
      <w:r>
        <w:rPr>
          <w:rFonts w:hint="eastAsia"/>
          <w:bCs/>
          <w:color w:val="auto"/>
          <w:spacing w:val="20"/>
          <w:sz w:val="24"/>
          <w:szCs w:val="24"/>
        </w:rPr>
        <w:t>2.2.1委托人需要咨询人派驻项目现场咨询人员的，除专用条件另有约定外，项目咨询人员有权无偿使用附录D中由委托人提供的房屋及设备。</w:t>
      </w:r>
    </w:p>
    <w:p>
      <w:pPr>
        <w:spacing w:before="36" w:line="560" w:lineRule="exact"/>
        <w:ind w:left="120" w:firstLine="480"/>
        <w:rPr>
          <w:bCs/>
          <w:color w:val="auto"/>
          <w:spacing w:val="20"/>
          <w:sz w:val="24"/>
          <w:szCs w:val="24"/>
        </w:rPr>
      </w:pPr>
      <w:r>
        <w:rPr>
          <w:rFonts w:hint="eastAsia"/>
          <w:bCs/>
          <w:color w:val="auto"/>
          <w:spacing w:val="20"/>
          <w:sz w:val="24"/>
          <w:szCs w:val="24"/>
        </w:rPr>
        <w:t>2.2.2委托人应负责与本工程造价咨询业务有关的所有外部关系的协调，为咨询人履行本合同提供必要的外部条件。</w:t>
      </w:r>
    </w:p>
    <w:p>
      <w:pPr>
        <w:spacing w:before="98" w:line="560" w:lineRule="exact"/>
        <w:ind w:firstLine="700" w:firstLineChars="250"/>
        <w:rPr>
          <w:bCs/>
          <w:color w:val="auto"/>
          <w:spacing w:val="20"/>
          <w:sz w:val="24"/>
          <w:szCs w:val="24"/>
        </w:rPr>
      </w:pPr>
      <w:r>
        <w:rPr>
          <w:rFonts w:hint="eastAsia"/>
          <w:bCs/>
          <w:color w:val="auto"/>
          <w:spacing w:val="20"/>
          <w:sz w:val="24"/>
          <w:szCs w:val="24"/>
        </w:rPr>
        <w:t>2.3合理工作时限</w:t>
      </w:r>
    </w:p>
    <w:p>
      <w:pPr>
        <w:spacing w:before="98" w:line="560" w:lineRule="exact"/>
        <w:ind w:firstLine="700" w:firstLineChars="250"/>
        <w:rPr>
          <w:bCs/>
          <w:color w:val="auto"/>
          <w:spacing w:val="20"/>
          <w:sz w:val="24"/>
          <w:szCs w:val="24"/>
        </w:rPr>
      </w:pPr>
      <w:r>
        <w:rPr>
          <w:rFonts w:hint="eastAsia"/>
          <w:bCs/>
          <w:color w:val="auto"/>
          <w:spacing w:val="20"/>
          <w:sz w:val="24"/>
          <w:szCs w:val="24"/>
        </w:rPr>
        <w:t>委托人应当为咨询人完成其咨询工作，设定合理的工作时限。</w:t>
      </w:r>
    </w:p>
    <w:p>
      <w:pPr>
        <w:spacing w:before="98" w:line="560" w:lineRule="exact"/>
        <w:ind w:firstLine="700" w:firstLineChars="250"/>
        <w:rPr>
          <w:bCs/>
          <w:color w:val="auto"/>
          <w:spacing w:val="20"/>
          <w:sz w:val="24"/>
          <w:szCs w:val="24"/>
        </w:rPr>
      </w:pPr>
      <w:r>
        <w:rPr>
          <w:rFonts w:hint="eastAsia"/>
          <w:bCs/>
          <w:color w:val="auto"/>
          <w:spacing w:val="20"/>
          <w:sz w:val="24"/>
          <w:szCs w:val="24"/>
        </w:rPr>
        <w:t>2.4委托人代表</w:t>
      </w:r>
    </w:p>
    <w:p>
      <w:pPr>
        <w:spacing w:before="13" w:line="560" w:lineRule="exact"/>
        <w:ind w:left="120" w:firstLine="480"/>
        <w:rPr>
          <w:bCs/>
          <w:color w:val="auto"/>
          <w:spacing w:val="20"/>
          <w:sz w:val="24"/>
          <w:szCs w:val="24"/>
        </w:rPr>
      </w:pPr>
      <w:r>
        <w:rPr>
          <w:rFonts w:hint="eastAsia"/>
          <w:bCs/>
          <w:color w:val="auto"/>
          <w:spacing w:val="20"/>
          <w:sz w:val="24"/>
          <w:szCs w:val="24"/>
        </w:rPr>
        <w:t>委托人应授权一名代表负责本合同的履行。委托人应在双方签订本合同7 日内，将委托人代表的姓名和权限范围书面告知咨询人。委托人更换委托人代表时，应提前7日书面通知咨询人。</w:t>
      </w:r>
    </w:p>
    <w:p>
      <w:pPr>
        <w:tabs>
          <w:tab w:val="left" w:pos="1020"/>
        </w:tabs>
        <w:spacing w:before="94" w:line="560" w:lineRule="exact"/>
        <w:ind w:firstLine="700" w:firstLineChars="250"/>
        <w:rPr>
          <w:bCs/>
          <w:color w:val="auto"/>
          <w:spacing w:val="20"/>
          <w:sz w:val="24"/>
          <w:szCs w:val="24"/>
        </w:rPr>
      </w:pPr>
      <w:r>
        <w:rPr>
          <w:rFonts w:hint="eastAsia"/>
          <w:bCs/>
          <w:color w:val="auto"/>
          <w:spacing w:val="20"/>
          <w:sz w:val="24"/>
          <w:szCs w:val="24"/>
        </w:rPr>
        <w:t>2.5答复</w:t>
      </w:r>
    </w:p>
    <w:p>
      <w:pPr>
        <w:tabs>
          <w:tab w:val="left" w:pos="1020"/>
        </w:tabs>
        <w:spacing w:before="94" w:line="560" w:lineRule="exact"/>
        <w:ind w:firstLine="700" w:firstLineChars="250"/>
        <w:rPr>
          <w:bCs/>
          <w:color w:val="auto"/>
          <w:spacing w:val="20"/>
          <w:sz w:val="24"/>
          <w:szCs w:val="24"/>
        </w:rPr>
      </w:pPr>
      <w:r>
        <w:rPr>
          <w:rFonts w:hint="eastAsia"/>
          <w:bCs/>
          <w:color w:val="auto"/>
          <w:spacing w:val="20"/>
          <w:sz w:val="24"/>
          <w:szCs w:val="24"/>
        </w:rPr>
        <w:t>委托人应当在专用条件约定的时间内就咨询人以书面形式提交并要求做出答复的事宜给予书面答复。逾期未答复的，由此造成的工作延误和损失由委托人承担。</w:t>
      </w:r>
    </w:p>
    <w:p>
      <w:pPr>
        <w:tabs>
          <w:tab w:val="left" w:pos="1020"/>
        </w:tabs>
        <w:spacing w:before="94" w:line="560" w:lineRule="exact"/>
        <w:ind w:firstLine="560" w:firstLineChars="200"/>
        <w:rPr>
          <w:bCs/>
          <w:color w:val="auto"/>
          <w:spacing w:val="20"/>
          <w:sz w:val="24"/>
          <w:szCs w:val="24"/>
        </w:rPr>
      </w:pPr>
      <w:r>
        <w:rPr>
          <w:rFonts w:hint="eastAsia"/>
          <w:bCs/>
          <w:color w:val="auto"/>
          <w:spacing w:val="20"/>
          <w:sz w:val="24"/>
          <w:szCs w:val="24"/>
        </w:rPr>
        <w:t>2.6支付</w:t>
      </w:r>
    </w:p>
    <w:p>
      <w:pPr>
        <w:tabs>
          <w:tab w:val="left" w:pos="1020"/>
        </w:tabs>
        <w:spacing w:before="94" w:line="560" w:lineRule="exact"/>
        <w:rPr>
          <w:bCs/>
          <w:color w:val="auto"/>
          <w:spacing w:val="20"/>
          <w:sz w:val="24"/>
          <w:szCs w:val="24"/>
        </w:rPr>
      </w:pPr>
      <w:r>
        <w:rPr>
          <w:rFonts w:hint="eastAsia"/>
          <w:bCs/>
          <w:color w:val="auto"/>
          <w:spacing w:val="20"/>
          <w:sz w:val="24"/>
          <w:szCs w:val="24"/>
        </w:rPr>
        <w:t>委托人应当按照合同的约定，向咨询人支付酬金。</w:t>
      </w:r>
    </w:p>
    <w:p>
      <w:pPr>
        <w:tabs>
          <w:tab w:val="left" w:pos="1020"/>
        </w:tabs>
        <w:spacing w:before="94" w:line="560" w:lineRule="exact"/>
        <w:rPr>
          <w:bCs/>
          <w:color w:val="auto"/>
          <w:spacing w:val="20"/>
          <w:sz w:val="24"/>
          <w:szCs w:val="24"/>
        </w:rPr>
      </w:pPr>
      <w:r>
        <w:rPr>
          <w:rFonts w:hint="eastAsia"/>
          <w:bCs/>
          <w:color w:val="auto"/>
          <w:spacing w:val="20"/>
          <w:sz w:val="24"/>
          <w:szCs w:val="24"/>
        </w:rPr>
        <w:t>3.咨</w:t>
      </w:r>
      <w:r>
        <w:rPr>
          <w:rFonts w:hint="eastAsia"/>
          <w:bCs/>
          <w:color w:val="auto"/>
          <w:spacing w:val="2"/>
          <w:sz w:val="24"/>
          <w:szCs w:val="24"/>
        </w:rPr>
        <w:t>询</w:t>
      </w:r>
      <w:r>
        <w:rPr>
          <w:rFonts w:hint="eastAsia"/>
          <w:bCs/>
          <w:color w:val="auto"/>
          <w:spacing w:val="20"/>
          <w:sz w:val="24"/>
          <w:szCs w:val="24"/>
        </w:rPr>
        <w:t>人</w:t>
      </w:r>
      <w:r>
        <w:rPr>
          <w:rFonts w:hint="eastAsia"/>
          <w:bCs/>
          <w:color w:val="auto"/>
          <w:spacing w:val="2"/>
          <w:sz w:val="24"/>
          <w:szCs w:val="24"/>
        </w:rPr>
        <w:t>的</w:t>
      </w:r>
      <w:r>
        <w:rPr>
          <w:rFonts w:hint="eastAsia"/>
          <w:bCs/>
          <w:color w:val="auto"/>
          <w:spacing w:val="20"/>
          <w:sz w:val="24"/>
          <w:szCs w:val="24"/>
        </w:rPr>
        <w:t>义务</w:t>
      </w:r>
    </w:p>
    <w:p>
      <w:pPr>
        <w:spacing w:line="560" w:lineRule="exact"/>
        <w:rPr>
          <w:bCs/>
          <w:color w:val="auto"/>
          <w:spacing w:val="20"/>
          <w:sz w:val="24"/>
          <w:szCs w:val="24"/>
        </w:rPr>
      </w:pPr>
      <w:bookmarkStart w:id="199" w:name="_bookmark9"/>
      <w:bookmarkEnd w:id="199"/>
      <w:r>
        <w:rPr>
          <w:rFonts w:hint="eastAsia"/>
          <w:bCs/>
          <w:color w:val="auto"/>
          <w:spacing w:val="20"/>
          <w:sz w:val="24"/>
          <w:szCs w:val="24"/>
        </w:rPr>
        <w:t>3.1 项目咨询团队及人员</w:t>
      </w:r>
    </w:p>
    <w:p>
      <w:pPr>
        <w:spacing w:line="560" w:lineRule="exact"/>
        <w:ind w:left="120" w:firstLine="480"/>
        <w:rPr>
          <w:bCs/>
          <w:color w:val="auto"/>
          <w:spacing w:val="20"/>
          <w:sz w:val="24"/>
          <w:szCs w:val="24"/>
        </w:rPr>
      </w:pPr>
      <w:r>
        <w:rPr>
          <w:rFonts w:hint="eastAsia"/>
          <w:bCs/>
          <w:color w:val="auto"/>
          <w:spacing w:val="20"/>
          <w:sz w:val="24"/>
          <w:szCs w:val="24"/>
        </w:rPr>
        <w:t>3.1.1项目咨询团队的主要人员应具有专用条件约定的资格条件，团队人员的数量应符合专用条件的约定。</w:t>
      </w:r>
    </w:p>
    <w:p>
      <w:pPr>
        <w:spacing w:before="38" w:line="560" w:lineRule="exact"/>
        <w:ind w:firstLine="700" w:firstLineChars="250"/>
        <w:rPr>
          <w:bCs/>
          <w:color w:val="auto"/>
          <w:spacing w:val="20"/>
          <w:sz w:val="24"/>
          <w:szCs w:val="24"/>
        </w:rPr>
      </w:pPr>
      <w:r>
        <w:rPr>
          <w:rFonts w:hint="eastAsia"/>
          <w:bCs/>
          <w:color w:val="auto"/>
          <w:spacing w:val="20"/>
          <w:sz w:val="24"/>
          <w:szCs w:val="24"/>
        </w:rPr>
        <w:t>3.1.2项目负责人</w:t>
      </w:r>
    </w:p>
    <w:p>
      <w:pPr>
        <w:spacing w:before="38" w:line="560" w:lineRule="exact"/>
        <w:ind w:left="601"/>
        <w:rPr>
          <w:bCs/>
          <w:color w:val="auto"/>
          <w:spacing w:val="20"/>
          <w:sz w:val="24"/>
          <w:szCs w:val="24"/>
        </w:rPr>
      </w:pPr>
      <w:r>
        <w:rPr>
          <w:rFonts w:hint="eastAsia"/>
          <w:bCs/>
          <w:color w:val="auto"/>
          <w:spacing w:val="4"/>
          <w:sz w:val="24"/>
          <w:szCs w:val="24"/>
        </w:rPr>
        <w:t>咨询人应以书面形式授权一名</w:t>
      </w:r>
      <w:r>
        <w:rPr>
          <w:rFonts w:hint="eastAsia"/>
          <w:bCs/>
          <w:color w:val="auto"/>
          <w:spacing w:val="2"/>
          <w:sz w:val="24"/>
          <w:szCs w:val="24"/>
        </w:rPr>
        <w:t>项</w:t>
      </w:r>
      <w:r>
        <w:rPr>
          <w:rFonts w:hint="eastAsia"/>
          <w:bCs/>
          <w:color w:val="auto"/>
          <w:spacing w:val="4"/>
          <w:sz w:val="24"/>
          <w:szCs w:val="24"/>
        </w:rPr>
        <w:t>目负责人负责履行本合同、主持项目咨</w:t>
      </w:r>
      <w:r>
        <w:rPr>
          <w:rFonts w:hint="eastAsia"/>
          <w:bCs/>
          <w:color w:val="auto"/>
          <w:spacing w:val="20"/>
          <w:sz w:val="24"/>
          <w:szCs w:val="24"/>
        </w:rPr>
        <w:t>询</w:t>
      </w:r>
    </w:p>
    <w:p>
      <w:pPr>
        <w:spacing w:line="560" w:lineRule="exact"/>
        <w:ind w:left="119"/>
        <w:rPr>
          <w:bCs/>
          <w:color w:val="auto"/>
          <w:spacing w:val="20"/>
          <w:sz w:val="24"/>
          <w:szCs w:val="24"/>
        </w:rPr>
      </w:pPr>
      <w:r>
        <w:rPr>
          <w:rFonts w:hint="eastAsia"/>
          <w:bCs/>
          <w:color w:val="auto"/>
          <w:spacing w:val="4"/>
          <w:sz w:val="24"/>
          <w:szCs w:val="24"/>
        </w:rPr>
        <w:t>团队工</w:t>
      </w:r>
      <w:r>
        <w:rPr>
          <w:rFonts w:hint="eastAsia"/>
          <w:bCs/>
          <w:color w:val="auto"/>
          <w:spacing w:val="2"/>
          <w:sz w:val="24"/>
          <w:szCs w:val="24"/>
        </w:rPr>
        <w:t>作</w:t>
      </w:r>
      <w:r>
        <w:rPr>
          <w:rFonts w:hint="eastAsia"/>
          <w:bCs/>
          <w:color w:val="auto"/>
          <w:spacing w:val="4"/>
          <w:sz w:val="24"/>
          <w:szCs w:val="24"/>
        </w:rPr>
        <w:t>。采用招标</w:t>
      </w:r>
      <w:r>
        <w:rPr>
          <w:rFonts w:hint="eastAsia"/>
          <w:bCs/>
          <w:color w:val="auto"/>
          <w:spacing w:val="2"/>
          <w:sz w:val="24"/>
          <w:szCs w:val="24"/>
        </w:rPr>
        <w:t>程</w:t>
      </w:r>
      <w:r>
        <w:rPr>
          <w:rFonts w:hint="eastAsia"/>
          <w:bCs/>
          <w:color w:val="auto"/>
          <w:spacing w:val="4"/>
          <w:sz w:val="24"/>
          <w:szCs w:val="24"/>
        </w:rPr>
        <w:t>序签署本合</w:t>
      </w:r>
      <w:r>
        <w:rPr>
          <w:rFonts w:hint="eastAsia"/>
          <w:bCs/>
          <w:color w:val="auto"/>
          <w:spacing w:val="2"/>
          <w:sz w:val="24"/>
          <w:szCs w:val="24"/>
        </w:rPr>
        <w:t>同</w:t>
      </w:r>
      <w:r>
        <w:rPr>
          <w:rFonts w:hint="eastAsia"/>
          <w:bCs/>
          <w:color w:val="auto"/>
          <w:spacing w:val="4"/>
          <w:sz w:val="24"/>
          <w:szCs w:val="24"/>
        </w:rPr>
        <w:t>的，项目负责</w:t>
      </w:r>
      <w:r>
        <w:rPr>
          <w:rFonts w:hint="eastAsia"/>
          <w:bCs/>
          <w:color w:val="auto"/>
          <w:spacing w:val="2"/>
          <w:sz w:val="24"/>
          <w:szCs w:val="24"/>
        </w:rPr>
        <w:t>人</w:t>
      </w:r>
      <w:r>
        <w:rPr>
          <w:rFonts w:hint="eastAsia"/>
          <w:bCs/>
          <w:color w:val="auto"/>
          <w:spacing w:val="4"/>
          <w:sz w:val="24"/>
          <w:szCs w:val="24"/>
        </w:rPr>
        <w:t>应当与投标</w:t>
      </w:r>
      <w:r>
        <w:rPr>
          <w:rFonts w:hint="eastAsia"/>
          <w:bCs/>
          <w:color w:val="auto"/>
          <w:spacing w:val="2"/>
          <w:sz w:val="24"/>
          <w:szCs w:val="24"/>
        </w:rPr>
        <w:t>文</w:t>
      </w:r>
      <w:r>
        <w:rPr>
          <w:rFonts w:hint="eastAsia"/>
          <w:bCs/>
          <w:color w:val="auto"/>
          <w:spacing w:val="4"/>
          <w:sz w:val="24"/>
          <w:szCs w:val="24"/>
        </w:rPr>
        <w:t>件载明的</w:t>
      </w:r>
      <w:r>
        <w:rPr>
          <w:rFonts w:hint="eastAsia"/>
          <w:bCs/>
          <w:color w:val="auto"/>
          <w:spacing w:val="20"/>
          <w:sz w:val="24"/>
          <w:szCs w:val="24"/>
        </w:rPr>
        <w:t>一致。</w:t>
      </w:r>
    </w:p>
    <w:p>
      <w:pPr>
        <w:spacing w:before="34" w:line="560" w:lineRule="exact"/>
        <w:ind w:left="120" w:firstLine="480"/>
        <w:rPr>
          <w:bCs/>
          <w:color w:val="auto"/>
          <w:spacing w:val="20"/>
          <w:sz w:val="24"/>
          <w:szCs w:val="24"/>
        </w:rPr>
      </w:pPr>
      <w:r>
        <w:rPr>
          <w:rFonts w:hint="eastAsia"/>
          <w:bCs/>
          <w:color w:val="auto"/>
          <w:spacing w:val="20"/>
          <w:sz w:val="24"/>
          <w:szCs w:val="24"/>
        </w:rPr>
        <w:t>3.1.3</w:t>
      </w:r>
      <w:r>
        <w:rPr>
          <w:rFonts w:hint="eastAsia"/>
          <w:bCs/>
          <w:color w:val="auto"/>
          <w:spacing w:val="7"/>
          <w:sz w:val="24"/>
          <w:szCs w:val="24"/>
        </w:rPr>
        <w:t>在本合同履行过程中，咨询</w:t>
      </w:r>
      <w:r>
        <w:rPr>
          <w:rFonts w:hint="eastAsia"/>
          <w:bCs/>
          <w:color w:val="auto"/>
          <w:spacing w:val="4"/>
          <w:sz w:val="24"/>
          <w:szCs w:val="24"/>
        </w:rPr>
        <w:t>人</w:t>
      </w:r>
      <w:r>
        <w:rPr>
          <w:rFonts w:hint="eastAsia"/>
          <w:bCs/>
          <w:color w:val="auto"/>
          <w:spacing w:val="7"/>
          <w:sz w:val="24"/>
          <w:szCs w:val="24"/>
        </w:rPr>
        <w:t>员应保持相对稳定，以保证咨询工</w:t>
      </w:r>
      <w:r>
        <w:rPr>
          <w:rFonts w:hint="eastAsia"/>
          <w:bCs/>
          <w:color w:val="auto"/>
          <w:spacing w:val="20"/>
          <w:sz w:val="24"/>
          <w:szCs w:val="24"/>
        </w:rPr>
        <w:t>作正常进行。</w:t>
      </w:r>
    </w:p>
    <w:p>
      <w:pPr>
        <w:spacing w:before="38" w:line="560" w:lineRule="exact"/>
        <w:ind w:left="120" w:firstLine="480"/>
        <w:rPr>
          <w:bCs/>
          <w:color w:val="auto"/>
          <w:spacing w:val="20"/>
          <w:sz w:val="24"/>
          <w:szCs w:val="24"/>
        </w:rPr>
      </w:pPr>
      <w:r>
        <w:rPr>
          <w:rFonts w:hint="eastAsia"/>
          <w:bCs/>
          <w:color w:val="auto"/>
          <w:spacing w:val="4"/>
          <w:sz w:val="24"/>
          <w:szCs w:val="24"/>
        </w:rPr>
        <w:t>咨询人可根据工程进展和工作</w:t>
      </w:r>
      <w:r>
        <w:rPr>
          <w:rFonts w:hint="eastAsia"/>
          <w:bCs/>
          <w:color w:val="auto"/>
          <w:spacing w:val="2"/>
          <w:sz w:val="24"/>
          <w:szCs w:val="24"/>
        </w:rPr>
        <w:t>需</w:t>
      </w:r>
      <w:r>
        <w:rPr>
          <w:rFonts w:hint="eastAsia"/>
          <w:bCs/>
          <w:color w:val="auto"/>
          <w:spacing w:val="4"/>
          <w:sz w:val="24"/>
          <w:szCs w:val="24"/>
        </w:rPr>
        <w:t>要等情形调整项目咨询团队人员。咨询</w:t>
      </w:r>
      <w:r>
        <w:rPr>
          <w:rFonts w:hint="eastAsia"/>
          <w:bCs/>
          <w:color w:val="auto"/>
          <w:spacing w:val="20"/>
          <w:sz w:val="24"/>
          <w:szCs w:val="24"/>
        </w:rPr>
        <w:t>人</w:t>
      </w:r>
      <w:r>
        <w:rPr>
          <w:rFonts w:hint="eastAsia"/>
          <w:bCs/>
          <w:color w:val="auto"/>
          <w:spacing w:val="12"/>
          <w:sz w:val="24"/>
          <w:szCs w:val="24"/>
        </w:rPr>
        <w:t>更换项目负责人时，应提</w:t>
      </w:r>
      <w:r>
        <w:rPr>
          <w:rFonts w:hint="eastAsia"/>
          <w:bCs/>
          <w:color w:val="auto"/>
          <w:spacing w:val="20"/>
          <w:sz w:val="24"/>
          <w:szCs w:val="24"/>
        </w:rPr>
        <w:t>前7</w:t>
      </w:r>
      <w:r>
        <w:rPr>
          <w:rFonts w:hint="eastAsia"/>
          <w:bCs/>
          <w:color w:val="auto"/>
          <w:spacing w:val="12"/>
          <w:sz w:val="24"/>
          <w:szCs w:val="24"/>
        </w:rPr>
        <w:t>日向委托人书面报告，经委托人同意后方可</w:t>
      </w:r>
      <w:r>
        <w:rPr>
          <w:rFonts w:hint="eastAsia"/>
          <w:bCs/>
          <w:color w:val="auto"/>
          <w:spacing w:val="20"/>
          <w:sz w:val="24"/>
          <w:szCs w:val="24"/>
        </w:rPr>
        <w:t>更</w:t>
      </w:r>
      <w:r>
        <w:rPr>
          <w:rFonts w:hint="eastAsia"/>
          <w:bCs/>
          <w:color w:val="auto"/>
          <w:spacing w:val="4"/>
          <w:sz w:val="24"/>
          <w:szCs w:val="24"/>
        </w:rPr>
        <w:t>换。除</w:t>
      </w:r>
      <w:r>
        <w:rPr>
          <w:rFonts w:hint="eastAsia"/>
          <w:bCs/>
          <w:color w:val="auto"/>
          <w:spacing w:val="2"/>
          <w:sz w:val="24"/>
          <w:szCs w:val="24"/>
        </w:rPr>
        <w:t>专</w:t>
      </w:r>
      <w:r>
        <w:rPr>
          <w:rFonts w:hint="eastAsia"/>
          <w:bCs/>
          <w:color w:val="auto"/>
          <w:spacing w:val="4"/>
          <w:sz w:val="24"/>
          <w:szCs w:val="24"/>
        </w:rPr>
        <w:t>用条件另有</w:t>
      </w:r>
      <w:r>
        <w:rPr>
          <w:rFonts w:hint="eastAsia"/>
          <w:bCs/>
          <w:color w:val="auto"/>
          <w:spacing w:val="2"/>
          <w:sz w:val="24"/>
          <w:szCs w:val="24"/>
        </w:rPr>
        <w:t>约</w:t>
      </w:r>
      <w:r>
        <w:rPr>
          <w:rFonts w:hint="eastAsia"/>
          <w:bCs/>
          <w:color w:val="auto"/>
          <w:spacing w:val="4"/>
          <w:sz w:val="24"/>
          <w:szCs w:val="24"/>
        </w:rPr>
        <w:t>定外，咨询</w:t>
      </w:r>
      <w:r>
        <w:rPr>
          <w:rFonts w:hint="eastAsia"/>
          <w:bCs/>
          <w:color w:val="auto"/>
          <w:spacing w:val="2"/>
          <w:sz w:val="24"/>
          <w:szCs w:val="24"/>
        </w:rPr>
        <w:t>人</w:t>
      </w:r>
      <w:r>
        <w:rPr>
          <w:rFonts w:hint="eastAsia"/>
          <w:bCs/>
          <w:color w:val="auto"/>
          <w:spacing w:val="4"/>
          <w:sz w:val="24"/>
          <w:szCs w:val="24"/>
        </w:rPr>
        <w:t>更换项目咨询</w:t>
      </w:r>
      <w:r>
        <w:rPr>
          <w:rFonts w:hint="eastAsia"/>
          <w:bCs/>
          <w:color w:val="auto"/>
          <w:spacing w:val="2"/>
          <w:sz w:val="24"/>
          <w:szCs w:val="24"/>
        </w:rPr>
        <w:t>团</w:t>
      </w:r>
      <w:r>
        <w:rPr>
          <w:rFonts w:hint="eastAsia"/>
          <w:bCs/>
          <w:color w:val="auto"/>
          <w:spacing w:val="4"/>
          <w:sz w:val="24"/>
          <w:szCs w:val="24"/>
        </w:rPr>
        <w:t>队其他咨询</w:t>
      </w:r>
      <w:r>
        <w:rPr>
          <w:rFonts w:hint="eastAsia"/>
          <w:bCs/>
          <w:color w:val="auto"/>
          <w:spacing w:val="2"/>
          <w:sz w:val="24"/>
          <w:szCs w:val="24"/>
        </w:rPr>
        <w:t>人</w:t>
      </w:r>
      <w:r>
        <w:rPr>
          <w:rFonts w:hint="eastAsia"/>
          <w:bCs/>
          <w:color w:val="auto"/>
          <w:spacing w:val="4"/>
          <w:sz w:val="24"/>
          <w:szCs w:val="24"/>
        </w:rPr>
        <w:t>员，应</w:t>
      </w:r>
      <w:r>
        <w:rPr>
          <w:rFonts w:hint="eastAsia"/>
          <w:bCs/>
          <w:color w:val="auto"/>
          <w:spacing w:val="2"/>
          <w:sz w:val="24"/>
          <w:szCs w:val="24"/>
        </w:rPr>
        <w:t>提</w:t>
      </w:r>
      <w:r>
        <w:rPr>
          <w:rFonts w:hint="eastAsia"/>
          <w:bCs/>
          <w:color w:val="auto"/>
          <w:spacing w:val="20"/>
          <w:sz w:val="24"/>
          <w:szCs w:val="24"/>
        </w:rPr>
        <w:t>前 3日向委托人书面报告，经委托人同意后以相当资格与能力的人员替换。</w:t>
      </w:r>
    </w:p>
    <w:p>
      <w:pPr>
        <w:spacing w:before="35" w:line="560" w:lineRule="exact"/>
        <w:ind w:left="120" w:firstLine="480"/>
        <w:rPr>
          <w:bCs/>
          <w:color w:val="auto"/>
          <w:spacing w:val="20"/>
          <w:sz w:val="24"/>
          <w:szCs w:val="24"/>
        </w:rPr>
      </w:pPr>
      <w:r>
        <w:rPr>
          <w:rFonts w:hint="eastAsia"/>
          <w:bCs/>
          <w:color w:val="auto"/>
          <w:spacing w:val="20"/>
          <w:sz w:val="24"/>
          <w:szCs w:val="24"/>
        </w:rPr>
        <w:t>3.1.4</w:t>
      </w:r>
      <w:r>
        <w:rPr>
          <w:rFonts w:hint="eastAsia"/>
          <w:bCs/>
          <w:color w:val="auto"/>
          <w:spacing w:val="7"/>
          <w:sz w:val="24"/>
          <w:szCs w:val="24"/>
        </w:rPr>
        <w:t>咨询人员有下列情形之一，</w:t>
      </w:r>
      <w:r>
        <w:rPr>
          <w:rFonts w:hint="eastAsia"/>
          <w:bCs/>
          <w:color w:val="auto"/>
          <w:spacing w:val="4"/>
          <w:sz w:val="24"/>
          <w:szCs w:val="24"/>
        </w:rPr>
        <w:t>委</w:t>
      </w:r>
      <w:r>
        <w:rPr>
          <w:rFonts w:hint="eastAsia"/>
          <w:bCs/>
          <w:color w:val="auto"/>
          <w:spacing w:val="7"/>
          <w:sz w:val="24"/>
          <w:szCs w:val="24"/>
        </w:rPr>
        <w:t>托人要求咨询人更换的，咨询人应</w:t>
      </w:r>
      <w:r>
        <w:rPr>
          <w:rFonts w:hint="eastAsia"/>
          <w:bCs/>
          <w:color w:val="auto"/>
          <w:spacing w:val="20"/>
          <w:sz w:val="24"/>
          <w:szCs w:val="24"/>
        </w:rPr>
        <w:t>当更换：</w:t>
      </w:r>
    </w:p>
    <w:p>
      <w:pPr>
        <w:spacing w:before="34" w:line="560" w:lineRule="exact"/>
        <w:ind w:left="456"/>
        <w:rPr>
          <w:bCs/>
          <w:color w:val="auto"/>
          <w:spacing w:val="20"/>
          <w:sz w:val="24"/>
          <w:szCs w:val="24"/>
        </w:rPr>
      </w:pPr>
      <w:r>
        <w:rPr>
          <w:rFonts w:hint="eastAsia"/>
          <w:bCs/>
          <w:color w:val="auto"/>
          <w:spacing w:val="20"/>
          <w:sz w:val="24"/>
          <w:szCs w:val="24"/>
        </w:rPr>
        <w:t>（1）存在严重过失行为的；</w:t>
      </w:r>
    </w:p>
    <w:p>
      <w:pPr>
        <w:spacing w:line="560" w:lineRule="exact"/>
        <w:ind w:left="456"/>
        <w:rPr>
          <w:bCs/>
          <w:color w:val="auto"/>
          <w:spacing w:val="20"/>
          <w:sz w:val="24"/>
          <w:szCs w:val="24"/>
        </w:rPr>
      </w:pPr>
      <w:r>
        <w:rPr>
          <w:rFonts w:hint="eastAsia"/>
          <w:bCs/>
          <w:color w:val="auto"/>
          <w:spacing w:val="20"/>
          <w:sz w:val="24"/>
          <w:szCs w:val="24"/>
        </w:rPr>
        <w:t>（2）存在违法行为不能履行职责的；</w:t>
      </w:r>
    </w:p>
    <w:p>
      <w:pPr>
        <w:spacing w:line="560" w:lineRule="exact"/>
        <w:ind w:left="456"/>
        <w:rPr>
          <w:bCs/>
          <w:color w:val="auto"/>
          <w:spacing w:val="20"/>
          <w:sz w:val="24"/>
          <w:szCs w:val="24"/>
        </w:rPr>
      </w:pPr>
      <w:r>
        <w:rPr>
          <w:rFonts w:hint="eastAsia"/>
          <w:bCs/>
          <w:color w:val="auto"/>
          <w:spacing w:val="20"/>
          <w:sz w:val="24"/>
          <w:szCs w:val="24"/>
        </w:rPr>
        <w:t>（3）涉嫌犯罪的；</w:t>
      </w:r>
    </w:p>
    <w:p>
      <w:pPr>
        <w:spacing w:line="560" w:lineRule="exact"/>
        <w:ind w:left="456"/>
        <w:rPr>
          <w:bCs/>
          <w:color w:val="auto"/>
          <w:spacing w:val="20"/>
          <w:sz w:val="24"/>
          <w:szCs w:val="24"/>
        </w:rPr>
      </w:pPr>
      <w:r>
        <w:rPr>
          <w:rFonts w:hint="eastAsia"/>
          <w:bCs/>
          <w:color w:val="auto"/>
          <w:spacing w:val="20"/>
          <w:sz w:val="24"/>
          <w:szCs w:val="24"/>
        </w:rPr>
        <w:t>（4）不能胜任岗位职责的；</w:t>
      </w:r>
    </w:p>
    <w:p>
      <w:pPr>
        <w:spacing w:line="560" w:lineRule="exact"/>
        <w:ind w:left="456"/>
        <w:rPr>
          <w:bCs/>
          <w:color w:val="auto"/>
          <w:spacing w:val="20"/>
          <w:sz w:val="24"/>
          <w:szCs w:val="24"/>
        </w:rPr>
      </w:pPr>
      <w:r>
        <w:rPr>
          <w:rFonts w:hint="eastAsia"/>
          <w:bCs/>
          <w:color w:val="auto"/>
          <w:spacing w:val="20"/>
          <w:sz w:val="24"/>
          <w:szCs w:val="24"/>
        </w:rPr>
        <w:t>（5）严重违反职业道德的；</w:t>
      </w:r>
    </w:p>
    <w:p>
      <w:pPr>
        <w:spacing w:line="560" w:lineRule="exact"/>
        <w:ind w:left="-24" w:leftChars="-11" w:firstLine="560" w:firstLineChars="200"/>
        <w:rPr>
          <w:bCs/>
          <w:color w:val="auto"/>
          <w:spacing w:val="20"/>
          <w:sz w:val="24"/>
          <w:szCs w:val="24"/>
        </w:rPr>
      </w:pPr>
      <w:r>
        <w:rPr>
          <w:rFonts w:hint="eastAsia"/>
          <w:bCs/>
          <w:color w:val="auto"/>
          <w:spacing w:val="20"/>
          <w:sz w:val="24"/>
          <w:szCs w:val="24"/>
        </w:rPr>
        <w:t>（6）专用条件约定的其他情形。</w:t>
      </w:r>
    </w:p>
    <w:p>
      <w:pPr>
        <w:spacing w:line="560" w:lineRule="exact"/>
        <w:rPr>
          <w:bCs/>
          <w:color w:val="auto"/>
          <w:spacing w:val="20"/>
          <w:sz w:val="24"/>
          <w:szCs w:val="24"/>
        </w:rPr>
      </w:pPr>
      <w:r>
        <w:rPr>
          <w:rFonts w:hint="eastAsia"/>
          <w:bCs/>
          <w:color w:val="auto"/>
          <w:spacing w:val="20"/>
          <w:sz w:val="24"/>
          <w:szCs w:val="24"/>
        </w:rPr>
        <w:t>3.2 咨询人的工作要求</w:t>
      </w:r>
    </w:p>
    <w:p>
      <w:pPr>
        <w:spacing w:line="560" w:lineRule="exact"/>
        <w:ind w:firstLine="700" w:firstLineChars="250"/>
        <w:rPr>
          <w:bCs/>
          <w:color w:val="auto"/>
          <w:spacing w:val="20"/>
          <w:sz w:val="24"/>
          <w:szCs w:val="24"/>
        </w:rPr>
      </w:pPr>
      <w:r>
        <w:rPr>
          <w:rFonts w:hint="eastAsia"/>
          <w:bCs/>
          <w:color w:val="auto"/>
          <w:spacing w:val="20"/>
          <w:sz w:val="24"/>
          <w:szCs w:val="24"/>
        </w:rPr>
        <w:t>3.2.1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pPr>
        <w:spacing w:before="34" w:line="560" w:lineRule="exact"/>
        <w:ind w:left="120" w:firstLine="480"/>
        <w:rPr>
          <w:bCs/>
          <w:color w:val="auto"/>
          <w:spacing w:val="20"/>
          <w:sz w:val="24"/>
          <w:szCs w:val="24"/>
        </w:rPr>
      </w:pPr>
      <w:r>
        <w:rPr>
          <w:rFonts w:hint="eastAsia"/>
          <w:bCs/>
          <w:color w:val="auto"/>
          <w:spacing w:val="20"/>
          <w:sz w:val="24"/>
          <w:szCs w:val="24"/>
        </w:rPr>
        <w:t>3.2.2咨询人应当在专用条件约定的时间内，按照专用条件约定的份数、组成向委托人提交咨询成果文件。</w:t>
      </w:r>
    </w:p>
    <w:p>
      <w:pPr>
        <w:spacing w:before="34" w:line="560" w:lineRule="exact"/>
        <w:ind w:left="120" w:firstLine="480"/>
        <w:rPr>
          <w:bCs/>
          <w:color w:val="auto"/>
          <w:spacing w:val="20"/>
          <w:sz w:val="24"/>
          <w:szCs w:val="24"/>
        </w:rPr>
      </w:pPr>
      <w:r>
        <w:rPr>
          <w:rFonts w:hint="eastAsia"/>
          <w:bCs/>
          <w:color w:val="auto"/>
          <w:spacing w:val="20"/>
          <w:sz w:val="24"/>
          <w:szCs w:val="24"/>
        </w:rPr>
        <w:t>咨询人提供造价咨询服务以及出具工程造价咨询成果文件应符合现行国家或行业有关规定、标准、规范的要求。委托人要求的工程造价咨询成果文件质</w:t>
      </w:r>
      <w:bookmarkStart w:id="200" w:name="_bookmark10"/>
      <w:bookmarkEnd w:id="200"/>
      <w:r>
        <w:rPr>
          <w:rFonts w:hint="eastAsia"/>
          <w:bCs/>
          <w:color w:val="auto"/>
          <w:spacing w:val="20"/>
          <w:sz w:val="24"/>
          <w:szCs w:val="24"/>
        </w:rPr>
        <w:t>量标准高于现行国家或行业标准的，应在专用条件中约定具体的质量标准，并相应增加服务酬金。</w:t>
      </w:r>
    </w:p>
    <w:p>
      <w:pPr>
        <w:spacing w:line="560" w:lineRule="exact"/>
        <w:ind w:left="120" w:firstLine="480"/>
        <w:rPr>
          <w:bCs/>
          <w:color w:val="auto"/>
          <w:spacing w:val="20"/>
          <w:sz w:val="24"/>
          <w:szCs w:val="24"/>
        </w:rPr>
      </w:pPr>
      <w:r>
        <w:rPr>
          <w:rFonts w:hint="eastAsia"/>
          <w:bCs/>
          <w:color w:val="auto"/>
          <w:spacing w:val="20"/>
          <w:sz w:val="24"/>
          <w:szCs w:val="24"/>
        </w:rPr>
        <w:t>3.2.3咨询人提交的工程造价咨询成果文件，除加盖咨询人单位公章、工程造价咨询企业执业印章外，还必须按要求加盖参加咨询工作人员的执业（从业）资格印章。</w:t>
      </w:r>
    </w:p>
    <w:p>
      <w:pPr>
        <w:spacing w:before="37" w:line="560" w:lineRule="exact"/>
        <w:ind w:left="120" w:firstLine="480"/>
        <w:rPr>
          <w:bCs/>
          <w:color w:val="auto"/>
          <w:spacing w:val="20"/>
          <w:sz w:val="24"/>
          <w:szCs w:val="24"/>
        </w:rPr>
      </w:pPr>
      <w:r>
        <w:rPr>
          <w:rFonts w:hint="eastAsia"/>
          <w:bCs/>
          <w:color w:val="auto"/>
          <w:spacing w:val="20"/>
          <w:sz w:val="24"/>
          <w:szCs w:val="24"/>
        </w:rPr>
        <w:t>3.2.4咨询人应在专用条件约定的时间内，对委托人以书面形式提出的建议或者异议给予书面答复。</w:t>
      </w:r>
    </w:p>
    <w:p>
      <w:pPr>
        <w:spacing w:before="38" w:line="560" w:lineRule="exact"/>
        <w:ind w:left="120" w:firstLine="480"/>
        <w:rPr>
          <w:bCs/>
          <w:color w:val="auto"/>
          <w:spacing w:val="20"/>
          <w:sz w:val="24"/>
          <w:szCs w:val="24"/>
        </w:rPr>
      </w:pPr>
      <w:r>
        <w:rPr>
          <w:rFonts w:hint="eastAsia"/>
          <w:bCs/>
          <w:color w:val="auto"/>
          <w:spacing w:val="20"/>
          <w:sz w:val="24"/>
          <w:szCs w:val="24"/>
        </w:rPr>
        <w:t>3.2.5咨询人从事工程造价咨询活动，应当遵循独立、客观、公正、诚实信用的原则，不得损害社会公共利益和他人的合法权益。</w:t>
      </w:r>
    </w:p>
    <w:p>
      <w:pPr>
        <w:spacing w:before="34" w:line="560" w:lineRule="exact"/>
        <w:ind w:left="120" w:firstLine="480"/>
        <w:rPr>
          <w:bCs/>
          <w:color w:val="auto"/>
          <w:spacing w:val="20"/>
          <w:sz w:val="24"/>
          <w:szCs w:val="24"/>
        </w:rPr>
      </w:pPr>
      <w:r>
        <w:rPr>
          <w:rFonts w:hint="eastAsia"/>
          <w:bCs/>
          <w:color w:val="auto"/>
          <w:spacing w:val="20"/>
          <w:sz w:val="24"/>
          <w:szCs w:val="24"/>
        </w:rPr>
        <w:t>3.2.6咨询人承诺按照法律规定及合同约定，完成合同范围内的建设工程造价咨询服务，不转包承接的造价咨询服务业务。</w:t>
      </w:r>
    </w:p>
    <w:p>
      <w:pPr>
        <w:spacing w:before="98" w:line="560" w:lineRule="exact"/>
        <w:ind w:firstLine="140" w:firstLineChars="50"/>
        <w:rPr>
          <w:bCs/>
          <w:color w:val="auto"/>
          <w:spacing w:val="20"/>
          <w:sz w:val="24"/>
          <w:szCs w:val="24"/>
        </w:rPr>
      </w:pPr>
      <w:r>
        <w:rPr>
          <w:rFonts w:hint="eastAsia"/>
          <w:bCs/>
          <w:color w:val="auto"/>
          <w:spacing w:val="20"/>
          <w:sz w:val="24"/>
          <w:szCs w:val="24"/>
        </w:rPr>
        <w:t>3.3咨询人的工作依据</w:t>
      </w:r>
    </w:p>
    <w:p>
      <w:pPr>
        <w:spacing w:before="98" w:line="560" w:lineRule="exact"/>
        <w:ind w:firstLine="560" w:firstLineChars="200"/>
        <w:rPr>
          <w:bCs/>
          <w:color w:val="auto"/>
          <w:spacing w:val="20"/>
          <w:sz w:val="24"/>
          <w:szCs w:val="24"/>
        </w:rPr>
      </w:pPr>
      <w:r>
        <w:rPr>
          <w:rFonts w:hint="eastAsia"/>
          <w:bCs/>
          <w:color w:val="auto"/>
          <w:spacing w:val="20"/>
          <w:sz w:val="24"/>
          <w:szCs w:val="24"/>
        </w:rPr>
        <w:t>咨询人应在专用条件内与委托人协商明确履行本合同约定的咨询服务需要适用的技术标准、规范、定额等工作依据，但不得违反国家及工程所在地的强制性标准、规范。</w:t>
      </w:r>
    </w:p>
    <w:p>
      <w:pPr>
        <w:spacing w:before="34" w:line="560" w:lineRule="exact"/>
        <w:ind w:left="120" w:firstLine="480"/>
        <w:rPr>
          <w:bCs/>
          <w:color w:val="auto"/>
          <w:spacing w:val="20"/>
          <w:sz w:val="24"/>
          <w:szCs w:val="24"/>
        </w:rPr>
      </w:pPr>
      <w:r>
        <w:rPr>
          <w:rFonts w:hint="eastAsia"/>
          <w:bCs/>
          <w:color w:val="auto"/>
          <w:spacing w:val="20"/>
          <w:sz w:val="24"/>
          <w:szCs w:val="24"/>
        </w:rPr>
        <w:t>咨询人应自行配备本条所述的技术标准、规范、定额等相关资料。必须由委托人提供的资料，应在附录C中载明。需要委托人协助才能获得的资料，委托人应予以协助。</w:t>
      </w:r>
    </w:p>
    <w:p>
      <w:pPr>
        <w:spacing w:before="97" w:line="560" w:lineRule="exact"/>
        <w:ind w:firstLine="560" w:firstLineChars="200"/>
        <w:rPr>
          <w:bCs/>
          <w:color w:val="auto"/>
          <w:spacing w:val="20"/>
          <w:sz w:val="24"/>
          <w:szCs w:val="24"/>
        </w:rPr>
      </w:pPr>
      <w:r>
        <w:rPr>
          <w:rFonts w:hint="eastAsia"/>
          <w:bCs/>
          <w:color w:val="auto"/>
          <w:spacing w:val="20"/>
          <w:sz w:val="24"/>
          <w:szCs w:val="24"/>
        </w:rPr>
        <w:t>3.4使用委托人房屋及设备的返还</w:t>
      </w:r>
    </w:p>
    <w:p>
      <w:pPr>
        <w:spacing w:before="97" w:line="560" w:lineRule="exact"/>
        <w:ind w:firstLine="560" w:firstLineChars="200"/>
        <w:rPr>
          <w:bCs/>
          <w:color w:val="auto"/>
          <w:spacing w:val="20"/>
          <w:sz w:val="24"/>
          <w:szCs w:val="24"/>
        </w:rPr>
      </w:pPr>
      <w:r>
        <w:rPr>
          <w:rFonts w:hint="eastAsia"/>
          <w:bCs/>
          <w:color w:val="auto"/>
          <w:spacing w:val="20"/>
          <w:sz w:val="24"/>
          <w:szCs w:val="24"/>
        </w:rPr>
        <w:t>项目咨询人员使用委托人提供的房屋及设备的，咨询人应妥善使用和保管，在本合同终止时将上述房屋及设备按专用条件约定的时间和方式返还委托人。</w:t>
      </w:r>
    </w:p>
    <w:p>
      <w:pPr>
        <w:spacing w:before="48" w:line="560" w:lineRule="exact"/>
        <w:ind w:left="600"/>
        <w:rPr>
          <w:bCs/>
          <w:color w:val="auto"/>
          <w:sz w:val="24"/>
          <w:szCs w:val="24"/>
        </w:rPr>
      </w:pPr>
      <w:r>
        <w:rPr>
          <w:rFonts w:hint="eastAsia"/>
          <w:bCs/>
          <w:color w:val="auto"/>
          <w:sz w:val="24"/>
          <w:szCs w:val="24"/>
        </w:rPr>
        <w:t>4.违</w:t>
      </w:r>
      <w:r>
        <w:rPr>
          <w:rFonts w:hint="eastAsia"/>
          <w:bCs/>
          <w:color w:val="auto"/>
          <w:spacing w:val="2"/>
          <w:sz w:val="24"/>
          <w:szCs w:val="24"/>
        </w:rPr>
        <w:t>约</w:t>
      </w:r>
      <w:r>
        <w:rPr>
          <w:rFonts w:hint="eastAsia"/>
          <w:bCs/>
          <w:color w:val="auto"/>
          <w:sz w:val="24"/>
          <w:szCs w:val="24"/>
        </w:rPr>
        <w:t>责任</w:t>
      </w:r>
    </w:p>
    <w:p>
      <w:pPr>
        <w:spacing w:line="560" w:lineRule="exact"/>
        <w:rPr>
          <w:bCs/>
          <w:color w:val="auto"/>
          <w:spacing w:val="20"/>
          <w:sz w:val="24"/>
          <w:szCs w:val="24"/>
        </w:rPr>
      </w:pPr>
      <w:r>
        <w:rPr>
          <w:rFonts w:hint="eastAsia"/>
          <w:bCs/>
          <w:color w:val="auto"/>
          <w:spacing w:val="20"/>
          <w:sz w:val="24"/>
          <w:szCs w:val="24"/>
        </w:rPr>
        <w:t>4.1委托人的违约责任</w:t>
      </w:r>
    </w:p>
    <w:p>
      <w:pPr>
        <w:spacing w:line="560" w:lineRule="exact"/>
        <w:ind w:left="120" w:firstLine="480"/>
        <w:rPr>
          <w:bCs/>
          <w:color w:val="auto"/>
          <w:spacing w:val="20"/>
          <w:sz w:val="24"/>
          <w:szCs w:val="24"/>
        </w:rPr>
      </w:pPr>
      <w:r>
        <w:rPr>
          <w:rFonts w:hint="eastAsia"/>
          <w:bCs/>
          <w:color w:val="auto"/>
          <w:spacing w:val="20"/>
          <w:sz w:val="24"/>
          <w:szCs w:val="24"/>
        </w:rPr>
        <w:t>4.1.1委托人不履行本合同义务或者履行义务不符合本合同约定的，应承担违约责任。双方可在专用条件中约定违约金的计算及支付方法。</w:t>
      </w:r>
    </w:p>
    <w:p>
      <w:pPr>
        <w:spacing w:before="38" w:line="560" w:lineRule="exact"/>
        <w:ind w:left="120" w:firstLine="480"/>
        <w:rPr>
          <w:bCs/>
          <w:color w:val="auto"/>
          <w:spacing w:val="20"/>
          <w:sz w:val="24"/>
          <w:szCs w:val="24"/>
        </w:rPr>
      </w:pPr>
      <w:r>
        <w:rPr>
          <w:rFonts w:hint="eastAsia"/>
          <w:bCs/>
          <w:color w:val="auto"/>
          <w:spacing w:val="20"/>
          <w:sz w:val="24"/>
          <w:szCs w:val="24"/>
        </w:rPr>
        <w:t>4.1.2委托人违反本合同约定造成咨询人损失的，委托人应予以赔偿。双方可在专用条件中约定赔偿金额的确定及支付方法。</w:t>
      </w:r>
    </w:p>
    <w:p>
      <w:pPr>
        <w:spacing w:before="38" w:line="560" w:lineRule="exact"/>
        <w:ind w:left="120" w:firstLine="480"/>
        <w:rPr>
          <w:bCs/>
          <w:color w:val="auto"/>
          <w:spacing w:val="20"/>
          <w:sz w:val="24"/>
          <w:szCs w:val="24"/>
        </w:rPr>
      </w:pPr>
      <w:bookmarkStart w:id="201" w:name="_bookmark11"/>
      <w:bookmarkEnd w:id="201"/>
      <w:r>
        <w:rPr>
          <w:rFonts w:hint="eastAsia"/>
          <w:bCs/>
          <w:color w:val="auto"/>
          <w:spacing w:val="20"/>
          <w:sz w:val="24"/>
          <w:szCs w:val="24"/>
        </w:rPr>
        <w:t>4.1.3 委托人未能按期支付酬金超过 14 天，应按下列方法计算并支付逾期付款利息。逾期付款利息=当期应付款总额×中国人民银行发布的同期贷款基准利率×逾期支付天数（自逾期之日起计算）。双方也可在专用条件中另行约定逾期付款利息的计算及支付方法。</w:t>
      </w:r>
    </w:p>
    <w:p>
      <w:pPr>
        <w:spacing w:before="95" w:line="560" w:lineRule="exact"/>
        <w:rPr>
          <w:bCs/>
          <w:color w:val="auto"/>
          <w:spacing w:val="20"/>
          <w:sz w:val="24"/>
          <w:szCs w:val="24"/>
        </w:rPr>
      </w:pPr>
      <w:r>
        <w:rPr>
          <w:rFonts w:hint="eastAsia"/>
          <w:bCs/>
          <w:color w:val="auto"/>
          <w:spacing w:val="20"/>
          <w:sz w:val="24"/>
          <w:szCs w:val="24"/>
        </w:rPr>
        <w:t>4.2咨询人的违约责任</w:t>
      </w:r>
    </w:p>
    <w:p>
      <w:pPr>
        <w:spacing w:line="560" w:lineRule="exact"/>
        <w:ind w:left="120" w:firstLine="480"/>
        <w:rPr>
          <w:bCs/>
          <w:color w:val="auto"/>
          <w:spacing w:val="20"/>
          <w:sz w:val="24"/>
          <w:szCs w:val="24"/>
        </w:rPr>
      </w:pPr>
      <w:r>
        <w:rPr>
          <w:rFonts w:hint="eastAsia"/>
          <w:bCs/>
          <w:color w:val="auto"/>
          <w:spacing w:val="20"/>
          <w:sz w:val="24"/>
          <w:szCs w:val="24"/>
        </w:rPr>
        <w:t>4.2.1咨询人不履行本合同义务或者履行义务不符合本合同约定的，应承担违约责任。双方可在专用条件中约定违约金的计算及支付方法。</w:t>
      </w:r>
    </w:p>
    <w:p>
      <w:pPr>
        <w:spacing w:before="34" w:line="560" w:lineRule="exact"/>
        <w:ind w:left="120" w:firstLine="480"/>
        <w:rPr>
          <w:bCs/>
          <w:color w:val="auto"/>
          <w:spacing w:val="20"/>
          <w:sz w:val="24"/>
          <w:szCs w:val="24"/>
        </w:rPr>
      </w:pPr>
      <w:r>
        <w:rPr>
          <w:rFonts w:hint="eastAsia"/>
          <w:bCs/>
          <w:color w:val="auto"/>
          <w:spacing w:val="20"/>
          <w:sz w:val="24"/>
          <w:szCs w:val="24"/>
        </w:rPr>
        <w:t>4.2.2因咨询人违反本合同约定给委托人造成损失的，咨询人应当赔偿委托人损失。双方可在专用条件中约定赔偿金额的确定及支付方法。</w:t>
      </w:r>
    </w:p>
    <w:p>
      <w:pPr>
        <w:spacing w:before="48" w:line="560" w:lineRule="exact"/>
        <w:ind w:left="600"/>
        <w:rPr>
          <w:bCs/>
          <w:color w:val="auto"/>
          <w:sz w:val="24"/>
          <w:szCs w:val="24"/>
        </w:rPr>
      </w:pPr>
      <w:r>
        <w:rPr>
          <w:rFonts w:hint="eastAsia"/>
          <w:bCs/>
          <w:color w:val="auto"/>
          <w:sz w:val="24"/>
          <w:szCs w:val="24"/>
        </w:rPr>
        <w:t>5.支付</w:t>
      </w:r>
    </w:p>
    <w:p>
      <w:pPr>
        <w:spacing w:line="560" w:lineRule="exact"/>
        <w:rPr>
          <w:bCs/>
          <w:color w:val="auto"/>
          <w:spacing w:val="20"/>
          <w:sz w:val="24"/>
          <w:szCs w:val="24"/>
        </w:rPr>
      </w:pPr>
      <w:r>
        <w:rPr>
          <w:rFonts w:hint="eastAsia"/>
          <w:bCs/>
          <w:color w:val="auto"/>
          <w:spacing w:val="20"/>
          <w:sz w:val="24"/>
          <w:szCs w:val="24"/>
        </w:rPr>
        <w:t>5.1支付货币</w:t>
      </w:r>
    </w:p>
    <w:p>
      <w:pPr>
        <w:spacing w:line="560" w:lineRule="exact"/>
        <w:ind w:firstLine="560" w:firstLineChars="200"/>
        <w:rPr>
          <w:bCs/>
          <w:color w:val="auto"/>
          <w:spacing w:val="20"/>
          <w:sz w:val="24"/>
          <w:szCs w:val="24"/>
        </w:rPr>
      </w:pPr>
      <w:r>
        <w:rPr>
          <w:rFonts w:hint="eastAsia"/>
          <w:bCs/>
          <w:color w:val="auto"/>
          <w:spacing w:val="20"/>
          <w:sz w:val="24"/>
          <w:szCs w:val="24"/>
        </w:rPr>
        <w:t>除专用条件另有约定外，酬金均以人民币支付。涉及外币支付的，所采用的货币种类和汇率等在专用条件中约定。</w:t>
      </w:r>
    </w:p>
    <w:p>
      <w:pPr>
        <w:spacing w:line="560" w:lineRule="exact"/>
        <w:rPr>
          <w:bCs/>
          <w:color w:val="auto"/>
          <w:spacing w:val="20"/>
          <w:sz w:val="24"/>
          <w:szCs w:val="24"/>
        </w:rPr>
      </w:pPr>
      <w:r>
        <w:rPr>
          <w:rFonts w:hint="eastAsia"/>
          <w:bCs/>
          <w:color w:val="auto"/>
          <w:spacing w:val="20"/>
          <w:sz w:val="24"/>
          <w:szCs w:val="24"/>
        </w:rPr>
        <w:t>5.2 支付申请</w:t>
      </w:r>
    </w:p>
    <w:p>
      <w:pPr>
        <w:spacing w:line="560" w:lineRule="exact"/>
        <w:ind w:left="125" w:leftChars="57" w:firstLine="560" w:firstLineChars="200"/>
        <w:rPr>
          <w:bCs/>
          <w:color w:val="auto"/>
          <w:spacing w:val="20"/>
          <w:sz w:val="24"/>
          <w:szCs w:val="24"/>
        </w:rPr>
      </w:pPr>
      <w:r>
        <w:rPr>
          <w:rFonts w:hint="eastAsia"/>
          <w:bCs/>
          <w:color w:val="auto"/>
          <w:spacing w:val="20"/>
          <w:sz w:val="24"/>
          <w:szCs w:val="24"/>
        </w:rPr>
        <w:t>咨询人应在本合同约定的每次应付款日期前，向委托人提交支付申请书，支付申请书的提交日期由双方在专用条件中约定。支付申请书应当说明当期应付款总额，并列出当期应支付的款项及其金额。</w:t>
      </w:r>
    </w:p>
    <w:p>
      <w:pPr>
        <w:spacing w:before="94" w:line="560" w:lineRule="exact"/>
        <w:rPr>
          <w:bCs/>
          <w:color w:val="auto"/>
          <w:spacing w:val="20"/>
          <w:sz w:val="24"/>
          <w:szCs w:val="24"/>
        </w:rPr>
      </w:pPr>
      <w:r>
        <w:rPr>
          <w:rFonts w:hint="eastAsia"/>
          <w:bCs/>
          <w:color w:val="auto"/>
          <w:spacing w:val="20"/>
          <w:sz w:val="24"/>
          <w:szCs w:val="24"/>
        </w:rPr>
        <w:t>5.3 支付酬金</w:t>
      </w:r>
    </w:p>
    <w:p>
      <w:pPr>
        <w:spacing w:before="94" w:line="560" w:lineRule="exact"/>
        <w:rPr>
          <w:bCs/>
          <w:color w:val="auto"/>
          <w:spacing w:val="20"/>
          <w:sz w:val="24"/>
          <w:szCs w:val="24"/>
        </w:rPr>
      </w:pPr>
      <w:r>
        <w:rPr>
          <w:rFonts w:hint="eastAsia"/>
          <w:bCs/>
          <w:color w:val="auto"/>
          <w:spacing w:val="20"/>
          <w:sz w:val="24"/>
          <w:szCs w:val="24"/>
        </w:rPr>
        <w:t>支付酬金包括正常工作酬金、附加工作酬金、合理化建议奖励金额及费用。</w:t>
      </w:r>
    </w:p>
    <w:p>
      <w:pPr>
        <w:spacing w:line="560" w:lineRule="exact"/>
        <w:rPr>
          <w:bCs/>
          <w:color w:val="auto"/>
          <w:spacing w:val="20"/>
          <w:sz w:val="24"/>
          <w:szCs w:val="24"/>
        </w:rPr>
      </w:pPr>
      <w:r>
        <w:rPr>
          <w:rFonts w:hint="eastAsia"/>
          <w:bCs/>
          <w:color w:val="auto"/>
          <w:spacing w:val="20"/>
          <w:sz w:val="24"/>
          <w:szCs w:val="24"/>
        </w:rPr>
        <w:t>5.4有异议部分的支付</w:t>
      </w:r>
    </w:p>
    <w:p>
      <w:pPr>
        <w:spacing w:line="560" w:lineRule="exact"/>
        <w:ind w:firstLine="560" w:firstLineChars="200"/>
        <w:rPr>
          <w:bCs/>
          <w:color w:val="auto"/>
          <w:spacing w:val="20"/>
          <w:sz w:val="24"/>
          <w:szCs w:val="24"/>
        </w:rPr>
      </w:pPr>
      <w:r>
        <w:rPr>
          <w:rFonts w:hint="eastAsia"/>
          <w:bCs/>
          <w:color w:val="auto"/>
          <w:spacing w:val="20"/>
          <w:sz w:val="24"/>
          <w:szCs w:val="24"/>
        </w:rPr>
        <w:t>委托人对咨询人提交的支付申请书有异议时，应当在收到咨询人提交的支付申请书后7日内，以书面形式向咨询人发出异议通知。无异议部分的款项应按期支付，有异议部分的款项按第7条约定办理。</w:t>
      </w:r>
    </w:p>
    <w:p>
      <w:pPr>
        <w:spacing w:before="38" w:line="560" w:lineRule="exact"/>
        <w:rPr>
          <w:bCs/>
          <w:color w:val="auto"/>
          <w:spacing w:val="20"/>
          <w:sz w:val="24"/>
          <w:szCs w:val="24"/>
        </w:rPr>
      </w:pPr>
      <w:r>
        <w:rPr>
          <w:rFonts w:hint="eastAsia"/>
          <w:bCs/>
          <w:color w:val="auto"/>
          <w:spacing w:val="2"/>
          <w:sz w:val="24"/>
          <w:szCs w:val="24"/>
        </w:rPr>
        <w:t>6</w:t>
      </w:r>
      <w:r>
        <w:rPr>
          <w:rFonts w:hint="eastAsia"/>
          <w:bCs/>
          <w:color w:val="auto"/>
          <w:spacing w:val="-3"/>
          <w:sz w:val="24"/>
          <w:szCs w:val="24"/>
        </w:rPr>
        <w:t>.</w:t>
      </w:r>
      <w:r>
        <w:rPr>
          <w:rFonts w:hint="eastAsia"/>
          <w:bCs/>
          <w:color w:val="auto"/>
          <w:spacing w:val="20"/>
          <w:sz w:val="24"/>
          <w:szCs w:val="24"/>
        </w:rPr>
        <w:t>合</w:t>
      </w:r>
      <w:r>
        <w:rPr>
          <w:rFonts w:hint="eastAsia"/>
          <w:bCs/>
          <w:color w:val="auto"/>
          <w:spacing w:val="2"/>
          <w:sz w:val="24"/>
          <w:szCs w:val="24"/>
        </w:rPr>
        <w:t>同</w:t>
      </w:r>
      <w:r>
        <w:rPr>
          <w:rFonts w:hint="eastAsia"/>
          <w:bCs/>
          <w:color w:val="auto"/>
          <w:spacing w:val="20"/>
          <w:sz w:val="24"/>
          <w:szCs w:val="24"/>
        </w:rPr>
        <w:t>变</w:t>
      </w:r>
      <w:r>
        <w:rPr>
          <w:rFonts w:hint="eastAsia"/>
          <w:bCs/>
          <w:color w:val="auto"/>
          <w:spacing w:val="2"/>
          <w:sz w:val="24"/>
          <w:szCs w:val="24"/>
        </w:rPr>
        <w:t>更</w:t>
      </w:r>
      <w:r>
        <w:rPr>
          <w:rFonts w:hint="eastAsia"/>
          <w:bCs/>
          <w:color w:val="auto"/>
          <w:spacing w:val="20"/>
          <w:sz w:val="24"/>
          <w:szCs w:val="24"/>
        </w:rPr>
        <w:t>、解</w:t>
      </w:r>
      <w:r>
        <w:rPr>
          <w:rFonts w:hint="eastAsia"/>
          <w:bCs/>
          <w:color w:val="auto"/>
          <w:spacing w:val="2"/>
          <w:sz w:val="24"/>
          <w:szCs w:val="24"/>
        </w:rPr>
        <w:t>除</w:t>
      </w:r>
      <w:r>
        <w:rPr>
          <w:rFonts w:hint="eastAsia"/>
          <w:bCs/>
          <w:color w:val="auto"/>
          <w:spacing w:val="20"/>
          <w:sz w:val="24"/>
          <w:szCs w:val="24"/>
        </w:rPr>
        <w:t>与</w:t>
      </w:r>
      <w:r>
        <w:rPr>
          <w:rFonts w:hint="eastAsia"/>
          <w:bCs/>
          <w:color w:val="auto"/>
          <w:spacing w:val="2"/>
          <w:sz w:val="24"/>
          <w:szCs w:val="24"/>
        </w:rPr>
        <w:t>终</w:t>
      </w:r>
      <w:r>
        <w:rPr>
          <w:rFonts w:hint="eastAsia"/>
          <w:bCs/>
          <w:color w:val="auto"/>
          <w:spacing w:val="20"/>
          <w:sz w:val="24"/>
          <w:szCs w:val="24"/>
        </w:rPr>
        <w:t>止</w:t>
      </w:r>
    </w:p>
    <w:p>
      <w:pPr>
        <w:spacing w:line="560" w:lineRule="exact"/>
        <w:rPr>
          <w:bCs/>
          <w:color w:val="auto"/>
          <w:spacing w:val="20"/>
          <w:sz w:val="24"/>
          <w:szCs w:val="24"/>
        </w:rPr>
      </w:pPr>
      <w:r>
        <w:rPr>
          <w:rFonts w:hint="eastAsia"/>
          <w:bCs/>
          <w:color w:val="auto"/>
          <w:spacing w:val="20"/>
          <w:sz w:val="24"/>
          <w:szCs w:val="24"/>
        </w:rPr>
        <w:t>6.1合同变更</w:t>
      </w:r>
    </w:p>
    <w:p>
      <w:pPr>
        <w:spacing w:line="560" w:lineRule="exact"/>
        <w:ind w:firstLine="560" w:firstLineChars="200"/>
        <w:rPr>
          <w:bCs/>
          <w:color w:val="auto"/>
          <w:spacing w:val="20"/>
          <w:sz w:val="24"/>
          <w:szCs w:val="24"/>
        </w:rPr>
      </w:pPr>
      <w:r>
        <w:rPr>
          <w:rFonts w:hint="eastAsia"/>
          <w:bCs/>
          <w:color w:val="auto"/>
          <w:spacing w:val="20"/>
          <w:sz w:val="24"/>
          <w:szCs w:val="24"/>
        </w:rPr>
        <w:t>6.1.1 任何一方以书面形式提出变更请求时，双方经协商一致后可进行变更。</w:t>
      </w:r>
    </w:p>
    <w:p>
      <w:pPr>
        <w:spacing w:line="560" w:lineRule="exact"/>
        <w:ind w:firstLine="560" w:firstLineChars="200"/>
        <w:rPr>
          <w:bCs/>
          <w:color w:val="auto"/>
          <w:spacing w:val="20"/>
          <w:sz w:val="24"/>
          <w:szCs w:val="24"/>
        </w:rPr>
      </w:pPr>
      <w:r>
        <w:rPr>
          <w:rFonts w:hint="eastAsia"/>
          <w:bCs/>
          <w:color w:val="auto"/>
          <w:spacing w:val="20"/>
          <w:sz w:val="24"/>
          <w:szCs w:val="24"/>
        </w:rPr>
        <w:t>6.1.2除不可抗力外，因非咨询人原因导致咨询人履行合同期限延长、内</w:t>
      </w:r>
      <w:bookmarkStart w:id="202" w:name="_bookmark12"/>
      <w:bookmarkEnd w:id="202"/>
      <w:r>
        <w:rPr>
          <w:rFonts w:hint="eastAsia"/>
          <w:bCs/>
          <w:color w:val="auto"/>
          <w:spacing w:val="20"/>
          <w:sz w:val="24"/>
          <w:szCs w:val="24"/>
        </w:rPr>
        <w:t>容增加时，咨询人应当将此情况与可能产生的影响及时通知委托人。增加的工作时间或工作内容应视为附加工作。附加工作酬金的确定方法由双方根据委托的服务范围及工作内容在专用条件中约定。</w:t>
      </w:r>
    </w:p>
    <w:p>
      <w:pPr>
        <w:spacing w:line="560" w:lineRule="exact"/>
        <w:ind w:left="125" w:leftChars="57" w:firstLine="560" w:firstLineChars="200"/>
        <w:rPr>
          <w:bCs/>
          <w:color w:val="auto"/>
          <w:spacing w:val="20"/>
          <w:sz w:val="24"/>
          <w:szCs w:val="24"/>
        </w:rPr>
      </w:pPr>
      <w:r>
        <w:rPr>
          <w:rFonts w:hint="eastAsia"/>
          <w:bCs/>
          <w:color w:val="auto"/>
          <w:spacing w:val="20"/>
          <w:sz w:val="24"/>
          <w:szCs w:val="24"/>
        </w:rPr>
        <w:t>6.1.3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pPr>
        <w:spacing w:before="37" w:line="560" w:lineRule="exact"/>
        <w:ind w:left="120" w:firstLine="480"/>
        <w:rPr>
          <w:bCs/>
          <w:color w:val="auto"/>
          <w:spacing w:val="20"/>
          <w:sz w:val="24"/>
          <w:szCs w:val="24"/>
        </w:rPr>
      </w:pPr>
      <w:r>
        <w:rPr>
          <w:rFonts w:hint="eastAsia"/>
          <w:bCs/>
          <w:color w:val="auto"/>
          <w:spacing w:val="20"/>
          <w:sz w:val="24"/>
          <w:szCs w:val="24"/>
        </w:rPr>
        <w:t>6.1.4 因工程规模、服务范围及工作内容的变化等导致咨询人的工作量增减时，服务酬金应作相应调整，调整方法由双方在专用条件中约定。</w:t>
      </w:r>
    </w:p>
    <w:p>
      <w:pPr>
        <w:spacing w:before="34" w:line="560" w:lineRule="exact"/>
        <w:rPr>
          <w:bCs/>
          <w:color w:val="auto"/>
          <w:spacing w:val="20"/>
          <w:sz w:val="24"/>
          <w:szCs w:val="24"/>
        </w:rPr>
      </w:pPr>
      <w:r>
        <w:rPr>
          <w:rFonts w:hint="eastAsia"/>
          <w:bCs/>
          <w:color w:val="auto"/>
          <w:spacing w:val="20"/>
          <w:sz w:val="24"/>
          <w:szCs w:val="24"/>
        </w:rPr>
        <w:t>6.2合同解除</w:t>
      </w:r>
    </w:p>
    <w:p>
      <w:pPr>
        <w:spacing w:line="560" w:lineRule="exact"/>
        <w:ind w:firstLine="700" w:firstLineChars="250"/>
        <w:rPr>
          <w:bCs/>
          <w:color w:val="auto"/>
          <w:spacing w:val="20"/>
          <w:sz w:val="24"/>
          <w:szCs w:val="24"/>
        </w:rPr>
      </w:pPr>
      <w:r>
        <w:rPr>
          <w:rFonts w:hint="eastAsia"/>
          <w:bCs/>
          <w:color w:val="auto"/>
          <w:spacing w:val="20"/>
          <w:sz w:val="24"/>
          <w:szCs w:val="24"/>
        </w:rPr>
        <w:t>6.2.1 委托人与咨询人协商一致，可以解除合同。</w:t>
      </w:r>
    </w:p>
    <w:p>
      <w:pPr>
        <w:spacing w:line="560" w:lineRule="exact"/>
        <w:ind w:firstLine="700" w:firstLineChars="250"/>
        <w:rPr>
          <w:bCs/>
          <w:color w:val="auto"/>
          <w:spacing w:val="20"/>
          <w:sz w:val="24"/>
          <w:szCs w:val="24"/>
        </w:rPr>
      </w:pPr>
      <w:r>
        <w:rPr>
          <w:rFonts w:hint="eastAsia"/>
          <w:bCs/>
          <w:color w:val="auto"/>
          <w:spacing w:val="20"/>
          <w:sz w:val="24"/>
          <w:szCs w:val="24"/>
        </w:rPr>
        <w:t>6.2.2 有下列情形之一的，合同当事人一方或双方可以解除合同：</w:t>
      </w:r>
    </w:p>
    <w:p>
      <w:pPr>
        <w:spacing w:line="560" w:lineRule="exact"/>
        <w:ind w:left="120" w:firstLine="480"/>
        <w:rPr>
          <w:bCs/>
          <w:color w:val="auto"/>
          <w:spacing w:val="20"/>
          <w:sz w:val="24"/>
          <w:szCs w:val="24"/>
        </w:rPr>
      </w:pPr>
      <w:r>
        <w:rPr>
          <w:rFonts w:hint="eastAsia"/>
          <w:bCs/>
          <w:color w:val="auto"/>
          <w:spacing w:val="20"/>
          <w:sz w:val="24"/>
          <w:szCs w:val="24"/>
        </w:rPr>
        <w:t>（1）咨询人将本合同约定的工程造价咨询服务工作全部或部分转包给他人，委托人可以解除合同；</w:t>
      </w:r>
    </w:p>
    <w:p>
      <w:pPr>
        <w:spacing w:before="38" w:line="560" w:lineRule="exact"/>
        <w:ind w:left="120" w:firstLine="480"/>
        <w:rPr>
          <w:bCs/>
          <w:color w:val="auto"/>
          <w:spacing w:val="20"/>
          <w:sz w:val="24"/>
          <w:szCs w:val="24"/>
        </w:rPr>
      </w:pPr>
      <w:r>
        <w:rPr>
          <w:rFonts w:hint="eastAsia"/>
          <w:bCs/>
          <w:color w:val="auto"/>
          <w:spacing w:val="20"/>
          <w:sz w:val="24"/>
          <w:szCs w:val="24"/>
        </w:rPr>
        <w:t>（2）咨询人提供的造价咨询服务不符合合同约定的要求，经委托人催告仍不能达到合同约定要求的，委托人可以解除合同；</w:t>
      </w:r>
    </w:p>
    <w:p>
      <w:pPr>
        <w:spacing w:before="38" w:line="560" w:lineRule="exact"/>
        <w:ind w:left="120" w:firstLine="480"/>
        <w:rPr>
          <w:bCs/>
          <w:color w:val="auto"/>
          <w:spacing w:val="20"/>
          <w:sz w:val="24"/>
          <w:szCs w:val="24"/>
        </w:rPr>
      </w:pPr>
      <w:r>
        <w:rPr>
          <w:rFonts w:hint="eastAsia"/>
          <w:bCs/>
          <w:color w:val="auto"/>
          <w:spacing w:val="20"/>
          <w:sz w:val="24"/>
          <w:szCs w:val="24"/>
        </w:rPr>
        <w:t>（3）委托人未按合同约定支付服务酬金，经咨询人催告后，在28天内仍未支付的，咨询人可以解除合同；</w:t>
      </w:r>
    </w:p>
    <w:p>
      <w:pPr>
        <w:spacing w:before="38" w:line="560" w:lineRule="exact"/>
        <w:ind w:firstLine="700" w:firstLineChars="250"/>
        <w:rPr>
          <w:bCs/>
          <w:color w:val="auto"/>
          <w:spacing w:val="20"/>
          <w:sz w:val="24"/>
          <w:szCs w:val="24"/>
        </w:rPr>
      </w:pPr>
      <w:r>
        <w:rPr>
          <w:rFonts w:hint="eastAsia"/>
          <w:bCs/>
          <w:color w:val="auto"/>
          <w:spacing w:val="20"/>
          <w:sz w:val="24"/>
          <w:szCs w:val="24"/>
        </w:rPr>
        <w:t>（4）因不可抗力致使合同无法履行；</w:t>
      </w:r>
    </w:p>
    <w:p>
      <w:pPr>
        <w:spacing w:line="560" w:lineRule="exact"/>
        <w:ind w:firstLine="700" w:firstLineChars="250"/>
        <w:rPr>
          <w:bCs/>
          <w:color w:val="auto"/>
          <w:spacing w:val="20"/>
          <w:sz w:val="24"/>
          <w:szCs w:val="24"/>
        </w:rPr>
      </w:pPr>
      <w:r>
        <w:rPr>
          <w:rFonts w:hint="eastAsia"/>
          <w:bCs/>
          <w:color w:val="auto"/>
          <w:spacing w:val="20"/>
          <w:sz w:val="24"/>
          <w:szCs w:val="24"/>
        </w:rPr>
        <w:t>（5）因一方违约致使合同无法实际履行或实际履行已无必要。</w:t>
      </w:r>
    </w:p>
    <w:p>
      <w:pPr>
        <w:spacing w:line="560" w:lineRule="exact"/>
        <w:ind w:firstLine="420" w:firstLineChars="150"/>
        <w:rPr>
          <w:bCs/>
          <w:color w:val="auto"/>
          <w:spacing w:val="20"/>
          <w:sz w:val="24"/>
          <w:szCs w:val="24"/>
        </w:rPr>
      </w:pPr>
      <w:r>
        <w:rPr>
          <w:rFonts w:hint="eastAsia"/>
          <w:bCs/>
          <w:color w:val="auto"/>
          <w:spacing w:val="20"/>
          <w:sz w:val="24"/>
          <w:szCs w:val="24"/>
        </w:rPr>
        <w:t>除上述情形外，双方可以根据委托的服务范围及工作内容，在专用条件中约定解除合同的其他条件。</w:t>
      </w:r>
    </w:p>
    <w:p>
      <w:pPr>
        <w:spacing w:line="560" w:lineRule="exact"/>
        <w:ind w:firstLine="700" w:firstLineChars="250"/>
        <w:rPr>
          <w:bCs/>
          <w:color w:val="auto"/>
          <w:spacing w:val="20"/>
          <w:sz w:val="24"/>
          <w:szCs w:val="24"/>
        </w:rPr>
      </w:pPr>
      <w:r>
        <w:rPr>
          <w:rFonts w:hint="eastAsia"/>
          <w:bCs/>
          <w:color w:val="auto"/>
          <w:spacing w:val="20"/>
          <w:sz w:val="24"/>
          <w:szCs w:val="24"/>
        </w:rPr>
        <w:t>6.2.3 任何一方提出解除合同的，应提前30天书面通知对方。</w:t>
      </w:r>
    </w:p>
    <w:p>
      <w:pPr>
        <w:spacing w:line="560" w:lineRule="exact"/>
        <w:ind w:left="120" w:firstLine="465"/>
        <w:rPr>
          <w:bCs/>
          <w:color w:val="auto"/>
          <w:spacing w:val="20"/>
          <w:sz w:val="24"/>
          <w:szCs w:val="24"/>
        </w:rPr>
      </w:pPr>
      <w:r>
        <w:rPr>
          <w:rFonts w:hint="eastAsia"/>
          <w:bCs/>
          <w:color w:val="auto"/>
          <w:spacing w:val="20"/>
          <w:sz w:val="24"/>
          <w:szCs w:val="24"/>
        </w:rPr>
        <w:t>6.2.4合同解除后，委托人应按照合同约定向咨询人支付已完成部分的咨询服务酬金。</w:t>
      </w:r>
    </w:p>
    <w:p>
      <w:pPr>
        <w:spacing w:before="36" w:line="560" w:lineRule="exact"/>
        <w:ind w:left="120" w:firstLine="465"/>
        <w:rPr>
          <w:bCs/>
          <w:color w:val="auto"/>
          <w:spacing w:val="20"/>
          <w:sz w:val="24"/>
          <w:szCs w:val="24"/>
        </w:rPr>
      </w:pPr>
      <w:r>
        <w:rPr>
          <w:rFonts w:hint="eastAsia"/>
          <w:bCs/>
          <w:color w:val="auto"/>
          <w:spacing w:val="20"/>
          <w:sz w:val="24"/>
          <w:szCs w:val="24"/>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pPr>
        <w:spacing w:line="560" w:lineRule="exact"/>
        <w:ind w:firstLine="700" w:firstLineChars="250"/>
        <w:rPr>
          <w:bCs/>
          <w:color w:val="auto"/>
          <w:spacing w:val="20"/>
          <w:sz w:val="24"/>
          <w:szCs w:val="24"/>
        </w:rPr>
      </w:pPr>
      <w:bookmarkStart w:id="203" w:name="_bookmark14"/>
      <w:bookmarkEnd w:id="203"/>
      <w:bookmarkStart w:id="204" w:name="_bookmark13"/>
      <w:bookmarkEnd w:id="204"/>
      <w:r>
        <w:rPr>
          <w:rFonts w:hint="eastAsia"/>
          <w:bCs/>
          <w:color w:val="auto"/>
          <w:spacing w:val="20"/>
          <w:sz w:val="24"/>
          <w:szCs w:val="24"/>
        </w:rPr>
        <w:t>6.2.5本合同解除后，本合同约定的有关结算、争议解决方式的条款仍然有效。</w:t>
      </w:r>
    </w:p>
    <w:p>
      <w:pPr>
        <w:spacing w:line="560" w:lineRule="exact"/>
        <w:ind w:left="3" w:right="1006" w:hanging="3"/>
        <w:rPr>
          <w:bCs/>
          <w:color w:val="auto"/>
          <w:spacing w:val="20"/>
          <w:sz w:val="24"/>
          <w:szCs w:val="24"/>
        </w:rPr>
      </w:pPr>
      <w:r>
        <w:rPr>
          <w:rFonts w:hint="eastAsia"/>
          <w:bCs/>
          <w:color w:val="auto"/>
          <w:spacing w:val="20"/>
          <w:sz w:val="24"/>
          <w:szCs w:val="24"/>
        </w:rPr>
        <w:t>6.3 合同终止</w:t>
      </w:r>
    </w:p>
    <w:p>
      <w:pPr>
        <w:spacing w:line="560" w:lineRule="exact"/>
        <w:ind w:left="602" w:right="1006" w:hanging="3"/>
        <w:rPr>
          <w:bCs/>
          <w:color w:val="auto"/>
          <w:spacing w:val="20"/>
          <w:sz w:val="24"/>
          <w:szCs w:val="24"/>
        </w:rPr>
      </w:pPr>
      <w:r>
        <w:rPr>
          <w:rFonts w:hint="eastAsia"/>
          <w:bCs/>
          <w:color w:val="auto"/>
          <w:spacing w:val="20"/>
          <w:sz w:val="24"/>
          <w:szCs w:val="24"/>
        </w:rPr>
        <w:t>除合同解除外，以下条件全部满足时，本合同终止：</w:t>
      </w:r>
    </w:p>
    <w:p>
      <w:pPr>
        <w:spacing w:before="34" w:line="560" w:lineRule="exact"/>
        <w:ind w:left="480"/>
        <w:rPr>
          <w:bCs/>
          <w:color w:val="auto"/>
          <w:spacing w:val="20"/>
          <w:sz w:val="24"/>
          <w:szCs w:val="24"/>
        </w:rPr>
      </w:pPr>
      <w:r>
        <w:rPr>
          <w:rFonts w:hint="eastAsia"/>
          <w:bCs/>
          <w:color w:val="auto"/>
          <w:spacing w:val="20"/>
          <w:sz w:val="24"/>
          <w:szCs w:val="24"/>
        </w:rPr>
        <w:t>（1）咨询人完成本合同约定的全部工作；</w:t>
      </w:r>
    </w:p>
    <w:p>
      <w:pPr>
        <w:spacing w:line="560" w:lineRule="exact"/>
        <w:ind w:left="480"/>
        <w:rPr>
          <w:bCs/>
          <w:color w:val="auto"/>
          <w:spacing w:val="20"/>
          <w:sz w:val="24"/>
          <w:szCs w:val="24"/>
        </w:rPr>
      </w:pPr>
      <w:r>
        <w:rPr>
          <w:rFonts w:hint="eastAsia"/>
          <w:bCs/>
          <w:color w:val="auto"/>
          <w:spacing w:val="20"/>
          <w:sz w:val="24"/>
          <w:szCs w:val="24"/>
        </w:rPr>
        <w:t>（2）委托人与咨询人结清并支付酬金；</w:t>
      </w:r>
    </w:p>
    <w:p>
      <w:pPr>
        <w:spacing w:line="560" w:lineRule="exact"/>
        <w:ind w:right="-52" w:firstLine="280" w:firstLineChars="100"/>
        <w:rPr>
          <w:bCs/>
          <w:color w:val="auto"/>
          <w:spacing w:val="20"/>
          <w:sz w:val="24"/>
          <w:szCs w:val="24"/>
        </w:rPr>
      </w:pPr>
      <w:r>
        <w:rPr>
          <w:rFonts w:hint="eastAsia"/>
          <w:bCs/>
          <w:color w:val="auto"/>
          <w:spacing w:val="20"/>
          <w:sz w:val="24"/>
          <w:szCs w:val="24"/>
        </w:rPr>
        <w:t>（3）咨询人将委托人提供的资料交还。</w:t>
      </w:r>
    </w:p>
    <w:p>
      <w:pPr>
        <w:spacing w:line="560" w:lineRule="exact"/>
        <w:ind w:right="3766" w:firstLine="280" w:firstLineChars="100"/>
        <w:rPr>
          <w:bCs/>
          <w:color w:val="auto"/>
          <w:spacing w:val="20"/>
          <w:sz w:val="24"/>
          <w:szCs w:val="24"/>
        </w:rPr>
      </w:pPr>
      <w:r>
        <w:rPr>
          <w:rFonts w:hint="eastAsia"/>
          <w:bCs/>
          <w:color w:val="auto"/>
          <w:spacing w:val="20"/>
          <w:sz w:val="24"/>
          <w:szCs w:val="24"/>
        </w:rPr>
        <w:t>7.争议解决</w:t>
      </w:r>
    </w:p>
    <w:p>
      <w:pPr>
        <w:spacing w:before="36" w:line="560" w:lineRule="exact"/>
        <w:ind w:right="506" w:firstLine="420" w:firstLineChars="150"/>
        <w:rPr>
          <w:bCs/>
          <w:color w:val="auto"/>
          <w:spacing w:val="20"/>
          <w:sz w:val="24"/>
          <w:szCs w:val="24"/>
        </w:rPr>
      </w:pPr>
      <w:r>
        <w:rPr>
          <w:rFonts w:hint="eastAsia"/>
          <w:bCs/>
          <w:color w:val="auto"/>
          <w:spacing w:val="20"/>
          <w:sz w:val="24"/>
          <w:szCs w:val="24"/>
        </w:rPr>
        <w:t>7.1协商</w:t>
      </w:r>
    </w:p>
    <w:p>
      <w:pPr>
        <w:spacing w:before="36" w:line="560" w:lineRule="exact"/>
        <w:ind w:right="506" w:firstLine="420" w:firstLineChars="150"/>
        <w:rPr>
          <w:bCs/>
          <w:color w:val="auto"/>
          <w:spacing w:val="20"/>
          <w:sz w:val="24"/>
          <w:szCs w:val="24"/>
        </w:rPr>
      </w:pPr>
      <w:r>
        <w:rPr>
          <w:rFonts w:hint="eastAsia"/>
          <w:bCs/>
          <w:color w:val="auto"/>
          <w:spacing w:val="20"/>
          <w:sz w:val="24"/>
          <w:szCs w:val="24"/>
        </w:rPr>
        <w:t>双方应本着诚实信用的原则协商解决本合同履行过程中发生的争议。</w:t>
      </w:r>
    </w:p>
    <w:p>
      <w:pPr>
        <w:spacing w:before="36" w:line="560" w:lineRule="exact"/>
        <w:ind w:right="506" w:firstLine="420" w:firstLineChars="150"/>
        <w:rPr>
          <w:bCs/>
          <w:color w:val="auto"/>
          <w:spacing w:val="20"/>
          <w:sz w:val="24"/>
          <w:szCs w:val="24"/>
        </w:rPr>
      </w:pPr>
      <w:r>
        <w:rPr>
          <w:rFonts w:hint="eastAsia"/>
          <w:bCs/>
          <w:color w:val="auto"/>
          <w:spacing w:val="20"/>
          <w:sz w:val="24"/>
          <w:szCs w:val="24"/>
        </w:rPr>
        <w:t>7.2调解如果双方不能在14日内或双方商定的其他时间内解决本合同争议，可以将其提交给专用条件约定的或事后达成协议的调解人进行调解。</w:t>
      </w:r>
    </w:p>
    <w:p>
      <w:pPr>
        <w:spacing w:before="49" w:line="560" w:lineRule="exact"/>
        <w:ind w:firstLine="280" w:firstLineChars="100"/>
        <w:rPr>
          <w:bCs/>
          <w:color w:val="auto"/>
          <w:spacing w:val="20"/>
          <w:sz w:val="24"/>
          <w:szCs w:val="24"/>
        </w:rPr>
      </w:pPr>
      <w:r>
        <w:rPr>
          <w:rFonts w:hint="eastAsia"/>
          <w:bCs/>
          <w:color w:val="auto"/>
          <w:spacing w:val="20"/>
          <w:sz w:val="24"/>
          <w:szCs w:val="24"/>
        </w:rPr>
        <w:t>7.3仲裁或诉讼</w:t>
      </w:r>
    </w:p>
    <w:p>
      <w:pPr>
        <w:spacing w:before="49" w:line="560" w:lineRule="exact"/>
        <w:ind w:firstLine="420" w:firstLineChars="150"/>
        <w:rPr>
          <w:bCs/>
          <w:color w:val="auto"/>
          <w:spacing w:val="20"/>
          <w:sz w:val="24"/>
          <w:szCs w:val="24"/>
        </w:rPr>
      </w:pPr>
      <w:r>
        <w:rPr>
          <w:rFonts w:hint="eastAsia"/>
          <w:bCs/>
          <w:color w:val="auto"/>
          <w:spacing w:val="20"/>
          <w:sz w:val="24"/>
          <w:szCs w:val="24"/>
        </w:rPr>
        <w:t>双方均有权不经调解直接向专用条件约定的仲裁机构申请仲裁或向有管辖权的人民法院提起诉讼。</w:t>
      </w:r>
    </w:p>
    <w:p>
      <w:pPr>
        <w:spacing w:before="34" w:line="560" w:lineRule="exact"/>
        <w:ind w:right="5087"/>
        <w:rPr>
          <w:bCs/>
          <w:color w:val="auto"/>
          <w:spacing w:val="20"/>
          <w:sz w:val="24"/>
          <w:szCs w:val="24"/>
        </w:rPr>
      </w:pPr>
      <w:r>
        <w:rPr>
          <w:rFonts w:hint="eastAsia"/>
          <w:bCs/>
          <w:color w:val="auto"/>
          <w:spacing w:val="2"/>
          <w:sz w:val="24"/>
          <w:szCs w:val="24"/>
        </w:rPr>
        <w:t>8</w:t>
      </w:r>
      <w:r>
        <w:rPr>
          <w:rFonts w:hint="eastAsia"/>
          <w:bCs/>
          <w:color w:val="auto"/>
          <w:spacing w:val="-3"/>
          <w:sz w:val="24"/>
          <w:szCs w:val="24"/>
        </w:rPr>
        <w:t>.</w:t>
      </w:r>
      <w:r>
        <w:rPr>
          <w:rFonts w:hint="eastAsia"/>
          <w:bCs/>
          <w:color w:val="auto"/>
          <w:spacing w:val="20"/>
          <w:sz w:val="24"/>
          <w:szCs w:val="24"/>
        </w:rPr>
        <w:t>其他</w:t>
      </w:r>
    </w:p>
    <w:p>
      <w:pPr>
        <w:spacing w:before="94" w:line="560" w:lineRule="exact"/>
        <w:ind w:firstLine="560" w:firstLineChars="200"/>
        <w:rPr>
          <w:bCs/>
          <w:color w:val="auto"/>
          <w:spacing w:val="20"/>
          <w:sz w:val="24"/>
          <w:szCs w:val="24"/>
        </w:rPr>
      </w:pPr>
      <w:r>
        <w:rPr>
          <w:rFonts w:hint="eastAsia"/>
          <w:bCs/>
          <w:color w:val="auto"/>
          <w:spacing w:val="20"/>
          <w:sz w:val="24"/>
          <w:szCs w:val="24"/>
        </w:rPr>
        <w:t>8.1考察及相关费用</w:t>
      </w:r>
    </w:p>
    <w:p>
      <w:pPr>
        <w:spacing w:before="94" w:line="560" w:lineRule="exact"/>
        <w:ind w:firstLine="560" w:firstLineChars="200"/>
        <w:rPr>
          <w:bCs/>
          <w:color w:val="auto"/>
          <w:spacing w:val="20"/>
          <w:sz w:val="24"/>
          <w:szCs w:val="24"/>
        </w:rPr>
      </w:pPr>
      <w:r>
        <w:rPr>
          <w:rFonts w:hint="eastAsia"/>
          <w:bCs/>
          <w:color w:val="auto"/>
          <w:spacing w:val="20"/>
          <w:sz w:val="24"/>
          <w:szCs w:val="24"/>
        </w:rPr>
        <w:t>除专用条件另有约定外，咨询人经委托人同意进行考察发生的费用由委托人审核后另行支付。差旅费及相关费用的承担由双方在专用条件中约定。</w:t>
      </w:r>
    </w:p>
    <w:p>
      <w:pPr>
        <w:spacing w:before="94" w:line="560" w:lineRule="exact"/>
        <w:ind w:firstLine="560" w:firstLineChars="200"/>
        <w:rPr>
          <w:bCs/>
          <w:color w:val="auto"/>
          <w:spacing w:val="20"/>
          <w:sz w:val="24"/>
          <w:szCs w:val="24"/>
        </w:rPr>
      </w:pPr>
      <w:r>
        <w:rPr>
          <w:rFonts w:hint="eastAsia"/>
          <w:bCs/>
          <w:color w:val="auto"/>
          <w:spacing w:val="20"/>
          <w:sz w:val="24"/>
          <w:szCs w:val="24"/>
        </w:rPr>
        <w:t>8.2奖励对于咨询人在服务过程中提出合理化建议，使委托人获得效益的，双方在专用条件中约定奖励金额的确定方法。奖励金额在合理化建议被采纳后，与最近一期的正常工作酬金同期支付。</w:t>
      </w:r>
    </w:p>
    <w:p>
      <w:pPr>
        <w:tabs>
          <w:tab w:val="left" w:pos="1020"/>
        </w:tabs>
        <w:spacing w:before="98" w:line="560" w:lineRule="exact"/>
        <w:ind w:left="-103" w:leftChars="-47" w:right="266" w:firstLine="700" w:firstLineChars="250"/>
        <w:rPr>
          <w:bCs/>
          <w:color w:val="auto"/>
          <w:spacing w:val="20"/>
          <w:sz w:val="24"/>
          <w:szCs w:val="24"/>
        </w:rPr>
      </w:pPr>
      <w:r>
        <w:rPr>
          <w:rFonts w:hint="eastAsia"/>
          <w:bCs/>
          <w:color w:val="auto"/>
          <w:spacing w:val="20"/>
          <w:sz w:val="24"/>
          <w:szCs w:val="24"/>
        </w:rPr>
        <w:t>8.3保密</w:t>
      </w:r>
    </w:p>
    <w:p>
      <w:pPr>
        <w:tabs>
          <w:tab w:val="left" w:pos="1020"/>
          <w:tab w:val="left" w:pos="8820"/>
        </w:tabs>
        <w:spacing w:before="98" w:line="560" w:lineRule="exact"/>
        <w:ind w:left="-13" w:leftChars="-6" w:right="-13" w:firstLine="504" w:firstLineChars="180"/>
        <w:rPr>
          <w:bCs/>
          <w:color w:val="auto"/>
          <w:spacing w:val="20"/>
          <w:sz w:val="24"/>
          <w:szCs w:val="24"/>
        </w:rPr>
      </w:pPr>
      <w:r>
        <w:rPr>
          <w:rFonts w:hint="eastAsia"/>
          <w:bCs/>
          <w:color w:val="auto"/>
          <w:spacing w:val="20"/>
          <w:sz w:val="24"/>
          <w:szCs w:val="24"/>
        </w:rPr>
        <w:t>在本合同履行期间或专用条件约定的期限内，双方不得泄露对方申明的保密资料，亦不得泄露与实施工程有关的第三人所提供的保密资料。保密事项在专用条件中约定。</w:t>
      </w:r>
    </w:p>
    <w:p>
      <w:pPr>
        <w:tabs>
          <w:tab w:val="left" w:pos="1140"/>
        </w:tabs>
        <w:spacing w:before="34" w:line="560" w:lineRule="exact"/>
        <w:ind w:firstLine="560" w:firstLineChars="200"/>
        <w:rPr>
          <w:bCs/>
          <w:color w:val="auto"/>
          <w:spacing w:val="20"/>
          <w:sz w:val="24"/>
          <w:szCs w:val="24"/>
        </w:rPr>
      </w:pPr>
      <w:r>
        <w:rPr>
          <w:rFonts w:hint="eastAsia"/>
          <w:bCs/>
          <w:color w:val="auto"/>
          <w:spacing w:val="20"/>
          <w:sz w:val="24"/>
          <w:szCs w:val="24"/>
        </w:rPr>
        <w:t>8.4联络</w:t>
      </w:r>
    </w:p>
    <w:p>
      <w:pPr>
        <w:spacing w:line="560" w:lineRule="exact"/>
        <w:ind w:firstLine="560" w:firstLineChars="200"/>
        <w:rPr>
          <w:bCs/>
          <w:color w:val="auto"/>
          <w:spacing w:val="20"/>
          <w:sz w:val="24"/>
          <w:szCs w:val="24"/>
        </w:rPr>
      </w:pPr>
      <w:bookmarkStart w:id="205" w:name="_bookmark15"/>
      <w:bookmarkEnd w:id="205"/>
      <w:r>
        <w:rPr>
          <w:rFonts w:hint="eastAsia"/>
          <w:bCs/>
          <w:color w:val="auto"/>
          <w:spacing w:val="20"/>
          <w:sz w:val="24"/>
          <w:szCs w:val="24"/>
        </w:rPr>
        <w:t>8.4.1与合同有关的通知、指示、要求、决定等，均应采用书面形式，并应在专用条件约定的期限内送达接收人和送达地点。</w:t>
      </w:r>
    </w:p>
    <w:p>
      <w:pPr>
        <w:spacing w:before="2" w:line="560" w:lineRule="exact"/>
        <w:rPr>
          <w:bCs/>
          <w:color w:val="auto"/>
          <w:sz w:val="24"/>
          <w:szCs w:val="24"/>
        </w:rPr>
      </w:pPr>
    </w:p>
    <w:p>
      <w:pPr>
        <w:spacing w:line="560" w:lineRule="exact"/>
        <w:ind w:left="120" w:firstLine="480"/>
        <w:rPr>
          <w:bCs/>
          <w:color w:val="auto"/>
          <w:spacing w:val="20"/>
          <w:sz w:val="24"/>
          <w:szCs w:val="24"/>
        </w:rPr>
      </w:pPr>
      <w:r>
        <w:rPr>
          <w:rFonts w:hint="eastAsia"/>
          <w:bCs/>
          <w:color w:val="auto"/>
          <w:spacing w:val="20"/>
          <w:sz w:val="24"/>
          <w:szCs w:val="24"/>
        </w:rPr>
        <w:t>8.4.2委托人和咨询人应在专用条件中约定各自的送达接收人、送达地点、电子邮箱。任何一方指定的接收人或送达地点或电子邮箱发生变动的，应提前3天以书面形式通知对方，否则视为未发生变动。</w:t>
      </w:r>
    </w:p>
    <w:p>
      <w:pPr>
        <w:spacing w:before="37" w:line="560" w:lineRule="exact"/>
        <w:ind w:left="120" w:right="1" w:firstLine="480"/>
        <w:rPr>
          <w:bCs/>
          <w:color w:val="auto"/>
          <w:spacing w:val="20"/>
          <w:sz w:val="24"/>
          <w:szCs w:val="24"/>
        </w:rPr>
      </w:pPr>
      <w:r>
        <w:rPr>
          <w:rFonts w:hint="eastAsia"/>
          <w:bCs/>
          <w:color w:val="auto"/>
          <w:spacing w:val="20"/>
          <w:sz w:val="24"/>
          <w:szCs w:val="24"/>
        </w:rPr>
        <w:t>8.4.3委托人和咨询人应当及时签收另一方送达至送达地点和指定接收人的往来函件，如确有充分证据证明一方无正当理由拒不签收的，视为认可往来函件的内容。</w:t>
      </w:r>
    </w:p>
    <w:p>
      <w:pPr>
        <w:spacing w:before="97" w:line="560" w:lineRule="exact"/>
        <w:ind w:firstLine="140" w:firstLineChars="50"/>
        <w:rPr>
          <w:bCs/>
          <w:color w:val="auto"/>
          <w:spacing w:val="20"/>
          <w:sz w:val="24"/>
          <w:szCs w:val="24"/>
        </w:rPr>
      </w:pPr>
      <w:r>
        <w:rPr>
          <w:rFonts w:hint="eastAsia"/>
          <w:bCs/>
          <w:color w:val="auto"/>
          <w:spacing w:val="20"/>
          <w:sz w:val="24"/>
          <w:szCs w:val="24"/>
        </w:rPr>
        <w:t>8.5知识产权</w:t>
      </w:r>
    </w:p>
    <w:p>
      <w:pPr>
        <w:spacing w:before="97" w:line="560" w:lineRule="exact"/>
        <w:ind w:firstLine="560" w:firstLineChars="200"/>
        <w:rPr>
          <w:bCs/>
          <w:color w:val="auto"/>
          <w:spacing w:val="20"/>
          <w:sz w:val="24"/>
          <w:szCs w:val="24"/>
        </w:rPr>
      </w:pPr>
      <w:r>
        <w:rPr>
          <w:rFonts w:hint="eastAsia"/>
          <w:bCs/>
          <w:color w:val="auto"/>
          <w:spacing w:val="20"/>
          <w:sz w:val="24"/>
          <w:szCs w:val="24"/>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spacing w:before="35" w:line="560" w:lineRule="exact"/>
        <w:ind w:left="120" w:firstLine="480"/>
        <w:rPr>
          <w:bCs/>
          <w:color w:val="auto"/>
          <w:spacing w:val="20"/>
          <w:sz w:val="24"/>
          <w:szCs w:val="24"/>
        </w:rPr>
      </w:pPr>
      <w:r>
        <w:rPr>
          <w:rFonts w:hint="eastAsia"/>
          <w:bCs/>
          <w:color w:val="auto"/>
          <w:spacing w:val="20"/>
          <w:sz w:val="24"/>
          <w:szCs w:val="24"/>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spacing w:before="37" w:line="560" w:lineRule="exact"/>
        <w:ind w:left="120" w:firstLine="480"/>
        <w:rPr>
          <w:bCs/>
          <w:color w:val="auto"/>
          <w:spacing w:val="20"/>
          <w:sz w:val="24"/>
          <w:szCs w:val="24"/>
        </w:rPr>
      </w:pPr>
      <w:r>
        <w:rPr>
          <w:rFonts w:hint="eastAsia"/>
          <w:bCs/>
          <w:color w:val="auto"/>
          <w:spacing w:val="20"/>
          <w:sz w:val="24"/>
          <w:szCs w:val="24"/>
        </w:rPr>
        <w:t>双方保证在履行本合同过程中不侵犯对方及第三方的知识产权。因咨询人侵犯他人知识产权所引起的责任，由咨询人承担；因委托人提供的基础资料导致侵权的，由委托人承担责任。</w:t>
      </w:r>
    </w:p>
    <w:p>
      <w:pPr>
        <w:spacing w:before="35" w:line="560" w:lineRule="exact"/>
        <w:ind w:left="120" w:right="266" w:firstLine="480"/>
        <w:rPr>
          <w:bCs/>
          <w:color w:val="auto"/>
          <w:spacing w:val="20"/>
          <w:sz w:val="24"/>
          <w:szCs w:val="24"/>
        </w:rPr>
      </w:pPr>
      <w:r>
        <w:rPr>
          <w:rFonts w:hint="eastAsia"/>
          <w:bCs/>
          <w:color w:val="auto"/>
          <w:spacing w:val="20"/>
          <w:sz w:val="24"/>
          <w:szCs w:val="24"/>
        </w:rPr>
        <w:t>除专用条件另有约定外，双方均有权在履行本合同保密义务并且不损害对方利益的情况下，将履行本合同形成的有关成果文件用于企业宣传、申报奖项以及接受上级主管部门的检查。</w:t>
      </w:r>
    </w:p>
    <w:bookmarkEnd w:id="195"/>
    <w:bookmarkEnd w:id="196"/>
    <w:p>
      <w:pPr>
        <w:rPr>
          <w:b/>
          <w:bCs/>
          <w:color w:val="auto"/>
          <w:kern w:val="44"/>
          <w:sz w:val="24"/>
          <w:szCs w:val="24"/>
        </w:rPr>
      </w:pPr>
      <w:bookmarkStart w:id="206" w:name="_Toc422322558"/>
      <w:bookmarkStart w:id="207" w:name="_Toc419045127"/>
      <w:r>
        <w:rPr>
          <w:rFonts w:hint="eastAsia"/>
          <w:b/>
          <w:bCs/>
          <w:color w:val="auto"/>
          <w:kern w:val="44"/>
          <w:sz w:val="24"/>
          <w:szCs w:val="24"/>
        </w:rPr>
        <w:br w:type="page"/>
      </w:r>
    </w:p>
    <w:p>
      <w:pPr>
        <w:pStyle w:val="2"/>
        <w:rPr>
          <w:color w:val="auto"/>
          <w:sz w:val="24"/>
          <w:szCs w:val="24"/>
        </w:rPr>
      </w:pPr>
    </w:p>
    <w:p>
      <w:pPr>
        <w:keepNext/>
        <w:keepLines/>
        <w:spacing w:before="120" w:after="120" w:line="560" w:lineRule="exact"/>
        <w:jc w:val="center"/>
        <w:outlineLvl w:val="0"/>
        <w:rPr>
          <w:b/>
          <w:bCs/>
          <w:color w:val="auto"/>
          <w:kern w:val="44"/>
          <w:sz w:val="24"/>
          <w:szCs w:val="24"/>
        </w:rPr>
      </w:pPr>
      <w:bookmarkStart w:id="208" w:name="_Toc2465"/>
      <w:r>
        <w:rPr>
          <w:rFonts w:hint="eastAsia"/>
          <w:b/>
          <w:bCs/>
          <w:color w:val="auto"/>
          <w:kern w:val="44"/>
          <w:sz w:val="24"/>
          <w:szCs w:val="24"/>
        </w:rPr>
        <w:t>第三部分　专用条件</w:t>
      </w:r>
      <w:bookmarkEnd w:id="208"/>
    </w:p>
    <w:p>
      <w:pPr>
        <w:spacing w:line="560" w:lineRule="exact"/>
        <w:rPr>
          <w:bCs/>
          <w:color w:val="auto"/>
          <w:spacing w:val="20"/>
          <w:sz w:val="24"/>
          <w:szCs w:val="24"/>
        </w:rPr>
      </w:pPr>
      <w:r>
        <w:rPr>
          <w:rFonts w:hint="eastAsia"/>
          <w:bCs/>
          <w:color w:val="auto"/>
          <w:spacing w:val="20"/>
          <w:sz w:val="24"/>
          <w:szCs w:val="24"/>
        </w:rPr>
        <w:t>1.词语定义、语言、解释顺序与适用法律</w:t>
      </w:r>
    </w:p>
    <w:p>
      <w:pPr>
        <w:spacing w:line="560" w:lineRule="exact"/>
        <w:rPr>
          <w:bCs/>
          <w:color w:val="auto"/>
          <w:spacing w:val="20"/>
          <w:sz w:val="24"/>
          <w:szCs w:val="24"/>
        </w:rPr>
      </w:pPr>
      <w:r>
        <w:rPr>
          <w:rFonts w:hint="eastAsia"/>
          <w:bCs/>
          <w:color w:val="auto"/>
          <w:spacing w:val="20"/>
          <w:sz w:val="24"/>
          <w:szCs w:val="24"/>
        </w:rPr>
        <w:t>1.2 语言</w:t>
      </w:r>
    </w:p>
    <w:p>
      <w:pPr>
        <w:spacing w:line="560" w:lineRule="exact"/>
        <w:rPr>
          <w:bCs/>
          <w:color w:val="auto"/>
          <w:spacing w:val="20"/>
          <w:sz w:val="24"/>
          <w:szCs w:val="24"/>
        </w:rPr>
      </w:pPr>
      <w:r>
        <w:rPr>
          <w:rFonts w:hint="eastAsia"/>
          <w:bCs/>
          <w:color w:val="auto"/>
          <w:spacing w:val="20"/>
          <w:sz w:val="24"/>
          <w:szCs w:val="24"/>
        </w:rPr>
        <w:t xml:space="preserve">    本合同文件除使用中文外，还可用</w:t>
      </w:r>
      <w:r>
        <w:rPr>
          <w:rFonts w:hint="eastAsia"/>
          <w:bCs/>
          <w:color w:val="auto"/>
          <w:spacing w:val="20"/>
          <w:sz w:val="24"/>
          <w:szCs w:val="24"/>
          <w:u w:val="single"/>
        </w:rPr>
        <w:t xml:space="preserve">   /    </w:t>
      </w:r>
      <w:r>
        <w:rPr>
          <w:rFonts w:hint="eastAsia"/>
          <w:bCs/>
          <w:color w:val="auto"/>
          <w:spacing w:val="20"/>
          <w:sz w:val="24"/>
          <w:szCs w:val="24"/>
        </w:rPr>
        <w:t>。</w:t>
      </w:r>
    </w:p>
    <w:p>
      <w:pPr>
        <w:spacing w:line="560" w:lineRule="exact"/>
        <w:rPr>
          <w:bCs/>
          <w:color w:val="auto"/>
          <w:spacing w:val="20"/>
          <w:sz w:val="24"/>
          <w:szCs w:val="24"/>
        </w:rPr>
      </w:pPr>
      <w:r>
        <w:rPr>
          <w:rFonts w:hint="eastAsia"/>
          <w:bCs/>
          <w:color w:val="auto"/>
          <w:spacing w:val="20"/>
          <w:sz w:val="24"/>
          <w:szCs w:val="24"/>
        </w:rPr>
        <w:t>1.3合同文件的优先顺序</w:t>
      </w:r>
    </w:p>
    <w:p>
      <w:pPr>
        <w:spacing w:line="560" w:lineRule="exact"/>
        <w:rPr>
          <w:bCs/>
          <w:color w:val="auto"/>
          <w:spacing w:val="20"/>
          <w:sz w:val="24"/>
          <w:szCs w:val="24"/>
        </w:rPr>
      </w:pPr>
      <w:r>
        <w:rPr>
          <w:rFonts w:hint="eastAsia"/>
          <w:bCs/>
          <w:color w:val="auto"/>
          <w:spacing w:val="20"/>
          <w:sz w:val="24"/>
          <w:szCs w:val="24"/>
        </w:rPr>
        <w:t xml:space="preserve">    本合同文件的解释顺序为：按通用条款1.3规定。</w:t>
      </w:r>
    </w:p>
    <w:p>
      <w:pPr>
        <w:spacing w:line="560" w:lineRule="exact"/>
        <w:rPr>
          <w:bCs/>
          <w:color w:val="auto"/>
          <w:spacing w:val="20"/>
          <w:sz w:val="24"/>
          <w:szCs w:val="24"/>
        </w:rPr>
      </w:pPr>
      <w:r>
        <w:rPr>
          <w:rFonts w:hint="eastAsia"/>
          <w:bCs/>
          <w:color w:val="auto"/>
          <w:spacing w:val="20"/>
          <w:sz w:val="24"/>
          <w:szCs w:val="24"/>
        </w:rPr>
        <w:t>1.4适用法律</w:t>
      </w:r>
    </w:p>
    <w:p>
      <w:pPr>
        <w:spacing w:line="560" w:lineRule="exact"/>
        <w:rPr>
          <w:bCs/>
          <w:color w:val="auto"/>
          <w:spacing w:val="20"/>
          <w:sz w:val="24"/>
          <w:szCs w:val="24"/>
        </w:rPr>
      </w:pPr>
      <w:r>
        <w:rPr>
          <w:rFonts w:hint="eastAsia"/>
          <w:bCs/>
          <w:color w:val="auto"/>
          <w:spacing w:val="20"/>
          <w:sz w:val="24"/>
          <w:szCs w:val="24"/>
        </w:rPr>
        <w:t xml:space="preserve"> 本合同适用的其他规范性文件包括: 按通用条款1.4规定。</w:t>
      </w:r>
    </w:p>
    <w:p>
      <w:pPr>
        <w:spacing w:line="560" w:lineRule="exact"/>
        <w:rPr>
          <w:bCs/>
          <w:color w:val="auto"/>
          <w:spacing w:val="20"/>
          <w:sz w:val="24"/>
          <w:szCs w:val="24"/>
        </w:rPr>
      </w:pPr>
      <w:r>
        <w:rPr>
          <w:rFonts w:hint="eastAsia"/>
          <w:bCs/>
          <w:color w:val="auto"/>
          <w:spacing w:val="20"/>
          <w:sz w:val="24"/>
          <w:szCs w:val="24"/>
        </w:rPr>
        <w:t>2.委托人的义务</w:t>
      </w:r>
    </w:p>
    <w:p>
      <w:pPr>
        <w:spacing w:line="560" w:lineRule="exact"/>
        <w:rPr>
          <w:bCs/>
          <w:color w:val="auto"/>
          <w:spacing w:val="20"/>
          <w:sz w:val="24"/>
          <w:szCs w:val="24"/>
        </w:rPr>
      </w:pPr>
      <w:r>
        <w:rPr>
          <w:rFonts w:hint="eastAsia"/>
          <w:bCs/>
          <w:color w:val="auto"/>
          <w:spacing w:val="20"/>
          <w:sz w:val="24"/>
          <w:szCs w:val="24"/>
        </w:rPr>
        <w:t>2.1提供资料</w:t>
      </w:r>
    </w:p>
    <w:p>
      <w:pPr>
        <w:spacing w:line="560" w:lineRule="exact"/>
        <w:rPr>
          <w:bCs/>
          <w:color w:val="auto"/>
          <w:spacing w:val="20"/>
          <w:sz w:val="24"/>
          <w:szCs w:val="24"/>
          <w:u w:val="single"/>
        </w:rPr>
      </w:pPr>
      <w:r>
        <w:rPr>
          <w:rFonts w:hint="eastAsia"/>
          <w:bCs/>
          <w:color w:val="auto"/>
          <w:spacing w:val="20"/>
          <w:sz w:val="24"/>
          <w:szCs w:val="24"/>
        </w:rPr>
        <w:t xml:space="preserve">委托人按照附录C约定无偿向咨询人提供与本合同咨询业务有关资料。 </w:t>
      </w:r>
    </w:p>
    <w:p>
      <w:pPr>
        <w:spacing w:line="560" w:lineRule="exact"/>
        <w:rPr>
          <w:bCs/>
          <w:color w:val="auto"/>
          <w:spacing w:val="20"/>
          <w:sz w:val="24"/>
          <w:szCs w:val="24"/>
        </w:rPr>
      </w:pPr>
      <w:r>
        <w:rPr>
          <w:rFonts w:hint="eastAsia"/>
          <w:bCs/>
          <w:color w:val="auto"/>
          <w:spacing w:val="20"/>
          <w:sz w:val="24"/>
          <w:szCs w:val="24"/>
        </w:rPr>
        <w:t>2.2提供工作条件</w:t>
      </w:r>
    </w:p>
    <w:p>
      <w:pPr>
        <w:spacing w:line="560" w:lineRule="exact"/>
        <w:rPr>
          <w:bCs/>
          <w:color w:val="auto"/>
          <w:spacing w:val="20"/>
          <w:sz w:val="24"/>
          <w:szCs w:val="24"/>
        </w:rPr>
      </w:pPr>
      <w:r>
        <w:rPr>
          <w:rFonts w:hint="eastAsia"/>
          <w:bCs/>
          <w:color w:val="auto"/>
          <w:spacing w:val="20"/>
          <w:sz w:val="24"/>
          <w:szCs w:val="24"/>
        </w:rPr>
        <w:t>2.2.1项目咨询人员使用中由委托人提供的房屋及设备，支付使用费的标准为：</w:t>
      </w:r>
      <w:r>
        <w:rPr>
          <w:rFonts w:hint="eastAsia"/>
          <w:bCs/>
          <w:color w:val="auto"/>
          <w:spacing w:val="20"/>
          <w:sz w:val="24"/>
          <w:szCs w:val="24"/>
          <w:u w:val="single"/>
        </w:rPr>
        <w:t xml:space="preserve">   /  </w:t>
      </w:r>
      <w:r>
        <w:rPr>
          <w:rFonts w:hint="eastAsia"/>
          <w:bCs/>
          <w:color w:val="auto"/>
          <w:spacing w:val="20"/>
          <w:sz w:val="24"/>
          <w:szCs w:val="24"/>
        </w:rPr>
        <w:t>。</w:t>
      </w:r>
      <w:r>
        <w:rPr>
          <w:rFonts w:hint="eastAsia"/>
          <w:bCs/>
          <w:color w:val="auto"/>
          <w:spacing w:val="20"/>
          <w:sz w:val="24"/>
          <w:szCs w:val="24"/>
          <w:u w:val="single"/>
        </w:rPr>
        <w:t xml:space="preserve"> </w:t>
      </w:r>
    </w:p>
    <w:p>
      <w:pPr>
        <w:spacing w:line="560" w:lineRule="exact"/>
        <w:rPr>
          <w:bCs/>
          <w:color w:val="auto"/>
          <w:spacing w:val="20"/>
          <w:sz w:val="24"/>
          <w:szCs w:val="24"/>
        </w:rPr>
      </w:pPr>
      <w:r>
        <w:rPr>
          <w:rFonts w:hint="eastAsia"/>
          <w:bCs/>
          <w:color w:val="auto"/>
          <w:spacing w:val="20"/>
          <w:sz w:val="24"/>
          <w:szCs w:val="24"/>
        </w:rPr>
        <w:t>2.4委托人代表</w:t>
      </w:r>
    </w:p>
    <w:p>
      <w:pPr>
        <w:spacing w:line="560" w:lineRule="exact"/>
        <w:rPr>
          <w:bCs/>
          <w:color w:val="auto"/>
          <w:spacing w:val="20"/>
          <w:sz w:val="24"/>
          <w:szCs w:val="24"/>
        </w:rPr>
      </w:pPr>
      <w:r>
        <w:rPr>
          <w:rFonts w:hint="eastAsia"/>
          <w:bCs/>
          <w:color w:val="auto"/>
          <w:spacing w:val="20"/>
          <w:sz w:val="24"/>
          <w:szCs w:val="24"/>
        </w:rPr>
        <w:t xml:space="preserve">    委托人代表为：</w:t>
      </w:r>
      <w:r>
        <w:rPr>
          <w:rFonts w:hint="eastAsia"/>
          <w:bCs/>
          <w:color w:val="auto"/>
          <w:spacing w:val="20"/>
          <w:sz w:val="24"/>
          <w:szCs w:val="24"/>
          <w:u w:val="single"/>
        </w:rPr>
        <w:t xml:space="preserve">      </w:t>
      </w:r>
      <w:r>
        <w:rPr>
          <w:rFonts w:hint="eastAsia"/>
          <w:bCs/>
          <w:color w:val="auto"/>
          <w:spacing w:val="20"/>
          <w:sz w:val="24"/>
          <w:szCs w:val="24"/>
        </w:rPr>
        <w:t>，其权限范围：</w:t>
      </w:r>
      <w:r>
        <w:rPr>
          <w:rFonts w:hint="eastAsia"/>
          <w:bCs/>
          <w:color w:val="auto"/>
          <w:spacing w:val="20"/>
          <w:sz w:val="24"/>
          <w:szCs w:val="24"/>
          <w:u w:val="single"/>
        </w:rPr>
        <w:t>按照招投标文件确定</w:t>
      </w:r>
      <w:r>
        <w:rPr>
          <w:rFonts w:hint="eastAsia"/>
          <w:bCs/>
          <w:color w:val="auto"/>
          <w:spacing w:val="20"/>
          <w:sz w:val="24"/>
          <w:szCs w:val="24"/>
        </w:rPr>
        <w:t>。</w:t>
      </w:r>
    </w:p>
    <w:p>
      <w:pPr>
        <w:spacing w:line="560" w:lineRule="exact"/>
        <w:rPr>
          <w:bCs/>
          <w:color w:val="auto"/>
          <w:spacing w:val="20"/>
          <w:sz w:val="24"/>
          <w:szCs w:val="24"/>
        </w:rPr>
      </w:pPr>
      <w:r>
        <w:rPr>
          <w:rFonts w:hint="eastAsia"/>
          <w:bCs/>
          <w:color w:val="auto"/>
          <w:spacing w:val="20"/>
          <w:sz w:val="24"/>
          <w:szCs w:val="24"/>
        </w:rPr>
        <w:t>2.5答复</w:t>
      </w:r>
    </w:p>
    <w:p>
      <w:pPr>
        <w:spacing w:line="560" w:lineRule="exact"/>
        <w:rPr>
          <w:bCs/>
          <w:color w:val="auto"/>
          <w:spacing w:val="20"/>
          <w:sz w:val="24"/>
          <w:szCs w:val="24"/>
        </w:rPr>
      </w:pPr>
      <w:r>
        <w:rPr>
          <w:rFonts w:hint="eastAsia"/>
          <w:bCs/>
          <w:color w:val="auto"/>
          <w:spacing w:val="20"/>
          <w:sz w:val="24"/>
          <w:szCs w:val="24"/>
        </w:rPr>
        <w:t xml:space="preserve">    委托人同意在</w:t>
      </w:r>
      <w:r>
        <w:rPr>
          <w:rFonts w:hint="eastAsia"/>
          <w:bCs/>
          <w:color w:val="auto"/>
          <w:spacing w:val="20"/>
          <w:sz w:val="24"/>
          <w:szCs w:val="24"/>
          <w:u w:val="single"/>
        </w:rPr>
        <w:t xml:space="preserve">  7  </w:t>
      </w:r>
      <w:r>
        <w:rPr>
          <w:rFonts w:hint="eastAsia"/>
          <w:bCs/>
          <w:color w:val="auto"/>
          <w:spacing w:val="20"/>
          <w:sz w:val="24"/>
          <w:szCs w:val="24"/>
        </w:rPr>
        <w:t>日内，对咨询人书面提交并要求做出决定的事宜给予书面答复。逾期未答复的，视为委托人认可。</w:t>
      </w:r>
    </w:p>
    <w:p>
      <w:pPr>
        <w:spacing w:line="560" w:lineRule="exact"/>
        <w:rPr>
          <w:bCs/>
          <w:color w:val="auto"/>
          <w:spacing w:val="20"/>
          <w:sz w:val="24"/>
          <w:szCs w:val="24"/>
        </w:rPr>
      </w:pPr>
      <w:r>
        <w:rPr>
          <w:rFonts w:hint="eastAsia"/>
          <w:bCs/>
          <w:color w:val="auto"/>
          <w:spacing w:val="20"/>
          <w:sz w:val="24"/>
          <w:szCs w:val="24"/>
        </w:rPr>
        <w:t>3.咨询人的义务</w:t>
      </w:r>
    </w:p>
    <w:p>
      <w:pPr>
        <w:spacing w:line="560" w:lineRule="exact"/>
        <w:rPr>
          <w:bCs/>
          <w:color w:val="auto"/>
          <w:spacing w:val="20"/>
          <w:sz w:val="24"/>
          <w:szCs w:val="24"/>
        </w:rPr>
      </w:pPr>
      <w:r>
        <w:rPr>
          <w:rFonts w:hint="eastAsia"/>
          <w:bCs/>
          <w:color w:val="auto"/>
          <w:spacing w:val="20"/>
          <w:sz w:val="24"/>
          <w:szCs w:val="24"/>
        </w:rPr>
        <w:t>3.1项目咨询团队及人员</w:t>
      </w:r>
    </w:p>
    <w:p>
      <w:pPr>
        <w:spacing w:line="560" w:lineRule="exact"/>
        <w:rPr>
          <w:bCs/>
          <w:color w:val="auto"/>
          <w:spacing w:val="20"/>
          <w:sz w:val="24"/>
          <w:szCs w:val="24"/>
        </w:rPr>
      </w:pPr>
      <w:r>
        <w:rPr>
          <w:rFonts w:hint="eastAsia"/>
          <w:bCs/>
          <w:color w:val="auto"/>
          <w:spacing w:val="20"/>
          <w:sz w:val="24"/>
          <w:szCs w:val="24"/>
        </w:rPr>
        <w:t xml:space="preserve">    3.1.1项目咨询团队的主要人员应具有造价工程师执业资格条件</w:t>
      </w:r>
      <w:r>
        <w:rPr>
          <w:rFonts w:hint="eastAsia"/>
          <w:bCs/>
          <w:color w:val="auto"/>
          <w:spacing w:val="20"/>
          <w:sz w:val="24"/>
          <w:szCs w:val="24"/>
          <w:u w:val="single"/>
        </w:rPr>
        <w:t xml:space="preserve">   </w:t>
      </w:r>
      <w:r>
        <w:rPr>
          <w:rFonts w:hint="eastAsia"/>
          <w:bCs/>
          <w:color w:val="auto"/>
          <w:spacing w:val="20"/>
          <w:sz w:val="24"/>
          <w:szCs w:val="24"/>
          <w:u w:val="single"/>
          <w:lang w:val="en-US"/>
        </w:rPr>
        <w:t>8</w:t>
      </w:r>
      <w:r>
        <w:rPr>
          <w:rFonts w:hint="eastAsia"/>
          <w:bCs/>
          <w:color w:val="auto"/>
          <w:spacing w:val="20"/>
          <w:sz w:val="24"/>
          <w:szCs w:val="24"/>
          <w:u w:val="single"/>
        </w:rPr>
        <w:t xml:space="preserve"> 人</w:t>
      </w:r>
      <w:r>
        <w:rPr>
          <w:rFonts w:hint="eastAsia"/>
          <w:bCs/>
          <w:color w:val="auto"/>
          <w:spacing w:val="20"/>
          <w:sz w:val="24"/>
          <w:szCs w:val="24"/>
        </w:rPr>
        <w:t>，团队人员的数量为</w:t>
      </w:r>
      <w:r>
        <w:rPr>
          <w:rFonts w:hint="eastAsia"/>
          <w:bCs/>
          <w:color w:val="auto"/>
          <w:spacing w:val="20"/>
          <w:sz w:val="24"/>
          <w:szCs w:val="24"/>
          <w:u w:val="single"/>
        </w:rPr>
        <w:t xml:space="preserve">   15  </w:t>
      </w:r>
      <w:r>
        <w:rPr>
          <w:rFonts w:hint="eastAsia"/>
          <w:bCs/>
          <w:color w:val="auto"/>
          <w:spacing w:val="20"/>
          <w:sz w:val="24"/>
          <w:szCs w:val="24"/>
        </w:rPr>
        <w:t>人。</w:t>
      </w:r>
    </w:p>
    <w:p>
      <w:pPr>
        <w:spacing w:line="560" w:lineRule="exact"/>
        <w:rPr>
          <w:bCs/>
          <w:color w:val="auto"/>
          <w:spacing w:val="20"/>
          <w:sz w:val="24"/>
          <w:szCs w:val="24"/>
        </w:rPr>
      </w:pPr>
      <w:r>
        <w:rPr>
          <w:rFonts w:hint="eastAsia"/>
          <w:bCs/>
          <w:color w:val="auto"/>
          <w:spacing w:val="20"/>
          <w:sz w:val="24"/>
          <w:szCs w:val="24"/>
        </w:rPr>
        <w:t>3.1.2项目负责人为：</w:t>
      </w:r>
      <w:r>
        <w:rPr>
          <w:rFonts w:hint="eastAsia"/>
          <w:bCs/>
          <w:color w:val="auto"/>
          <w:spacing w:val="20"/>
          <w:sz w:val="24"/>
          <w:szCs w:val="24"/>
          <w:u w:val="single"/>
        </w:rPr>
        <w:t xml:space="preserve">      </w:t>
      </w:r>
      <w:r>
        <w:rPr>
          <w:rFonts w:hint="eastAsia"/>
          <w:bCs/>
          <w:color w:val="auto"/>
          <w:spacing w:val="20"/>
          <w:sz w:val="24"/>
          <w:szCs w:val="24"/>
        </w:rPr>
        <w:t>，项目负责人为履行本合同的权限为：</w:t>
      </w:r>
      <w:r>
        <w:rPr>
          <w:rFonts w:hint="eastAsia"/>
          <w:bCs/>
          <w:color w:val="auto"/>
          <w:spacing w:val="20"/>
          <w:sz w:val="24"/>
          <w:szCs w:val="24"/>
          <w:u w:val="single"/>
        </w:rPr>
        <w:t xml:space="preserve">按照招投标文件确定  </w:t>
      </w:r>
      <w:r>
        <w:rPr>
          <w:rFonts w:hint="eastAsia"/>
          <w:bCs/>
          <w:color w:val="auto"/>
          <w:spacing w:val="20"/>
          <w:sz w:val="24"/>
          <w:szCs w:val="24"/>
        </w:rPr>
        <w:t>。</w:t>
      </w:r>
    </w:p>
    <w:p>
      <w:pPr>
        <w:spacing w:line="560" w:lineRule="exact"/>
        <w:rPr>
          <w:bCs/>
          <w:color w:val="auto"/>
          <w:spacing w:val="20"/>
          <w:sz w:val="24"/>
          <w:szCs w:val="24"/>
        </w:rPr>
      </w:pPr>
      <w:r>
        <w:rPr>
          <w:rFonts w:hint="eastAsia"/>
          <w:bCs/>
          <w:color w:val="auto"/>
          <w:spacing w:val="20"/>
          <w:sz w:val="24"/>
          <w:szCs w:val="24"/>
        </w:rPr>
        <w:t>3.1.3咨询人更换项目咨询团队其他咨询人员的约定</w:t>
      </w:r>
      <w:r>
        <w:rPr>
          <w:rFonts w:hint="eastAsia"/>
          <w:bCs/>
          <w:color w:val="auto"/>
          <w:spacing w:val="20"/>
          <w:sz w:val="24"/>
          <w:szCs w:val="24"/>
          <w:u w:val="single"/>
        </w:rPr>
        <w:t xml:space="preserve">  双方协商  </w:t>
      </w:r>
      <w:r>
        <w:rPr>
          <w:rFonts w:hint="eastAsia"/>
          <w:bCs/>
          <w:color w:val="auto"/>
          <w:spacing w:val="20"/>
          <w:sz w:val="24"/>
          <w:szCs w:val="24"/>
        </w:rPr>
        <w:t>。</w:t>
      </w:r>
    </w:p>
    <w:p>
      <w:pPr>
        <w:spacing w:line="560" w:lineRule="exact"/>
        <w:rPr>
          <w:bCs/>
          <w:color w:val="auto"/>
          <w:spacing w:val="20"/>
          <w:sz w:val="24"/>
          <w:szCs w:val="24"/>
        </w:rPr>
      </w:pPr>
      <w:r>
        <w:rPr>
          <w:rFonts w:hint="eastAsia"/>
          <w:bCs/>
          <w:color w:val="auto"/>
          <w:spacing w:val="20"/>
          <w:sz w:val="24"/>
          <w:szCs w:val="24"/>
        </w:rPr>
        <w:t>3.1.4委托人要求更换咨询人员的情形还包括：</w:t>
      </w:r>
      <w:r>
        <w:rPr>
          <w:rFonts w:hint="eastAsia"/>
          <w:bCs/>
          <w:color w:val="auto"/>
          <w:spacing w:val="20"/>
          <w:sz w:val="24"/>
          <w:szCs w:val="24"/>
          <w:u w:val="single"/>
        </w:rPr>
        <w:t xml:space="preserve">     双方协商    </w:t>
      </w:r>
      <w:r>
        <w:rPr>
          <w:rFonts w:hint="eastAsia"/>
          <w:bCs/>
          <w:color w:val="auto"/>
          <w:spacing w:val="20"/>
          <w:sz w:val="24"/>
          <w:szCs w:val="24"/>
        </w:rPr>
        <w:t>。</w:t>
      </w:r>
    </w:p>
    <w:p>
      <w:pPr>
        <w:spacing w:line="560" w:lineRule="exact"/>
        <w:rPr>
          <w:bCs/>
          <w:color w:val="auto"/>
          <w:spacing w:val="20"/>
          <w:sz w:val="24"/>
          <w:szCs w:val="24"/>
        </w:rPr>
      </w:pPr>
      <w:r>
        <w:rPr>
          <w:rFonts w:hint="eastAsia"/>
          <w:bCs/>
          <w:color w:val="auto"/>
          <w:spacing w:val="20"/>
          <w:sz w:val="24"/>
          <w:szCs w:val="24"/>
        </w:rPr>
        <w:t>3.1.5咨询团队人员应当具备以下职业要求：（1）遵守法律法规和审计准则；（2）恪守审计职业道德；（3）保持审计独立性；（4）具备必需的职业胜任能力。</w:t>
      </w:r>
    </w:p>
    <w:p>
      <w:pPr>
        <w:spacing w:line="560" w:lineRule="exact"/>
        <w:rPr>
          <w:bCs/>
          <w:color w:val="auto"/>
          <w:spacing w:val="20"/>
          <w:sz w:val="24"/>
          <w:szCs w:val="24"/>
        </w:rPr>
      </w:pPr>
      <w:r>
        <w:rPr>
          <w:rFonts w:hint="eastAsia"/>
          <w:bCs/>
          <w:color w:val="auto"/>
          <w:spacing w:val="20"/>
          <w:sz w:val="24"/>
          <w:szCs w:val="24"/>
        </w:rPr>
        <w:t>3.1.6咨询团队人员不得有下列情形之一：（1）被刑事处罚的；（2）被劳动教养的；（3）被行政拘留的；（4）审计独立性可能受到损害的；（5）法律规定不得从事公务的其他情形；</w:t>
      </w:r>
    </w:p>
    <w:p>
      <w:pPr>
        <w:spacing w:line="560" w:lineRule="exact"/>
        <w:rPr>
          <w:bCs/>
          <w:color w:val="auto"/>
          <w:spacing w:val="20"/>
          <w:sz w:val="24"/>
          <w:szCs w:val="24"/>
        </w:rPr>
      </w:pPr>
      <w:r>
        <w:rPr>
          <w:rFonts w:hint="eastAsia"/>
          <w:bCs/>
          <w:color w:val="auto"/>
          <w:spacing w:val="20"/>
          <w:sz w:val="24"/>
          <w:szCs w:val="24"/>
        </w:rPr>
        <w:t>3.2咨询人的工作要求</w:t>
      </w:r>
    </w:p>
    <w:p>
      <w:pPr>
        <w:spacing w:line="560" w:lineRule="exact"/>
        <w:rPr>
          <w:bCs/>
          <w:color w:val="auto"/>
          <w:spacing w:val="20"/>
          <w:sz w:val="24"/>
          <w:szCs w:val="24"/>
        </w:rPr>
      </w:pPr>
      <w:r>
        <w:rPr>
          <w:rFonts w:hint="eastAsia"/>
          <w:bCs/>
          <w:color w:val="auto"/>
          <w:spacing w:val="20"/>
          <w:sz w:val="24"/>
          <w:szCs w:val="24"/>
        </w:rPr>
        <w:t>3.2.1咨询人向委托人提供有关资料的时间：</w:t>
      </w:r>
      <w:r>
        <w:rPr>
          <w:rFonts w:hint="eastAsia"/>
          <w:bCs/>
          <w:color w:val="auto"/>
          <w:spacing w:val="20"/>
          <w:sz w:val="24"/>
          <w:szCs w:val="24"/>
          <w:u w:val="single"/>
        </w:rPr>
        <w:t xml:space="preserve">   7天  </w:t>
      </w:r>
      <w:r>
        <w:rPr>
          <w:rFonts w:hint="eastAsia"/>
          <w:bCs/>
          <w:color w:val="auto"/>
          <w:spacing w:val="20"/>
          <w:sz w:val="24"/>
          <w:szCs w:val="24"/>
        </w:rPr>
        <w:t xml:space="preserve">。咨询人向委托人提供的资料还包括： </w:t>
      </w:r>
      <w:r>
        <w:rPr>
          <w:rFonts w:hint="eastAsia"/>
          <w:bCs/>
          <w:color w:val="auto"/>
          <w:spacing w:val="20"/>
          <w:sz w:val="24"/>
          <w:szCs w:val="24"/>
          <w:u w:val="single"/>
        </w:rPr>
        <w:t xml:space="preserve">    相关的营业执照、资质证书，人员书证等造价咨询相关资料   </w:t>
      </w:r>
      <w:r>
        <w:rPr>
          <w:rFonts w:hint="eastAsia"/>
          <w:bCs/>
          <w:color w:val="auto"/>
          <w:spacing w:val="20"/>
          <w:sz w:val="24"/>
          <w:szCs w:val="24"/>
        </w:rPr>
        <w:t>。</w:t>
      </w:r>
    </w:p>
    <w:p>
      <w:pPr>
        <w:spacing w:line="560" w:lineRule="exact"/>
        <w:ind w:firstLine="560" w:firstLineChars="200"/>
        <w:rPr>
          <w:color w:val="auto"/>
          <w:sz w:val="24"/>
          <w:szCs w:val="24"/>
        </w:rPr>
      </w:pPr>
      <w:r>
        <w:rPr>
          <w:rFonts w:hint="eastAsia"/>
          <w:bCs/>
          <w:color w:val="auto"/>
          <w:spacing w:val="20"/>
          <w:sz w:val="24"/>
          <w:szCs w:val="24"/>
        </w:rPr>
        <w:t>3.2.2咨询人向委托人提供咨询成果文件的名称、组成、时间、份数及质量标准：</w:t>
      </w:r>
      <w:r>
        <w:rPr>
          <w:rFonts w:hint="eastAsia"/>
          <w:color w:val="auto"/>
          <w:sz w:val="24"/>
          <w:szCs w:val="24"/>
          <w:u w:val="single"/>
        </w:rPr>
        <w:t>工程量计算明细、工程量清单、招标控制价、</w:t>
      </w:r>
      <w:r>
        <w:rPr>
          <w:rFonts w:hint="eastAsia"/>
          <w:color w:val="auto"/>
          <w:kern w:val="2"/>
          <w:sz w:val="24"/>
          <w:szCs w:val="24"/>
          <w:u w:val="single"/>
        </w:rPr>
        <w:t>进度款审核、</w:t>
      </w:r>
      <w:r>
        <w:rPr>
          <w:rFonts w:hint="eastAsia"/>
          <w:color w:val="auto"/>
          <w:kern w:val="2"/>
          <w:sz w:val="24"/>
          <w:szCs w:val="24"/>
          <w:u w:val="single"/>
          <w:lang w:val="en-US"/>
        </w:rPr>
        <w:t>合同外项目签证单、项目收方单、</w:t>
      </w:r>
      <w:r>
        <w:rPr>
          <w:rFonts w:hint="eastAsia"/>
          <w:color w:val="auto"/>
          <w:kern w:val="2"/>
          <w:sz w:val="24"/>
          <w:szCs w:val="24"/>
          <w:u w:val="single"/>
        </w:rPr>
        <w:t>竣工结算审核报告等相关文件</w:t>
      </w:r>
      <w:r>
        <w:rPr>
          <w:rFonts w:hint="eastAsia"/>
          <w:color w:val="auto"/>
          <w:sz w:val="24"/>
          <w:szCs w:val="24"/>
          <w:u w:val="single"/>
        </w:rPr>
        <w:t xml:space="preserve">  </w:t>
      </w:r>
      <w:r>
        <w:rPr>
          <w:rFonts w:hint="eastAsia"/>
          <w:color w:val="auto"/>
          <w:sz w:val="24"/>
          <w:szCs w:val="24"/>
        </w:rPr>
        <w:t>。</w:t>
      </w:r>
    </w:p>
    <w:p>
      <w:pPr>
        <w:spacing w:line="560" w:lineRule="exact"/>
        <w:rPr>
          <w:bCs/>
          <w:color w:val="auto"/>
          <w:spacing w:val="20"/>
          <w:sz w:val="24"/>
          <w:szCs w:val="24"/>
        </w:rPr>
      </w:pPr>
      <w:r>
        <w:rPr>
          <w:rFonts w:hint="eastAsia"/>
          <w:bCs/>
          <w:color w:val="auto"/>
          <w:spacing w:val="20"/>
          <w:sz w:val="24"/>
          <w:szCs w:val="24"/>
        </w:rPr>
        <w:t>3.2.4咨询人应在收到委托人以书面形式提出的建议或者异议后</w:t>
      </w:r>
      <w:r>
        <w:rPr>
          <w:rFonts w:hint="eastAsia"/>
          <w:bCs/>
          <w:color w:val="auto"/>
          <w:spacing w:val="20"/>
          <w:sz w:val="24"/>
          <w:szCs w:val="24"/>
          <w:u w:val="single"/>
        </w:rPr>
        <w:t xml:space="preserve">  3  </w:t>
      </w:r>
      <w:r>
        <w:rPr>
          <w:rFonts w:hint="eastAsia"/>
          <w:bCs/>
          <w:color w:val="auto"/>
          <w:spacing w:val="20"/>
          <w:sz w:val="24"/>
          <w:szCs w:val="24"/>
        </w:rPr>
        <w:t>日内给予书面答复。</w:t>
      </w:r>
    </w:p>
    <w:p>
      <w:pPr>
        <w:spacing w:line="560" w:lineRule="exact"/>
        <w:rPr>
          <w:bCs/>
          <w:color w:val="auto"/>
          <w:spacing w:val="20"/>
          <w:sz w:val="24"/>
          <w:szCs w:val="24"/>
        </w:rPr>
      </w:pPr>
      <w:r>
        <w:rPr>
          <w:rFonts w:hint="eastAsia"/>
          <w:bCs/>
          <w:color w:val="auto"/>
          <w:spacing w:val="20"/>
          <w:sz w:val="24"/>
          <w:szCs w:val="24"/>
        </w:rPr>
        <w:t>3.3咨询人的工作依据</w:t>
      </w:r>
    </w:p>
    <w:p>
      <w:pPr>
        <w:spacing w:line="560" w:lineRule="exact"/>
        <w:ind w:firstLine="560" w:firstLineChars="200"/>
        <w:rPr>
          <w:bCs/>
          <w:color w:val="auto"/>
          <w:sz w:val="24"/>
          <w:szCs w:val="24"/>
          <w:u w:val="single"/>
          <w:lang w:val="en-US"/>
        </w:rPr>
      </w:pPr>
      <w:r>
        <w:rPr>
          <w:rFonts w:hint="eastAsia"/>
          <w:bCs/>
          <w:color w:val="auto"/>
          <w:spacing w:val="20"/>
          <w:sz w:val="24"/>
          <w:szCs w:val="24"/>
        </w:rPr>
        <w:t>经双方协商，本合同约定的造价咨询服务适用的技术标准、规范、定额等工作依据为：</w:t>
      </w:r>
      <w:r>
        <w:rPr>
          <w:rFonts w:hint="eastAsia"/>
          <w:bCs/>
          <w:color w:val="auto"/>
          <w:sz w:val="24"/>
          <w:szCs w:val="24"/>
          <w:u w:val="single"/>
        </w:rPr>
        <w:t>交通部《公路工程建设项目投资估算编制办法》（JTG 3820-2018）、《公路工程建设项目概算预算编制办法》（JTG 3830-2018）作为公路工程行业标准；《公路工程估算指标》（JTG/T 3821-2018）、《公路工程概算定额》（JTG/T 3831-2018）、《公路工程预算定额》（JTG/T 3832-2018）、《公路工程机械台班费用定额》（JTG/T 3833-2018）</w:t>
      </w:r>
      <w:r>
        <w:rPr>
          <w:rFonts w:hint="eastAsia"/>
          <w:b/>
          <w:bCs/>
          <w:color w:val="auto"/>
          <w:sz w:val="24"/>
          <w:szCs w:val="24"/>
          <w:u w:val="single"/>
        </w:rPr>
        <w:t>，</w:t>
      </w:r>
      <w:r>
        <w:rPr>
          <w:rFonts w:hint="eastAsia"/>
          <w:b/>
          <w:bCs/>
          <w:color w:val="auto"/>
          <w:sz w:val="24"/>
          <w:szCs w:val="24"/>
          <w:u w:val="single"/>
          <w:lang w:val="en-US" w:eastAsia="zh-CN"/>
        </w:rPr>
        <w:t>最新一期崇左市建设工程造价信息</w:t>
      </w:r>
      <w:r>
        <w:rPr>
          <w:rFonts w:hint="eastAsia"/>
          <w:b/>
          <w:bCs/>
          <w:color w:val="auto"/>
          <w:sz w:val="24"/>
          <w:szCs w:val="24"/>
          <w:u w:val="single"/>
        </w:rPr>
        <w:t>（完善补充相关计价依据）</w:t>
      </w:r>
      <w:r>
        <w:rPr>
          <w:rFonts w:hint="eastAsia"/>
          <w:bCs/>
          <w:color w:val="auto"/>
          <w:sz w:val="24"/>
          <w:szCs w:val="24"/>
          <w:u w:val="single"/>
        </w:rPr>
        <w:t>等其他有关工程计价依据文件及类似工程技术经济指标</w:t>
      </w:r>
      <w:r>
        <w:rPr>
          <w:rFonts w:hint="eastAsia"/>
          <w:color w:val="auto"/>
          <w:sz w:val="24"/>
          <w:szCs w:val="24"/>
        </w:rPr>
        <w:t>。</w:t>
      </w:r>
    </w:p>
    <w:p>
      <w:pPr>
        <w:spacing w:line="560" w:lineRule="exact"/>
        <w:rPr>
          <w:bCs/>
          <w:color w:val="auto"/>
          <w:spacing w:val="20"/>
          <w:sz w:val="24"/>
          <w:szCs w:val="24"/>
        </w:rPr>
      </w:pPr>
      <w:r>
        <w:rPr>
          <w:rFonts w:hint="eastAsia"/>
          <w:bCs/>
          <w:color w:val="auto"/>
          <w:spacing w:val="20"/>
          <w:sz w:val="24"/>
          <w:szCs w:val="24"/>
        </w:rPr>
        <w:t>3.4使用委托人房屋及设备的返还</w:t>
      </w:r>
    </w:p>
    <w:p>
      <w:pPr>
        <w:spacing w:line="560" w:lineRule="exact"/>
        <w:rPr>
          <w:bCs/>
          <w:color w:val="auto"/>
          <w:spacing w:val="20"/>
          <w:sz w:val="24"/>
          <w:szCs w:val="24"/>
        </w:rPr>
      </w:pPr>
      <w:r>
        <w:rPr>
          <w:rFonts w:hint="eastAsia"/>
          <w:bCs/>
          <w:color w:val="auto"/>
          <w:spacing w:val="20"/>
          <w:sz w:val="24"/>
          <w:szCs w:val="24"/>
        </w:rPr>
        <w:t>咨询人应在本合同终止后</w:t>
      </w:r>
      <w:r>
        <w:rPr>
          <w:rFonts w:hint="eastAsia"/>
          <w:bCs/>
          <w:color w:val="auto"/>
          <w:spacing w:val="20"/>
          <w:sz w:val="24"/>
          <w:szCs w:val="24"/>
          <w:u w:val="single"/>
        </w:rPr>
        <w:t xml:space="preserve">  3  </w:t>
      </w:r>
      <w:r>
        <w:rPr>
          <w:rFonts w:hint="eastAsia"/>
          <w:bCs/>
          <w:color w:val="auto"/>
          <w:spacing w:val="20"/>
          <w:sz w:val="24"/>
          <w:szCs w:val="24"/>
        </w:rPr>
        <w:t>日内移交委托人提供的房屋及设备，移交的方式为</w:t>
      </w:r>
      <w:r>
        <w:rPr>
          <w:rFonts w:hint="eastAsia"/>
          <w:bCs/>
          <w:color w:val="auto"/>
          <w:spacing w:val="20"/>
          <w:sz w:val="24"/>
          <w:szCs w:val="24"/>
          <w:u w:val="single"/>
        </w:rPr>
        <w:t xml:space="preserve">   整体移交  </w:t>
      </w:r>
      <w:r>
        <w:rPr>
          <w:rFonts w:hint="eastAsia"/>
          <w:bCs/>
          <w:color w:val="auto"/>
          <w:spacing w:val="20"/>
          <w:sz w:val="24"/>
          <w:szCs w:val="24"/>
        </w:rPr>
        <w:t>。</w:t>
      </w:r>
    </w:p>
    <w:p>
      <w:pPr>
        <w:spacing w:line="560" w:lineRule="exact"/>
        <w:rPr>
          <w:bCs/>
          <w:color w:val="auto"/>
          <w:spacing w:val="20"/>
          <w:sz w:val="24"/>
          <w:szCs w:val="24"/>
        </w:rPr>
      </w:pPr>
      <w:r>
        <w:rPr>
          <w:rFonts w:hint="eastAsia"/>
          <w:bCs/>
          <w:color w:val="auto"/>
          <w:spacing w:val="20"/>
          <w:sz w:val="24"/>
          <w:szCs w:val="24"/>
        </w:rPr>
        <w:t>4. 违约责任</w:t>
      </w:r>
    </w:p>
    <w:p>
      <w:pPr>
        <w:spacing w:line="560" w:lineRule="exact"/>
        <w:rPr>
          <w:bCs/>
          <w:color w:val="auto"/>
          <w:spacing w:val="20"/>
          <w:sz w:val="24"/>
          <w:szCs w:val="24"/>
        </w:rPr>
      </w:pPr>
      <w:r>
        <w:rPr>
          <w:rFonts w:hint="eastAsia"/>
          <w:bCs/>
          <w:color w:val="auto"/>
          <w:spacing w:val="20"/>
          <w:sz w:val="24"/>
          <w:szCs w:val="24"/>
        </w:rPr>
        <w:t>4.1委托人的违约责任</w:t>
      </w:r>
    </w:p>
    <w:p>
      <w:pPr>
        <w:spacing w:line="560" w:lineRule="exact"/>
        <w:rPr>
          <w:bCs/>
          <w:color w:val="auto"/>
          <w:spacing w:val="20"/>
          <w:sz w:val="24"/>
          <w:szCs w:val="24"/>
        </w:rPr>
      </w:pPr>
      <w:r>
        <w:rPr>
          <w:rFonts w:hint="eastAsia"/>
          <w:bCs/>
          <w:color w:val="auto"/>
          <w:spacing w:val="20"/>
          <w:sz w:val="24"/>
          <w:szCs w:val="24"/>
        </w:rPr>
        <w:t>4.1.1 委托人违约金的计算及支付方法：</w:t>
      </w:r>
      <w:r>
        <w:rPr>
          <w:rFonts w:hint="eastAsia"/>
          <w:bCs/>
          <w:color w:val="auto"/>
          <w:spacing w:val="20"/>
          <w:sz w:val="24"/>
          <w:szCs w:val="24"/>
          <w:u w:val="single"/>
        </w:rPr>
        <w:t>委托人向咨询人提出赔偿或其他要求不能成立时，则应补偿由于该赔偿或其他要求所导致咨询人的各种费用的支出。</w:t>
      </w:r>
    </w:p>
    <w:p>
      <w:pPr>
        <w:spacing w:line="560" w:lineRule="exact"/>
        <w:rPr>
          <w:bCs/>
          <w:color w:val="auto"/>
          <w:spacing w:val="20"/>
          <w:sz w:val="24"/>
          <w:szCs w:val="24"/>
        </w:rPr>
      </w:pPr>
      <w:r>
        <w:rPr>
          <w:rFonts w:hint="eastAsia"/>
          <w:bCs/>
          <w:color w:val="auto"/>
          <w:spacing w:val="20"/>
          <w:sz w:val="24"/>
          <w:szCs w:val="24"/>
        </w:rPr>
        <w:t>4.1.2 委托人赔偿金额按下列方法确定并支付：</w:t>
      </w:r>
      <w:r>
        <w:rPr>
          <w:rFonts w:hint="eastAsia"/>
          <w:bCs/>
          <w:color w:val="auto"/>
          <w:spacing w:val="20"/>
          <w:sz w:val="24"/>
          <w:szCs w:val="24"/>
          <w:u w:val="single"/>
        </w:rPr>
        <w:t xml:space="preserve">     /      </w:t>
      </w:r>
      <w:r>
        <w:rPr>
          <w:rFonts w:hint="eastAsia"/>
          <w:bCs/>
          <w:color w:val="auto"/>
          <w:spacing w:val="20"/>
          <w:sz w:val="24"/>
          <w:szCs w:val="24"/>
        </w:rPr>
        <w:t>。</w:t>
      </w:r>
    </w:p>
    <w:p>
      <w:pPr>
        <w:spacing w:line="560" w:lineRule="exact"/>
        <w:rPr>
          <w:bCs/>
          <w:color w:val="auto"/>
          <w:spacing w:val="20"/>
          <w:sz w:val="24"/>
          <w:szCs w:val="24"/>
        </w:rPr>
      </w:pPr>
      <w:r>
        <w:rPr>
          <w:rFonts w:hint="eastAsia"/>
          <w:bCs/>
          <w:color w:val="auto"/>
          <w:spacing w:val="20"/>
          <w:sz w:val="24"/>
          <w:szCs w:val="24"/>
        </w:rPr>
        <w:t>4.1.3 委托人逾期付款利息按下列方法计算并支付：</w:t>
      </w:r>
      <w:r>
        <w:rPr>
          <w:rFonts w:hint="eastAsia"/>
          <w:bCs/>
          <w:color w:val="auto"/>
          <w:spacing w:val="20"/>
          <w:sz w:val="24"/>
          <w:szCs w:val="24"/>
          <w:u w:val="single"/>
        </w:rPr>
        <w:t xml:space="preserve">     /      </w:t>
      </w:r>
      <w:r>
        <w:rPr>
          <w:rFonts w:hint="eastAsia"/>
          <w:bCs/>
          <w:color w:val="auto"/>
          <w:spacing w:val="20"/>
          <w:sz w:val="24"/>
          <w:szCs w:val="24"/>
        </w:rPr>
        <w:t>。</w:t>
      </w:r>
    </w:p>
    <w:p>
      <w:pPr>
        <w:spacing w:line="560" w:lineRule="exact"/>
        <w:rPr>
          <w:bCs/>
          <w:color w:val="auto"/>
          <w:spacing w:val="20"/>
          <w:sz w:val="24"/>
          <w:szCs w:val="24"/>
        </w:rPr>
      </w:pPr>
      <w:r>
        <w:rPr>
          <w:rFonts w:hint="eastAsia"/>
          <w:bCs/>
          <w:color w:val="auto"/>
          <w:spacing w:val="20"/>
          <w:sz w:val="24"/>
          <w:szCs w:val="24"/>
        </w:rPr>
        <w:t>4.2 咨询人的违约责任</w:t>
      </w:r>
    </w:p>
    <w:p>
      <w:pPr>
        <w:spacing w:line="560" w:lineRule="exact"/>
        <w:rPr>
          <w:color w:val="auto"/>
          <w:kern w:val="2"/>
          <w:sz w:val="24"/>
          <w:szCs w:val="24"/>
        </w:rPr>
      </w:pPr>
      <w:r>
        <w:rPr>
          <w:rFonts w:hint="eastAsia"/>
          <w:color w:val="auto"/>
          <w:kern w:val="2"/>
          <w:sz w:val="24"/>
          <w:szCs w:val="24"/>
        </w:rPr>
        <w:t xml:space="preserve">4.2.1 </w:t>
      </w:r>
      <w:r>
        <w:rPr>
          <w:rFonts w:hint="eastAsia"/>
          <w:bCs/>
          <w:color w:val="auto"/>
          <w:spacing w:val="20"/>
          <w:sz w:val="24"/>
          <w:szCs w:val="24"/>
        </w:rPr>
        <w:t>违约金的计算及支付方法：</w:t>
      </w:r>
      <w:r>
        <w:rPr>
          <w:rFonts w:hint="eastAsia"/>
          <w:color w:val="auto"/>
          <w:kern w:val="2"/>
          <w:sz w:val="24"/>
          <w:szCs w:val="24"/>
        </w:rPr>
        <w:t>因咨询人未能及时提供工程施工所需的批准、确认等，导致承包人工期延误的（包括节点工期和总工期延误），按200元/天计算，节点工期与总工期将重叠计算。如咨询人泄露与本合同规定业务活动有关的保密资料或有与委托人利益相冲突的行为，委托人有权单方终止本协议或要求咨询人更换所派人员，并有权拒绝支付该次委托项目的全部服务酬金。咨询人对委托人或第三方所提出的问题不能及时核对或答复，导致合同不能全部或部分履行，咨询人应承担责任。违约金以不超过服务酬金总额为限。违约金以不超过服务酬金总额为限。</w:t>
      </w:r>
    </w:p>
    <w:p>
      <w:pPr>
        <w:spacing w:line="560" w:lineRule="exact"/>
        <w:rPr>
          <w:color w:val="auto"/>
          <w:kern w:val="2"/>
          <w:sz w:val="24"/>
          <w:szCs w:val="24"/>
        </w:rPr>
      </w:pPr>
      <w:r>
        <w:rPr>
          <w:rFonts w:hint="eastAsia"/>
          <w:bCs/>
          <w:color w:val="auto"/>
          <w:spacing w:val="20"/>
          <w:sz w:val="24"/>
          <w:szCs w:val="24"/>
        </w:rPr>
        <w:t>4.2.2 咨询人赔偿金额按下列方法确定并支付：</w:t>
      </w:r>
      <w:r>
        <w:rPr>
          <w:rFonts w:hint="eastAsia"/>
          <w:color w:val="auto"/>
          <w:kern w:val="2"/>
          <w:sz w:val="24"/>
          <w:szCs w:val="24"/>
        </w:rPr>
        <w:t>咨询人向委托人提出赔偿或其他要求不能成立时，则应补偿由于该赔偿或其他要求所导致委托人的各种费用的支出。因咨询人指令错误造成承包人工期延误和经济损失，并因此导致委托人向承包人承担赔偿责任时，委托人有权追究咨询人的责任。</w:t>
      </w:r>
      <w:bookmarkStart w:id="209" w:name="_Toc439669424"/>
      <w:bookmarkStart w:id="210" w:name="_Toc438740373"/>
      <w:r>
        <w:rPr>
          <w:rFonts w:hint="eastAsia"/>
          <w:color w:val="auto"/>
          <w:kern w:val="2"/>
          <w:sz w:val="24"/>
          <w:szCs w:val="24"/>
        </w:rPr>
        <w:t>如咨询人发生上述违约行为，委托人有权要求咨询人按对应条款进行赔偿，并将咨询人违约行为及评价录入委托人的建设工程造价咨询履约评价表内。</w:t>
      </w:r>
      <w:bookmarkEnd w:id="209"/>
      <w:bookmarkEnd w:id="210"/>
    </w:p>
    <w:p>
      <w:pPr>
        <w:spacing w:line="560" w:lineRule="exact"/>
        <w:rPr>
          <w:bCs/>
          <w:color w:val="auto"/>
          <w:spacing w:val="20"/>
          <w:sz w:val="24"/>
          <w:szCs w:val="24"/>
        </w:rPr>
      </w:pPr>
      <w:r>
        <w:rPr>
          <w:rFonts w:hint="eastAsia"/>
          <w:bCs/>
          <w:color w:val="auto"/>
          <w:spacing w:val="20"/>
          <w:sz w:val="24"/>
          <w:szCs w:val="24"/>
        </w:rPr>
        <w:t>4.2.3 咨询人逾期付款利息按下列方法计算并支付：</w:t>
      </w:r>
      <w:r>
        <w:rPr>
          <w:rFonts w:hint="eastAsia"/>
          <w:color w:val="auto"/>
          <w:kern w:val="2"/>
          <w:sz w:val="24"/>
          <w:szCs w:val="24"/>
        </w:rPr>
        <w:t>在咨询服务过程中，咨询人委派的编制人、项目负责人须及时备份各阶段成果文件，由于咨询人原因导致延期提交造价咨询成果文件的，每延期一天向委托人支付人民币</w:t>
      </w:r>
      <w:r>
        <w:rPr>
          <w:rFonts w:hint="eastAsia"/>
          <w:color w:val="auto"/>
          <w:kern w:val="2"/>
          <w:sz w:val="24"/>
          <w:szCs w:val="24"/>
          <w:lang w:val="en-US"/>
        </w:rPr>
        <w:t>2</w:t>
      </w:r>
      <w:r>
        <w:rPr>
          <w:rFonts w:hint="eastAsia"/>
          <w:color w:val="auto"/>
          <w:kern w:val="2"/>
          <w:sz w:val="24"/>
          <w:szCs w:val="24"/>
        </w:rPr>
        <w:t>00元的违约金。咨询人不能在委托人规定的时间内完成造价咨询工作成果备案工作，影响委托人开展招标或其他工作的，每延期一天，咨询人向委托人支付人民币</w:t>
      </w:r>
      <w:r>
        <w:rPr>
          <w:rFonts w:hint="eastAsia"/>
          <w:color w:val="auto"/>
          <w:kern w:val="2"/>
          <w:sz w:val="24"/>
          <w:szCs w:val="24"/>
          <w:lang w:val="en-US"/>
        </w:rPr>
        <w:t>2</w:t>
      </w:r>
      <w:r>
        <w:rPr>
          <w:rFonts w:hint="eastAsia"/>
          <w:color w:val="auto"/>
          <w:kern w:val="2"/>
          <w:sz w:val="24"/>
          <w:szCs w:val="24"/>
        </w:rPr>
        <w:t>00元的违约金。因咨询人原因，未能按本合同约定的审核、审价时效，出具咨询成果性文件的，按每延误一天，按100元/天计算。</w:t>
      </w:r>
    </w:p>
    <w:p>
      <w:pPr>
        <w:pStyle w:val="25"/>
        <w:spacing w:line="560" w:lineRule="exact"/>
        <w:ind w:left="238" w:leftChars="10" w:hanging="216" w:hangingChars="90"/>
        <w:rPr>
          <w:rFonts w:ascii="宋体" w:hAnsi="宋体" w:cs="宋体"/>
          <w:color w:val="auto"/>
          <w:sz w:val="24"/>
          <w:szCs w:val="24"/>
        </w:rPr>
      </w:pPr>
    </w:p>
    <w:p>
      <w:pPr>
        <w:spacing w:line="560" w:lineRule="exact"/>
        <w:rPr>
          <w:bCs/>
          <w:color w:val="auto"/>
          <w:spacing w:val="20"/>
          <w:sz w:val="24"/>
          <w:szCs w:val="24"/>
        </w:rPr>
      </w:pPr>
      <w:r>
        <w:rPr>
          <w:rFonts w:hint="eastAsia"/>
          <w:bCs/>
          <w:color w:val="auto"/>
          <w:spacing w:val="20"/>
          <w:sz w:val="24"/>
          <w:szCs w:val="24"/>
        </w:rPr>
        <w:t>5. 支付。</w:t>
      </w:r>
    </w:p>
    <w:p>
      <w:pPr>
        <w:spacing w:line="560" w:lineRule="exact"/>
        <w:rPr>
          <w:bCs/>
          <w:color w:val="auto"/>
          <w:spacing w:val="20"/>
          <w:sz w:val="24"/>
          <w:szCs w:val="24"/>
        </w:rPr>
      </w:pPr>
      <w:r>
        <w:rPr>
          <w:rFonts w:hint="eastAsia"/>
          <w:bCs/>
          <w:color w:val="auto"/>
          <w:spacing w:val="20"/>
          <w:sz w:val="24"/>
          <w:szCs w:val="24"/>
        </w:rPr>
        <w:t>5.1支付货币</w:t>
      </w:r>
    </w:p>
    <w:p>
      <w:pPr>
        <w:spacing w:line="560" w:lineRule="exact"/>
        <w:rPr>
          <w:bCs/>
          <w:color w:val="auto"/>
          <w:spacing w:val="20"/>
          <w:sz w:val="24"/>
          <w:szCs w:val="24"/>
        </w:rPr>
      </w:pPr>
      <w:r>
        <w:rPr>
          <w:rFonts w:hint="eastAsia"/>
          <w:bCs/>
          <w:color w:val="auto"/>
          <w:spacing w:val="20"/>
          <w:sz w:val="24"/>
          <w:szCs w:val="24"/>
        </w:rPr>
        <w:t>币种为：</w:t>
      </w:r>
      <w:r>
        <w:rPr>
          <w:rFonts w:hint="eastAsia"/>
          <w:bCs/>
          <w:color w:val="auto"/>
          <w:spacing w:val="20"/>
          <w:sz w:val="24"/>
          <w:szCs w:val="24"/>
          <w:u w:val="single"/>
        </w:rPr>
        <w:t xml:space="preserve">  人民币  </w:t>
      </w:r>
      <w:r>
        <w:rPr>
          <w:rFonts w:hint="eastAsia"/>
          <w:bCs/>
          <w:color w:val="auto"/>
          <w:spacing w:val="20"/>
          <w:sz w:val="24"/>
          <w:szCs w:val="24"/>
        </w:rPr>
        <w:t>，汇率为：______/_____，其他约定：______/_____。</w:t>
      </w:r>
    </w:p>
    <w:p>
      <w:pPr>
        <w:spacing w:line="560" w:lineRule="exact"/>
        <w:rPr>
          <w:bCs/>
          <w:color w:val="auto"/>
          <w:spacing w:val="20"/>
          <w:sz w:val="24"/>
          <w:szCs w:val="24"/>
        </w:rPr>
      </w:pPr>
      <w:r>
        <w:rPr>
          <w:rFonts w:hint="eastAsia"/>
          <w:bCs/>
          <w:color w:val="auto"/>
          <w:spacing w:val="20"/>
          <w:sz w:val="24"/>
          <w:szCs w:val="24"/>
        </w:rPr>
        <w:t>5.2 支付申请</w:t>
      </w:r>
    </w:p>
    <w:p>
      <w:pPr>
        <w:spacing w:line="560" w:lineRule="exact"/>
        <w:rPr>
          <w:bCs/>
          <w:color w:val="auto"/>
          <w:spacing w:val="20"/>
          <w:sz w:val="24"/>
          <w:szCs w:val="24"/>
        </w:rPr>
      </w:pPr>
      <w:r>
        <w:rPr>
          <w:rFonts w:hint="eastAsia"/>
          <w:bCs/>
          <w:color w:val="auto"/>
          <w:spacing w:val="20"/>
          <w:sz w:val="24"/>
          <w:szCs w:val="24"/>
        </w:rPr>
        <w:t>咨询人应在本合同约定的每次应付款日期</w:t>
      </w:r>
      <w:r>
        <w:rPr>
          <w:rFonts w:hint="eastAsia"/>
          <w:bCs/>
          <w:color w:val="auto"/>
          <w:spacing w:val="20"/>
          <w:sz w:val="24"/>
          <w:szCs w:val="24"/>
          <w:u w:val="single"/>
        </w:rPr>
        <w:t xml:space="preserve">  15个工作日  </w:t>
      </w:r>
      <w:r>
        <w:rPr>
          <w:rFonts w:hint="eastAsia"/>
          <w:bCs/>
          <w:color w:val="auto"/>
          <w:spacing w:val="20"/>
          <w:sz w:val="24"/>
          <w:szCs w:val="24"/>
        </w:rPr>
        <w:t>前，向委托人提交支付申请书。</w:t>
      </w:r>
    </w:p>
    <w:p>
      <w:pPr>
        <w:spacing w:line="560" w:lineRule="exact"/>
        <w:rPr>
          <w:bCs/>
          <w:color w:val="auto"/>
          <w:spacing w:val="20"/>
          <w:sz w:val="24"/>
          <w:szCs w:val="24"/>
        </w:rPr>
      </w:pPr>
      <w:r>
        <w:rPr>
          <w:rFonts w:hint="eastAsia"/>
          <w:bCs/>
          <w:color w:val="auto"/>
          <w:spacing w:val="20"/>
          <w:sz w:val="24"/>
          <w:szCs w:val="24"/>
        </w:rPr>
        <w:t>5.3支付酬金</w:t>
      </w:r>
    </w:p>
    <w:p>
      <w:pPr>
        <w:pStyle w:val="27"/>
        <w:spacing w:before="0" w:after="0" w:line="560" w:lineRule="exact"/>
        <w:ind w:firstLine="482" w:firstLineChars="200"/>
        <w:jc w:val="left"/>
        <w:rPr>
          <w:rFonts w:ascii="宋体" w:hAnsi="宋体" w:cs="宋体"/>
          <w:color w:val="auto"/>
          <w:sz w:val="24"/>
          <w:szCs w:val="24"/>
          <w:u w:val="single"/>
        </w:rPr>
      </w:pPr>
      <w:r>
        <w:rPr>
          <w:rFonts w:hint="eastAsia" w:ascii="宋体" w:hAnsi="宋体" w:cs="宋体"/>
          <w:color w:val="auto"/>
          <w:sz w:val="24"/>
          <w:szCs w:val="24"/>
        </w:rPr>
        <w:t xml:space="preserve">   </w:t>
      </w:r>
      <w:r>
        <w:rPr>
          <w:rFonts w:hint="eastAsia" w:ascii="宋体" w:hAnsi="宋体" w:cs="宋体"/>
          <w:color w:val="auto"/>
          <w:sz w:val="24"/>
          <w:szCs w:val="24"/>
          <w:u w:val="single"/>
        </w:rPr>
        <w:t xml:space="preserve"> </w:t>
      </w:r>
      <w:bookmarkStart w:id="211" w:name="_Toc27629"/>
      <w:r>
        <w:rPr>
          <w:rFonts w:hint="eastAsia" w:ascii="宋体" w:hAnsi="宋体" w:cs="宋体"/>
          <w:color w:val="auto"/>
          <w:sz w:val="24"/>
          <w:szCs w:val="24"/>
          <w:u w:val="single"/>
          <w:lang w:val="zh-CN"/>
        </w:rPr>
        <w:t>按本咨询合同第一部分协议书第五条约定</w:t>
      </w:r>
      <w:r>
        <w:rPr>
          <w:rFonts w:hint="eastAsia" w:ascii="宋体" w:hAnsi="宋体" w:cs="宋体"/>
          <w:color w:val="auto"/>
          <w:sz w:val="24"/>
          <w:szCs w:val="24"/>
          <w:u w:val="single"/>
        </w:rPr>
        <w:t xml:space="preserve"> </w:t>
      </w:r>
      <w:r>
        <w:rPr>
          <w:rFonts w:hint="eastAsia" w:ascii="宋体" w:hAnsi="宋体" w:cs="宋体"/>
          <w:bCs w:val="0"/>
          <w:color w:val="auto"/>
          <w:spacing w:val="20"/>
          <w:kern w:val="0"/>
          <w:sz w:val="24"/>
          <w:szCs w:val="24"/>
          <w:lang w:val="zh-CN" w:bidi="zh-CN"/>
        </w:rPr>
        <w:t xml:space="preserve"> 。</w:t>
      </w:r>
      <w:bookmarkEnd w:id="211"/>
    </w:p>
    <w:p>
      <w:pPr>
        <w:spacing w:line="560" w:lineRule="exact"/>
        <w:rPr>
          <w:bCs/>
          <w:color w:val="auto"/>
          <w:spacing w:val="20"/>
          <w:sz w:val="24"/>
          <w:szCs w:val="24"/>
        </w:rPr>
      </w:pPr>
      <w:r>
        <w:rPr>
          <w:rFonts w:hint="eastAsia"/>
          <w:bCs/>
          <w:color w:val="auto"/>
          <w:spacing w:val="20"/>
          <w:sz w:val="24"/>
          <w:szCs w:val="24"/>
        </w:rPr>
        <w:t>6. 合同变更、解除与终止</w:t>
      </w:r>
    </w:p>
    <w:p>
      <w:pPr>
        <w:spacing w:line="560" w:lineRule="exact"/>
        <w:rPr>
          <w:bCs/>
          <w:color w:val="auto"/>
          <w:spacing w:val="20"/>
          <w:sz w:val="24"/>
          <w:szCs w:val="24"/>
        </w:rPr>
      </w:pPr>
      <w:r>
        <w:rPr>
          <w:rFonts w:hint="eastAsia"/>
          <w:bCs/>
          <w:color w:val="auto"/>
          <w:spacing w:val="20"/>
          <w:sz w:val="24"/>
          <w:szCs w:val="24"/>
        </w:rPr>
        <w:t>6.1合同变更</w:t>
      </w:r>
    </w:p>
    <w:p>
      <w:pPr>
        <w:spacing w:line="560" w:lineRule="exact"/>
        <w:rPr>
          <w:bCs/>
          <w:color w:val="auto"/>
          <w:spacing w:val="20"/>
          <w:sz w:val="24"/>
          <w:szCs w:val="24"/>
        </w:rPr>
      </w:pPr>
      <w:r>
        <w:rPr>
          <w:rFonts w:hint="eastAsia"/>
          <w:bCs/>
          <w:color w:val="auto"/>
          <w:spacing w:val="20"/>
          <w:sz w:val="24"/>
          <w:szCs w:val="24"/>
        </w:rPr>
        <w:t xml:space="preserve">    6.1.2 除不可抗力外，因非咨询人原因导致本合同履行期限延长、内容增加时，附加工作酬金按下列方法确定：无。 </w:t>
      </w:r>
    </w:p>
    <w:p>
      <w:pPr>
        <w:spacing w:line="560" w:lineRule="exact"/>
        <w:rPr>
          <w:bCs/>
          <w:color w:val="auto"/>
          <w:spacing w:val="20"/>
          <w:sz w:val="24"/>
          <w:szCs w:val="24"/>
        </w:rPr>
      </w:pPr>
      <w:r>
        <w:rPr>
          <w:rFonts w:hint="eastAsia"/>
          <w:bCs/>
          <w:color w:val="auto"/>
          <w:spacing w:val="20"/>
          <w:sz w:val="24"/>
          <w:szCs w:val="24"/>
        </w:rPr>
        <w:t xml:space="preserve">    6.1.4因工程规模、服务范围及内容的变化等导致咨询人的工作量增减时，服务酬金不再改变。</w:t>
      </w:r>
    </w:p>
    <w:p>
      <w:pPr>
        <w:spacing w:line="560" w:lineRule="exact"/>
        <w:rPr>
          <w:bCs/>
          <w:color w:val="auto"/>
          <w:spacing w:val="20"/>
          <w:sz w:val="24"/>
          <w:szCs w:val="24"/>
        </w:rPr>
      </w:pPr>
      <w:r>
        <w:rPr>
          <w:rFonts w:hint="eastAsia"/>
          <w:bCs/>
          <w:color w:val="auto"/>
          <w:spacing w:val="20"/>
          <w:sz w:val="24"/>
          <w:szCs w:val="24"/>
        </w:rPr>
        <w:t>6.2合同解除</w:t>
      </w:r>
    </w:p>
    <w:p>
      <w:pPr>
        <w:spacing w:line="560" w:lineRule="exact"/>
        <w:ind w:firstLine="480" w:firstLineChars="200"/>
        <w:rPr>
          <w:color w:val="auto"/>
          <w:sz w:val="24"/>
          <w:szCs w:val="24"/>
        </w:rPr>
      </w:pPr>
      <w:r>
        <w:rPr>
          <w:rFonts w:hint="eastAsia"/>
          <w:color w:val="auto"/>
          <w:kern w:val="2"/>
          <w:sz w:val="24"/>
          <w:szCs w:val="24"/>
        </w:rPr>
        <w:t>6.2.1 委托人与咨询人协商一致，可以解除合同。</w:t>
      </w:r>
    </w:p>
    <w:p>
      <w:pPr>
        <w:spacing w:line="560" w:lineRule="exact"/>
        <w:ind w:firstLine="480" w:firstLineChars="200"/>
        <w:rPr>
          <w:color w:val="auto"/>
          <w:sz w:val="24"/>
          <w:szCs w:val="24"/>
        </w:rPr>
      </w:pPr>
      <w:r>
        <w:rPr>
          <w:rFonts w:hint="eastAsia"/>
          <w:color w:val="auto"/>
          <w:kern w:val="2"/>
          <w:sz w:val="24"/>
          <w:szCs w:val="24"/>
        </w:rPr>
        <w:t>6.2.2 有下列情形之一的，合同当事人一方或双方可以解除合同：</w:t>
      </w:r>
    </w:p>
    <w:p>
      <w:pPr>
        <w:spacing w:line="560" w:lineRule="exact"/>
        <w:ind w:firstLine="480" w:firstLineChars="200"/>
        <w:rPr>
          <w:color w:val="auto"/>
          <w:sz w:val="24"/>
          <w:szCs w:val="24"/>
        </w:rPr>
      </w:pPr>
      <w:r>
        <w:rPr>
          <w:rFonts w:hint="eastAsia"/>
          <w:color w:val="auto"/>
          <w:kern w:val="2"/>
          <w:sz w:val="24"/>
          <w:szCs w:val="24"/>
        </w:rPr>
        <w:t>（1）咨询人将本合同约定的工程造价咨询服务工作全部或部分转包给他人，委托人可以解除合同；</w:t>
      </w:r>
      <w:r>
        <w:rPr>
          <w:rFonts w:hint="eastAsia"/>
          <w:color w:val="auto"/>
          <w:kern w:val="2"/>
          <w:sz w:val="24"/>
          <w:szCs w:val="24"/>
        </w:rPr>
        <w:br w:type="textWrapping"/>
      </w:r>
      <w:r>
        <w:rPr>
          <w:rFonts w:hint="eastAsia"/>
          <w:color w:val="auto"/>
          <w:kern w:val="2"/>
          <w:sz w:val="24"/>
          <w:szCs w:val="24"/>
        </w:rPr>
        <w:t xml:space="preserve">    （2）咨询人提供的造价咨询服务不符合合同约定的要求，经委托人催告仍不能达到合同约定要求的，委托人可以解除合同；</w:t>
      </w:r>
    </w:p>
    <w:p>
      <w:pPr>
        <w:spacing w:line="560" w:lineRule="exact"/>
        <w:ind w:firstLine="480" w:firstLineChars="200"/>
        <w:rPr>
          <w:color w:val="auto"/>
          <w:sz w:val="24"/>
          <w:szCs w:val="24"/>
        </w:rPr>
      </w:pPr>
      <w:r>
        <w:rPr>
          <w:rFonts w:hint="eastAsia"/>
          <w:color w:val="auto"/>
          <w:kern w:val="2"/>
          <w:sz w:val="24"/>
          <w:szCs w:val="24"/>
        </w:rPr>
        <w:t>（3）委托人未按合同约定支付服务酬金，经咨询人催告后，在28天内仍未支付的，咨询人可以解除合同；</w:t>
      </w:r>
    </w:p>
    <w:p>
      <w:pPr>
        <w:spacing w:line="560" w:lineRule="exact"/>
        <w:ind w:firstLine="480" w:firstLineChars="200"/>
        <w:rPr>
          <w:color w:val="auto"/>
          <w:sz w:val="24"/>
          <w:szCs w:val="24"/>
        </w:rPr>
      </w:pPr>
      <w:r>
        <w:rPr>
          <w:rFonts w:hint="eastAsia"/>
          <w:color w:val="auto"/>
          <w:kern w:val="2"/>
          <w:sz w:val="24"/>
          <w:szCs w:val="24"/>
        </w:rPr>
        <w:t>（4）因不可抗力致使合同无法履行；</w:t>
      </w:r>
    </w:p>
    <w:p>
      <w:pPr>
        <w:spacing w:line="560" w:lineRule="exact"/>
        <w:ind w:firstLine="480" w:firstLineChars="200"/>
        <w:rPr>
          <w:color w:val="auto"/>
          <w:kern w:val="2"/>
          <w:sz w:val="24"/>
          <w:szCs w:val="24"/>
        </w:rPr>
      </w:pPr>
      <w:r>
        <w:rPr>
          <w:rFonts w:hint="eastAsia"/>
          <w:color w:val="auto"/>
          <w:kern w:val="2"/>
          <w:sz w:val="24"/>
          <w:szCs w:val="24"/>
        </w:rPr>
        <w:t>（5）因一方违约致使合同无法实际履行或实际履行已无必要。</w:t>
      </w:r>
    </w:p>
    <w:p>
      <w:pPr>
        <w:spacing w:line="560" w:lineRule="exact"/>
        <w:ind w:firstLine="480" w:firstLineChars="200"/>
        <w:rPr>
          <w:bCs/>
          <w:color w:val="auto"/>
          <w:spacing w:val="20"/>
          <w:sz w:val="24"/>
          <w:szCs w:val="24"/>
        </w:rPr>
      </w:pPr>
      <w:r>
        <w:rPr>
          <w:rFonts w:hint="eastAsia"/>
          <w:color w:val="auto"/>
          <w:kern w:val="2"/>
          <w:sz w:val="24"/>
          <w:szCs w:val="24"/>
        </w:rPr>
        <w:t xml:space="preserve">（6）双方约定解除合同的条件还包括：咨询方迟延超过30天提供咨询成果文件份数及质量标准的，委托人有权解除合同。 </w:t>
      </w:r>
    </w:p>
    <w:p>
      <w:pPr>
        <w:spacing w:line="560" w:lineRule="exact"/>
        <w:ind w:firstLine="465"/>
        <w:rPr>
          <w:color w:val="auto"/>
          <w:sz w:val="24"/>
          <w:szCs w:val="24"/>
        </w:rPr>
      </w:pPr>
      <w:r>
        <w:rPr>
          <w:rFonts w:hint="eastAsia"/>
          <w:color w:val="auto"/>
          <w:kern w:val="2"/>
          <w:sz w:val="24"/>
          <w:szCs w:val="24"/>
        </w:rPr>
        <w:t>（7）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pPr>
        <w:spacing w:line="560" w:lineRule="exact"/>
        <w:ind w:firstLine="480" w:firstLineChars="200"/>
        <w:rPr>
          <w:color w:val="auto"/>
          <w:sz w:val="24"/>
          <w:szCs w:val="24"/>
        </w:rPr>
      </w:pPr>
      <w:r>
        <w:rPr>
          <w:rFonts w:hint="eastAsia"/>
          <w:color w:val="auto"/>
          <w:kern w:val="2"/>
          <w:sz w:val="24"/>
          <w:szCs w:val="24"/>
        </w:rPr>
        <w:t>除上述情形外，双方可以根据委托的服务范围及工作内容，在专用条件中约定解除合同的其他条件。</w:t>
      </w:r>
    </w:p>
    <w:p>
      <w:pPr>
        <w:spacing w:line="560" w:lineRule="exact"/>
        <w:rPr>
          <w:bCs/>
          <w:color w:val="auto"/>
          <w:spacing w:val="20"/>
          <w:sz w:val="24"/>
          <w:szCs w:val="24"/>
        </w:rPr>
      </w:pPr>
      <w:r>
        <w:rPr>
          <w:rFonts w:hint="eastAsia"/>
          <w:bCs/>
          <w:color w:val="auto"/>
          <w:spacing w:val="20"/>
          <w:sz w:val="24"/>
          <w:szCs w:val="24"/>
        </w:rPr>
        <w:t>7. 争议解决</w:t>
      </w:r>
    </w:p>
    <w:p>
      <w:pPr>
        <w:spacing w:line="560" w:lineRule="exact"/>
        <w:rPr>
          <w:bCs/>
          <w:color w:val="auto"/>
          <w:spacing w:val="20"/>
          <w:sz w:val="24"/>
          <w:szCs w:val="24"/>
        </w:rPr>
      </w:pPr>
      <w:r>
        <w:rPr>
          <w:rFonts w:hint="eastAsia"/>
          <w:bCs/>
          <w:color w:val="auto"/>
          <w:spacing w:val="20"/>
          <w:sz w:val="24"/>
          <w:szCs w:val="24"/>
        </w:rPr>
        <w:t>7.2调解</w:t>
      </w:r>
    </w:p>
    <w:p>
      <w:pPr>
        <w:spacing w:line="560" w:lineRule="exact"/>
        <w:ind w:left="560" w:hanging="560" w:hangingChars="200"/>
        <w:rPr>
          <w:bCs/>
          <w:color w:val="auto"/>
          <w:spacing w:val="20"/>
          <w:sz w:val="24"/>
          <w:szCs w:val="24"/>
        </w:rPr>
      </w:pPr>
      <w:r>
        <w:rPr>
          <w:rFonts w:hint="eastAsia"/>
          <w:bCs/>
          <w:color w:val="auto"/>
          <w:spacing w:val="20"/>
          <w:sz w:val="24"/>
          <w:szCs w:val="24"/>
        </w:rPr>
        <w:t xml:space="preserve">    如果双方不能在</w:t>
      </w:r>
      <w:r>
        <w:rPr>
          <w:rFonts w:hint="eastAsia"/>
          <w:bCs/>
          <w:color w:val="auto"/>
          <w:spacing w:val="20"/>
          <w:sz w:val="24"/>
          <w:szCs w:val="24"/>
          <w:u w:val="single"/>
        </w:rPr>
        <w:t xml:space="preserve">  /  </w:t>
      </w:r>
      <w:r>
        <w:rPr>
          <w:rFonts w:hint="eastAsia"/>
          <w:bCs/>
          <w:color w:val="auto"/>
          <w:spacing w:val="20"/>
          <w:sz w:val="24"/>
          <w:szCs w:val="24"/>
        </w:rPr>
        <w:t>日内解决本合同争议，可以将其提交</w:t>
      </w:r>
      <w:r>
        <w:rPr>
          <w:rFonts w:hint="eastAsia"/>
          <w:bCs/>
          <w:color w:val="auto"/>
          <w:spacing w:val="20"/>
          <w:sz w:val="24"/>
          <w:szCs w:val="24"/>
          <w:u w:val="single"/>
        </w:rPr>
        <w:t xml:space="preserve">   /    </w:t>
      </w:r>
      <w:r>
        <w:rPr>
          <w:rFonts w:hint="eastAsia"/>
          <w:bCs/>
          <w:color w:val="auto"/>
          <w:spacing w:val="20"/>
          <w:sz w:val="24"/>
          <w:szCs w:val="24"/>
        </w:rPr>
        <w:t>进行调解。</w:t>
      </w:r>
    </w:p>
    <w:p>
      <w:pPr>
        <w:spacing w:line="560" w:lineRule="exact"/>
        <w:rPr>
          <w:bCs/>
          <w:color w:val="auto"/>
          <w:spacing w:val="20"/>
          <w:sz w:val="24"/>
          <w:szCs w:val="24"/>
        </w:rPr>
      </w:pPr>
      <w:r>
        <w:rPr>
          <w:rFonts w:hint="eastAsia"/>
          <w:bCs/>
          <w:color w:val="auto"/>
          <w:spacing w:val="20"/>
          <w:sz w:val="24"/>
          <w:szCs w:val="24"/>
        </w:rPr>
        <w:t>7.3仲裁或诉讼</w:t>
      </w:r>
    </w:p>
    <w:p>
      <w:pPr>
        <w:spacing w:line="560" w:lineRule="exact"/>
        <w:rPr>
          <w:bCs/>
          <w:color w:val="auto"/>
          <w:spacing w:val="20"/>
          <w:sz w:val="24"/>
          <w:szCs w:val="24"/>
        </w:rPr>
      </w:pPr>
      <w:r>
        <w:rPr>
          <w:rFonts w:hint="eastAsia"/>
          <w:bCs/>
          <w:color w:val="auto"/>
          <w:spacing w:val="20"/>
          <w:sz w:val="24"/>
          <w:szCs w:val="24"/>
        </w:rPr>
        <w:t>合同争议的最终解决方式为下列第</w:t>
      </w:r>
      <w:r>
        <w:rPr>
          <w:rFonts w:hint="eastAsia"/>
          <w:bCs/>
          <w:color w:val="auto"/>
          <w:spacing w:val="20"/>
          <w:sz w:val="24"/>
          <w:szCs w:val="24"/>
          <w:u w:val="single"/>
        </w:rPr>
        <w:t xml:space="preserve">   1  </w:t>
      </w:r>
      <w:r>
        <w:rPr>
          <w:rFonts w:hint="eastAsia"/>
          <w:bCs/>
          <w:color w:val="auto"/>
          <w:spacing w:val="20"/>
          <w:sz w:val="24"/>
          <w:szCs w:val="24"/>
        </w:rPr>
        <w:t>种方式：</w:t>
      </w:r>
    </w:p>
    <w:p>
      <w:pPr>
        <w:spacing w:line="560" w:lineRule="exact"/>
        <w:rPr>
          <w:bCs/>
          <w:color w:val="auto"/>
          <w:spacing w:val="20"/>
          <w:sz w:val="24"/>
          <w:szCs w:val="24"/>
        </w:rPr>
      </w:pPr>
      <w:r>
        <w:rPr>
          <w:rFonts w:hint="eastAsia"/>
          <w:bCs/>
          <w:color w:val="auto"/>
          <w:spacing w:val="20"/>
          <w:sz w:val="24"/>
          <w:szCs w:val="24"/>
        </w:rPr>
        <w:t xml:space="preserve">   （1）提请</w:t>
      </w:r>
      <w:r>
        <w:rPr>
          <w:rFonts w:hint="eastAsia"/>
          <w:bCs/>
          <w:color w:val="auto"/>
          <w:spacing w:val="20"/>
          <w:sz w:val="24"/>
          <w:szCs w:val="24"/>
          <w:u w:val="single"/>
        </w:rPr>
        <w:t xml:space="preserve">  崇左市  </w:t>
      </w:r>
      <w:r>
        <w:rPr>
          <w:rFonts w:hint="eastAsia"/>
          <w:bCs/>
          <w:color w:val="auto"/>
          <w:spacing w:val="20"/>
          <w:sz w:val="24"/>
          <w:szCs w:val="24"/>
        </w:rPr>
        <w:t>仲裁委员会进行仲裁。</w:t>
      </w:r>
    </w:p>
    <w:p>
      <w:pPr>
        <w:spacing w:line="560" w:lineRule="exact"/>
        <w:rPr>
          <w:bCs/>
          <w:color w:val="auto"/>
          <w:spacing w:val="20"/>
          <w:sz w:val="24"/>
          <w:szCs w:val="24"/>
        </w:rPr>
      </w:pPr>
      <w:r>
        <w:rPr>
          <w:rFonts w:hint="eastAsia"/>
          <w:bCs/>
          <w:color w:val="auto"/>
          <w:spacing w:val="20"/>
          <w:sz w:val="24"/>
          <w:szCs w:val="24"/>
        </w:rPr>
        <w:t xml:space="preserve">   （2）向</w:t>
      </w:r>
      <w:r>
        <w:rPr>
          <w:rFonts w:hint="eastAsia"/>
          <w:bCs/>
          <w:color w:val="auto"/>
          <w:spacing w:val="20"/>
          <w:sz w:val="24"/>
          <w:szCs w:val="24"/>
          <w:u w:val="single"/>
        </w:rPr>
        <w:t xml:space="preserve">    /      </w:t>
      </w:r>
      <w:r>
        <w:rPr>
          <w:rFonts w:hint="eastAsia"/>
          <w:bCs/>
          <w:color w:val="auto"/>
          <w:spacing w:val="20"/>
          <w:sz w:val="24"/>
          <w:szCs w:val="24"/>
        </w:rPr>
        <w:t>人民法院提起诉讼。</w:t>
      </w:r>
    </w:p>
    <w:p>
      <w:pPr>
        <w:spacing w:line="560" w:lineRule="exact"/>
        <w:rPr>
          <w:bCs/>
          <w:color w:val="auto"/>
          <w:spacing w:val="20"/>
          <w:sz w:val="24"/>
          <w:szCs w:val="24"/>
        </w:rPr>
      </w:pPr>
      <w:r>
        <w:rPr>
          <w:rFonts w:hint="eastAsia"/>
          <w:bCs/>
          <w:color w:val="auto"/>
          <w:spacing w:val="20"/>
          <w:sz w:val="24"/>
          <w:szCs w:val="24"/>
        </w:rPr>
        <w:t>8. 其他</w:t>
      </w:r>
    </w:p>
    <w:p>
      <w:pPr>
        <w:spacing w:line="560" w:lineRule="exact"/>
        <w:rPr>
          <w:bCs/>
          <w:color w:val="auto"/>
          <w:spacing w:val="20"/>
          <w:sz w:val="24"/>
          <w:szCs w:val="24"/>
        </w:rPr>
      </w:pPr>
      <w:r>
        <w:rPr>
          <w:rFonts w:hint="eastAsia"/>
          <w:bCs/>
          <w:color w:val="auto"/>
          <w:spacing w:val="20"/>
          <w:sz w:val="24"/>
          <w:szCs w:val="24"/>
        </w:rPr>
        <w:t>8.1考察及相关费用</w:t>
      </w:r>
    </w:p>
    <w:p>
      <w:pPr>
        <w:spacing w:line="560" w:lineRule="exact"/>
        <w:rPr>
          <w:bCs/>
          <w:color w:val="auto"/>
          <w:spacing w:val="20"/>
          <w:sz w:val="24"/>
          <w:szCs w:val="24"/>
        </w:rPr>
      </w:pPr>
      <w:r>
        <w:rPr>
          <w:rFonts w:hint="eastAsia"/>
          <w:bCs/>
          <w:color w:val="auto"/>
          <w:spacing w:val="20"/>
          <w:sz w:val="24"/>
          <w:szCs w:val="24"/>
        </w:rPr>
        <w:t>咨询人经委托人同意进行考察发生的费用由</w:t>
      </w:r>
      <w:r>
        <w:rPr>
          <w:rFonts w:hint="eastAsia"/>
          <w:bCs/>
          <w:color w:val="auto"/>
          <w:spacing w:val="20"/>
          <w:sz w:val="24"/>
          <w:szCs w:val="24"/>
          <w:u w:val="single"/>
        </w:rPr>
        <w:t xml:space="preserve">  咨询人  </w:t>
      </w:r>
      <w:r>
        <w:rPr>
          <w:rFonts w:hint="eastAsia"/>
          <w:bCs/>
          <w:color w:val="auto"/>
          <w:spacing w:val="20"/>
          <w:sz w:val="24"/>
          <w:szCs w:val="24"/>
        </w:rPr>
        <w:t>支付。</w:t>
      </w:r>
    </w:p>
    <w:p>
      <w:pPr>
        <w:spacing w:line="560" w:lineRule="exact"/>
        <w:rPr>
          <w:bCs/>
          <w:color w:val="auto"/>
          <w:spacing w:val="20"/>
          <w:sz w:val="24"/>
          <w:szCs w:val="24"/>
        </w:rPr>
      </w:pPr>
      <w:r>
        <w:rPr>
          <w:rFonts w:hint="eastAsia"/>
          <w:bCs/>
          <w:color w:val="auto"/>
          <w:spacing w:val="20"/>
          <w:sz w:val="24"/>
          <w:szCs w:val="24"/>
        </w:rPr>
        <w:t>差旅费及相关费用的支付：</w:t>
      </w:r>
      <w:r>
        <w:rPr>
          <w:rFonts w:hint="eastAsia"/>
          <w:bCs/>
          <w:color w:val="auto"/>
          <w:spacing w:val="20"/>
          <w:sz w:val="24"/>
          <w:szCs w:val="24"/>
          <w:u w:val="single"/>
        </w:rPr>
        <w:t xml:space="preserve">   咨询人   </w:t>
      </w:r>
      <w:r>
        <w:rPr>
          <w:rFonts w:hint="eastAsia"/>
          <w:bCs/>
          <w:color w:val="auto"/>
          <w:spacing w:val="20"/>
          <w:sz w:val="24"/>
          <w:szCs w:val="24"/>
        </w:rPr>
        <w:t xml:space="preserve">。          </w:t>
      </w:r>
    </w:p>
    <w:p>
      <w:pPr>
        <w:spacing w:line="560" w:lineRule="exact"/>
        <w:rPr>
          <w:bCs/>
          <w:color w:val="auto"/>
          <w:spacing w:val="20"/>
          <w:sz w:val="24"/>
          <w:szCs w:val="24"/>
        </w:rPr>
      </w:pPr>
      <w:r>
        <w:rPr>
          <w:rFonts w:hint="eastAsia"/>
          <w:bCs/>
          <w:color w:val="auto"/>
          <w:spacing w:val="20"/>
          <w:sz w:val="24"/>
          <w:szCs w:val="24"/>
        </w:rPr>
        <w:t>8.2奖励</w:t>
      </w:r>
    </w:p>
    <w:p>
      <w:pPr>
        <w:spacing w:line="560" w:lineRule="exact"/>
        <w:rPr>
          <w:bCs/>
          <w:color w:val="auto"/>
          <w:spacing w:val="20"/>
          <w:sz w:val="24"/>
          <w:szCs w:val="24"/>
        </w:rPr>
      </w:pPr>
      <w:r>
        <w:rPr>
          <w:rFonts w:hint="eastAsia"/>
          <w:bCs/>
          <w:color w:val="auto"/>
          <w:spacing w:val="20"/>
          <w:sz w:val="24"/>
          <w:szCs w:val="24"/>
        </w:rPr>
        <w:t>合理化建议的奖励金额按下列方法确定：</w:t>
      </w:r>
      <w:r>
        <w:rPr>
          <w:rFonts w:hint="eastAsia"/>
          <w:bCs/>
          <w:color w:val="auto"/>
          <w:spacing w:val="20"/>
          <w:sz w:val="24"/>
          <w:szCs w:val="24"/>
          <w:u w:val="single"/>
        </w:rPr>
        <w:t xml:space="preserve">     /     </w:t>
      </w:r>
      <w:r>
        <w:rPr>
          <w:rFonts w:hint="eastAsia"/>
          <w:bCs/>
          <w:color w:val="auto"/>
          <w:spacing w:val="20"/>
          <w:sz w:val="24"/>
          <w:szCs w:val="24"/>
        </w:rPr>
        <w:t xml:space="preserve">。 </w:t>
      </w:r>
    </w:p>
    <w:p>
      <w:pPr>
        <w:spacing w:line="560" w:lineRule="exact"/>
        <w:rPr>
          <w:bCs/>
          <w:color w:val="auto"/>
          <w:spacing w:val="20"/>
          <w:sz w:val="24"/>
          <w:szCs w:val="24"/>
        </w:rPr>
      </w:pPr>
      <w:r>
        <w:rPr>
          <w:rFonts w:hint="eastAsia"/>
          <w:bCs/>
          <w:color w:val="auto"/>
          <w:spacing w:val="20"/>
          <w:sz w:val="24"/>
          <w:szCs w:val="24"/>
        </w:rPr>
        <w:t>8.3保密</w:t>
      </w:r>
    </w:p>
    <w:p>
      <w:pPr>
        <w:spacing w:line="560" w:lineRule="exact"/>
        <w:rPr>
          <w:bCs/>
          <w:color w:val="auto"/>
          <w:spacing w:val="20"/>
          <w:sz w:val="24"/>
          <w:szCs w:val="24"/>
        </w:rPr>
      </w:pPr>
      <w:r>
        <w:rPr>
          <w:rFonts w:hint="eastAsia"/>
          <w:bCs/>
          <w:color w:val="auto"/>
          <w:spacing w:val="20"/>
          <w:sz w:val="24"/>
          <w:szCs w:val="24"/>
        </w:rPr>
        <w:t xml:space="preserve"> 委托人申明的保密事项和期限：合同期满后2年内。</w:t>
      </w:r>
    </w:p>
    <w:p>
      <w:pPr>
        <w:spacing w:line="560" w:lineRule="exact"/>
        <w:rPr>
          <w:bCs/>
          <w:color w:val="auto"/>
          <w:spacing w:val="20"/>
          <w:sz w:val="24"/>
          <w:szCs w:val="24"/>
        </w:rPr>
      </w:pPr>
      <w:r>
        <w:rPr>
          <w:rFonts w:hint="eastAsia"/>
          <w:bCs/>
          <w:color w:val="auto"/>
          <w:spacing w:val="20"/>
          <w:sz w:val="24"/>
          <w:szCs w:val="24"/>
        </w:rPr>
        <w:t xml:space="preserve"> 咨询人申明的保密事项和期限：合同期满后2年内。             </w:t>
      </w:r>
    </w:p>
    <w:p>
      <w:pPr>
        <w:spacing w:line="560" w:lineRule="exact"/>
        <w:rPr>
          <w:bCs/>
          <w:color w:val="auto"/>
          <w:spacing w:val="20"/>
          <w:sz w:val="24"/>
          <w:szCs w:val="24"/>
        </w:rPr>
      </w:pPr>
      <w:r>
        <w:rPr>
          <w:rFonts w:hint="eastAsia"/>
          <w:bCs/>
          <w:color w:val="auto"/>
          <w:spacing w:val="20"/>
          <w:sz w:val="24"/>
          <w:szCs w:val="24"/>
        </w:rPr>
        <w:t xml:space="preserve"> 第三人申明的保密事项和期限：合同期满后2年内。 </w:t>
      </w:r>
    </w:p>
    <w:p>
      <w:pPr>
        <w:spacing w:line="560" w:lineRule="exact"/>
        <w:rPr>
          <w:bCs/>
          <w:color w:val="auto"/>
          <w:spacing w:val="20"/>
          <w:sz w:val="24"/>
          <w:szCs w:val="24"/>
        </w:rPr>
      </w:pPr>
      <w:r>
        <w:rPr>
          <w:rFonts w:hint="eastAsia"/>
          <w:bCs/>
          <w:color w:val="auto"/>
          <w:spacing w:val="20"/>
          <w:sz w:val="24"/>
          <w:szCs w:val="24"/>
        </w:rPr>
        <w:t>8.4联络</w:t>
      </w:r>
    </w:p>
    <w:p>
      <w:pPr>
        <w:spacing w:line="560" w:lineRule="exact"/>
        <w:rPr>
          <w:bCs/>
          <w:color w:val="auto"/>
          <w:spacing w:val="20"/>
          <w:sz w:val="24"/>
          <w:szCs w:val="24"/>
        </w:rPr>
      </w:pPr>
      <w:r>
        <w:rPr>
          <w:rFonts w:hint="eastAsia"/>
          <w:bCs/>
          <w:color w:val="auto"/>
          <w:spacing w:val="20"/>
          <w:sz w:val="24"/>
          <w:szCs w:val="24"/>
        </w:rPr>
        <w:t>8.4.1任何一方与合同有关的通知、指示、要求、决定等，均应在</w:t>
      </w:r>
      <w:r>
        <w:rPr>
          <w:rFonts w:hint="eastAsia"/>
          <w:bCs/>
          <w:color w:val="auto"/>
          <w:spacing w:val="20"/>
          <w:sz w:val="24"/>
          <w:szCs w:val="24"/>
          <w:u w:val="single"/>
        </w:rPr>
        <w:t xml:space="preserve">     3个工作日    </w:t>
      </w:r>
      <w:r>
        <w:rPr>
          <w:rFonts w:hint="eastAsia"/>
          <w:bCs/>
          <w:color w:val="auto"/>
          <w:spacing w:val="20"/>
          <w:sz w:val="24"/>
          <w:szCs w:val="24"/>
        </w:rPr>
        <w:t>内送达对方指定的接收人和送达地点。</w:t>
      </w:r>
    </w:p>
    <w:p>
      <w:pPr>
        <w:spacing w:line="560" w:lineRule="exact"/>
        <w:rPr>
          <w:bCs/>
          <w:color w:val="auto"/>
          <w:spacing w:val="20"/>
          <w:sz w:val="24"/>
          <w:szCs w:val="24"/>
        </w:rPr>
      </w:pPr>
      <w:r>
        <w:rPr>
          <w:rFonts w:hint="eastAsia"/>
          <w:bCs/>
          <w:color w:val="auto"/>
          <w:spacing w:val="20"/>
          <w:sz w:val="24"/>
          <w:szCs w:val="24"/>
        </w:rPr>
        <w:t>8.4.2委托人指定的送达接收人：</w:t>
      </w:r>
      <w:r>
        <w:rPr>
          <w:rFonts w:hint="eastAsia"/>
          <w:bCs/>
          <w:color w:val="auto"/>
          <w:spacing w:val="20"/>
          <w:sz w:val="24"/>
          <w:szCs w:val="24"/>
          <w:u w:val="single"/>
        </w:rPr>
        <w:t xml:space="preserve">     /     </w:t>
      </w:r>
      <w:r>
        <w:rPr>
          <w:rFonts w:hint="eastAsia"/>
          <w:bCs/>
          <w:color w:val="auto"/>
          <w:spacing w:val="20"/>
          <w:sz w:val="24"/>
          <w:szCs w:val="24"/>
        </w:rPr>
        <w:t>，送达地点：</w:t>
      </w:r>
      <w:r>
        <w:rPr>
          <w:rFonts w:hint="eastAsia"/>
          <w:bCs/>
          <w:color w:val="auto"/>
          <w:spacing w:val="20"/>
          <w:sz w:val="24"/>
          <w:szCs w:val="24"/>
          <w:u w:val="single"/>
        </w:rPr>
        <w:t xml:space="preserve">   崇左市交通运输局办公大楼    </w:t>
      </w:r>
      <w:r>
        <w:rPr>
          <w:rFonts w:hint="eastAsia"/>
          <w:bCs/>
          <w:color w:val="auto"/>
          <w:spacing w:val="20"/>
          <w:sz w:val="24"/>
          <w:szCs w:val="24"/>
        </w:rPr>
        <w:t>，电子邮箱：</w:t>
      </w:r>
      <w:r>
        <w:rPr>
          <w:rFonts w:hint="eastAsia"/>
          <w:bCs/>
          <w:color w:val="auto"/>
          <w:spacing w:val="20"/>
          <w:sz w:val="24"/>
          <w:szCs w:val="24"/>
          <w:u w:val="single"/>
        </w:rPr>
        <w:t xml:space="preserve">     /     </w:t>
      </w:r>
      <w:r>
        <w:rPr>
          <w:rFonts w:hint="eastAsia"/>
          <w:bCs/>
          <w:color w:val="auto"/>
          <w:spacing w:val="20"/>
          <w:sz w:val="24"/>
          <w:szCs w:val="24"/>
        </w:rPr>
        <w:t>。</w:t>
      </w:r>
    </w:p>
    <w:p>
      <w:pPr>
        <w:spacing w:line="560" w:lineRule="exact"/>
        <w:rPr>
          <w:bCs/>
          <w:color w:val="auto"/>
          <w:spacing w:val="20"/>
          <w:sz w:val="24"/>
          <w:szCs w:val="24"/>
        </w:rPr>
      </w:pPr>
      <w:r>
        <w:rPr>
          <w:rFonts w:hint="eastAsia"/>
          <w:bCs/>
          <w:color w:val="auto"/>
          <w:spacing w:val="20"/>
          <w:sz w:val="24"/>
          <w:szCs w:val="24"/>
        </w:rPr>
        <w:t>咨询人指定的送达接收人：</w:t>
      </w:r>
      <w:r>
        <w:rPr>
          <w:rFonts w:hint="eastAsia"/>
          <w:bCs/>
          <w:color w:val="auto"/>
          <w:spacing w:val="20"/>
          <w:sz w:val="24"/>
          <w:szCs w:val="24"/>
          <w:u w:val="single"/>
        </w:rPr>
        <w:t xml:space="preserve">     /     </w:t>
      </w:r>
      <w:r>
        <w:rPr>
          <w:rFonts w:hint="eastAsia"/>
          <w:bCs/>
          <w:color w:val="auto"/>
          <w:spacing w:val="20"/>
          <w:sz w:val="24"/>
          <w:szCs w:val="24"/>
        </w:rPr>
        <w:t>，送达地点：</w:t>
      </w:r>
      <w:r>
        <w:rPr>
          <w:rFonts w:hint="eastAsia"/>
          <w:bCs/>
          <w:color w:val="auto"/>
          <w:spacing w:val="20"/>
          <w:sz w:val="24"/>
          <w:szCs w:val="24"/>
          <w:u w:val="single"/>
        </w:rPr>
        <w:t xml:space="preserve"> 崇左市交通运输局办公大楼  </w:t>
      </w:r>
      <w:r>
        <w:rPr>
          <w:rFonts w:hint="eastAsia"/>
          <w:bCs/>
          <w:color w:val="auto"/>
          <w:spacing w:val="20"/>
          <w:sz w:val="24"/>
          <w:szCs w:val="24"/>
        </w:rPr>
        <w:t>，电子邮箱：</w:t>
      </w:r>
      <w:r>
        <w:rPr>
          <w:rFonts w:hint="eastAsia"/>
          <w:bCs/>
          <w:color w:val="auto"/>
          <w:spacing w:val="20"/>
          <w:sz w:val="24"/>
          <w:szCs w:val="24"/>
          <w:u w:val="single"/>
        </w:rPr>
        <w:t xml:space="preserve">     /     </w:t>
      </w:r>
      <w:r>
        <w:rPr>
          <w:rFonts w:hint="eastAsia"/>
          <w:bCs/>
          <w:color w:val="auto"/>
          <w:spacing w:val="20"/>
          <w:sz w:val="24"/>
          <w:szCs w:val="24"/>
        </w:rPr>
        <w:t>。</w:t>
      </w:r>
    </w:p>
    <w:p>
      <w:pPr>
        <w:spacing w:line="560" w:lineRule="exact"/>
        <w:rPr>
          <w:bCs/>
          <w:color w:val="auto"/>
          <w:spacing w:val="20"/>
          <w:sz w:val="24"/>
          <w:szCs w:val="24"/>
        </w:rPr>
      </w:pPr>
      <w:r>
        <w:rPr>
          <w:rFonts w:hint="eastAsia"/>
          <w:bCs/>
          <w:color w:val="auto"/>
          <w:spacing w:val="20"/>
          <w:sz w:val="24"/>
          <w:szCs w:val="24"/>
        </w:rPr>
        <w:t>8.5知识产权</w:t>
      </w:r>
    </w:p>
    <w:p>
      <w:pPr>
        <w:spacing w:line="560" w:lineRule="exact"/>
        <w:rPr>
          <w:bCs/>
          <w:color w:val="auto"/>
          <w:spacing w:val="20"/>
          <w:sz w:val="24"/>
          <w:szCs w:val="24"/>
        </w:rPr>
      </w:pPr>
      <w:r>
        <w:rPr>
          <w:rFonts w:hint="eastAsia"/>
          <w:bCs/>
          <w:color w:val="auto"/>
          <w:spacing w:val="20"/>
          <w:sz w:val="24"/>
          <w:szCs w:val="24"/>
        </w:rPr>
        <w:t>委托人提供给咨询人的图纸、委托人为实施工程自行编制或委托编制的技术规范以及反映委托人要求的或其他类似性质文件的著作权属于委托人。</w:t>
      </w:r>
    </w:p>
    <w:p>
      <w:pPr>
        <w:spacing w:line="560" w:lineRule="exact"/>
        <w:rPr>
          <w:bCs/>
          <w:color w:val="auto"/>
          <w:spacing w:val="20"/>
          <w:sz w:val="24"/>
          <w:szCs w:val="24"/>
        </w:rPr>
      </w:pPr>
      <w:r>
        <w:rPr>
          <w:rFonts w:hint="eastAsia"/>
          <w:bCs/>
          <w:color w:val="auto"/>
          <w:spacing w:val="20"/>
          <w:sz w:val="24"/>
          <w:szCs w:val="24"/>
        </w:rPr>
        <w:t>咨询人为履行本合同约定而编制的成果文件，其著作权属于委托人。</w:t>
      </w:r>
    </w:p>
    <w:p>
      <w:pPr>
        <w:spacing w:line="560" w:lineRule="exact"/>
        <w:rPr>
          <w:bCs/>
          <w:color w:val="auto"/>
          <w:spacing w:val="20"/>
          <w:sz w:val="24"/>
          <w:szCs w:val="24"/>
        </w:rPr>
      </w:pPr>
      <w:r>
        <w:rPr>
          <w:rFonts w:hint="eastAsia"/>
          <w:bCs/>
          <w:color w:val="auto"/>
          <w:spacing w:val="20"/>
          <w:sz w:val="24"/>
          <w:szCs w:val="24"/>
        </w:rPr>
        <w:t>双方将履行本合同形成的有关成果文件用于企业宣传、申报奖项以及接受上级主管部门的检查须遵守以下约定：</w:t>
      </w:r>
      <w:r>
        <w:rPr>
          <w:rFonts w:hint="eastAsia"/>
          <w:bCs/>
          <w:color w:val="auto"/>
          <w:spacing w:val="20"/>
          <w:sz w:val="24"/>
          <w:szCs w:val="24"/>
          <w:u w:val="single"/>
        </w:rPr>
        <w:t xml:space="preserve">        /        </w:t>
      </w:r>
      <w:r>
        <w:rPr>
          <w:rFonts w:hint="eastAsia"/>
          <w:bCs/>
          <w:color w:val="auto"/>
          <w:spacing w:val="20"/>
          <w:sz w:val="24"/>
          <w:szCs w:val="24"/>
        </w:rPr>
        <w:t>。</w:t>
      </w:r>
    </w:p>
    <w:p>
      <w:pPr>
        <w:spacing w:line="560" w:lineRule="exact"/>
        <w:rPr>
          <w:bCs/>
          <w:color w:val="auto"/>
          <w:spacing w:val="20"/>
          <w:sz w:val="24"/>
          <w:szCs w:val="24"/>
        </w:rPr>
      </w:pPr>
      <w:r>
        <w:rPr>
          <w:rFonts w:hint="eastAsia"/>
          <w:bCs/>
          <w:color w:val="auto"/>
          <w:spacing w:val="20"/>
          <w:sz w:val="24"/>
          <w:szCs w:val="24"/>
        </w:rPr>
        <w:t>9.补充条款</w:t>
      </w:r>
    </w:p>
    <w:p>
      <w:pPr>
        <w:spacing w:line="560" w:lineRule="exact"/>
        <w:rPr>
          <w:bCs/>
          <w:color w:val="auto"/>
          <w:spacing w:val="20"/>
          <w:sz w:val="24"/>
          <w:szCs w:val="24"/>
        </w:rPr>
      </w:pPr>
      <w:r>
        <w:rPr>
          <w:rFonts w:hint="eastAsia"/>
          <w:bCs/>
          <w:color w:val="auto"/>
          <w:spacing w:val="20"/>
          <w:sz w:val="24"/>
          <w:szCs w:val="24"/>
        </w:rPr>
        <w:t>9.1.1负责对工程量清单、施工签证、施工图工程量进行对比控制。定期和业主、监理、承包商开会，讨论解决工程中有关造价的问题。对于委托人要求咨询人出具相关工程预算或报告的，咨询人须在七个工作日内出具。</w:t>
      </w:r>
    </w:p>
    <w:p>
      <w:pPr>
        <w:spacing w:line="560" w:lineRule="exact"/>
        <w:rPr>
          <w:bCs/>
          <w:color w:val="auto"/>
          <w:spacing w:val="20"/>
          <w:sz w:val="24"/>
          <w:szCs w:val="24"/>
        </w:rPr>
      </w:pPr>
      <w:r>
        <w:rPr>
          <w:rFonts w:hint="eastAsia"/>
          <w:bCs/>
          <w:color w:val="auto"/>
          <w:spacing w:val="20"/>
          <w:sz w:val="24"/>
          <w:szCs w:val="24"/>
        </w:rPr>
        <w:t>9.1.2负责会同委托人、监理对工程进度款拨付进行严格审核并提供预付、支付工程款的依据（需在出具依据上签字），该审核需在七个工作日内完成。</w:t>
      </w:r>
    </w:p>
    <w:p>
      <w:pPr>
        <w:spacing w:line="560" w:lineRule="exact"/>
        <w:rPr>
          <w:bCs/>
          <w:color w:val="auto"/>
          <w:spacing w:val="20"/>
          <w:sz w:val="24"/>
          <w:szCs w:val="24"/>
        </w:rPr>
      </w:pPr>
      <w:r>
        <w:rPr>
          <w:rFonts w:hint="eastAsia"/>
          <w:bCs/>
          <w:color w:val="auto"/>
          <w:spacing w:val="20"/>
          <w:sz w:val="24"/>
          <w:szCs w:val="24"/>
        </w:rPr>
        <w:t>9.1.3当采购人认为审计人的业务水平未达到要求时，有权要求进行更换，咨询人接到通知后，48小时内必须更换到位，否则采购人将按1000元/次进行罚款。</w:t>
      </w:r>
    </w:p>
    <w:p>
      <w:pPr>
        <w:spacing w:line="560" w:lineRule="exact"/>
        <w:rPr>
          <w:bCs/>
          <w:color w:val="auto"/>
          <w:spacing w:val="20"/>
          <w:sz w:val="24"/>
          <w:szCs w:val="24"/>
        </w:rPr>
      </w:pPr>
      <w:r>
        <w:rPr>
          <w:rFonts w:hint="eastAsia"/>
          <w:bCs/>
          <w:color w:val="auto"/>
          <w:spacing w:val="20"/>
          <w:sz w:val="24"/>
          <w:szCs w:val="24"/>
        </w:rPr>
        <w:t>9.1.4负责由于设计变更等原因所产生的合同外工程项目的预算费用进行审核，并出具审核报告。</w:t>
      </w:r>
    </w:p>
    <w:p>
      <w:pPr>
        <w:spacing w:line="560" w:lineRule="exact"/>
        <w:rPr>
          <w:bCs/>
          <w:color w:val="auto"/>
          <w:spacing w:val="20"/>
          <w:sz w:val="24"/>
          <w:szCs w:val="24"/>
        </w:rPr>
      </w:pPr>
      <w:r>
        <w:rPr>
          <w:rFonts w:hint="eastAsia"/>
          <w:bCs/>
          <w:color w:val="auto"/>
          <w:spacing w:val="20"/>
          <w:sz w:val="24"/>
          <w:szCs w:val="24"/>
        </w:rPr>
        <w:t>9.1.5项目公司依据经审批的施工图及施工组织设计、相关计价依据和原则，编制详细的施工预算，结合中标的“工程造价报价”，经咨询人审核后，报各有关部门复核审定，形成合同预算价。</w:t>
      </w:r>
    </w:p>
    <w:p>
      <w:pPr>
        <w:spacing w:line="560" w:lineRule="exact"/>
        <w:rPr>
          <w:bCs/>
          <w:color w:val="auto"/>
          <w:spacing w:val="20"/>
          <w:sz w:val="24"/>
          <w:szCs w:val="24"/>
        </w:rPr>
      </w:pPr>
      <w:r>
        <w:rPr>
          <w:rFonts w:hint="eastAsia"/>
          <w:bCs/>
          <w:color w:val="auto"/>
          <w:spacing w:val="20"/>
          <w:sz w:val="24"/>
          <w:szCs w:val="24"/>
        </w:rPr>
        <w:t>9.1.6建设工程造价信息未发布的材料、设备的选购，项目公司应根据批复的初步设计及概算，进行市场价格调查，取得真实有效的市场询价依据（含设计技术参数、规格档次、供应商报价表、采购合同等），经咨询人审核后，经实施机构同意，由执行机构邀请各有关部门会商议定价格形成的会议纪要作为施工图预算和结算的依据。</w:t>
      </w:r>
    </w:p>
    <w:p>
      <w:pPr>
        <w:spacing w:line="560" w:lineRule="exact"/>
        <w:rPr>
          <w:bCs/>
          <w:color w:val="auto"/>
          <w:spacing w:val="20"/>
          <w:sz w:val="24"/>
          <w:szCs w:val="24"/>
        </w:rPr>
      </w:pPr>
      <w:r>
        <w:rPr>
          <w:rFonts w:hint="eastAsia"/>
          <w:bCs/>
          <w:color w:val="auto"/>
          <w:spacing w:val="20"/>
          <w:sz w:val="24"/>
          <w:szCs w:val="24"/>
        </w:rPr>
        <w:t>9.1.7工程竣工验收后，项目公司应按实际完成的工程量和合同预算价编制竣工结算，经咨询人审核后，报有关部门符合审定。</w:t>
      </w:r>
    </w:p>
    <w:p>
      <w:pPr>
        <w:spacing w:line="560" w:lineRule="exact"/>
        <w:rPr>
          <w:bCs/>
          <w:color w:val="auto"/>
          <w:spacing w:val="20"/>
          <w:sz w:val="24"/>
          <w:szCs w:val="24"/>
        </w:rPr>
      </w:pPr>
      <w:r>
        <w:rPr>
          <w:rFonts w:hint="eastAsia"/>
          <w:bCs/>
          <w:color w:val="auto"/>
          <w:spacing w:val="20"/>
          <w:sz w:val="24"/>
          <w:szCs w:val="24"/>
        </w:rPr>
        <w:t>9.1.</w:t>
      </w:r>
      <w:r>
        <w:rPr>
          <w:rFonts w:hint="eastAsia"/>
          <w:bCs/>
          <w:color w:val="auto"/>
          <w:spacing w:val="20"/>
          <w:sz w:val="24"/>
          <w:szCs w:val="24"/>
          <w:lang w:val="en-US" w:eastAsia="zh-CN"/>
        </w:rPr>
        <w:t>8</w:t>
      </w:r>
      <w:r>
        <w:rPr>
          <w:rFonts w:hint="eastAsia"/>
          <w:bCs/>
          <w:color w:val="auto"/>
          <w:spacing w:val="20"/>
          <w:sz w:val="24"/>
          <w:szCs w:val="24"/>
        </w:rPr>
        <w:t>对于已经由项目公司委托第三方检测机构进行检验试验工作所发生的的检验试验费，原则上同意经执行机构及委托的咨询人审核后，报有关部门符合审定，该项费用列入项目建安费中结算。</w:t>
      </w:r>
    </w:p>
    <w:p>
      <w:pPr>
        <w:spacing w:line="560" w:lineRule="exact"/>
        <w:rPr>
          <w:rFonts w:ascii="仿宋" w:hAnsi="仿宋" w:eastAsia="仿宋"/>
          <w:bCs/>
          <w:color w:val="auto"/>
          <w:spacing w:val="20"/>
          <w:sz w:val="32"/>
          <w:szCs w:val="32"/>
        </w:rPr>
      </w:pPr>
      <w:r>
        <w:rPr>
          <w:rFonts w:hint="eastAsia"/>
          <w:bCs/>
          <w:color w:val="auto"/>
          <w:spacing w:val="20"/>
          <w:sz w:val="24"/>
          <w:szCs w:val="24"/>
        </w:rPr>
        <w:t>9.1.</w:t>
      </w:r>
      <w:r>
        <w:rPr>
          <w:rFonts w:hint="eastAsia"/>
          <w:bCs/>
          <w:color w:val="auto"/>
          <w:spacing w:val="20"/>
          <w:sz w:val="24"/>
          <w:szCs w:val="24"/>
          <w:lang w:val="en-US" w:eastAsia="zh-CN"/>
        </w:rPr>
        <w:t>9</w:t>
      </w:r>
      <w:r>
        <w:rPr>
          <w:rFonts w:hint="eastAsia"/>
          <w:bCs/>
          <w:color w:val="auto"/>
          <w:spacing w:val="20"/>
          <w:sz w:val="24"/>
          <w:szCs w:val="24"/>
        </w:rPr>
        <w:t>采用过程跟踪审计方式，由工程造价咨询机构对项目进行跟踪审核，每年报有关部门审定，该审定结果作为最终结算的依据，且最终审定结果为过程审核的累加，不重复审定。</w:t>
      </w:r>
    </w:p>
    <w:p>
      <w:pPr>
        <w:rPr>
          <w:rFonts w:ascii="仿宋" w:hAnsi="仿宋" w:eastAsia="仿宋" w:cs="Times New Roman"/>
          <w:b/>
          <w:bCs/>
          <w:color w:val="auto"/>
          <w:kern w:val="44"/>
          <w:sz w:val="32"/>
          <w:szCs w:val="32"/>
        </w:rPr>
      </w:pPr>
      <w:r>
        <w:rPr>
          <w:rFonts w:hint="eastAsia" w:ascii="仿宋" w:hAnsi="仿宋" w:eastAsia="仿宋" w:cs="Times New Roman"/>
          <w:b/>
          <w:bCs/>
          <w:color w:val="auto"/>
          <w:kern w:val="44"/>
          <w:sz w:val="32"/>
          <w:szCs w:val="32"/>
        </w:rPr>
        <w:br w:type="page"/>
      </w:r>
    </w:p>
    <w:p>
      <w:pPr>
        <w:keepNext/>
        <w:keepLines/>
        <w:spacing w:after="120" w:line="560" w:lineRule="exact"/>
        <w:ind w:left="419" w:hanging="130"/>
        <w:outlineLvl w:val="0"/>
        <w:rPr>
          <w:rFonts w:ascii="仿宋" w:hAnsi="仿宋" w:eastAsia="仿宋" w:cs="Times New Roman"/>
          <w:b/>
          <w:bCs/>
          <w:color w:val="auto"/>
          <w:kern w:val="44"/>
          <w:sz w:val="32"/>
          <w:szCs w:val="32"/>
        </w:rPr>
      </w:pPr>
      <w:bookmarkStart w:id="212" w:name="_Toc24165"/>
      <w:r>
        <w:rPr>
          <w:rFonts w:hint="eastAsia" w:ascii="仿宋" w:hAnsi="仿宋" w:eastAsia="仿宋" w:cs="Times New Roman"/>
          <w:b/>
          <w:bCs/>
          <w:color w:val="auto"/>
          <w:kern w:val="44"/>
          <w:sz w:val="32"/>
          <w:szCs w:val="32"/>
        </w:rPr>
        <w:t>附录A 咨询人提交成果文件一览表</w:t>
      </w:r>
      <w:bookmarkEnd w:id="206"/>
      <w:bookmarkEnd w:id="207"/>
      <w:bookmarkEnd w:id="212"/>
    </w:p>
    <w:tbl>
      <w:tblPr>
        <w:tblStyle w:val="29"/>
        <w:tblW w:w="9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1843"/>
        <w:gridCol w:w="1984"/>
        <w:gridCol w:w="1560"/>
        <w:gridCol w:w="1134"/>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740" w:type="dxa"/>
            <w:vAlign w:val="center"/>
          </w:tcPr>
          <w:p>
            <w:pPr>
              <w:spacing w:line="560" w:lineRule="exact"/>
              <w:jc w:val="center"/>
              <w:rPr>
                <w:rFonts w:ascii="仿宋" w:hAnsi="仿宋" w:eastAsia="仿宋" w:cs="Times New Roman"/>
                <w:bCs/>
                <w:color w:val="auto"/>
                <w:sz w:val="32"/>
                <w:szCs w:val="32"/>
              </w:rPr>
            </w:pPr>
            <w:r>
              <w:rPr>
                <w:rFonts w:hint="eastAsia" w:ascii="仿宋" w:hAnsi="仿宋" w:eastAsia="仿宋" w:cs="Times New Roman"/>
                <w:bCs/>
                <w:color w:val="auto"/>
                <w:sz w:val="32"/>
                <w:szCs w:val="32"/>
              </w:rPr>
              <w:t>服务阶段</w:t>
            </w:r>
          </w:p>
        </w:tc>
        <w:tc>
          <w:tcPr>
            <w:tcW w:w="1843" w:type="dxa"/>
            <w:vAlign w:val="center"/>
          </w:tcPr>
          <w:p>
            <w:pPr>
              <w:spacing w:line="560" w:lineRule="exact"/>
              <w:jc w:val="center"/>
              <w:rPr>
                <w:rFonts w:ascii="仿宋" w:hAnsi="仿宋" w:eastAsia="仿宋" w:cs="Times New Roman"/>
                <w:bCs/>
                <w:color w:val="auto"/>
                <w:sz w:val="32"/>
                <w:szCs w:val="32"/>
              </w:rPr>
            </w:pPr>
            <w:r>
              <w:rPr>
                <w:rFonts w:hint="eastAsia" w:ascii="仿宋" w:hAnsi="仿宋" w:eastAsia="仿宋" w:cs="Times New Roman"/>
                <w:bCs/>
                <w:color w:val="auto"/>
                <w:sz w:val="32"/>
                <w:szCs w:val="32"/>
              </w:rPr>
              <w:t>成果文件名称</w:t>
            </w:r>
          </w:p>
        </w:tc>
        <w:tc>
          <w:tcPr>
            <w:tcW w:w="1984" w:type="dxa"/>
            <w:vAlign w:val="center"/>
          </w:tcPr>
          <w:p>
            <w:pPr>
              <w:spacing w:line="560" w:lineRule="exact"/>
              <w:jc w:val="center"/>
              <w:rPr>
                <w:rFonts w:ascii="仿宋" w:hAnsi="仿宋" w:eastAsia="仿宋" w:cs="Times New Roman"/>
                <w:bCs/>
                <w:color w:val="auto"/>
                <w:sz w:val="32"/>
                <w:szCs w:val="32"/>
              </w:rPr>
            </w:pPr>
            <w:r>
              <w:rPr>
                <w:rFonts w:hint="eastAsia" w:ascii="仿宋" w:hAnsi="仿宋" w:eastAsia="仿宋" w:cs="Times New Roman"/>
                <w:bCs/>
                <w:color w:val="auto"/>
                <w:sz w:val="32"/>
                <w:szCs w:val="32"/>
              </w:rPr>
              <w:t>成果文件组成</w:t>
            </w:r>
          </w:p>
        </w:tc>
        <w:tc>
          <w:tcPr>
            <w:tcW w:w="1560" w:type="dxa"/>
            <w:vAlign w:val="center"/>
          </w:tcPr>
          <w:p>
            <w:pPr>
              <w:spacing w:line="560" w:lineRule="exact"/>
              <w:jc w:val="center"/>
              <w:rPr>
                <w:rFonts w:ascii="仿宋" w:hAnsi="仿宋" w:eastAsia="仿宋" w:cs="Times New Roman"/>
                <w:bCs/>
                <w:color w:val="auto"/>
                <w:sz w:val="32"/>
                <w:szCs w:val="32"/>
              </w:rPr>
            </w:pPr>
            <w:r>
              <w:rPr>
                <w:rFonts w:hint="eastAsia" w:ascii="仿宋" w:hAnsi="仿宋" w:eastAsia="仿宋" w:cs="Times New Roman"/>
                <w:bCs/>
                <w:color w:val="auto"/>
                <w:sz w:val="32"/>
                <w:szCs w:val="32"/>
              </w:rPr>
              <w:t>提交时间</w:t>
            </w:r>
          </w:p>
        </w:tc>
        <w:tc>
          <w:tcPr>
            <w:tcW w:w="1134" w:type="dxa"/>
            <w:vAlign w:val="center"/>
          </w:tcPr>
          <w:p>
            <w:pPr>
              <w:spacing w:line="560" w:lineRule="exact"/>
              <w:jc w:val="center"/>
              <w:rPr>
                <w:rFonts w:ascii="仿宋" w:hAnsi="仿宋" w:eastAsia="仿宋" w:cs="Times New Roman"/>
                <w:bCs/>
                <w:color w:val="auto"/>
                <w:sz w:val="32"/>
                <w:szCs w:val="32"/>
              </w:rPr>
            </w:pPr>
            <w:r>
              <w:rPr>
                <w:rFonts w:hint="eastAsia" w:ascii="仿宋" w:hAnsi="仿宋" w:eastAsia="仿宋" w:cs="Times New Roman"/>
                <w:bCs/>
                <w:color w:val="auto"/>
                <w:sz w:val="32"/>
                <w:szCs w:val="32"/>
              </w:rPr>
              <w:t>份数</w:t>
            </w:r>
          </w:p>
        </w:tc>
        <w:tc>
          <w:tcPr>
            <w:tcW w:w="1155" w:type="dxa"/>
            <w:vAlign w:val="center"/>
          </w:tcPr>
          <w:p>
            <w:pPr>
              <w:spacing w:line="560" w:lineRule="exact"/>
              <w:jc w:val="center"/>
              <w:rPr>
                <w:rFonts w:ascii="仿宋" w:hAnsi="仿宋" w:eastAsia="仿宋" w:cs="Times New Roman"/>
                <w:bCs/>
                <w:color w:val="auto"/>
                <w:sz w:val="32"/>
                <w:szCs w:val="32"/>
              </w:rPr>
            </w:pPr>
            <w:r>
              <w:rPr>
                <w:rFonts w:hint="eastAsia" w:ascii="仿宋" w:hAnsi="仿宋" w:eastAsia="仿宋" w:cs="Times New Roman"/>
                <w:bCs/>
                <w:color w:val="auto"/>
                <w:sz w:val="32"/>
                <w:szCs w:val="32"/>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740" w:type="dxa"/>
            <w:vMerge w:val="restart"/>
            <w:vAlign w:val="center"/>
          </w:tcPr>
          <w:p>
            <w:pPr>
              <w:spacing w:before="100" w:beforeAutospacing="1" w:after="100" w:afterAutospacing="1" w:line="560" w:lineRule="exact"/>
              <w:jc w:val="center"/>
              <w:rPr>
                <w:rFonts w:ascii="仿宋" w:hAnsi="仿宋" w:eastAsia="仿宋" w:cs="Times New Roman"/>
                <w:bCs/>
                <w:color w:val="auto"/>
                <w:sz w:val="32"/>
                <w:szCs w:val="32"/>
              </w:rPr>
            </w:pPr>
            <w:r>
              <w:rPr>
                <w:rFonts w:hint="eastAsia" w:ascii="仿宋" w:hAnsi="仿宋" w:eastAsia="仿宋" w:cs="Times New Roman"/>
                <w:bCs/>
                <w:color w:val="auto"/>
                <w:sz w:val="32"/>
                <w:szCs w:val="32"/>
              </w:rPr>
              <w:t>决策阶段</w:t>
            </w:r>
          </w:p>
        </w:tc>
        <w:tc>
          <w:tcPr>
            <w:tcW w:w="1843" w:type="dxa"/>
            <w:vAlign w:val="center"/>
          </w:tcPr>
          <w:p>
            <w:pPr>
              <w:spacing w:line="560" w:lineRule="exact"/>
              <w:jc w:val="center"/>
              <w:rPr>
                <w:rFonts w:ascii="仿宋" w:hAnsi="仿宋" w:eastAsia="仿宋" w:cs="Times New Roman"/>
                <w:bCs/>
                <w:color w:val="auto"/>
                <w:sz w:val="32"/>
                <w:szCs w:val="32"/>
              </w:rPr>
            </w:pPr>
            <w:r>
              <w:rPr>
                <w:rFonts w:hint="eastAsia" w:ascii="仿宋" w:hAnsi="仿宋" w:eastAsia="仿宋" w:cs="Times New Roman"/>
                <w:bCs/>
                <w:color w:val="auto"/>
                <w:sz w:val="32"/>
                <w:szCs w:val="32"/>
              </w:rPr>
              <w:t>/</w:t>
            </w:r>
          </w:p>
        </w:tc>
        <w:tc>
          <w:tcPr>
            <w:tcW w:w="1984" w:type="dxa"/>
            <w:vAlign w:val="center"/>
          </w:tcPr>
          <w:p>
            <w:pPr>
              <w:spacing w:line="560" w:lineRule="exact"/>
              <w:jc w:val="center"/>
              <w:rPr>
                <w:rFonts w:ascii="仿宋" w:hAnsi="仿宋" w:eastAsia="仿宋" w:cs="Times New Roman"/>
                <w:bCs/>
                <w:color w:val="auto"/>
                <w:sz w:val="32"/>
                <w:szCs w:val="32"/>
              </w:rPr>
            </w:pPr>
            <w:r>
              <w:rPr>
                <w:rFonts w:hint="eastAsia" w:ascii="仿宋" w:hAnsi="仿宋" w:eastAsia="仿宋" w:cs="Times New Roman"/>
                <w:bCs/>
                <w:color w:val="auto"/>
                <w:sz w:val="32"/>
                <w:szCs w:val="32"/>
              </w:rPr>
              <w:t>/</w:t>
            </w:r>
          </w:p>
        </w:tc>
        <w:tc>
          <w:tcPr>
            <w:tcW w:w="1560" w:type="dxa"/>
            <w:vAlign w:val="center"/>
          </w:tcPr>
          <w:p>
            <w:pPr>
              <w:spacing w:line="560" w:lineRule="exact"/>
              <w:jc w:val="center"/>
              <w:rPr>
                <w:rFonts w:ascii="仿宋" w:hAnsi="仿宋" w:eastAsia="仿宋" w:cs="Times New Roman"/>
                <w:bCs/>
                <w:color w:val="auto"/>
                <w:sz w:val="32"/>
                <w:szCs w:val="32"/>
              </w:rPr>
            </w:pPr>
            <w:r>
              <w:rPr>
                <w:rFonts w:hint="eastAsia" w:ascii="仿宋" w:hAnsi="仿宋" w:eastAsia="仿宋" w:cs="Times New Roman"/>
                <w:bCs/>
                <w:color w:val="auto"/>
                <w:sz w:val="32"/>
                <w:szCs w:val="32"/>
              </w:rPr>
              <w:t>/</w:t>
            </w:r>
          </w:p>
        </w:tc>
        <w:tc>
          <w:tcPr>
            <w:tcW w:w="1134" w:type="dxa"/>
            <w:vAlign w:val="center"/>
          </w:tcPr>
          <w:p>
            <w:pPr>
              <w:spacing w:line="560" w:lineRule="exact"/>
              <w:jc w:val="center"/>
              <w:rPr>
                <w:rFonts w:ascii="仿宋" w:hAnsi="仿宋" w:eastAsia="仿宋" w:cs="Times New Roman"/>
                <w:bCs/>
                <w:color w:val="auto"/>
                <w:sz w:val="32"/>
                <w:szCs w:val="32"/>
              </w:rPr>
            </w:pPr>
            <w:r>
              <w:rPr>
                <w:rFonts w:hint="eastAsia" w:ascii="仿宋" w:hAnsi="仿宋" w:eastAsia="仿宋" w:cs="Times New Roman"/>
                <w:bCs/>
                <w:color w:val="auto"/>
                <w:sz w:val="32"/>
                <w:szCs w:val="32"/>
              </w:rPr>
              <w:t>/</w:t>
            </w:r>
          </w:p>
        </w:tc>
        <w:tc>
          <w:tcPr>
            <w:tcW w:w="1155" w:type="dxa"/>
            <w:vAlign w:val="center"/>
          </w:tcPr>
          <w:p>
            <w:pPr>
              <w:spacing w:line="560" w:lineRule="exact"/>
              <w:jc w:val="center"/>
              <w:rPr>
                <w:rFonts w:ascii="仿宋" w:hAnsi="仿宋" w:eastAsia="仿宋" w:cs="Times New Roman"/>
                <w:bCs/>
                <w:color w:val="auto"/>
                <w:sz w:val="32"/>
                <w:szCs w:val="32"/>
              </w:rPr>
            </w:pPr>
            <w:r>
              <w:rPr>
                <w:rFonts w:hint="eastAsia" w:ascii="仿宋" w:hAnsi="仿宋" w:eastAsia="仿宋" w:cs="Times New Roman"/>
                <w:bCs/>
                <w:color w:val="auto"/>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40" w:type="dxa"/>
            <w:vMerge w:val="continue"/>
            <w:vAlign w:val="center"/>
          </w:tcPr>
          <w:p>
            <w:pPr>
              <w:spacing w:line="560" w:lineRule="exact"/>
              <w:jc w:val="center"/>
              <w:rPr>
                <w:rFonts w:ascii="仿宋" w:hAnsi="仿宋" w:eastAsia="仿宋" w:cs="Times New Roman"/>
                <w:bCs/>
                <w:color w:val="auto"/>
                <w:sz w:val="32"/>
                <w:szCs w:val="32"/>
              </w:rPr>
            </w:pPr>
          </w:p>
        </w:tc>
        <w:tc>
          <w:tcPr>
            <w:tcW w:w="1843" w:type="dxa"/>
            <w:vAlign w:val="center"/>
          </w:tcPr>
          <w:p>
            <w:pPr>
              <w:spacing w:line="560" w:lineRule="exact"/>
              <w:jc w:val="center"/>
              <w:rPr>
                <w:rFonts w:ascii="仿宋" w:hAnsi="仿宋" w:eastAsia="仿宋" w:cs="Times New Roman"/>
                <w:bCs/>
                <w:color w:val="auto"/>
                <w:sz w:val="32"/>
                <w:szCs w:val="32"/>
              </w:rPr>
            </w:pPr>
            <w:r>
              <w:rPr>
                <w:rFonts w:hint="eastAsia" w:ascii="仿宋" w:hAnsi="仿宋" w:eastAsia="仿宋" w:cs="Times New Roman"/>
                <w:bCs/>
                <w:color w:val="auto"/>
                <w:sz w:val="32"/>
                <w:szCs w:val="32"/>
              </w:rPr>
              <w:t>/</w:t>
            </w:r>
          </w:p>
        </w:tc>
        <w:tc>
          <w:tcPr>
            <w:tcW w:w="1984" w:type="dxa"/>
            <w:vAlign w:val="center"/>
          </w:tcPr>
          <w:p>
            <w:pPr>
              <w:spacing w:line="560" w:lineRule="exact"/>
              <w:jc w:val="center"/>
              <w:rPr>
                <w:rFonts w:ascii="仿宋" w:hAnsi="仿宋" w:eastAsia="仿宋" w:cs="Times New Roman"/>
                <w:bCs/>
                <w:color w:val="auto"/>
                <w:sz w:val="32"/>
                <w:szCs w:val="32"/>
              </w:rPr>
            </w:pPr>
            <w:r>
              <w:rPr>
                <w:rFonts w:hint="eastAsia" w:ascii="仿宋" w:hAnsi="仿宋" w:eastAsia="仿宋" w:cs="Times New Roman"/>
                <w:bCs/>
                <w:color w:val="auto"/>
                <w:sz w:val="32"/>
                <w:szCs w:val="32"/>
              </w:rPr>
              <w:t>/</w:t>
            </w:r>
          </w:p>
        </w:tc>
        <w:tc>
          <w:tcPr>
            <w:tcW w:w="1560" w:type="dxa"/>
            <w:vAlign w:val="center"/>
          </w:tcPr>
          <w:p>
            <w:pPr>
              <w:spacing w:line="560" w:lineRule="exact"/>
              <w:jc w:val="center"/>
              <w:rPr>
                <w:rFonts w:ascii="仿宋" w:hAnsi="仿宋" w:eastAsia="仿宋" w:cs="Times New Roman"/>
                <w:bCs/>
                <w:color w:val="auto"/>
                <w:sz w:val="32"/>
                <w:szCs w:val="32"/>
              </w:rPr>
            </w:pPr>
            <w:r>
              <w:rPr>
                <w:rFonts w:hint="eastAsia" w:ascii="仿宋" w:hAnsi="仿宋" w:eastAsia="仿宋" w:cs="Times New Roman"/>
                <w:bCs/>
                <w:color w:val="auto"/>
                <w:sz w:val="32"/>
                <w:szCs w:val="32"/>
              </w:rPr>
              <w:t>/</w:t>
            </w:r>
          </w:p>
        </w:tc>
        <w:tc>
          <w:tcPr>
            <w:tcW w:w="1134" w:type="dxa"/>
            <w:vAlign w:val="center"/>
          </w:tcPr>
          <w:p>
            <w:pPr>
              <w:spacing w:line="560" w:lineRule="exact"/>
              <w:jc w:val="center"/>
              <w:rPr>
                <w:rFonts w:ascii="仿宋" w:hAnsi="仿宋" w:eastAsia="仿宋" w:cs="Times New Roman"/>
                <w:bCs/>
                <w:color w:val="auto"/>
                <w:sz w:val="32"/>
                <w:szCs w:val="32"/>
              </w:rPr>
            </w:pPr>
            <w:r>
              <w:rPr>
                <w:rFonts w:hint="eastAsia" w:ascii="仿宋" w:hAnsi="仿宋" w:eastAsia="仿宋" w:cs="Times New Roman"/>
                <w:bCs/>
                <w:color w:val="auto"/>
                <w:sz w:val="32"/>
                <w:szCs w:val="32"/>
              </w:rPr>
              <w:t>/</w:t>
            </w:r>
          </w:p>
        </w:tc>
        <w:tc>
          <w:tcPr>
            <w:tcW w:w="1155" w:type="dxa"/>
            <w:vAlign w:val="center"/>
          </w:tcPr>
          <w:p>
            <w:pPr>
              <w:spacing w:line="560" w:lineRule="exact"/>
              <w:jc w:val="center"/>
              <w:rPr>
                <w:rFonts w:ascii="仿宋" w:hAnsi="仿宋" w:eastAsia="仿宋" w:cs="Times New Roman"/>
                <w:bCs/>
                <w:color w:val="auto"/>
                <w:sz w:val="32"/>
                <w:szCs w:val="32"/>
              </w:rPr>
            </w:pPr>
            <w:r>
              <w:rPr>
                <w:rFonts w:hint="eastAsia" w:ascii="仿宋" w:hAnsi="仿宋" w:eastAsia="仿宋" w:cs="Times New Roman"/>
                <w:bCs/>
                <w:color w:val="auto"/>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1740" w:type="dxa"/>
            <w:vMerge w:val="continue"/>
            <w:vAlign w:val="center"/>
          </w:tcPr>
          <w:p>
            <w:pPr>
              <w:spacing w:line="560" w:lineRule="exact"/>
              <w:jc w:val="center"/>
              <w:rPr>
                <w:rFonts w:ascii="仿宋" w:hAnsi="仿宋" w:eastAsia="仿宋" w:cs="Times New Roman"/>
                <w:bCs/>
                <w:color w:val="auto"/>
                <w:sz w:val="32"/>
                <w:szCs w:val="32"/>
              </w:rPr>
            </w:pPr>
          </w:p>
        </w:tc>
        <w:tc>
          <w:tcPr>
            <w:tcW w:w="1843" w:type="dxa"/>
            <w:vAlign w:val="center"/>
          </w:tcPr>
          <w:p>
            <w:pPr>
              <w:spacing w:line="560" w:lineRule="exact"/>
              <w:jc w:val="center"/>
              <w:rPr>
                <w:rFonts w:ascii="仿宋" w:hAnsi="仿宋" w:eastAsia="仿宋" w:cs="Times New Roman"/>
                <w:bCs/>
                <w:color w:val="auto"/>
                <w:sz w:val="32"/>
                <w:szCs w:val="32"/>
              </w:rPr>
            </w:pPr>
            <w:r>
              <w:rPr>
                <w:rFonts w:hint="eastAsia" w:ascii="仿宋" w:hAnsi="仿宋" w:eastAsia="仿宋" w:cs="Times New Roman"/>
                <w:bCs/>
                <w:color w:val="auto"/>
                <w:sz w:val="32"/>
                <w:szCs w:val="32"/>
              </w:rPr>
              <w:t>/</w:t>
            </w:r>
          </w:p>
        </w:tc>
        <w:tc>
          <w:tcPr>
            <w:tcW w:w="1984" w:type="dxa"/>
            <w:vAlign w:val="center"/>
          </w:tcPr>
          <w:p>
            <w:pPr>
              <w:spacing w:line="560" w:lineRule="exact"/>
              <w:jc w:val="center"/>
              <w:rPr>
                <w:rFonts w:ascii="仿宋" w:hAnsi="仿宋" w:eastAsia="仿宋" w:cs="Times New Roman"/>
                <w:bCs/>
                <w:color w:val="auto"/>
                <w:sz w:val="32"/>
                <w:szCs w:val="32"/>
              </w:rPr>
            </w:pPr>
            <w:r>
              <w:rPr>
                <w:rFonts w:hint="eastAsia" w:ascii="仿宋" w:hAnsi="仿宋" w:eastAsia="仿宋" w:cs="Times New Roman"/>
                <w:bCs/>
                <w:color w:val="auto"/>
                <w:sz w:val="32"/>
                <w:szCs w:val="32"/>
              </w:rPr>
              <w:t>/</w:t>
            </w:r>
          </w:p>
        </w:tc>
        <w:tc>
          <w:tcPr>
            <w:tcW w:w="1560" w:type="dxa"/>
            <w:vAlign w:val="center"/>
          </w:tcPr>
          <w:p>
            <w:pPr>
              <w:spacing w:line="560" w:lineRule="exact"/>
              <w:jc w:val="center"/>
              <w:rPr>
                <w:rFonts w:ascii="仿宋" w:hAnsi="仿宋" w:eastAsia="仿宋" w:cs="Times New Roman"/>
                <w:bCs/>
                <w:color w:val="auto"/>
                <w:sz w:val="32"/>
                <w:szCs w:val="32"/>
              </w:rPr>
            </w:pPr>
            <w:r>
              <w:rPr>
                <w:rFonts w:hint="eastAsia" w:ascii="仿宋" w:hAnsi="仿宋" w:eastAsia="仿宋" w:cs="Times New Roman"/>
                <w:bCs/>
                <w:color w:val="auto"/>
                <w:sz w:val="32"/>
                <w:szCs w:val="32"/>
              </w:rPr>
              <w:t>/</w:t>
            </w:r>
          </w:p>
        </w:tc>
        <w:tc>
          <w:tcPr>
            <w:tcW w:w="1134" w:type="dxa"/>
            <w:vAlign w:val="center"/>
          </w:tcPr>
          <w:p>
            <w:pPr>
              <w:spacing w:line="560" w:lineRule="exact"/>
              <w:jc w:val="center"/>
              <w:rPr>
                <w:rFonts w:ascii="仿宋" w:hAnsi="仿宋" w:eastAsia="仿宋" w:cs="Times New Roman"/>
                <w:bCs/>
                <w:color w:val="auto"/>
                <w:sz w:val="32"/>
                <w:szCs w:val="32"/>
              </w:rPr>
            </w:pPr>
            <w:r>
              <w:rPr>
                <w:rFonts w:hint="eastAsia" w:ascii="仿宋" w:hAnsi="仿宋" w:eastAsia="仿宋" w:cs="Times New Roman"/>
                <w:bCs/>
                <w:color w:val="auto"/>
                <w:sz w:val="32"/>
                <w:szCs w:val="32"/>
              </w:rPr>
              <w:t>/</w:t>
            </w:r>
          </w:p>
        </w:tc>
        <w:tc>
          <w:tcPr>
            <w:tcW w:w="1155" w:type="dxa"/>
            <w:vAlign w:val="center"/>
          </w:tcPr>
          <w:p>
            <w:pPr>
              <w:spacing w:line="560" w:lineRule="exact"/>
              <w:jc w:val="center"/>
              <w:rPr>
                <w:rFonts w:ascii="仿宋" w:hAnsi="仿宋" w:eastAsia="仿宋" w:cs="Times New Roman"/>
                <w:bCs/>
                <w:color w:val="auto"/>
                <w:sz w:val="32"/>
                <w:szCs w:val="32"/>
              </w:rPr>
            </w:pPr>
            <w:r>
              <w:rPr>
                <w:rFonts w:hint="eastAsia" w:ascii="仿宋" w:hAnsi="仿宋" w:eastAsia="仿宋" w:cs="Times New Roman"/>
                <w:bCs/>
                <w:color w:val="auto"/>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740" w:type="dxa"/>
            <w:vMerge w:val="restart"/>
            <w:vAlign w:val="center"/>
          </w:tcPr>
          <w:p>
            <w:pPr>
              <w:spacing w:before="100" w:beforeAutospacing="1" w:after="100" w:afterAutospacing="1" w:line="560" w:lineRule="exact"/>
              <w:jc w:val="center"/>
              <w:rPr>
                <w:rFonts w:ascii="仿宋" w:hAnsi="仿宋" w:eastAsia="仿宋" w:cs="Times New Roman"/>
                <w:bCs/>
                <w:color w:val="auto"/>
                <w:sz w:val="32"/>
                <w:szCs w:val="32"/>
              </w:rPr>
            </w:pPr>
            <w:r>
              <w:rPr>
                <w:rFonts w:hint="eastAsia" w:ascii="仿宋" w:hAnsi="仿宋" w:eastAsia="仿宋" w:cs="Times New Roman"/>
                <w:bCs/>
                <w:color w:val="auto"/>
                <w:sz w:val="32"/>
                <w:szCs w:val="32"/>
              </w:rPr>
              <w:t>设计阶段</w:t>
            </w:r>
          </w:p>
        </w:tc>
        <w:tc>
          <w:tcPr>
            <w:tcW w:w="1843" w:type="dxa"/>
            <w:vAlign w:val="center"/>
          </w:tcPr>
          <w:p>
            <w:pPr>
              <w:spacing w:line="560" w:lineRule="exact"/>
              <w:jc w:val="center"/>
              <w:rPr>
                <w:rFonts w:ascii="仿宋" w:hAnsi="仿宋" w:eastAsia="仿宋" w:cs="Times New Roman"/>
                <w:bCs/>
                <w:color w:val="auto"/>
                <w:sz w:val="28"/>
                <w:szCs w:val="28"/>
              </w:rPr>
            </w:pPr>
            <w:r>
              <w:rPr>
                <w:rFonts w:hint="eastAsia" w:ascii="仿宋" w:hAnsi="仿宋" w:eastAsia="仿宋" w:cs="Times New Roman"/>
                <w:bCs/>
                <w:color w:val="auto"/>
                <w:sz w:val="28"/>
                <w:szCs w:val="28"/>
                <w:lang w:val="en-US"/>
              </w:rPr>
              <w:t>/</w:t>
            </w:r>
          </w:p>
        </w:tc>
        <w:tc>
          <w:tcPr>
            <w:tcW w:w="1984" w:type="dxa"/>
            <w:vAlign w:val="center"/>
          </w:tcPr>
          <w:p>
            <w:pPr>
              <w:spacing w:line="560" w:lineRule="exact"/>
              <w:jc w:val="center"/>
              <w:rPr>
                <w:rFonts w:ascii="仿宋" w:hAnsi="仿宋" w:eastAsia="仿宋" w:cs="Times New Roman"/>
                <w:bCs/>
                <w:color w:val="auto"/>
                <w:sz w:val="32"/>
                <w:szCs w:val="32"/>
              </w:rPr>
            </w:pPr>
          </w:p>
        </w:tc>
        <w:tc>
          <w:tcPr>
            <w:tcW w:w="1560" w:type="dxa"/>
            <w:vAlign w:val="center"/>
          </w:tcPr>
          <w:p>
            <w:pPr>
              <w:spacing w:line="560" w:lineRule="exact"/>
              <w:jc w:val="center"/>
              <w:rPr>
                <w:rFonts w:ascii="仿宋" w:hAnsi="仿宋" w:eastAsia="仿宋" w:cs="Times New Roman"/>
                <w:bCs/>
                <w:color w:val="auto"/>
                <w:sz w:val="32"/>
                <w:szCs w:val="32"/>
              </w:rPr>
            </w:pPr>
          </w:p>
        </w:tc>
        <w:tc>
          <w:tcPr>
            <w:tcW w:w="1134" w:type="dxa"/>
            <w:vAlign w:val="center"/>
          </w:tcPr>
          <w:p>
            <w:pPr>
              <w:spacing w:line="560" w:lineRule="exact"/>
              <w:jc w:val="center"/>
              <w:rPr>
                <w:rFonts w:ascii="仿宋" w:hAnsi="仿宋" w:eastAsia="仿宋" w:cs="Times New Roman"/>
                <w:bCs/>
                <w:color w:val="auto"/>
                <w:sz w:val="32"/>
                <w:szCs w:val="32"/>
              </w:rPr>
            </w:pPr>
          </w:p>
        </w:tc>
        <w:tc>
          <w:tcPr>
            <w:tcW w:w="1155" w:type="dxa"/>
            <w:vAlign w:val="center"/>
          </w:tcPr>
          <w:p>
            <w:pPr>
              <w:spacing w:line="560" w:lineRule="exact"/>
              <w:jc w:val="center"/>
              <w:rPr>
                <w:rFonts w:ascii="仿宋" w:hAnsi="仿宋" w:eastAsia="仿宋" w:cs="Times New Roman"/>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740" w:type="dxa"/>
            <w:vMerge w:val="continue"/>
            <w:vAlign w:val="center"/>
          </w:tcPr>
          <w:p>
            <w:pPr>
              <w:spacing w:before="100" w:beforeAutospacing="1" w:after="100" w:afterAutospacing="1" w:line="560" w:lineRule="exact"/>
              <w:jc w:val="center"/>
              <w:rPr>
                <w:rFonts w:ascii="仿宋" w:hAnsi="仿宋" w:eastAsia="仿宋" w:cs="Times New Roman"/>
                <w:bCs/>
                <w:color w:val="auto"/>
                <w:sz w:val="32"/>
                <w:szCs w:val="32"/>
              </w:rPr>
            </w:pPr>
          </w:p>
        </w:tc>
        <w:tc>
          <w:tcPr>
            <w:tcW w:w="1843" w:type="dxa"/>
            <w:vAlign w:val="center"/>
          </w:tcPr>
          <w:p>
            <w:pPr>
              <w:spacing w:line="560" w:lineRule="exact"/>
              <w:jc w:val="center"/>
              <w:rPr>
                <w:rFonts w:ascii="仿宋" w:hAnsi="仿宋" w:eastAsia="仿宋" w:cs="Times New Roman"/>
                <w:bCs/>
                <w:color w:val="auto"/>
                <w:sz w:val="28"/>
                <w:szCs w:val="28"/>
              </w:rPr>
            </w:pPr>
            <w:r>
              <w:rPr>
                <w:rFonts w:hint="eastAsia" w:ascii="仿宋" w:hAnsi="仿宋" w:eastAsia="仿宋" w:cs="Times New Roman"/>
                <w:bCs/>
                <w:color w:val="auto"/>
                <w:sz w:val="32"/>
                <w:szCs w:val="32"/>
              </w:rPr>
              <w:t>/</w:t>
            </w:r>
          </w:p>
        </w:tc>
        <w:tc>
          <w:tcPr>
            <w:tcW w:w="1984" w:type="dxa"/>
            <w:vAlign w:val="center"/>
          </w:tcPr>
          <w:p>
            <w:pPr>
              <w:spacing w:line="560" w:lineRule="exact"/>
              <w:jc w:val="center"/>
              <w:rPr>
                <w:rFonts w:ascii="仿宋" w:hAnsi="仿宋" w:eastAsia="仿宋" w:cs="Times New Roman"/>
                <w:bCs/>
                <w:color w:val="auto"/>
                <w:sz w:val="32"/>
                <w:szCs w:val="32"/>
              </w:rPr>
            </w:pPr>
            <w:r>
              <w:rPr>
                <w:rFonts w:hint="eastAsia" w:ascii="仿宋" w:hAnsi="仿宋" w:eastAsia="仿宋" w:cs="Times New Roman"/>
                <w:bCs/>
                <w:color w:val="auto"/>
                <w:sz w:val="32"/>
                <w:szCs w:val="32"/>
              </w:rPr>
              <w:t>/</w:t>
            </w:r>
          </w:p>
        </w:tc>
        <w:tc>
          <w:tcPr>
            <w:tcW w:w="1560" w:type="dxa"/>
            <w:vAlign w:val="center"/>
          </w:tcPr>
          <w:p>
            <w:pPr>
              <w:spacing w:line="560" w:lineRule="exact"/>
              <w:jc w:val="center"/>
              <w:rPr>
                <w:rFonts w:ascii="仿宋" w:hAnsi="仿宋" w:eastAsia="仿宋" w:cs="Times New Roman"/>
                <w:bCs/>
                <w:color w:val="auto"/>
                <w:sz w:val="32"/>
                <w:szCs w:val="32"/>
              </w:rPr>
            </w:pPr>
            <w:r>
              <w:rPr>
                <w:rFonts w:hint="eastAsia" w:ascii="仿宋" w:hAnsi="仿宋" w:eastAsia="仿宋" w:cs="Times New Roman"/>
                <w:bCs/>
                <w:color w:val="auto"/>
                <w:sz w:val="32"/>
                <w:szCs w:val="32"/>
              </w:rPr>
              <w:t>/</w:t>
            </w:r>
          </w:p>
        </w:tc>
        <w:tc>
          <w:tcPr>
            <w:tcW w:w="1134" w:type="dxa"/>
            <w:vAlign w:val="center"/>
          </w:tcPr>
          <w:p>
            <w:pPr>
              <w:spacing w:line="560" w:lineRule="exact"/>
              <w:jc w:val="center"/>
              <w:rPr>
                <w:rFonts w:ascii="仿宋" w:hAnsi="仿宋" w:eastAsia="仿宋" w:cs="Times New Roman"/>
                <w:bCs/>
                <w:color w:val="auto"/>
                <w:sz w:val="32"/>
                <w:szCs w:val="32"/>
              </w:rPr>
            </w:pPr>
            <w:r>
              <w:rPr>
                <w:rFonts w:hint="eastAsia" w:ascii="仿宋" w:hAnsi="仿宋" w:eastAsia="仿宋" w:cs="Times New Roman"/>
                <w:bCs/>
                <w:color w:val="auto"/>
                <w:sz w:val="32"/>
                <w:szCs w:val="32"/>
              </w:rPr>
              <w:t>/</w:t>
            </w:r>
          </w:p>
        </w:tc>
        <w:tc>
          <w:tcPr>
            <w:tcW w:w="1155" w:type="dxa"/>
            <w:vAlign w:val="center"/>
          </w:tcPr>
          <w:p>
            <w:pPr>
              <w:spacing w:line="560" w:lineRule="exact"/>
              <w:jc w:val="center"/>
              <w:rPr>
                <w:rFonts w:ascii="仿宋" w:hAnsi="仿宋" w:eastAsia="仿宋" w:cs="Times New Roman"/>
                <w:bCs/>
                <w:color w:val="auto"/>
                <w:sz w:val="32"/>
                <w:szCs w:val="32"/>
              </w:rPr>
            </w:pPr>
            <w:r>
              <w:rPr>
                <w:rFonts w:hint="eastAsia" w:ascii="仿宋" w:hAnsi="仿宋" w:eastAsia="仿宋" w:cs="Times New Roman"/>
                <w:bCs/>
                <w:color w:val="auto"/>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740" w:type="dxa"/>
            <w:vMerge w:val="continue"/>
            <w:vAlign w:val="center"/>
          </w:tcPr>
          <w:p>
            <w:pPr>
              <w:spacing w:line="560" w:lineRule="exact"/>
              <w:jc w:val="center"/>
              <w:rPr>
                <w:rFonts w:ascii="仿宋" w:hAnsi="仿宋" w:eastAsia="仿宋" w:cs="Times New Roman"/>
                <w:bCs/>
                <w:color w:val="auto"/>
                <w:sz w:val="32"/>
                <w:szCs w:val="32"/>
              </w:rPr>
            </w:pPr>
          </w:p>
        </w:tc>
        <w:tc>
          <w:tcPr>
            <w:tcW w:w="1843" w:type="dxa"/>
            <w:vAlign w:val="center"/>
          </w:tcPr>
          <w:p>
            <w:pPr>
              <w:spacing w:line="560" w:lineRule="exact"/>
              <w:jc w:val="center"/>
              <w:rPr>
                <w:rFonts w:ascii="仿宋" w:hAnsi="仿宋" w:eastAsia="仿宋" w:cs="Times New Roman"/>
                <w:bCs/>
                <w:color w:val="auto"/>
                <w:sz w:val="28"/>
                <w:szCs w:val="28"/>
              </w:rPr>
            </w:pPr>
            <w:r>
              <w:rPr>
                <w:rFonts w:hint="eastAsia" w:ascii="仿宋" w:hAnsi="仿宋" w:eastAsia="仿宋" w:cs="Times New Roman"/>
                <w:bCs/>
                <w:color w:val="auto"/>
                <w:sz w:val="28"/>
                <w:szCs w:val="28"/>
              </w:rPr>
              <w:t>/</w:t>
            </w:r>
          </w:p>
        </w:tc>
        <w:tc>
          <w:tcPr>
            <w:tcW w:w="1984" w:type="dxa"/>
            <w:vAlign w:val="center"/>
          </w:tcPr>
          <w:p>
            <w:pPr>
              <w:spacing w:line="560" w:lineRule="exact"/>
              <w:jc w:val="center"/>
              <w:rPr>
                <w:rFonts w:ascii="仿宋" w:hAnsi="仿宋" w:eastAsia="仿宋" w:cs="Times New Roman"/>
                <w:bCs/>
                <w:color w:val="auto"/>
                <w:sz w:val="32"/>
                <w:szCs w:val="32"/>
              </w:rPr>
            </w:pPr>
            <w:r>
              <w:rPr>
                <w:rFonts w:hint="eastAsia" w:ascii="仿宋" w:hAnsi="仿宋" w:eastAsia="仿宋" w:cs="Times New Roman"/>
                <w:bCs/>
                <w:color w:val="auto"/>
                <w:sz w:val="32"/>
                <w:szCs w:val="32"/>
              </w:rPr>
              <w:t>/</w:t>
            </w:r>
          </w:p>
        </w:tc>
        <w:tc>
          <w:tcPr>
            <w:tcW w:w="1560" w:type="dxa"/>
            <w:vAlign w:val="center"/>
          </w:tcPr>
          <w:p>
            <w:pPr>
              <w:spacing w:line="560" w:lineRule="exact"/>
              <w:jc w:val="center"/>
              <w:rPr>
                <w:rFonts w:ascii="仿宋" w:hAnsi="仿宋" w:eastAsia="仿宋" w:cs="Times New Roman"/>
                <w:bCs/>
                <w:color w:val="auto"/>
                <w:sz w:val="32"/>
                <w:szCs w:val="32"/>
              </w:rPr>
            </w:pPr>
            <w:r>
              <w:rPr>
                <w:rFonts w:hint="eastAsia" w:ascii="仿宋" w:hAnsi="仿宋" w:eastAsia="仿宋" w:cs="Times New Roman"/>
                <w:bCs/>
                <w:color w:val="auto"/>
                <w:sz w:val="32"/>
                <w:szCs w:val="32"/>
              </w:rPr>
              <w:t>/</w:t>
            </w:r>
          </w:p>
        </w:tc>
        <w:tc>
          <w:tcPr>
            <w:tcW w:w="1134" w:type="dxa"/>
            <w:vAlign w:val="center"/>
          </w:tcPr>
          <w:p>
            <w:pPr>
              <w:spacing w:line="560" w:lineRule="exact"/>
              <w:jc w:val="center"/>
              <w:rPr>
                <w:rFonts w:ascii="仿宋" w:hAnsi="仿宋" w:eastAsia="仿宋" w:cs="Times New Roman"/>
                <w:bCs/>
                <w:color w:val="auto"/>
                <w:sz w:val="32"/>
                <w:szCs w:val="32"/>
              </w:rPr>
            </w:pPr>
            <w:r>
              <w:rPr>
                <w:rFonts w:hint="eastAsia" w:ascii="仿宋" w:hAnsi="仿宋" w:eastAsia="仿宋" w:cs="Times New Roman"/>
                <w:bCs/>
                <w:color w:val="auto"/>
                <w:sz w:val="32"/>
                <w:szCs w:val="32"/>
              </w:rPr>
              <w:t>/</w:t>
            </w:r>
          </w:p>
        </w:tc>
        <w:tc>
          <w:tcPr>
            <w:tcW w:w="1155" w:type="dxa"/>
            <w:vAlign w:val="center"/>
          </w:tcPr>
          <w:p>
            <w:pPr>
              <w:spacing w:line="560" w:lineRule="exact"/>
              <w:jc w:val="center"/>
              <w:rPr>
                <w:rFonts w:ascii="仿宋" w:hAnsi="仿宋" w:eastAsia="仿宋" w:cs="Times New Roman"/>
                <w:bCs/>
                <w:color w:val="auto"/>
                <w:sz w:val="32"/>
                <w:szCs w:val="32"/>
              </w:rPr>
            </w:pPr>
            <w:r>
              <w:rPr>
                <w:rFonts w:hint="eastAsia" w:ascii="仿宋" w:hAnsi="仿宋" w:eastAsia="仿宋" w:cs="Times New Roman"/>
                <w:bCs/>
                <w:color w:val="auto"/>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740" w:type="dxa"/>
            <w:vMerge w:val="restart"/>
            <w:vAlign w:val="center"/>
          </w:tcPr>
          <w:p>
            <w:pPr>
              <w:spacing w:before="100" w:beforeAutospacing="1" w:after="100" w:afterAutospacing="1" w:line="560" w:lineRule="exact"/>
              <w:jc w:val="center"/>
              <w:rPr>
                <w:rFonts w:ascii="仿宋" w:hAnsi="仿宋" w:eastAsia="仿宋" w:cs="Times New Roman"/>
                <w:bCs/>
                <w:color w:val="auto"/>
                <w:sz w:val="32"/>
                <w:szCs w:val="32"/>
              </w:rPr>
            </w:pPr>
            <w:r>
              <w:rPr>
                <w:rFonts w:hint="eastAsia" w:ascii="仿宋" w:hAnsi="仿宋" w:eastAsia="仿宋" w:cs="Times New Roman"/>
                <w:bCs/>
                <w:color w:val="auto"/>
                <w:sz w:val="32"/>
                <w:szCs w:val="32"/>
              </w:rPr>
              <w:t>发承包阶段</w:t>
            </w:r>
          </w:p>
        </w:tc>
        <w:tc>
          <w:tcPr>
            <w:tcW w:w="1843" w:type="dxa"/>
            <w:vAlign w:val="center"/>
          </w:tcPr>
          <w:p>
            <w:pPr>
              <w:spacing w:line="560" w:lineRule="exact"/>
              <w:jc w:val="center"/>
              <w:rPr>
                <w:rFonts w:ascii="仿宋" w:hAnsi="仿宋" w:eastAsia="仿宋" w:cs="Times New Roman"/>
                <w:bCs/>
                <w:color w:val="auto"/>
                <w:sz w:val="28"/>
                <w:szCs w:val="28"/>
              </w:rPr>
            </w:pPr>
            <w:r>
              <w:rPr>
                <w:rFonts w:hint="eastAsia" w:ascii="仿宋" w:hAnsi="仿宋" w:eastAsia="仿宋" w:cs="Times New Roman"/>
                <w:bCs/>
                <w:color w:val="auto"/>
                <w:sz w:val="28"/>
                <w:szCs w:val="28"/>
              </w:rPr>
              <w:t>工程量清单</w:t>
            </w:r>
          </w:p>
        </w:tc>
        <w:tc>
          <w:tcPr>
            <w:tcW w:w="1984" w:type="dxa"/>
            <w:vAlign w:val="center"/>
          </w:tcPr>
          <w:p>
            <w:pPr>
              <w:spacing w:line="560" w:lineRule="exact"/>
              <w:jc w:val="center"/>
              <w:rPr>
                <w:rFonts w:ascii="仿宋" w:hAnsi="仿宋" w:eastAsia="仿宋" w:cs="Times New Roman"/>
                <w:bCs/>
                <w:color w:val="auto"/>
                <w:sz w:val="32"/>
                <w:szCs w:val="32"/>
              </w:rPr>
            </w:pPr>
          </w:p>
        </w:tc>
        <w:tc>
          <w:tcPr>
            <w:tcW w:w="1560" w:type="dxa"/>
            <w:vAlign w:val="center"/>
          </w:tcPr>
          <w:p>
            <w:pPr>
              <w:spacing w:line="560" w:lineRule="exact"/>
              <w:jc w:val="center"/>
              <w:rPr>
                <w:rFonts w:ascii="仿宋" w:hAnsi="仿宋" w:eastAsia="仿宋" w:cs="Times New Roman"/>
                <w:bCs/>
                <w:color w:val="auto"/>
                <w:sz w:val="32"/>
                <w:szCs w:val="32"/>
              </w:rPr>
            </w:pPr>
          </w:p>
        </w:tc>
        <w:tc>
          <w:tcPr>
            <w:tcW w:w="1134" w:type="dxa"/>
            <w:vAlign w:val="center"/>
          </w:tcPr>
          <w:p>
            <w:pPr>
              <w:spacing w:line="560" w:lineRule="exact"/>
              <w:jc w:val="center"/>
              <w:rPr>
                <w:rFonts w:ascii="仿宋" w:hAnsi="仿宋" w:eastAsia="仿宋" w:cs="Times New Roman"/>
                <w:bCs/>
                <w:color w:val="auto"/>
                <w:sz w:val="32"/>
                <w:szCs w:val="32"/>
              </w:rPr>
            </w:pPr>
          </w:p>
        </w:tc>
        <w:tc>
          <w:tcPr>
            <w:tcW w:w="1155" w:type="dxa"/>
            <w:vAlign w:val="center"/>
          </w:tcPr>
          <w:p>
            <w:pPr>
              <w:spacing w:line="560" w:lineRule="exact"/>
              <w:jc w:val="center"/>
              <w:rPr>
                <w:rFonts w:ascii="仿宋" w:hAnsi="仿宋" w:eastAsia="仿宋" w:cs="Times New Roman"/>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740" w:type="dxa"/>
            <w:vMerge w:val="continue"/>
            <w:vAlign w:val="center"/>
          </w:tcPr>
          <w:p>
            <w:pPr>
              <w:spacing w:before="100" w:beforeAutospacing="1" w:after="100" w:afterAutospacing="1" w:line="560" w:lineRule="exact"/>
              <w:jc w:val="center"/>
              <w:rPr>
                <w:rFonts w:ascii="仿宋" w:hAnsi="仿宋" w:eastAsia="仿宋" w:cs="Times New Roman"/>
                <w:bCs/>
                <w:color w:val="auto"/>
                <w:sz w:val="32"/>
                <w:szCs w:val="32"/>
              </w:rPr>
            </w:pPr>
          </w:p>
        </w:tc>
        <w:tc>
          <w:tcPr>
            <w:tcW w:w="1843" w:type="dxa"/>
            <w:vAlign w:val="center"/>
          </w:tcPr>
          <w:p>
            <w:pPr>
              <w:spacing w:line="560" w:lineRule="exact"/>
              <w:jc w:val="center"/>
              <w:rPr>
                <w:rFonts w:ascii="仿宋" w:hAnsi="仿宋" w:eastAsia="仿宋" w:cs="Times New Roman"/>
                <w:bCs/>
                <w:color w:val="auto"/>
                <w:sz w:val="28"/>
                <w:szCs w:val="28"/>
              </w:rPr>
            </w:pPr>
            <w:r>
              <w:rPr>
                <w:rFonts w:hint="eastAsia" w:ascii="仿宋" w:hAnsi="仿宋" w:eastAsia="仿宋" w:cs="Times New Roman"/>
                <w:bCs/>
                <w:color w:val="auto"/>
                <w:sz w:val="28"/>
                <w:szCs w:val="28"/>
              </w:rPr>
              <w:t>招标控制价</w:t>
            </w:r>
          </w:p>
        </w:tc>
        <w:tc>
          <w:tcPr>
            <w:tcW w:w="1984" w:type="dxa"/>
            <w:vAlign w:val="center"/>
          </w:tcPr>
          <w:p>
            <w:pPr>
              <w:spacing w:line="560" w:lineRule="exact"/>
              <w:jc w:val="center"/>
              <w:rPr>
                <w:rFonts w:ascii="仿宋" w:hAnsi="仿宋" w:eastAsia="仿宋" w:cs="Times New Roman"/>
                <w:bCs/>
                <w:color w:val="auto"/>
                <w:sz w:val="32"/>
                <w:szCs w:val="32"/>
              </w:rPr>
            </w:pPr>
          </w:p>
        </w:tc>
        <w:tc>
          <w:tcPr>
            <w:tcW w:w="1560" w:type="dxa"/>
            <w:vAlign w:val="center"/>
          </w:tcPr>
          <w:p>
            <w:pPr>
              <w:spacing w:line="560" w:lineRule="exact"/>
              <w:jc w:val="center"/>
              <w:rPr>
                <w:rFonts w:ascii="仿宋" w:hAnsi="仿宋" w:eastAsia="仿宋" w:cs="Times New Roman"/>
                <w:bCs/>
                <w:color w:val="auto"/>
                <w:sz w:val="32"/>
                <w:szCs w:val="32"/>
              </w:rPr>
            </w:pPr>
          </w:p>
        </w:tc>
        <w:tc>
          <w:tcPr>
            <w:tcW w:w="1134" w:type="dxa"/>
            <w:vAlign w:val="center"/>
          </w:tcPr>
          <w:p>
            <w:pPr>
              <w:spacing w:line="560" w:lineRule="exact"/>
              <w:jc w:val="center"/>
              <w:rPr>
                <w:rFonts w:ascii="仿宋" w:hAnsi="仿宋" w:eastAsia="仿宋" w:cs="Times New Roman"/>
                <w:bCs/>
                <w:color w:val="auto"/>
                <w:sz w:val="32"/>
                <w:szCs w:val="32"/>
              </w:rPr>
            </w:pPr>
          </w:p>
        </w:tc>
        <w:tc>
          <w:tcPr>
            <w:tcW w:w="1155" w:type="dxa"/>
            <w:vAlign w:val="center"/>
          </w:tcPr>
          <w:p>
            <w:pPr>
              <w:spacing w:line="560" w:lineRule="exact"/>
              <w:jc w:val="center"/>
              <w:rPr>
                <w:rFonts w:ascii="仿宋" w:hAnsi="仿宋" w:eastAsia="仿宋" w:cs="Times New Roman"/>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740" w:type="dxa"/>
            <w:vMerge w:val="continue"/>
            <w:vAlign w:val="center"/>
          </w:tcPr>
          <w:p>
            <w:pPr>
              <w:spacing w:line="560" w:lineRule="exact"/>
              <w:jc w:val="center"/>
              <w:rPr>
                <w:rFonts w:ascii="仿宋" w:hAnsi="仿宋" w:eastAsia="仿宋" w:cs="Times New Roman"/>
                <w:bCs/>
                <w:color w:val="auto"/>
                <w:sz w:val="32"/>
                <w:szCs w:val="32"/>
              </w:rPr>
            </w:pPr>
          </w:p>
        </w:tc>
        <w:tc>
          <w:tcPr>
            <w:tcW w:w="1843" w:type="dxa"/>
            <w:vAlign w:val="center"/>
          </w:tcPr>
          <w:p>
            <w:pPr>
              <w:spacing w:line="560" w:lineRule="exact"/>
              <w:jc w:val="center"/>
              <w:rPr>
                <w:rFonts w:ascii="仿宋" w:hAnsi="仿宋" w:eastAsia="仿宋" w:cs="Times New Roman"/>
                <w:bCs/>
                <w:color w:val="auto"/>
                <w:sz w:val="28"/>
                <w:szCs w:val="28"/>
              </w:rPr>
            </w:pPr>
            <w:r>
              <w:rPr>
                <w:rFonts w:hint="eastAsia" w:ascii="仿宋" w:hAnsi="仿宋" w:eastAsia="仿宋" w:cs="Times New Roman"/>
                <w:bCs/>
                <w:color w:val="auto"/>
                <w:sz w:val="28"/>
                <w:szCs w:val="28"/>
              </w:rPr>
              <w:t>/</w:t>
            </w:r>
          </w:p>
        </w:tc>
        <w:tc>
          <w:tcPr>
            <w:tcW w:w="1984" w:type="dxa"/>
            <w:vAlign w:val="center"/>
          </w:tcPr>
          <w:p>
            <w:pPr>
              <w:spacing w:line="560" w:lineRule="exact"/>
              <w:jc w:val="center"/>
              <w:rPr>
                <w:rFonts w:ascii="仿宋" w:hAnsi="仿宋" w:eastAsia="仿宋" w:cs="Times New Roman"/>
                <w:bCs/>
                <w:color w:val="auto"/>
                <w:sz w:val="32"/>
                <w:szCs w:val="32"/>
              </w:rPr>
            </w:pPr>
            <w:r>
              <w:rPr>
                <w:rFonts w:hint="eastAsia" w:ascii="仿宋" w:hAnsi="仿宋" w:eastAsia="仿宋" w:cs="Times New Roman"/>
                <w:bCs/>
                <w:color w:val="auto"/>
                <w:sz w:val="32"/>
                <w:szCs w:val="32"/>
              </w:rPr>
              <w:t>/</w:t>
            </w:r>
          </w:p>
        </w:tc>
        <w:tc>
          <w:tcPr>
            <w:tcW w:w="1560" w:type="dxa"/>
            <w:vAlign w:val="center"/>
          </w:tcPr>
          <w:p>
            <w:pPr>
              <w:spacing w:line="560" w:lineRule="exact"/>
              <w:jc w:val="center"/>
              <w:rPr>
                <w:rFonts w:ascii="仿宋" w:hAnsi="仿宋" w:eastAsia="仿宋" w:cs="Times New Roman"/>
                <w:bCs/>
                <w:color w:val="auto"/>
                <w:sz w:val="32"/>
                <w:szCs w:val="32"/>
              </w:rPr>
            </w:pPr>
            <w:r>
              <w:rPr>
                <w:rFonts w:hint="eastAsia" w:ascii="仿宋" w:hAnsi="仿宋" w:eastAsia="仿宋" w:cs="Times New Roman"/>
                <w:bCs/>
                <w:color w:val="auto"/>
                <w:sz w:val="32"/>
                <w:szCs w:val="32"/>
              </w:rPr>
              <w:t>/</w:t>
            </w:r>
          </w:p>
        </w:tc>
        <w:tc>
          <w:tcPr>
            <w:tcW w:w="1134" w:type="dxa"/>
            <w:vAlign w:val="center"/>
          </w:tcPr>
          <w:p>
            <w:pPr>
              <w:spacing w:line="560" w:lineRule="exact"/>
              <w:jc w:val="center"/>
              <w:rPr>
                <w:rFonts w:ascii="仿宋" w:hAnsi="仿宋" w:eastAsia="仿宋" w:cs="Times New Roman"/>
                <w:bCs/>
                <w:color w:val="auto"/>
                <w:sz w:val="32"/>
                <w:szCs w:val="32"/>
              </w:rPr>
            </w:pPr>
            <w:r>
              <w:rPr>
                <w:rFonts w:hint="eastAsia" w:ascii="仿宋" w:hAnsi="仿宋" w:eastAsia="仿宋" w:cs="Times New Roman"/>
                <w:bCs/>
                <w:color w:val="auto"/>
                <w:sz w:val="32"/>
                <w:szCs w:val="32"/>
              </w:rPr>
              <w:t>/</w:t>
            </w:r>
          </w:p>
        </w:tc>
        <w:tc>
          <w:tcPr>
            <w:tcW w:w="1155" w:type="dxa"/>
            <w:vAlign w:val="center"/>
          </w:tcPr>
          <w:p>
            <w:pPr>
              <w:spacing w:line="560" w:lineRule="exact"/>
              <w:jc w:val="center"/>
              <w:rPr>
                <w:rFonts w:ascii="仿宋" w:hAnsi="仿宋" w:eastAsia="仿宋" w:cs="Times New Roman"/>
                <w:bCs/>
                <w:color w:val="auto"/>
                <w:sz w:val="32"/>
                <w:szCs w:val="32"/>
              </w:rPr>
            </w:pPr>
            <w:r>
              <w:rPr>
                <w:rFonts w:hint="eastAsia" w:ascii="仿宋" w:hAnsi="仿宋" w:eastAsia="仿宋" w:cs="Times New Roman"/>
                <w:bCs/>
                <w:color w:val="auto"/>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exact"/>
          <w:jc w:val="center"/>
        </w:trPr>
        <w:tc>
          <w:tcPr>
            <w:tcW w:w="1740" w:type="dxa"/>
            <w:vMerge w:val="restart"/>
            <w:vAlign w:val="center"/>
          </w:tcPr>
          <w:p>
            <w:pPr>
              <w:spacing w:before="100" w:beforeAutospacing="1" w:after="100" w:afterAutospacing="1" w:line="560" w:lineRule="exact"/>
              <w:jc w:val="center"/>
              <w:rPr>
                <w:rFonts w:ascii="仿宋" w:hAnsi="仿宋" w:eastAsia="仿宋" w:cs="Times New Roman"/>
                <w:bCs/>
                <w:color w:val="auto"/>
                <w:sz w:val="32"/>
                <w:szCs w:val="32"/>
              </w:rPr>
            </w:pPr>
            <w:r>
              <w:rPr>
                <w:rFonts w:hint="eastAsia" w:ascii="仿宋" w:hAnsi="仿宋" w:eastAsia="仿宋" w:cs="Times New Roman"/>
                <w:bCs/>
                <w:color w:val="auto"/>
                <w:sz w:val="32"/>
                <w:szCs w:val="32"/>
              </w:rPr>
              <w:t>实施阶段</w:t>
            </w:r>
          </w:p>
        </w:tc>
        <w:tc>
          <w:tcPr>
            <w:tcW w:w="1843" w:type="dxa"/>
            <w:vAlign w:val="center"/>
          </w:tcPr>
          <w:p>
            <w:pPr>
              <w:spacing w:line="560" w:lineRule="exact"/>
              <w:jc w:val="center"/>
              <w:rPr>
                <w:rFonts w:ascii="仿宋" w:hAnsi="仿宋" w:eastAsia="仿宋" w:cs="Times New Roman"/>
                <w:bCs/>
                <w:color w:val="auto"/>
                <w:sz w:val="28"/>
                <w:szCs w:val="28"/>
              </w:rPr>
            </w:pPr>
            <w:r>
              <w:rPr>
                <w:rFonts w:hint="eastAsia" w:ascii="仿宋" w:hAnsi="仿宋" w:eastAsia="仿宋" w:cs="Times New Roman"/>
                <w:bCs/>
                <w:color w:val="auto"/>
                <w:sz w:val="32"/>
                <w:szCs w:val="32"/>
              </w:rPr>
              <w:t>进度款审核书</w:t>
            </w:r>
          </w:p>
        </w:tc>
        <w:tc>
          <w:tcPr>
            <w:tcW w:w="1984" w:type="dxa"/>
            <w:vAlign w:val="center"/>
          </w:tcPr>
          <w:p>
            <w:pPr>
              <w:spacing w:line="560" w:lineRule="exact"/>
              <w:jc w:val="center"/>
              <w:rPr>
                <w:rFonts w:ascii="仿宋" w:hAnsi="仿宋" w:eastAsia="仿宋" w:cs="Times New Roman"/>
                <w:bCs/>
                <w:color w:val="auto"/>
                <w:sz w:val="32"/>
                <w:szCs w:val="32"/>
              </w:rPr>
            </w:pPr>
          </w:p>
        </w:tc>
        <w:tc>
          <w:tcPr>
            <w:tcW w:w="1560" w:type="dxa"/>
            <w:vAlign w:val="center"/>
          </w:tcPr>
          <w:p>
            <w:pPr>
              <w:spacing w:line="560" w:lineRule="exact"/>
              <w:jc w:val="center"/>
              <w:rPr>
                <w:rFonts w:ascii="仿宋" w:hAnsi="仿宋" w:eastAsia="仿宋" w:cs="Times New Roman"/>
                <w:bCs/>
                <w:color w:val="auto"/>
                <w:sz w:val="32"/>
                <w:szCs w:val="32"/>
              </w:rPr>
            </w:pPr>
          </w:p>
        </w:tc>
        <w:tc>
          <w:tcPr>
            <w:tcW w:w="1134" w:type="dxa"/>
            <w:vAlign w:val="center"/>
          </w:tcPr>
          <w:p>
            <w:pPr>
              <w:spacing w:line="560" w:lineRule="exact"/>
              <w:jc w:val="center"/>
              <w:rPr>
                <w:rFonts w:ascii="仿宋" w:hAnsi="仿宋" w:eastAsia="仿宋" w:cs="Times New Roman"/>
                <w:bCs/>
                <w:color w:val="auto"/>
                <w:sz w:val="32"/>
                <w:szCs w:val="32"/>
              </w:rPr>
            </w:pPr>
          </w:p>
        </w:tc>
        <w:tc>
          <w:tcPr>
            <w:tcW w:w="1155" w:type="dxa"/>
            <w:vAlign w:val="center"/>
          </w:tcPr>
          <w:p>
            <w:pPr>
              <w:spacing w:line="560" w:lineRule="exact"/>
              <w:jc w:val="center"/>
              <w:rPr>
                <w:rFonts w:ascii="仿宋" w:hAnsi="仿宋" w:eastAsia="仿宋" w:cs="Times New Roman"/>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exact"/>
          <w:jc w:val="center"/>
        </w:trPr>
        <w:tc>
          <w:tcPr>
            <w:tcW w:w="1740" w:type="dxa"/>
            <w:vMerge w:val="continue"/>
            <w:vAlign w:val="center"/>
          </w:tcPr>
          <w:p>
            <w:pPr>
              <w:spacing w:before="100" w:beforeAutospacing="1" w:after="100" w:afterAutospacing="1" w:line="560" w:lineRule="exact"/>
              <w:jc w:val="center"/>
              <w:rPr>
                <w:rFonts w:ascii="仿宋" w:hAnsi="仿宋" w:eastAsia="仿宋" w:cs="Times New Roman"/>
                <w:bCs/>
                <w:color w:val="auto"/>
                <w:sz w:val="32"/>
                <w:szCs w:val="32"/>
              </w:rPr>
            </w:pPr>
          </w:p>
        </w:tc>
        <w:tc>
          <w:tcPr>
            <w:tcW w:w="1843" w:type="dxa"/>
            <w:vAlign w:val="center"/>
          </w:tcPr>
          <w:p>
            <w:pPr>
              <w:spacing w:line="560" w:lineRule="exact"/>
              <w:jc w:val="center"/>
              <w:rPr>
                <w:rFonts w:ascii="仿宋" w:hAnsi="仿宋" w:eastAsia="仿宋" w:cs="Times New Roman"/>
                <w:bCs/>
                <w:color w:val="auto"/>
                <w:sz w:val="28"/>
                <w:szCs w:val="28"/>
              </w:rPr>
            </w:pPr>
            <w:r>
              <w:rPr>
                <w:rFonts w:hint="eastAsia" w:ascii="仿宋" w:hAnsi="仿宋" w:eastAsia="仿宋" w:cs="Times New Roman"/>
                <w:bCs/>
                <w:color w:val="auto"/>
                <w:sz w:val="28"/>
                <w:szCs w:val="28"/>
              </w:rPr>
              <w:t>工程计量与支付审核报告</w:t>
            </w:r>
          </w:p>
        </w:tc>
        <w:tc>
          <w:tcPr>
            <w:tcW w:w="1984" w:type="dxa"/>
            <w:vAlign w:val="center"/>
          </w:tcPr>
          <w:p>
            <w:pPr>
              <w:spacing w:line="560" w:lineRule="exact"/>
              <w:jc w:val="center"/>
              <w:rPr>
                <w:rFonts w:ascii="仿宋" w:hAnsi="仿宋" w:eastAsia="仿宋" w:cs="Times New Roman"/>
                <w:bCs/>
                <w:color w:val="auto"/>
                <w:sz w:val="32"/>
                <w:szCs w:val="32"/>
              </w:rPr>
            </w:pPr>
          </w:p>
        </w:tc>
        <w:tc>
          <w:tcPr>
            <w:tcW w:w="1560" w:type="dxa"/>
            <w:vAlign w:val="center"/>
          </w:tcPr>
          <w:p>
            <w:pPr>
              <w:spacing w:line="560" w:lineRule="exact"/>
              <w:jc w:val="center"/>
              <w:rPr>
                <w:rFonts w:ascii="仿宋" w:hAnsi="仿宋" w:eastAsia="仿宋" w:cs="Times New Roman"/>
                <w:bCs/>
                <w:color w:val="auto"/>
                <w:sz w:val="32"/>
                <w:szCs w:val="32"/>
              </w:rPr>
            </w:pPr>
          </w:p>
        </w:tc>
        <w:tc>
          <w:tcPr>
            <w:tcW w:w="1134" w:type="dxa"/>
            <w:vAlign w:val="center"/>
          </w:tcPr>
          <w:p>
            <w:pPr>
              <w:spacing w:line="560" w:lineRule="exact"/>
              <w:jc w:val="center"/>
              <w:rPr>
                <w:rFonts w:ascii="仿宋" w:hAnsi="仿宋" w:eastAsia="仿宋" w:cs="Times New Roman"/>
                <w:bCs/>
                <w:color w:val="auto"/>
                <w:sz w:val="32"/>
                <w:szCs w:val="32"/>
              </w:rPr>
            </w:pPr>
          </w:p>
        </w:tc>
        <w:tc>
          <w:tcPr>
            <w:tcW w:w="1155" w:type="dxa"/>
            <w:vAlign w:val="center"/>
          </w:tcPr>
          <w:p>
            <w:pPr>
              <w:spacing w:line="560" w:lineRule="exact"/>
              <w:jc w:val="center"/>
              <w:rPr>
                <w:rFonts w:ascii="仿宋" w:hAnsi="仿宋" w:eastAsia="仿宋" w:cs="Times New Roman"/>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exact"/>
          <w:jc w:val="center"/>
        </w:trPr>
        <w:tc>
          <w:tcPr>
            <w:tcW w:w="1740" w:type="dxa"/>
            <w:vMerge w:val="continue"/>
            <w:vAlign w:val="center"/>
          </w:tcPr>
          <w:p>
            <w:pPr>
              <w:spacing w:before="100" w:beforeAutospacing="1" w:after="100" w:afterAutospacing="1" w:line="560" w:lineRule="exact"/>
              <w:jc w:val="center"/>
              <w:rPr>
                <w:rFonts w:ascii="仿宋" w:hAnsi="仿宋" w:eastAsia="仿宋" w:cs="Times New Roman"/>
                <w:bCs/>
                <w:color w:val="auto"/>
                <w:sz w:val="32"/>
                <w:szCs w:val="32"/>
              </w:rPr>
            </w:pPr>
          </w:p>
        </w:tc>
        <w:tc>
          <w:tcPr>
            <w:tcW w:w="1843" w:type="dxa"/>
            <w:vAlign w:val="center"/>
          </w:tcPr>
          <w:p>
            <w:pPr>
              <w:spacing w:line="560" w:lineRule="exact"/>
              <w:jc w:val="center"/>
              <w:rPr>
                <w:rFonts w:ascii="仿宋" w:hAnsi="仿宋" w:eastAsia="仿宋" w:cs="Times New Roman"/>
                <w:bCs/>
                <w:color w:val="auto"/>
                <w:sz w:val="28"/>
                <w:szCs w:val="28"/>
              </w:rPr>
            </w:pPr>
            <w:r>
              <w:rPr>
                <w:rFonts w:hint="eastAsia" w:ascii="仿宋" w:hAnsi="仿宋" w:eastAsia="仿宋" w:cs="Times New Roman"/>
                <w:bCs/>
                <w:color w:val="auto"/>
                <w:sz w:val="28"/>
                <w:szCs w:val="28"/>
              </w:rPr>
              <w:t>合同价款调整预算书</w:t>
            </w:r>
          </w:p>
        </w:tc>
        <w:tc>
          <w:tcPr>
            <w:tcW w:w="1984" w:type="dxa"/>
            <w:vAlign w:val="center"/>
          </w:tcPr>
          <w:p>
            <w:pPr>
              <w:spacing w:line="560" w:lineRule="exact"/>
              <w:jc w:val="center"/>
              <w:rPr>
                <w:rFonts w:ascii="仿宋" w:hAnsi="仿宋" w:eastAsia="仿宋" w:cs="Times New Roman"/>
                <w:bCs/>
                <w:color w:val="auto"/>
                <w:sz w:val="32"/>
                <w:szCs w:val="32"/>
              </w:rPr>
            </w:pPr>
          </w:p>
        </w:tc>
        <w:tc>
          <w:tcPr>
            <w:tcW w:w="1560" w:type="dxa"/>
            <w:vAlign w:val="center"/>
          </w:tcPr>
          <w:p>
            <w:pPr>
              <w:spacing w:line="560" w:lineRule="exact"/>
              <w:jc w:val="center"/>
              <w:rPr>
                <w:rFonts w:ascii="仿宋" w:hAnsi="仿宋" w:eastAsia="仿宋" w:cs="Times New Roman"/>
                <w:bCs/>
                <w:color w:val="auto"/>
                <w:sz w:val="32"/>
                <w:szCs w:val="32"/>
              </w:rPr>
            </w:pPr>
          </w:p>
        </w:tc>
        <w:tc>
          <w:tcPr>
            <w:tcW w:w="1134" w:type="dxa"/>
            <w:vAlign w:val="center"/>
          </w:tcPr>
          <w:p>
            <w:pPr>
              <w:spacing w:line="560" w:lineRule="exact"/>
              <w:jc w:val="center"/>
              <w:rPr>
                <w:rFonts w:ascii="仿宋" w:hAnsi="仿宋" w:eastAsia="仿宋" w:cs="Times New Roman"/>
                <w:bCs/>
                <w:color w:val="auto"/>
                <w:sz w:val="32"/>
                <w:szCs w:val="32"/>
              </w:rPr>
            </w:pPr>
          </w:p>
        </w:tc>
        <w:tc>
          <w:tcPr>
            <w:tcW w:w="1155" w:type="dxa"/>
            <w:vAlign w:val="center"/>
          </w:tcPr>
          <w:p>
            <w:pPr>
              <w:spacing w:line="560" w:lineRule="exact"/>
              <w:jc w:val="center"/>
              <w:rPr>
                <w:rFonts w:ascii="仿宋" w:hAnsi="仿宋" w:eastAsia="仿宋" w:cs="Times New Roman"/>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740" w:type="dxa"/>
            <w:vMerge w:val="restart"/>
            <w:vAlign w:val="center"/>
          </w:tcPr>
          <w:p>
            <w:pPr>
              <w:spacing w:before="100" w:beforeAutospacing="1" w:after="100" w:afterAutospacing="1" w:line="560" w:lineRule="exact"/>
              <w:jc w:val="center"/>
              <w:rPr>
                <w:rFonts w:ascii="仿宋" w:hAnsi="仿宋" w:eastAsia="仿宋" w:cs="Times New Roman"/>
                <w:bCs/>
                <w:color w:val="auto"/>
                <w:sz w:val="32"/>
                <w:szCs w:val="32"/>
              </w:rPr>
            </w:pPr>
            <w:r>
              <w:rPr>
                <w:rFonts w:hint="eastAsia" w:ascii="仿宋" w:hAnsi="仿宋" w:eastAsia="仿宋" w:cs="Times New Roman"/>
                <w:bCs/>
                <w:color w:val="auto"/>
                <w:sz w:val="32"/>
                <w:szCs w:val="32"/>
              </w:rPr>
              <w:t>竣工阶段</w:t>
            </w:r>
          </w:p>
        </w:tc>
        <w:tc>
          <w:tcPr>
            <w:tcW w:w="1843" w:type="dxa"/>
            <w:vAlign w:val="center"/>
          </w:tcPr>
          <w:p>
            <w:pPr>
              <w:spacing w:line="560" w:lineRule="exact"/>
              <w:jc w:val="center"/>
              <w:rPr>
                <w:rFonts w:ascii="仿宋" w:hAnsi="仿宋" w:eastAsia="仿宋" w:cs="Times New Roman"/>
                <w:bCs/>
                <w:color w:val="auto"/>
                <w:sz w:val="28"/>
                <w:szCs w:val="28"/>
              </w:rPr>
            </w:pPr>
            <w:r>
              <w:rPr>
                <w:rFonts w:hint="eastAsia" w:ascii="仿宋" w:hAnsi="仿宋" w:eastAsia="仿宋" w:cs="Times New Roman"/>
                <w:bCs/>
                <w:color w:val="auto"/>
                <w:sz w:val="28"/>
                <w:szCs w:val="28"/>
              </w:rPr>
              <w:t>竣工结算书</w:t>
            </w:r>
          </w:p>
        </w:tc>
        <w:tc>
          <w:tcPr>
            <w:tcW w:w="1984" w:type="dxa"/>
            <w:vAlign w:val="center"/>
          </w:tcPr>
          <w:p>
            <w:pPr>
              <w:spacing w:line="560" w:lineRule="exact"/>
              <w:jc w:val="center"/>
              <w:rPr>
                <w:rFonts w:ascii="仿宋" w:hAnsi="仿宋" w:eastAsia="仿宋" w:cs="Times New Roman"/>
                <w:bCs/>
                <w:color w:val="auto"/>
                <w:sz w:val="32"/>
                <w:szCs w:val="32"/>
              </w:rPr>
            </w:pPr>
          </w:p>
        </w:tc>
        <w:tc>
          <w:tcPr>
            <w:tcW w:w="1560" w:type="dxa"/>
            <w:vAlign w:val="center"/>
          </w:tcPr>
          <w:p>
            <w:pPr>
              <w:spacing w:line="560" w:lineRule="exact"/>
              <w:jc w:val="center"/>
              <w:rPr>
                <w:rFonts w:ascii="仿宋" w:hAnsi="仿宋" w:eastAsia="仿宋" w:cs="Times New Roman"/>
                <w:bCs/>
                <w:color w:val="auto"/>
                <w:sz w:val="32"/>
                <w:szCs w:val="32"/>
              </w:rPr>
            </w:pPr>
          </w:p>
        </w:tc>
        <w:tc>
          <w:tcPr>
            <w:tcW w:w="1134" w:type="dxa"/>
            <w:vAlign w:val="center"/>
          </w:tcPr>
          <w:p>
            <w:pPr>
              <w:spacing w:line="560" w:lineRule="exact"/>
              <w:jc w:val="center"/>
              <w:rPr>
                <w:rFonts w:ascii="仿宋" w:hAnsi="仿宋" w:eastAsia="仿宋" w:cs="Times New Roman"/>
                <w:bCs/>
                <w:color w:val="auto"/>
                <w:sz w:val="32"/>
                <w:szCs w:val="32"/>
              </w:rPr>
            </w:pPr>
          </w:p>
        </w:tc>
        <w:tc>
          <w:tcPr>
            <w:tcW w:w="1155" w:type="dxa"/>
            <w:vAlign w:val="center"/>
          </w:tcPr>
          <w:p>
            <w:pPr>
              <w:spacing w:line="560" w:lineRule="exact"/>
              <w:jc w:val="center"/>
              <w:rPr>
                <w:rFonts w:ascii="仿宋" w:hAnsi="仿宋" w:eastAsia="仿宋" w:cs="Times New Roman"/>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740" w:type="dxa"/>
            <w:vMerge w:val="continue"/>
            <w:vAlign w:val="center"/>
          </w:tcPr>
          <w:p>
            <w:pPr>
              <w:spacing w:before="100" w:beforeAutospacing="1" w:after="100" w:afterAutospacing="1" w:line="560" w:lineRule="exact"/>
              <w:jc w:val="center"/>
              <w:rPr>
                <w:rFonts w:ascii="仿宋" w:hAnsi="仿宋" w:eastAsia="仿宋" w:cs="Times New Roman"/>
                <w:bCs/>
                <w:color w:val="auto"/>
                <w:sz w:val="32"/>
                <w:szCs w:val="32"/>
              </w:rPr>
            </w:pPr>
          </w:p>
        </w:tc>
        <w:tc>
          <w:tcPr>
            <w:tcW w:w="1843" w:type="dxa"/>
            <w:vAlign w:val="center"/>
          </w:tcPr>
          <w:p>
            <w:pPr>
              <w:spacing w:line="560" w:lineRule="exact"/>
              <w:jc w:val="center"/>
              <w:rPr>
                <w:rFonts w:ascii="仿宋" w:hAnsi="仿宋" w:eastAsia="仿宋" w:cs="Times New Roman"/>
                <w:bCs/>
                <w:color w:val="auto"/>
                <w:sz w:val="28"/>
                <w:szCs w:val="28"/>
              </w:rPr>
            </w:pPr>
          </w:p>
        </w:tc>
        <w:tc>
          <w:tcPr>
            <w:tcW w:w="1984" w:type="dxa"/>
            <w:vAlign w:val="center"/>
          </w:tcPr>
          <w:p>
            <w:pPr>
              <w:spacing w:line="560" w:lineRule="exact"/>
              <w:jc w:val="center"/>
              <w:rPr>
                <w:rFonts w:ascii="仿宋" w:hAnsi="仿宋" w:eastAsia="仿宋" w:cs="Times New Roman"/>
                <w:bCs/>
                <w:color w:val="auto"/>
                <w:sz w:val="32"/>
                <w:szCs w:val="32"/>
              </w:rPr>
            </w:pPr>
          </w:p>
        </w:tc>
        <w:tc>
          <w:tcPr>
            <w:tcW w:w="1560" w:type="dxa"/>
            <w:vAlign w:val="center"/>
          </w:tcPr>
          <w:p>
            <w:pPr>
              <w:spacing w:line="560" w:lineRule="exact"/>
              <w:jc w:val="center"/>
              <w:rPr>
                <w:rFonts w:ascii="仿宋" w:hAnsi="仿宋" w:eastAsia="仿宋" w:cs="Times New Roman"/>
                <w:bCs/>
                <w:color w:val="auto"/>
                <w:sz w:val="32"/>
                <w:szCs w:val="32"/>
              </w:rPr>
            </w:pPr>
          </w:p>
        </w:tc>
        <w:tc>
          <w:tcPr>
            <w:tcW w:w="1134" w:type="dxa"/>
            <w:vAlign w:val="center"/>
          </w:tcPr>
          <w:p>
            <w:pPr>
              <w:spacing w:line="560" w:lineRule="exact"/>
              <w:jc w:val="center"/>
              <w:rPr>
                <w:rFonts w:ascii="仿宋" w:hAnsi="仿宋" w:eastAsia="仿宋" w:cs="Times New Roman"/>
                <w:bCs/>
                <w:color w:val="auto"/>
                <w:sz w:val="32"/>
                <w:szCs w:val="32"/>
              </w:rPr>
            </w:pPr>
          </w:p>
        </w:tc>
        <w:tc>
          <w:tcPr>
            <w:tcW w:w="1155" w:type="dxa"/>
            <w:vAlign w:val="center"/>
          </w:tcPr>
          <w:p>
            <w:pPr>
              <w:spacing w:line="560" w:lineRule="exact"/>
              <w:jc w:val="center"/>
              <w:rPr>
                <w:rFonts w:ascii="仿宋" w:hAnsi="仿宋" w:eastAsia="仿宋" w:cs="Times New Roman"/>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740" w:type="dxa"/>
            <w:vAlign w:val="center"/>
          </w:tcPr>
          <w:p>
            <w:pPr>
              <w:spacing w:line="560" w:lineRule="exact"/>
              <w:jc w:val="center"/>
              <w:rPr>
                <w:rFonts w:ascii="仿宋" w:hAnsi="仿宋" w:eastAsia="仿宋" w:cs="Times New Roman"/>
                <w:bCs/>
                <w:color w:val="auto"/>
                <w:sz w:val="32"/>
                <w:szCs w:val="32"/>
              </w:rPr>
            </w:pPr>
            <w:r>
              <w:rPr>
                <w:rFonts w:hint="eastAsia" w:ascii="仿宋" w:hAnsi="仿宋" w:eastAsia="仿宋" w:cs="Times New Roman"/>
                <w:bCs/>
                <w:color w:val="auto"/>
                <w:sz w:val="32"/>
                <w:szCs w:val="32"/>
              </w:rPr>
              <w:t>其他服务</w:t>
            </w:r>
          </w:p>
        </w:tc>
        <w:tc>
          <w:tcPr>
            <w:tcW w:w="1843" w:type="dxa"/>
            <w:vAlign w:val="center"/>
          </w:tcPr>
          <w:p>
            <w:pPr>
              <w:spacing w:line="560" w:lineRule="exact"/>
              <w:jc w:val="center"/>
              <w:rPr>
                <w:rFonts w:ascii="仿宋" w:hAnsi="仿宋" w:eastAsia="仿宋" w:cs="Times New Roman"/>
                <w:bCs/>
                <w:color w:val="auto"/>
                <w:sz w:val="32"/>
                <w:szCs w:val="32"/>
              </w:rPr>
            </w:pPr>
            <w:r>
              <w:rPr>
                <w:rFonts w:hint="eastAsia" w:ascii="仿宋" w:hAnsi="仿宋" w:eastAsia="仿宋" w:cs="Times New Roman"/>
                <w:bCs/>
                <w:color w:val="auto"/>
                <w:sz w:val="32"/>
                <w:szCs w:val="32"/>
              </w:rPr>
              <w:t>/</w:t>
            </w:r>
          </w:p>
        </w:tc>
        <w:tc>
          <w:tcPr>
            <w:tcW w:w="1984" w:type="dxa"/>
            <w:vAlign w:val="center"/>
          </w:tcPr>
          <w:p>
            <w:pPr>
              <w:spacing w:line="560" w:lineRule="exact"/>
              <w:jc w:val="center"/>
              <w:rPr>
                <w:rFonts w:ascii="仿宋" w:hAnsi="仿宋" w:eastAsia="仿宋" w:cs="Times New Roman"/>
                <w:bCs/>
                <w:color w:val="auto"/>
                <w:sz w:val="32"/>
                <w:szCs w:val="32"/>
              </w:rPr>
            </w:pPr>
            <w:r>
              <w:rPr>
                <w:rFonts w:hint="eastAsia" w:ascii="仿宋" w:hAnsi="仿宋" w:eastAsia="仿宋" w:cs="Times New Roman"/>
                <w:bCs/>
                <w:color w:val="auto"/>
                <w:sz w:val="32"/>
                <w:szCs w:val="32"/>
              </w:rPr>
              <w:t>/</w:t>
            </w:r>
          </w:p>
        </w:tc>
        <w:tc>
          <w:tcPr>
            <w:tcW w:w="1560" w:type="dxa"/>
            <w:vAlign w:val="center"/>
          </w:tcPr>
          <w:p>
            <w:pPr>
              <w:spacing w:line="560" w:lineRule="exact"/>
              <w:jc w:val="center"/>
              <w:rPr>
                <w:rFonts w:ascii="仿宋" w:hAnsi="仿宋" w:eastAsia="仿宋" w:cs="Times New Roman"/>
                <w:bCs/>
                <w:color w:val="auto"/>
                <w:sz w:val="32"/>
                <w:szCs w:val="32"/>
              </w:rPr>
            </w:pPr>
            <w:r>
              <w:rPr>
                <w:rFonts w:hint="eastAsia" w:ascii="仿宋" w:hAnsi="仿宋" w:eastAsia="仿宋" w:cs="Times New Roman"/>
                <w:bCs/>
                <w:color w:val="auto"/>
                <w:sz w:val="32"/>
                <w:szCs w:val="32"/>
              </w:rPr>
              <w:t>/</w:t>
            </w:r>
          </w:p>
        </w:tc>
        <w:tc>
          <w:tcPr>
            <w:tcW w:w="1134" w:type="dxa"/>
            <w:vAlign w:val="center"/>
          </w:tcPr>
          <w:p>
            <w:pPr>
              <w:spacing w:line="560" w:lineRule="exact"/>
              <w:jc w:val="center"/>
              <w:rPr>
                <w:rFonts w:ascii="仿宋" w:hAnsi="仿宋" w:eastAsia="仿宋" w:cs="Times New Roman"/>
                <w:bCs/>
                <w:color w:val="auto"/>
                <w:sz w:val="32"/>
                <w:szCs w:val="32"/>
              </w:rPr>
            </w:pPr>
            <w:r>
              <w:rPr>
                <w:rFonts w:hint="eastAsia" w:ascii="仿宋" w:hAnsi="仿宋" w:eastAsia="仿宋" w:cs="Times New Roman"/>
                <w:bCs/>
                <w:color w:val="auto"/>
                <w:sz w:val="32"/>
                <w:szCs w:val="32"/>
              </w:rPr>
              <w:t>/</w:t>
            </w:r>
          </w:p>
        </w:tc>
        <w:tc>
          <w:tcPr>
            <w:tcW w:w="1155" w:type="dxa"/>
            <w:vAlign w:val="center"/>
          </w:tcPr>
          <w:p>
            <w:pPr>
              <w:spacing w:line="560" w:lineRule="exact"/>
              <w:jc w:val="center"/>
              <w:rPr>
                <w:rFonts w:ascii="仿宋" w:hAnsi="仿宋" w:eastAsia="仿宋" w:cs="Times New Roman"/>
                <w:bCs/>
                <w:color w:val="auto"/>
                <w:sz w:val="32"/>
                <w:szCs w:val="32"/>
              </w:rPr>
            </w:pPr>
            <w:r>
              <w:rPr>
                <w:rFonts w:hint="eastAsia" w:ascii="仿宋" w:hAnsi="仿宋" w:eastAsia="仿宋" w:cs="Times New Roman"/>
                <w:bCs/>
                <w:color w:val="auto"/>
                <w:sz w:val="32"/>
                <w:szCs w:val="32"/>
              </w:rPr>
              <w:t>/</w:t>
            </w:r>
          </w:p>
        </w:tc>
      </w:tr>
    </w:tbl>
    <w:p>
      <w:pPr>
        <w:spacing w:line="560" w:lineRule="exact"/>
        <w:rPr>
          <w:rFonts w:ascii="仿宋" w:hAnsi="仿宋" w:eastAsia="仿宋"/>
          <w:b/>
          <w:color w:val="auto"/>
          <w:sz w:val="32"/>
          <w:szCs w:val="32"/>
        </w:rPr>
        <w:sectPr>
          <w:footerReference r:id="rId4" w:type="default"/>
          <w:pgSz w:w="11906" w:h="16838"/>
          <w:pgMar w:top="1440" w:right="1080" w:bottom="1440" w:left="1080" w:header="851" w:footer="992" w:gutter="0"/>
          <w:pgNumType w:fmt="decimal" w:start="1"/>
          <w:cols w:space="720" w:num="1"/>
          <w:docGrid w:linePitch="312" w:charSpace="0"/>
        </w:sectPr>
      </w:pPr>
    </w:p>
    <w:p>
      <w:pPr>
        <w:keepNext/>
        <w:keepLines/>
        <w:spacing w:after="330" w:line="560" w:lineRule="exact"/>
        <w:ind w:left="419" w:hanging="130"/>
        <w:outlineLvl w:val="0"/>
        <w:rPr>
          <w:rFonts w:ascii="仿宋" w:hAnsi="仿宋" w:eastAsia="仿宋" w:cs="Times New Roman"/>
          <w:b/>
          <w:bCs/>
          <w:color w:val="auto"/>
          <w:kern w:val="44"/>
          <w:sz w:val="32"/>
          <w:szCs w:val="32"/>
        </w:rPr>
      </w:pPr>
      <w:bookmarkStart w:id="213" w:name="_Toc419045128"/>
      <w:bookmarkStart w:id="214" w:name="_Toc28374"/>
      <w:bookmarkStart w:id="215" w:name="_Toc422322559"/>
      <w:r>
        <w:rPr>
          <w:rFonts w:ascii="仿宋" w:hAnsi="仿宋" w:eastAsia="仿宋" w:cs="Times New Roman"/>
          <w:b/>
          <w:bCs/>
          <w:color w:val="auto"/>
          <w:kern w:val="44"/>
          <w:sz w:val="32"/>
          <w:szCs w:val="32"/>
        </w:rPr>
        <w:t>附录</w:t>
      </w:r>
      <w:r>
        <w:rPr>
          <w:rFonts w:hint="eastAsia" w:ascii="仿宋" w:hAnsi="仿宋" w:eastAsia="仿宋" w:cs="Times New Roman"/>
          <w:b/>
          <w:bCs/>
          <w:color w:val="auto"/>
          <w:kern w:val="44"/>
          <w:sz w:val="32"/>
          <w:szCs w:val="32"/>
        </w:rPr>
        <w:t>B</w:t>
      </w:r>
      <w:r>
        <w:rPr>
          <w:rFonts w:ascii="仿宋" w:hAnsi="仿宋" w:eastAsia="仿宋" w:cs="Times New Roman"/>
          <w:b/>
          <w:bCs/>
          <w:color w:val="auto"/>
          <w:kern w:val="44"/>
          <w:sz w:val="32"/>
          <w:szCs w:val="32"/>
        </w:rPr>
        <w:t>　委托人提供</w:t>
      </w:r>
      <w:r>
        <w:rPr>
          <w:rFonts w:hint="eastAsia" w:ascii="仿宋" w:hAnsi="仿宋" w:eastAsia="仿宋" w:cs="Times New Roman"/>
          <w:b/>
          <w:bCs/>
          <w:color w:val="auto"/>
          <w:kern w:val="44"/>
          <w:sz w:val="32"/>
          <w:szCs w:val="32"/>
        </w:rPr>
        <w:t>资料一览表</w:t>
      </w:r>
      <w:bookmarkEnd w:id="213"/>
      <w:bookmarkEnd w:id="214"/>
      <w:bookmarkEnd w:id="215"/>
    </w:p>
    <w:tbl>
      <w:tblPr>
        <w:tblStyle w:val="29"/>
        <w:tblW w:w="7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2"/>
        <w:gridCol w:w="1559"/>
        <w:gridCol w:w="1663"/>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12" w:type="dxa"/>
          </w:tcPr>
          <w:p>
            <w:pPr>
              <w:spacing w:before="100" w:beforeAutospacing="1" w:after="100" w:afterAutospacing="1" w:line="560" w:lineRule="exact"/>
              <w:jc w:val="center"/>
              <w:rPr>
                <w:rFonts w:ascii="仿宋" w:hAnsi="仿宋" w:eastAsia="仿宋" w:cs="Times New Roman"/>
                <w:color w:val="auto"/>
                <w:sz w:val="32"/>
                <w:szCs w:val="32"/>
              </w:rPr>
            </w:pPr>
            <w:r>
              <w:rPr>
                <w:rFonts w:hint="eastAsia" w:ascii="仿宋" w:hAnsi="仿宋" w:eastAsia="仿宋" w:cs="Times New Roman"/>
                <w:color w:val="auto"/>
                <w:sz w:val="32"/>
                <w:szCs w:val="32"/>
              </w:rPr>
              <w:t>名称</w:t>
            </w:r>
          </w:p>
        </w:tc>
        <w:tc>
          <w:tcPr>
            <w:tcW w:w="1559" w:type="dxa"/>
          </w:tcPr>
          <w:p>
            <w:pPr>
              <w:spacing w:before="100" w:beforeAutospacing="1" w:after="100" w:afterAutospacing="1" w:line="560" w:lineRule="exact"/>
              <w:jc w:val="center"/>
              <w:rPr>
                <w:rFonts w:ascii="仿宋" w:hAnsi="仿宋" w:eastAsia="仿宋" w:cs="Times New Roman"/>
                <w:color w:val="auto"/>
                <w:sz w:val="32"/>
                <w:szCs w:val="32"/>
              </w:rPr>
            </w:pPr>
            <w:r>
              <w:rPr>
                <w:rFonts w:hint="eastAsia" w:ascii="仿宋" w:hAnsi="仿宋" w:eastAsia="仿宋" w:cs="Times New Roman"/>
                <w:color w:val="auto"/>
                <w:sz w:val="32"/>
                <w:szCs w:val="32"/>
              </w:rPr>
              <w:t>份数</w:t>
            </w:r>
          </w:p>
        </w:tc>
        <w:tc>
          <w:tcPr>
            <w:tcW w:w="1663" w:type="dxa"/>
          </w:tcPr>
          <w:p>
            <w:pPr>
              <w:spacing w:before="100" w:beforeAutospacing="1" w:after="100" w:afterAutospacing="1" w:line="560" w:lineRule="exact"/>
              <w:jc w:val="center"/>
              <w:rPr>
                <w:rFonts w:ascii="仿宋" w:hAnsi="仿宋" w:eastAsia="仿宋" w:cs="Times New Roman"/>
                <w:color w:val="auto"/>
                <w:sz w:val="32"/>
                <w:szCs w:val="32"/>
              </w:rPr>
            </w:pPr>
            <w:r>
              <w:rPr>
                <w:rFonts w:hint="eastAsia" w:ascii="仿宋" w:hAnsi="仿宋" w:eastAsia="仿宋" w:cs="Times New Roman"/>
                <w:color w:val="auto"/>
                <w:sz w:val="32"/>
                <w:szCs w:val="32"/>
              </w:rPr>
              <w:t>提供时间</w:t>
            </w:r>
          </w:p>
        </w:tc>
        <w:tc>
          <w:tcPr>
            <w:tcW w:w="2207" w:type="dxa"/>
          </w:tcPr>
          <w:p>
            <w:pPr>
              <w:spacing w:before="100" w:beforeAutospacing="1" w:after="100" w:afterAutospacing="1" w:line="560" w:lineRule="exact"/>
              <w:jc w:val="center"/>
              <w:rPr>
                <w:rFonts w:ascii="仿宋" w:hAnsi="仿宋" w:eastAsia="仿宋" w:cs="Times New Roman"/>
                <w:color w:val="auto"/>
                <w:sz w:val="32"/>
                <w:szCs w:val="32"/>
              </w:rPr>
            </w:pPr>
            <w:r>
              <w:rPr>
                <w:rFonts w:hint="eastAsia" w:ascii="仿宋" w:hAnsi="仿宋" w:eastAsia="仿宋" w:cs="Times New Roman"/>
                <w:color w:val="auto"/>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12" w:type="dxa"/>
          </w:tcPr>
          <w:p>
            <w:pPr>
              <w:spacing w:before="100" w:beforeAutospacing="1" w:after="100" w:afterAutospacing="1" w:line="560" w:lineRule="exact"/>
              <w:jc w:val="center"/>
              <w:rPr>
                <w:rFonts w:ascii="仿宋" w:hAnsi="仿宋" w:eastAsia="仿宋" w:cs="Times New Roman"/>
                <w:color w:val="auto"/>
              </w:rPr>
            </w:pPr>
            <w:r>
              <w:rPr>
                <w:rFonts w:hint="eastAsia" w:ascii="仿宋" w:hAnsi="仿宋" w:eastAsia="仿宋" w:cs="Times New Roman"/>
                <w:color w:val="auto"/>
              </w:rPr>
              <w:t>工程招、投标文件</w:t>
            </w:r>
          </w:p>
        </w:tc>
        <w:tc>
          <w:tcPr>
            <w:tcW w:w="1559" w:type="dxa"/>
          </w:tcPr>
          <w:p>
            <w:pPr>
              <w:spacing w:line="560" w:lineRule="exact"/>
              <w:jc w:val="center"/>
              <w:rPr>
                <w:rFonts w:ascii="仿宋" w:hAnsi="仿宋" w:eastAsia="仿宋" w:cs="Times New Roman"/>
                <w:color w:val="auto"/>
                <w:sz w:val="32"/>
                <w:szCs w:val="32"/>
              </w:rPr>
            </w:pPr>
          </w:p>
        </w:tc>
        <w:tc>
          <w:tcPr>
            <w:tcW w:w="1663" w:type="dxa"/>
          </w:tcPr>
          <w:p>
            <w:pPr>
              <w:spacing w:line="560" w:lineRule="exact"/>
              <w:jc w:val="center"/>
              <w:rPr>
                <w:rFonts w:ascii="仿宋" w:hAnsi="仿宋" w:eastAsia="仿宋" w:cs="Times New Roman"/>
                <w:color w:val="auto"/>
                <w:sz w:val="32"/>
                <w:szCs w:val="32"/>
              </w:rPr>
            </w:pPr>
          </w:p>
        </w:tc>
        <w:tc>
          <w:tcPr>
            <w:tcW w:w="2207" w:type="dxa"/>
          </w:tcPr>
          <w:p>
            <w:pPr>
              <w:spacing w:line="560" w:lineRule="exact"/>
              <w:jc w:val="center"/>
              <w:rPr>
                <w:rFonts w:ascii="仿宋" w:hAnsi="仿宋" w:eastAsia="仿宋"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12" w:type="dxa"/>
            <w:vAlign w:val="center"/>
          </w:tcPr>
          <w:p>
            <w:pPr>
              <w:spacing w:before="100" w:beforeAutospacing="1" w:after="100" w:afterAutospacing="1" w:line="560" w:lineRule="exact"/>
              <w:jc w:val="center"/>
              <w:rPr>
                <w:rFonts w:ascii="仿宋" w:hAnsi="仿宋" w:eastAsia="仿宋" w:cs="Times New Roman"/>
                <w:color w:val="auto"/>
              </w:rPr>
            </w:pPr>
            <w:r>
              <w:rPr>
                <w:rFonts w:hint="eastAsia" w:ascii="仿宋" w:hAnsi="仿宋" w:eastAsia="仿宋" w:cs="Times New Roman"/>
                <w:color w:val="auto"/>
              </w:rPr>
              <w:t>施工合同以及相应补充协议</w:t>
            </w:r>
          </w:p>
        </w:tc>
        <w:tc>
          <w:tcPr>
            <w:tcW w:w="1559" w:type="dxa"/>
            <w:vAlign w:val="center"/>
          </w:tcPr>
          <w:p>
            <w:pPr>
              <w:spacing w:line="560" w:lineRule="exact"/>
              <w:jc w:val="center"/>
              <w:rPr>
                <w:rFonts w:ascii="仿宋" w:hAnsi="仿宋" w:eastAsia="仿宋" w:cs="Times New Roman"/>
                <w:color w:val="auto"/>
                <w:sz w:val="32"/>
                <w:szCs w:val="32"/>
              </w:rPr>
            </w:pPr>
          </w:p>
        </w:tc>
        <w:tc>
          <w:tcPr>
            <w:tcW w:w="1663" w:type="dxa"/>
            <w:vAlign w:val="center"/>
          </w:tcPr>
          <w:p>
            <w:pPr>
              <w:spacing w:line="560" w:lineRule="exact"/>
              <w:jc w:val="center"/>
              <w:rPr>
                <w:rFonts w:ascii="仿宋" w:hAnsi="仿宋" w:eastAsia="仿宋" w:cs="Times New Roman"/>
                <w:color w:val="auto"/>
                <w:sz w:val="32"/>
                <w:szCs w:val="32"/>
              </w:rPr>
            </w:pPr>
          </w:p>
        </w:tc>
        <w:tc>
          <w:tcPr>
            <w:tcW w:w="2207" w:type="dxa"/>
            <w:vAlign w:val="center"/>
          </w:tcPr>
          <w:p>
            <w:pPr>
              <w:spacing w:line="560" w:lineRule="exact"/>
              <w:jc w:val="center"/>
              <w:rPr>
                <w:rFonts w:ascii="仿宋" w:hAnsi="仿宋" w:eastAsia="仿宋"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12" w:type="dxa"/>
            <w:vAlign w:val="center"/>
          </w:tcPr>
          <w:p>
            <w:pPr>
              <w:spacing w:before="100" w:beforeAutospacing="1" w:after="100" w:afterAutospacing="1" w:line="560" w:lineRule="exact"/>
              <w:jc w:val="center"/>
              <w:rPr>
                <w:rFonts w:ascii="仿宋" w:hAnsi="仿宋" w:eastAsia="仿宋" w:cs="Times New Roman"/>
                <w:color w:val="auto"/>
              </w:rPr>
            </w:pPr>
            <w:r>
              <w:rPr>
                <w:rFonts w:hint="eastAsia" w:ascii="仿宋" w:hAnsi="仿宋" w:eastAsia="仿宋" w:cs="Times New Roman"/>
                <w:color w:val="auto"/>
              </w:rPr>
              <w:t>工程地质勘查报告</w:t>
            </w:r>
          </w:p>
        </w:tc>
        <w:tc>
          <w:tcPr>
            <w:tcW w:w="1559" w:type="dxa"/>
            <w:vAlign w:val="center"/>
          </w:tcPr>
          <w:p>
            <w:pPr>
              <w:spacing w:line="560" w:lineRule="exact"/>
              <w:jc w:val="center"/>
              <w:rPr>
                <w:rFonts w:ascii="仿宋" w:hAnsi="仿宋" w:eastAsia="仿宋" w:cs="Times New Roman"/>
                <w:color w:val="auto"/>
                <w:sz w:val="32"/>
                <w:szCs w:val="32"/>
              </w:rPr>
            </w:pPr>
          </w:p>
        </w:tc>
        <w:tc>
          <w:tcPr>
            <w:tcW w:w="1663" w:type="dxa"/>
            <w:vAlign w:val="center"/>
          </w:tcPr>
          <w:p>
            <w:pPr>
              <w:spacing w:line="560" w:lineRule="exact"/>
              <w:jc w:val="center"/>
              <w:rPr>
                <w:rFonts w:ascii="仿宋" w:hAnsi="仿宋" w:eastAsia="仿宋" w:cs="Times New Roman"/>
                <w:color w:val="auto"/>
                <w:sz w:val="32"/>
                <w:szCs w:val="32"/>
              </w:rPr>
            </w:pPr>
          </w:p>
        </w:tc>
        <w:tc>
          <w:tcPr>
            <w:tcW w:w="2207" w:type="dxa"/>
            <w:vAlign w:val="center"/>
          </w:tcPr>
          <w:p>
            <w:pPr>
              <w:spacing w:line="560" w:lineRule="exact"/>
              <w:jc w:val="center"/>
              <w:rPr>
                <w:rFonts w:ascii="仿宋" w:hAnsi="仿宋" w:eastAsia="仿宋"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12" w:type="dxa"/>
            <w:vAlign w:val="center"/>
          </w:tcPr>
          <w:p>
            <w:pPr>
              <w:spacing w:before="100" w:beforeAutospacing="1" w:after="100" w:afterAutospacing="1" w:line="560" w:lineRule="exact"/>
              <w:jc w:val="center"/>
              <w:rPr>
                <w:rFonts w:ascii="仿宋" w:hAnsi="仿宋" w:eastAsia="仿宋" w:cs="Times New Roman"/>
                <w:color w:val="auto"/>
              </w:rPr>
            </w:pPr>
            <w:r>
              <w:rPr>
                <w:rFonts w:hint="eastAsia" w:ascii="仿宋" w:hAnsi="仿宋" w:eastAsia="仿宋" w:cs="Times New Roman"/>
                <w:bCs/>
                <w:color w:val="auto"/>
              </w:rPr>
              <w:t>反映工程原始地形地貌和高程的测量图</w:t>
            </w:r>
          </w:p>
        </w:tc>
        <w:tc>
          <w:tcPr>
            <w:tcW w:w="1559" w:type="dxa"/>
            <w:vAlign w:val="center"/>
          </w:tcPr>
          <w:p>
            <w:pPr>
              <w:spacing w:line="560" w:lineRule="exact"/>
              <w:jc w:val="center"/>
              <w:rPr>
                <w:rFonts w:ascii="仿宋" w:hAnsi="仿宋" w:eastAsia="仿宋" w:cs="Times New Roman"/>
                <w:color w:val="auto"/>
                <w:sz w:val="32"/>
                <w:szCs w:val="32"/>
              </w:rPr>
            </w:pPr>
          </w:p>
        </w:tc>
        <w:tc>
          <w:tcPr>
            <w:tcW w:w="1663" w:type="dxa"/>
            <w:vAlign w:val="center"/>
          </w:tcPr>
          <w:p>
            <w:pPr>
              <w:spacing w:line="560" w:lineRule="exact"/>
              <w:jc w:val="center"/>
              <w:rPr>
                <w:rFonts w:ascii="仿宋" w:hAnsi="仿宋" w:eastAsia="仿宋" w:cs="Times New Roman"/>
                <w:color w:val="auto"/>
                <w:sz w:val="32"/>
                <w:szCs w:val="32"/>
              </w:rPr>
            </w:pPr>
          </w:p>
        </w:tc>
        <w:tc>
          <w:tcPr>
            <w:tcW w:w="2207" w:type="dxa"/>
            <w:vAlign w:val="center"/>
          </w:tcPr>
          <w:p>
            <w:pPr>
              <w:spacing w:line="560" w:lineRule="exact"/>
              <w:jc w:val="center"/>
              <w:rPr>
                <w:rFonts w:ascii="仿宋" w:hAnsi="仿宋" w:eastAsia="仿宋"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12" w:type="dxa"/>
            <w:vAlign w:val="center"/>
          </w:tcPr>
          <w:p>
            <w:pPr>
              <w:spacing w:before="100" w:beforeAutospacing="1" w:after="100" w:afterAutospacing="1" w:line="560" w:lineRule="exact"/>
              <w:jc w:val="center"/>
              <w:rPr>
                <w:rFonts w:ascii="仿宋" w:hAnsi="仿宋" w:eastAsia="仿宋" w:cs="Times New Roman"/>
                <w:color w:val="auto"/>
              </w:rPr>
            </w:pPr>
            <w:r>
              <w:rPr>
                <w:rFonts w:hint="eastAsia" w:ascii="仿宋" w:hAnsi="仿宋" w:eastAsia="仿宋" w:cs="Times New Roman"/>
                <w:bCs/>
                <w:color w:val="auto"/>
              </w:rPr>
              <w:t>施工图（含电子版）</w:t>
            </w:r>
          </w:p>
        </w:tc>
        <w:tc>
          <w:tcPr>
            <w:tcW w:w="1559" w:type="dxa"/>
            <w:vAlign w:val="center"/>
          </w:tcPr>
          <w:p>
            <w:pPr>
              <w:spacing w:line="560" w:lineRule="exact"/>
              <w:jc w:val="center"/>
              <w:rPr>
                <w:rFonts w:ascii="仿宋" w:hAnsi="仿宋" w:eastAsia="仿宋" w:cs="Times New Roman"/>
                <w:color w:val="auto"/>
                <w:sz w:val="32"/>
                <w:szCs w:val="32"/>
              </w:rPr>
            </w:pPr>
          </w:p>
        </w:tc>
        <w:tc>
          <w:tcPr>
            <w:tcW w:w="1663" w:type="dxa"/>
            <w:vAlign w:val="center"/>
          </w:tcPr>
          <w:p>
            <w:pPr>
              <w:spacing w:line="560" w:lineRule="exact"/>
              <w:jc w:val="center"/>
              <w:rPr>
                <w:rFonts w:ascii="仿宋" w:hAnsi="仿宋" w:eastAsia="仿宋" w:cs="Times New Roman"/>
                <w:color w:val="auto"/>
                <w:sz w:val="32"/>
                <w:szCs w:val="32"/>
              </w:rPr>
            </w:pPr>
          </w:p>
        </w:tc>
        <w:tc>
          <w:tcPr>
            <w:tcW w:w="2207" w:type="dxa"/>
            <w:vAlign w:val="center"/>
          </w:tcPr>
          <w:p>
            <w:pPr>
              <w:spacing w:line="560" w:lineRule="exact"/>
              <w:jc w:val="center"/>
              <w:rPr>
                <w:rFonts w:ascii="仿宋" w:hAnsi="仿宋" w:eastAsia="仿宋"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12" w:type="dxa"/>
            <w:vAlign w:val="center"/>
          </w:tcPr>
          <w:p>
            <w:pPr>
              <w:spacing w:before="100" w:beforeAutospacing="1" w:after="100" w:afterAutospacing="1" w:line="560" w:lineRule="exact"/>
              <w:jc w:val="center"/>
              <w:rPr>
                <w:rFonts w:ascii="仿宋" w:hAnsi="仿宋" w:eastAsia="仿宋" w:cs="Times New Roman"/>
                <w:color w:val="auto"/>
              </w:rPr>
            </w:pPr>
            <w:r>
              <w:rPr>
                <w:rFonts w:hint="eastAsia" w:ascii="仿宋" w:hAnsi="仿宋" w:eastAsia="仿宋" w:cs="Times New Roman"/>
                <w:bCs/>
                <w:color w:val="auto"/>
              </w:rPr>
              <w:t>竣工图（含电子版）</w:t>
            </w:r>
          </w:p>
        </w:tc>
        <w:tc>
          <w:tcPr>
            <w:tcW w:w="1559" w:type="dxa"/>
            <w:vAlign w:val="center"/>
          </w:tcPr>
          <w:p>
            <w:pPr>
              <w:spacing w:line="560" w:lineRule="exact"/>
              <w:jc w:val="center"/>
              <w:rPr>
                <w:rFonts w:ascii="仿宋" w:hAnsi="仿宋" w:eastAsia="仿宋" w:cs="Times New Roman"/>
                <w:color w:val="auto"/>
                <w:sz w:val="32"/>
                <w:szCs w:val="32"/>
              </w:rPr>
            </w:pPr>
          </w:p>
        </w:tc>
        <w:tc>
          <w:tcPr>
            <w:tcW w:w="1663" w:type="dxa"/>
            <w:vAlign w:val="center"/>
          </w:tcPr>
          <w:p>
            <w:pPr>
              <w:spacing w:line="560" w:lineRule="exact"/>
              <w:jc w:val="center"/>
              <w:rPr>
                <w:rFonts w:ascii="仿宋" w:hAnsi="仿宋" w:eastAsia="仿宋" w:cs="Times New Roman"/>
                <w:color w:val="auto"/>
                <w:sz w:val="32"/>
                <w:szCs w:val="32"/>
              </w:rPr>
            </w:pPr>
          </w:p>
        </w:tc>
        <w:tc>
          <w:tcPr>
            <w:tcW w:w="2207" w:type="dxa"/>
            <w:vAlign w:val="center"/>
          </w:tcPr>
          <w:p>
            <w:pPr>
              <w:spacing w:line="560" w:lineRule="exact"/>
              <w:jc w:val="center"/>
              <w:rPr>
                <w:rFonts w:ascii="仿宋" w:hAnsi="仿宋" w:eastAsia="仿宋"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12" w:type="dxa"/>
            <w:vAlign w:val="center"/>
          </w:tcPr>
          <w:p>
            <w:pPr>
              <w:spacing w:line="560" w:lineRule="exact"/>
              <w:jc w:val="center"/>
              <w:rPr>
                <w:rFonts w:ascii="仿宋" w:hAnsi="仿宋" w:eastAsia="仿宋" w:cs="Times New Roman"/>
                <w:color w:val="auto"/>
              </w:rPr>
            </w:pPr>
            <w:r>
              <w:rPr>
                <w:rFonts w:hint="eastAsia" w:ascii="仿宋" w:hAnsi="仿宋" w:eastAsia="仿宋" w:cs="Times New Roman"/>
                <w:bCs/>
                <w:color w:val="auto"/>
              </w:rPr>
              <w:t>图纸会审记录</w:t>
            </w:r>
          </w:p>
        </w:tc>
        <w:tc>
          <w:tcPr>
            <w:tcW w:w="1559" w:type="dxa"/>
            <w:vAlign w:val="center"/>
          </w:tcPr>
          <w:p>
            <w:pPr>
              <w:spacing w:line="560" w:lineRule="exact"/>
              <w:jc w:val="center"/>
              <w:rPr>
                <w:rFonts w:ascii="仿宋" w:hAnsi="仿宋" w:eastAsia="仿宋" w:cs="Times New Roman"/>
                <w:color w:val="auto"/>
                <w:sz w:val="32"/>
                <w:szCs w:val="32"/>
              </w:rPr>
            </w:pPr>
          </w:p>
        </w:tc>
        <w:tc>
          <w:tcPr>
            <w:tcW w:w="1663" w:type="dxa"/>
            <w:vAlign w:val="center"/>
          </w:tcPr>
          <w:p>
            <w:pPr>
              <w:spacing w:line="560" w:lineRule="exact"/>
              <w:jc w:val="center"/>
              <w:rPr>
                <w:rFonts w:ascii="仿宋" w:hAnsi="仿宋" w:eastAsia="仿宋" w:cs="Times New Roman"/>
                <w:color w:val="auto"/>
                <w:sz w:val="32"/>
                <w:szCs w:val="32"/>
              </w:rPr>
            </w:pPr>
          </w:p>
        </w:tc>
        <w:tc>
          <w:tcPr>
            <w:tcW w:w="2207" w:type="dxa"/>
            <w:vAlign w:val="center"/>
          </w:tcPr>
          <w:p>
            <w:pPr>
              <w:spacing w:line="560" w:lineRule="exact"/>
              <w:jc w:val="center"/>
              <w:rPr>
                <w:rFonts w:ascii="仿宋" w:hAnsi="仿宋" w:eastAsia="仿宋"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12" w:type="dxa"/>
            <w:vAlign w:val="center"/>
          </w:tcPr>
          <w:p>
            <w:pPr>
              <w:spacing w:line="560" w:lineRule="exact"/>
              <w:jc w:val="center"/>
              <w:rPr>
                <w:rFonts w:ascii="仿宋" w:hAnsi="仿宋" w:eastAsia="仿宋" w:cs="Times New Roman"/>
                <w:color w:val="auto"/>
              </w:rPr>
            </w:pPr>
            <w:r>
              <w:rPr>
                <w:rFonts w:hint="eastAsia" w:ascii="仿宋" w:hAnsi="仿宋" w:eastAsia="仿宋" w:cs="Times New Roman"/>
                <w:bCs/>
                <w:color w:val="auto"/>
              </w:rPr>
              <w:t>重要会议记录</w:t>
            </w:r>
          </w:p>
        </w:tc>
        <w:tc>
          <w:tcPr>
            <w:tcW w:w="1559" w:type="dxa"/>
            <w:vAlign w:val="center"/>
          </w:tcPr>
          <w:p>
            <w:pPr>
              <w:spacing w:line="560" w:lineRule="exact"/>
              <w:jc w:val="center"/>
              <w:rPr>
                <w:rFonts w:ascii="仿宋" w:hAnsi="仿宋" w:eastAsia="仿宋" w:cs="Times New Roman"/>
                <w:color w:val="auto"/>
                <w:sz w:val="32"/>
                <w:szCs w:val="32"/>
              </w:rPr>
            </w:pPr>
          </w:p>
        </w:tc>
        <w:tc>
          <w:tcPr>
            <w:tcW w:w="1663" w:type="dxa"/>
            <w:vAlign w:val="center"/>
          </w:tcPr>
          <w:p>
            <w:pPr>
              <w:spacing w:line="560" w:lineRule="exact"/>
              <w:jc w:val="center"/>
              <w:rPr>
                <w:rFonts w:ascii="仿宋" w:hAnsi="仿宋" w:eastAsia="仿宋" w:cs="Times New Roman"/>
                <w:color w:val="auto"/>
                <w:sz w:val="32"/>
                <w:szCs w:val="32"/>
              </w:rPr>
            </w:pPr>
          </w:p>
        </w:tc>
        <w:tc>
          <w:tcPr>
            <w:tcW w:w="2207" w:type="dxa"/>
            <w:vAlign w:val="center"/>
          </w:tcPr>
          <w:p>
            <w:pPr>
              <w:spacing w:line="560" w:lineRule="exact"/>
              <w:jc w:val="center"/>
              <w:rPr>
                <w:rFonts w:ascii="仿宋" w:hAnsi="仿宋" w:eastAsia="仿宋"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12" w:type="dxa"/>
            <w:vAlign w:val="center"/>
          </w:tcPr>
          <w:p>
            <w:pPr>
              <w:spacing w:line="560" w:lineRule="exact"/>
              <w:jc w:val="center"/>
              <w:rPr>
                <w:rFonts w:ascii="仿宋" w:hAnsi="仿宋" w:eastAsia="仿宋" w:cs="Times New Roman"/>
                <w:color w:val="auto"/>
              </w:rPr>
            </w:pPr>
            <w:r>
              <w:rPr>
                <w:rFonts w:hint="eastAsia" w:ascii="仿宋" w:hAnsi="仿宋" w:eastAsia="仿宋" w:cs="Times New Roman"/>
                <w:bCs/>
                <w:color w:val="auto"/>
              </w:rPr>
              <w:t>隐蔽工程验收记录</w:t>
            </w:r>
          </w:p>
        </w:tc>
        <w:tc>
          <w:tcPr>
            <w:tcW w:w="1559" w:type="dxa"/>
            <w:vAlign w:val="center"/>
          </w:tcPr>
          <w:p>
            <w:pPr>
              <w:spacing w:line="560" w:lineRule="exact"/>
              <w:jc w:val="center"/>
              <w:rPr>
                <w:rFonts w:ascii="仿宋" w:hAnsi="仿宋" w:eastAsia="仿宋" w:cs="Times New Roman"/>
                <w:color w:val="auto"/>
                <w:sz w:val="32"/>
                <w:szCs w:val="32"/>
              </w:rPr>
            </w:pPr>
          </w:p>
        </w:tc>
        <w:tc>
          <w:tcPr>
            <w:tcW w:w="1663" w:type="dxa"/>
            <w:vAlign w:val="center"/>
          </w:tcPr>
          <w:p>
            <w:pPr>
              <w:spacing w:line="560" w:lineRule="exact"/>
              <w:jc w:val="center"/>
              <w:rPr>
                <w:rFonts w:ascii="仿宋" w:hAnsi="仿宋" w:eastAsia="仿宋" w:cs="Times New Roman"/>
                <w:color w:val="auto"/>
                <w:sz w:val="32"/>
                <w:szCs w:val="32"/>
              </w:rPr>
            </w:pPr>
          </w:p>
        </w:tc>
        <w:tc>
          <w:tcPr>
            <w:tcW w:w="2207" w:type="dxa"/>
            <w:vAlign w:val="center"/>
          </w:tcPr>
          <w:p>
            <w:pPr>
              <w:spacing w:line="560" w:lineRule="exact"/>
              <w:jc w:val="center"/>
              <w:rPr>
                <w:rFonts w:ascii="仿宋" w:hAnsi="仿宋" w:eastAsia="仿宋"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12" w:type="dxa"/>
            <w:vAlign w:val="center"/>
          </w:tcPr>
          <w:p>
            <w:pPr>
              <w:spacing w:line="560" w:lineRule="exact"/>
              <w:jc w:val="center"/>
              <w:rPr>
                <w:rFonts w:ascii="仿宋" w:hAnsi="仿宋" w:eastAsia="仿宋" w:cs="Times New Roman"/>
                <w:bCs/>
                <w:color w:val="auto"/>
              </w:rPr>
            </w:pPr>
            <w:bookmarkStart w:id="216" w:name="_Toc419045129"/>
            <w:r>
              <w:rPr>
                <w:rFonts w:hint="eastAsia" w:ascii="仿宋" w:hAnsi="仿宋" w:eastAsia="仿宋" w:cs="Times New Roman"/>
                <w:bCs/>
                <w:color w:val="auto"/>
              </w:rPr>
              <w:t>施工日志、各种签证单</w:t>
            </w:r>
          </w:p>
        </w:tc>
        <w:tc>
          <w:tcPr>
            <w:tcW w:w="1559" w:type="dxa"/>
            <w:vAlign w:val="center"/>
          </w:tcPr>
          <w:p>
            <w:pPr>
              <w:spacing w:line="560" w:lineRule="exact"/>
              <w:jc w:val="center"/>
              <w:rPr>
                <w:rFonts w:ascii="仿宋" w:hAnsi="仿宋" w:eastAsia="仿宋" w:cs="Times New Roman"/>
                <w:bCs/>
                <w:color w:val="auto"/>
                <w:sz w:val="32"/>
                <w:szCs w:val="32"/>
              </w:rPr>
            </w:pPr>
          </w:p>
        </w:tc>
        <w:tc>
          <w:tcPr>
            <w:tcW w:w="1663" w:type="dxa"/>
            <w:vAlign w:val="center"/>
          </w:tcPr>
          <w:p>
            <w:pPr>
              <w:spacing w:line="560" w:lineRule="exact"/>
              <w:jc w:val="center"/>
              <w:rPr>
                <w:rFonts w:ascii="仿宋" w:hAnsi="仿宋" w:eastAsia="仿宋" w:cs="Times New Roman"/>
                <w:bCs/>
                <w:color w:val="auto"/>
                <w:sz w:val="32"/>
                <w:szCs w:val="32"/>
              </w:rPr>
            </w:pPr>
          </w:p>
        </w:tc>
        <w:tc>
          <w:tcPr>
            <w:tcW w:w="2207" w:type="dxa"/>
            <w:vAlign w:val="center"/>
          </w:tcPr>
          <w:p>
            <w:pPr>
              <w:spacing w:line="560" w:lineRule="exact"/>
              <w:jc w:val="center"/>
              <w:rPr>
                <w:rFonts w:ascii="仿宋" w:hAnsi="仿宋" w:eastAsia="仿宋" w:cs="Times New Roman"/>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12" w:type="dxa"/>
            <w:vAlign w:val="center"/>
          </w:tcPr>
          <w:p>
            <w:pPr>
              <w:spacing w:line="560" w:lineRule="exact"/>
              <w:jc w:val="center"/>
              <w:rPr>
                <w:rFonts w:ascii="仿宋" w:hAnsi="仿宋" w:eastAsia="仿宋" w:cs="Times New Roman"/>
                <w:bCs/>
                <w:color w:val="auto"/>
                <w:sz w:val="32"/>
                <w:szCs w:val="32"/>
              </w:rPr>
            </w:pPr>
          </w:p>
        </w:tc>
        <w:tc>
          <w:tcPr>
            <w:tcW w:w="1559" w:type="dxa"/>
            <w:vAlign w:val="center"/>
          </w:tcPr>
          <w:p>
            <w:pPr>
              <w:spacing w:line="560" w:lineRule="exact"/>
              <w:jc w:val="center"/>
              <w:rPr>
                <w:rFonts w:ascii="仿宋" w:hAnsi="仿宋" w:eastAsia="仿宋" w:cs="Times New Roman"/>
                <w:bCs/>
                <w:color w:val="auto"/>
                <w:sz w:val="32"/>
                <w:szCs w:val="32"/>
              </w:rPr>
            </w:pPr>
          </w:p>
        </w:tc>
        <w:tc>
          <w:tcPr>
            <w:tcW w:w="1663" w:type="dxa"/>
            <w:vAlign w:val="center"/>
          </w:tcPr>
          <w:p>
            <w:pPr>
              <w:spacing w:line="560" w:lineRule="exact"/>
              <w:jc w:val="center"/>
              <w:rPr>
                <w:rFonts w:ascii="仿宋" w:hAnsi="仿宋" w:eastAsia="仿宋" w:cs="Times New Roman"/>
                <w:bCs/>
                <w:color w:val="auto"/>
                <w:sz w:val="32"/>
                <w:szCs w:val="32"/>
              </w:rPr>
            </w:pPr>
          </w:p>
        </w:tc>
        <w:tc>
          <w:tcPr>
            <w:tcW w:w="2207" w:type="dxa"/>
            <w:vAlign w:val="center"/>
          </w:tcPr>
          <w:p>
            <w:pPr>
              <w:spacing w:line="560" w:lineRule="exact"/>
              <w:jc w:val="center"/>
              <w:rPr>
                <w:rFonts w:ascii="仿宋" w:hAnsi="仿宋" w:eastAsia="仿宋" w:cs="Times New Roman"/>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12" w:type="dxa"/>
            <w:vAlign w:val="center"/>
          </w:tcPr>
          <w:p>
            <w:pPr>
              <w:spacing w:line="560" w:lineRule="exact"/>
              <w:jc w:val="center"/>
              <w:rPr>
                <w:rFonts w:ascii="仿宋" w:hAnsi="仿宋" w:eastAsia="仿宋" w:cs="Times New Roman"/>
                <w:bCs/>
                <w:color w:val="auto"/>
                <w:sz w:val="32"/>
                <w:szCs w:val="32"/>
              </w:rPr>
            </w:pPr>
          </w:p>
        </w:tc>
        <w:tc>
          <w:tcPr>
            <w:tcW w:w="1559" w:type="dxa"/>
            <w:vAlign w:val="center"/>
          </w:tcPr>
          <w:p>
            <w:pPr>
              <w:spacing w:line="560" w:lineRule="exact"/>
              <w:jc w:val="center"/>
              <w:rPr>
                <w:rFonts w:ascii="仿宋" w:hAnsi="仿宋" w:eastAsia="仿宋" w:cs="Times New Roman"/>
                <w:bCs/>
                <w:color w:val="auto"/>
                <w:sz w:val="32"/>
                <w:szCs w:val="32"/>
              </w:rPr>
            </w:pPr>
          </w:p>
        </w:tc>
        <w:tc>
          <w:tcPr>
            <w:tcW w:w="1663" w:type="dxa"/>
            <w:vAlign w:val="center"/>
          </w:tcPr>
          <w:p>
            <w:pPr>
              <w:spacing w:line="560" w:lineRule="exact"/>
              <w:jc w:val="center"/>
              <w:rPr>
                <w:rFonts w:ascii="仿宋" w:hAnsi="仿宋" w:eastAsia="仿宋" w:cs="Times New Roman"/>
                <w:bCs/>
                <w:color w:val="auto"/>
                <w:sz w:val="32"/>
                <w:szCs w:val="32"/>
              </w:rPr>
            </w:pPr>
          </w:p>
        </w:tc>
        <w:tc>
          <w:tcPr>
            <w:tcW w:w="2207" w:type="dxa"/>
            <w:vAlign w:val="center"/>
          </w:tcPr>
          <w:p>
            <w:pPr>
              <w:spacing w:line="560" w:lineRule="exact"/>
              <w:jc w:val="center"/>
              <w:rPr>
                <w:rFonts w:ascii="仿宋" w:hAnsi="仿宋" w:eastAsia="仿宋" w:cs="Times New Roman"/>
                <w:bCs/>
                <w:color w:val="auto"/>
                <w:sz w:val="32"/>
                <w:szCs w:val="32"/>
              </w:rPr>
            </w:pPr>
          </w:p>
        </w:tc>
      </w:tr>
    </w:tbl>
    <w:p>
      <w:pPr>
        <w:spacing w:line="560" w:lineRule="exact"/>
        <w:rPr>
          <w:rFonts w:ascii="仿宋" w:hAnsi="仿宋" w:eastAsia="仿宋"/>
          <w:color w:val="auto"/>
          <w:sz w:val="32"/>
          <w:szCs w:val="32"/>
        </w:rPr>
        <w:sectPr>
          <w:pgSz w:w="11906" w:h="16838"/>
          <w:pgMar w:top="1440" w:right="1800" w:bottom="1440" w:left="1800" w:header="851" w:footer="992" w:gutter="0"/>
          <w:pgNumType w:fmt="decimal"/>
          <w:cols w:space="720" w:num="1"/>
          <w:docGrid w:linePitch="312" w:charSpace="0"/>
        </w:sectPr>
      </w:pPr>
    </w:p>
    <w:p>
      <w:pPr>
        <w:keepNext/>
        <w:keepLines/>
        <w:spacing w:after="330" w:line="560" w:lineRule="exact"/>
        <w:ind w:left="419" w:hanging="130"/>
        <w:outlineLvl w:val="0"/>
        <w:rPr>
          <w:rFonts w:ascii="仿宋" w:hAnsi="仿宋" w:eastAsia="仿宋" w:cs="Times New Roman"/>
          <w:b/>
          <w:bCs/>
          <w:color w:val="auto"/>
          <w:kern w:val="44"/>
          <w:sz w:val="32"/>
          <w:szCs w:val="32"/>
        </w:rPr>
      </w:pPr>
      <w:bookmarkStart w:id="217" w:name="_Toc422322560"/>
      <w:bookmarkStart w:id="218" w:name="_Toc10785"/>
      <w:r>
        <w:rPr>
          <w:rFonts w:hint="eastAsia" w:ascii="仿宋" w:hAnsi="仿宋" w:eastAsia="仿宋" w:cs="Times New Roman"/>
          <w:b/>
          <w:bCs/>
          <w:color w:val="auto"/>
          <w:kern w:val="44"/>
          <w:sz w:val="32"/>
          <w:szCs w:val="32"/>
        </w:rPr>
        <w:t xml:space="preserve">附录C </w:t>
      </w:r>
      <w:r>
        <w:rPr>
          <w:rFonts w:ascii="仿宋" w:hAnsi="仿宋" w:eastAsia="仿宋" w:cs="Times New Roman"/>
          <w:b/>
          <w:bCs/>
          <w:color w:val="auto"/>
          <w:kern w:val="44"/>
          <w:sz w:val="32"/>
          <w:szCs w:val="32"/>
        </w:rPr>
        <w:t>委托人提供房屋</w:t>
      </w:r>
      <w:r>
        <w:rPr>
          <w:rFonts w:hint="eastAsia" w:ascii="仿宋" w:hAnsi="仿宋" w:eastAsia="仿宋" w:cs="Times New Roman"/>
          <w:b/>
          <w:bCs/>
          <w:color w:val="auto"/>
          <w:kern w:val="44"/>
          <w:sz w:val="32"/>
          <w:szCs w:val="32"/>
        </w:rPr>
        <w:t>及设备一览表</w:t>
      </w:r>
      <w:bookmarkEnd w:id="216"/>
      <w:bookmarkEnd w:id="217"/>
      <w:bookmarkEnd w:id="218"/>
    </w:p>
    <w:tbl>
      <w:tblPr>
        <w:tblStyle w:val="29"/>
        <w:tblW w:w="7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5"/>
        <w:gridCol w:w="1276"/>
        <w:gridCol w:w="2672"/>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15" w:type="dxa"/>
          </w:tcPr>
          <w:p>
            <w:pPr>
              <w:spacing w:before="100" w:beforeAutospacing="1" w:after="100" w:afterAutospacing="1" w:line="560" w:lineRule="exact"/>
              <w:jc w:val="center"/>
              <w:rPr>
                <w:rFonts w:ascii="仿宋" w:hAnsi="仿宋" w:eastAsia="仿宋" w:cs="Times New Roman"/>
                <w:color w:val="auto"/>
                <w:sz w:val="32"/>
                <w:szCs w:val="32"/>
              </w:rPr>
            </w:pPr>
            <w:r>
              <w:rPr>
                <w:rFonts w:hint="eastAsia" w:ascii="仿宋" w:hAnsi="仿宋" w:eastAsia="仿宋" w:cs="Times New Roman"/>
                <w:color w:val="auto"/>
                <w:sz w:val="32"/>
                <w:szCs w:val="32"/>
              </w:rPr>
              <w:t>名称</w:t>
            </w:r>
          </w:p>
        </w:tc>
        <w:tc>
          <w:tcPr>
            <w:tcW w:w="1276" w:type="dxa"/>
          </w:tcPr>
          <w:p>
            <w:pPr>
              <w:spacing w:before="100" w:beforeAutospacing="1" w:after="100" w:afterAutospacing="1" w:line="560" w:lineRule="exact"/>
              <w:jc w:val="center"/>
              <w:rPr>
                <w:rFonts w:ascii="仿宋" w:hAnsi="仿宋" w:eastAsia="仿宋" w:cs="Times New Roman"/>
                <w:color w:val="auto"/>
                <w:sz w:val="32"/>
                <w:szCs w:val="32"/>
              </w:rPr>
            </w:pPr>
            <w:r>
              <w:rPr>
                <w:rFonts w:hint="eastAsia" w:ascii="仿宋" w:hAnsi="仿宋" w:eastAsia="仿宋" w:cs="Times New Roman"/>
                <w:color w:val="auto"/>
                <w:sz w:val="32"/>
                <w:szCs w:val="32"/>
              </w:rPr>
              <w:t>数量</w:t>
            </w:r>
          </w:p>
        </w:tc>
        <w:tc>
          <w:tcPr>
            <w:tcW w:w="2672" w:type="dxa"/>
          </w:tcPr>
          <w:p>
            <w:pPr>
              <w:spacing w:before="100" w:beforeAutospacing="1" w:after="100" w:afterAutospacing="1" w:line="560" w:lineRule="exact"/>
              <w:jc w:val="center"/>
              <w:rPr>
                <w:rFonts w:ascii="仿宋" w:hAnsi="仿宋" w:eastAsia="仿宋" w:cs="Times New Roman"/>
                <w:color w:val="auto"/>
                <w:sz w:val="32"/>
                <w:szCs w:val="32"/>
              </w:rPr>
            </w:pPr>
            <w:r>
              <w:rPr>
                <w:rFonts w:hint="eastAsia" w:ascii="仿宋" w:hAnsi="仿宋" w:eastAsia="仿宋" w:cs="Times New Roman"/>
                <w:color w:val="auto"/>
                <w:sz w:val="32"/>
                <w:szCs w:val="32"/>
              </w:rPr>
              <w:t>面积、型号及规格</w:t>
            </w:r>
          </w:p>
        </w:tc>
        <w:tc>
          <w:tcPr>
            <w:tcW w:w="1837" w:type="dxa"/>
          </w:tcPr>
          <w:p>
            <w:pPr>
              <w:spacing w:before="100" w:beforeAutospacing="1" w:after="100" w:afterAutospacing="1" w:line="560" w:lineRule="exact"/>
              <w:jc w:val="center"/>
              <w:rPr>
                <w:rFonts w:ascii="仿宋" w:hAnsi="仿宋" w:eastAsia="仿宋" w:cs="Times New Roman"/>
                <w:color w:val="auto"/>
                <w:sz w:val="32"/>
                <w:szCs w:val="32"/>
              </w:rPr>
            </w:pPr>
            <w:r>
              <w:rPr>
                <w:rFonts w:hint="eastAsia" w:ascii="仿宋" w:hAnsi="仿宋" w:eastAsia="仿宋" w:cs="Times New Roman"/>
                <w:color w:val="auto"/>
                <w:sz w:val="32"/>
                <w:szCs w:val="32"/>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15" w:type="dxa"/>
            <w:vAlign w:val="center"/>
          </w:tcPr>
          <w:p>
            <w:pPr>
              <w:spacing w:before="100" w:beforeAutospacing="1" w:after="100" w:afterAutospacing="1" w:line="560" w:lineRule="exact"/>
              <w:rPr>
                <w:rFonts w:ascii="仿宋" w:hAnsi="仿宋" w:eastAsia="仿宋" w:cs="Times New Roman"/>
                <w:color w:val="auto"/>
                <w:sz w:val="28"/>
                <w:szCs w:val="28"/>
              </w:rPr>
            </w:pPr>
            <w:r>
              <w:rPr>
                <w:rFonts w:hint="eastAsia" w:ascii="仿宋" w:hAnsi="仿宋" w:eastAsia="仿宋" w:cs="Times New Roman"/>
                <w:bCs/>
                <w:color w:val="auto"/>
                <w:sz w:val="28"/>
                <w:szCs w:val="28"/>
              </w:rPr>
              <w:t>办公室</w:t>
            </w:r>
          </w:p>
        </w:tc>
        <w:tc>
          <w:tcPr>
            <w:tcW w:w="1276" w:type="dxa"/>
            <w:vAlign w:val="center"/>
          </w:tcPr>
          <w:p>
            <w:pPr>
              <w:spacing w:line="560" w:lineRule="exact"/>
              <w:rPr>
                <w:rFonts w:ascii="仿宋" w:hAnsi="仿宋" w:eastAsia="仿宋" w:cs="Times New Roman"/>
                <w:color w:val="auto"/>
                <w:sz w:val="28"/>
                <w:szCs w:val="28"/>
              </w:rPr>
            </w:pPr>
          </w:p>
        </w:tc>
        <w:tc>
          <w:tcPr>
            <w:tcW w:w="2672" w:type="dxa"/>
            <w:vAlign w:val="center"/>
          </w:tcPr>
          <w:p>
            <w:pPr>
              <w:spacing w:line="560" w:lineRule="exact"/>
              <w:rPr>
                <w:rFonts w:ascii="仿宋" w:hAnsi="仿宋" w:eastAsia="仿宋" w:cs="Times New Roman"/>
                <w:color w:val="auto"/>
                <w:sz w:val="28"/>
                <w:szCs w:val="28"/>
              </w:rPr>
            </w:pPr>
          </w:p>
        </w:tc>
        <w:tc>
          <w:tcPr>
            <w:tcW w:w="1837" w:type="dxa"/>
            <w:vAlign w:val="center"/>
          </w:tcPr>
          <w:p>
            <w:pPr>
              <w:spacing w:line="560" w:lineRule="exact"/>
              <w:rPr>
                <w:rFonts w:ascii="仿宋" w:hAnsi="仿宋" w:eastAsia="仿宋"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15" w:type="dxa"/>
            <w:vAlign w:val="center"/>
          </w:tcPr>
          <w:p>
            <w:pPr>
              <w:spacing w:before="100" w:beforeAutospacing="1" w:after="100" w:afterAutospacing="1" w:line="560" w:lineRule="exact"/>
              <w:rPr>
                <w:rFonts w:ascii="仿宋" w:hAnsi="仿宋" w:eastAsia="仿宋" w:cs="Times New Roman"/>
                <w:color w:val="auto"/>
                <w:sz w:val="28"/>
                <w:szCs w:val="28"/>
              </w:rPr>
            </w:pPr>
            <w:r>
              <w:rPr>
                <w:rFonts w:hint="eastAsia" w:ascii="仿宋" w:hAnsi="仿宋" w:eastAsia="仿宋" w:cs="Times New Roman"/>
                <w:bCs/>
                <w:color w:val="auto"/>
                <w:sz w:val="28"/>
                <w:szCs w:val="28"/>
              </w:rPr>
              <w:t>宿舍</w:t>
            </w:r>
          </w:p>
        </w:tc>
        <w:tc>
          <w:tcPr>
            <w:tcW w:w="1276" w:type="dxa"/>
            <w:vAlign w:val="center"/>
          </w:tcPr>
          <w:p>
            <w:pPr>
              <w:spacing w:line="560" w:lineRule="exact"/>
              <w:rPr>
                <w:rFonts w:ascii="仿宋" w:hAnsi="仿宋" w:eastAsia="仿宋" w:cs="Times New Roman"/>
                <w:color w:val="auto"/>
                <w:sz w:val="28"/>
                <w:szCs w:val="28"/>
              </w:rPr>
            </w:pPr>
          </w:p>
        </w:tc>
        <w:tc>
          <w:tcPr>
            <w:tcW w:w="2672" w:type="dxa"/>
            <w:vAlign w:val="center"/>
          </w:tcPr>
          <w:p>
            <w:pPr>
              <w:spacing w:line="560" w:lineRule="exact"/>
              <w:rPr>
                <w:rFonts w:ascii="仿宋" w:hAnsi="仿宋" w:eastAsia="仿宋" w:cs="Times New Roman"/>
                <w:color w:val="auto"/>
                <w:sz w:val="28"/>
                <w:szCs w:val="28"/>
              </w:rPr>
            </w:pPr>
          </w:p>
        </w:tc>
        <w:tc>
          <w:tcPr>
            <w:tcW w:w="1837" w:type="dxa"/>
            <w:vAlign w:val="center"/>
          </w:tcPr>
          <w:p>
            <w:pPr>
              <w:spacing w:line="560" w:lineRule="exact"/>
              <w:rPr>
                <w:rFonts w:ascii="仿宋" w:hAnsi="仿宋" w:eastAsia="仿宋"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15" w:type="dxa"/>
            <w:vAlign w:val="center"/>
          </w:tcPr>
          <w:p>
            <w:pPr>
              <w:spacing w:before="100" w:beforeAutospacing="1" w:after="100" w:afterAutospacing="1" w:line="560" w:lineRule="exact"/>
              <w:rPr>
                <w:rFonts w:ascii="仿宋" w:hAnsi="仿宋" w:eastAsia="仿宋" w:cs="Times New Roman"/>
                <w:color w:val="auto"/>
                <w:sz w:val="28"/>
                <w:szCs w:val="28"/>
              </w:rPr>
            </w:pPr>
            <w:r>
              <w:rPr>
                <w:rFonts w:hint="eastAsia" w:ascii="仿宋" w:hAnsi="仿宋" w:eastAsia="仿宋" w:cs="Times New Roman"/>
                <w:bCs/>
                <w:color w:val="auto"/>
                <w:sz w:val="28"/>
                <w:szCs w:val="28"/>
              </w:rPr>
              <w:t>办公桌椅</w:t>
            </w:r>
          </w:p>
        </w:tc>
        <w:tc>
          <w:tcPr>
            <w:tcW w:w="1276" w:type="dxa"/>
            <w:vAlign w:val="center"/>
          </w:tcPr>
          <w:p>
            <w:pPr>
              <w:spacing w:line="560" w:lineRule="exact"/>
              <w:rPr>
                <w:rFonts w:ascii="仿宋" w:hAnsi="仿宋" w:eastAsia="仿宋" w:cs="Times New Roman"/>
                <w:color w:val="auto"/>
                <w:sz w:val="28"/>
                <w:szCs w:val="28"/>
              </w:rPr>
            </w:pPr>
          </w:p>
        </w:tc>
        <w:tc>
          <w:tcPr>
            <w:tcW w:w="2672" w:type="dxa"/>
            <w:vAlign w:val="center"/>
          </w:tcPr>
          <w:p>
            <w:pPr>
              <w:spacing w:line="560" w:lineRule="exact"/>
              <w:rPr>
                <w:rFonts w:ascii="仿宋" w:hAnsi="仿宋" w:eastAsia="仿宋" w:cs="Times New Roman"/>
                <w:color w:val="auto"/>
                <w:sz w:val="28"/>
                <w:szCs w:val="28"/>
              </w:rPr>
            </w:pPr>
          </w:p>
        </w:tc>
        <w:tc>
          <w:tcPr>
            <w:tcW w:w="1837" w:type="dxa"/>
            <w:vAlign w:val="center"/>
          </w:tcPr>
          <w:p>
            <w:pPr>
              <w:spacing w:line="560" w:lineRule="exact"/>
              <w:rPr>
                <w:rFonts w:ascii="仿宋" w:hAnsi="仿宋" w:eastAsia="仿宋"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15" w:type="dxa"/>
            <w:vAlign w:val="center"/>
          </w:tcPr>
          <w:p>
            <w:pPr>
              <w:spacing w:before="100" w:beforeAutospacing="1" w:after="100" w:afterAutospacing="1" w:line="560" w:lineRule="exact"/>
              <w:rPr>
                <w:rFonts w:ascii="仿宋" w:hAnsi="仿宋" w:eastAsia="仿宋" w:cs="Times New Roman"/>
                <w:color w:val="auto"/>
                <w:sz w:val="28"/>
                <w:szCs w:val="28"/>
              </w:rPr>
            </w:pPr>
            <w:r>
              <w:rPr>
                <w:rFonts w:hint="eastAsia" w:ascii="仿宋" w:hAnsi="仿宋" w:eastAsia="仿宋" w:cs="Times New Roman"/>
                <w:bCs/>
                <w:color w:val="auto"/>
                <w:sz w:val="28"/>
                <w:szCs w:val="28"/>
              </w:rPr>
              <w:t>饮水机</w:t>
            </w:r>
          </w:p>
        </w:tc>
        <w:tc>
          <w:tcPr>
            <w:tcW w:w="1276" w:type="dxa"/>
            <w:vAlign w:val="center"/>
          </w:tcPr>
          <w:p>
            <w:pPr>
              <w:spacing w:line="560" w:lineRule="exact"/>
              <w:rPr>
                <w:rFonts w:ascii="仿宋" w:hAnsi="仿宋" w:eastAsia="仿宋" w:cs="Times New Roman"/>
                <w:color w:val="auto"/>
                <w:sz w:val="28"/>
                <w:szCs w:val="28"/>
              </w:rPr>
            </w:pPr>
          </w:p>
        </w:tc>
        <w:tc>
          <w:tcPr>
            <w:tcW w:w="2672" w:type="dxa"/>
            <w:vAlign w:val="center"/>
          </w:tcPr>
          <w:p>
            <w:pPr>
              <w:spacing w:line="560" w:lineRule="exact"/>
              <w:rPr>
                <w:rFonts w:ascii="仿宋" w:hAnsi="仿宋" w:eastAsia="仿宋" w:cs="Times New Roman"/>
                <w:color w:val="auto"/>
                <w:sz w:val="28"/>
                <w:szCs w:val="28"/>
              </w:rPr>
            </w:pPr>
          </w:p>
        </w:tc>
        <w:tc>
          <w:tcPr>
            <w:tcW w:w="1837" w:type="dxa"/>
            <w:vAlign w:val="center"/>
          </w:tcPr>
          <w:p>
            <w:pPr>
              <w:spacing w:line="560" w:lineRule="exact"/>
              <w:rPr>
                <w:rFonts w:ascii="仿宋" w:hAnsi="仿宋" w:eastAsia="仿宋"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15" w:type="dxa"/>
            <w:vAlign w:val="center"/>
          </w:tcPr>
          <w:p>
            <w:pPr>
              <w:spacing w:before="100" w:beforeAutospacing="1" w:after="100" w:afterAutospacing="1" w:line="560" w:lineRule="exact"/>
              <w:rPr>
                <w:rFonts w:ascii="仿宋" w:hAnsi="仿宋" w:eastAsia="仿宋" w:cs="Times New Roman"/>
                <w:color w:val="auto"/>
                <w:sz w:val="32"/>
                <w:szCs w:val="32"/>
              </w:rPr>
            </w:pPr>
            <w:r>
              <w:rPr>
                <w:rFonts w:hint="eastAsia" w:ascii="仿宋" w:hAnsi="仿宋" w:eastAsia="仿宋" w:cs="Times New Roman"/>
                <w:bCs/>
                <w:color w:val="auto"/>
                <w:sz w:val="32"/>
                <w:szCs w:val="32"/>
              </w:rPr>
              <w:t>/</w:t>
            </w:r>
          </w:p>
        </w:tc>
        <w:tc>
          <w:tcPr>
            <w:tcW w:w="1276" w:type="dxa"/>
            <w:vAlign w:val="center"/>
          </w:tcPr>
          <w:p>
            <w:pPr>
              <w:spacing w:line="560" w:lineRule="exact"/>
              <w:rPr>
                <w:rFonts w:ascii="仿宋" w:hAnsi="仿宋" w:eastAsia="仿宋" w:cs="Times New Roman"/>
                <w:color w:val="auto"/>
                <w:sz w:val="32"/>
                <w:szCs w:val="32"/>
              </w:rPr>
            </w:pPr>
            <w:r>
              <w:rPr>
                <w:rFonts w:hint="eastAsia" w:ascii="仿宋" w:hAnsi="仿宋" w:eastAsia="仿宋" w:cs="Times New Roman"/>
                <w:bCs/>
                <w:color w:val="auto"/>
                <w:sz w:val="32"/>
                <w:szCs w:val="32"/>
              </w:rPr>
              <w:t>/</w:t>
            </w:r>
          </w:p>
        </w:tc>
        <w:tc>
          <w:tcPr>
            <w:tcW w:w="2672" w:type="dxa"/>
            <w:vAlign w:val="center"/>
          </w:tcPr>
          <w:p>
            <w:pPr>
              <w:spacing w:line="560" w:lineRule="exact"/>
              <w:rPr>
                <w:rFonts w:ascii="仿宋" w:hAnsi="仿宋" w:eastAsia="仿宋" w:cs="Times New Roman"/>
                <w:color w:val="auto"/>
                <w:sz w:val="32"/>
                <w:szCs w:val="32"/>
              </w:rPr>
            </w:pPr>
            <w:r>
              <w:rPr>
                <w:rFonts w:hint="eastAsia" w:ascii="仿宋" w:hAnsi="仿宋" w:eastAsia="仿宋" w:cs="Times New Roman"/>
                <w:bCs/>
                <w:color w:val="auto"/>
                <w:sz w:val="32"/>
                <w:szCs w:val="32"/>
              </w:rPr>
              <w:t>/</w:t>
            </w:r>
          </w:p>
        </w:tc>
        <w:tc>
          <w:tcPr>
            <w:tcW w:w="1837" w:type="dxa"/>
            <w:vAlign w:val="center"/>
          </w:tcPr>
          <w:p>
            <w:pPr>
              <w:spacing w:line="560" w:lineRule="exact"/>
              <w:rPr>
                <w:rFonts w:ascii="仿宋" w:hAnsi="仿宋" w:eastAsia="仿宋" w:cs="Times New Roman"/>
                <w:color w:val="auto"/>
                <w:sz w:val="32"/>
                <w:szCs w:val="32"/>
              </w:rPr>
            </w:pPr>
            <w:r>
              <w:rPr>
                <w:rFonts w:hint="eastAsia" w:ascii="仿宋" w:hAnsi="仿宋" w:eastAsia="仿宋" w:cs="Times New Roman"/>
                <w:bCs/>
                <w:color w:val="auto"/>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15" w:type="dxa"/>
            <w:vAlign w:val="center"/>
          </w:tcPr>
          <w:p>
            <w:pPr>
              <w:spacing w:before="100" w:beforeAutospacing="1" w:after="100" w:afterAutospacing="1" w:line="560" w:lineRule="exact"/>
              <w:rPr>
                <w:rFonts w:ascii="仿宋" w:hAnsi="仿宋" w:eastAsia="仿宋" w:cs="Times New Roman"/>
                <w:color w:val="auto"/>
                <w:sz w:val="32"/>
                <w:szCs w:val="32"/>
              </w:rPr>
            </w:pPr>
            <w:r>
              <w:rPr>
                <w:rFonts w:hint="eastAsia" w:ascii="仿宋" w:hAnsi="仿宋" w:eastAsia="仿宋" w:cs="Times New Roman"/>
                <w:bCs/>
                <w:color w:val="auto"/>
                <w:sz w:val="32"/>
                <w:szCs w:val="32"/>
              </w:rPr>
              <w:t>/</w:t>
            </w:r>
          </w:p>
        </w:tc>
        <w:tc>
          <w:tcPr>
            <w:tcW w:w="1276" w:type="dxa"/>
            <w:vAlign w:val="center"/>
          </w:tcPr>
          <w:p>
            <w:pPr>
              <w:spacing w:line="560" w:lineRule="exact"/>
              <w:rPr>
                <w:rFonts w:ascii="仿宋" w:hAnsi="仿宋" w:eastAsia="仿宋" w:cs="Times New Roman"/>
                <w:color w:val="auto"/>
                <w:sz w:val="32"/>
                <w:szCs w:val="32"/>
              </w:rPr>
            </w:pPr>
            <w:r>
              <w:rPr>
                <w:rFonts w:hint="eastAsia" w:ascii="仿宋" w:hAnsi="仿宋" w:eastAsia="仿宋" w:cs="Times New Roman"/>
                <w:bCs/>
                <w:color w:val="auto"/>
                <w:sz w:val="32"/>
                <w:szCs w:val="32"/>
              </w:rPr>
              <w:t>/</w:t>
            </w:r>
          </w:p>
        </w:tc>
        <w:tc>
          <w:tcPr>
            <w:tcW w:w="2672" w:type="dxa"/>
            <w:vAlign w:val="center"/>
          </w:tcPr>
          <w:p>
            <w:pPr>
              <w:spacing w:line="560" w:lineRule="exact"/>
              <w:rPr>
                <w:rFonts w:ascii="仿宋" w:hAnsi="仿宋" w:eastAsia="仿宋" w:cs="Times New Roman"/>
                <w:color w:val="auto"/>
                <w:sz w:val="32"/>
                <w:szCs w:val="32"/>
              </w:rPr>
            </w:pPr>
            <w:r>
              <w:rPr>
                <w:rFonts w:hint="eastAsia" w:ascii="仿宋" w:hAnsi="仿宋" w:eastAsia="仿宋" w:cs="Times New Roman"/>
                <w:bCs/>
                <w:color w:val="auto"/>
                <w:sz w:val="32"/>
                <w:szCs w:val="32"/>
              </w:rPr>
              <w:t>/</w:t>
            </w:r>
          </w:p>
        </w:tc>
        <w:tc>
          <w:tcPr>
            <w:tcW w:w="1837" w:type="dxa"/>
            <w:vAlign w:val="center"/>
          </w:tcPr>
          <w:p>
            <w:pPr>
              <w:spacing w:line="560" w:lineRule="exact"/>
              <w:rPr>
                <w:rFonts w:ascii="仿宋" w:hAnsi="仿宋" w:eastAsia="仿宋" w:cs="Times New Roman"/>
                <w:color w:val="auto"/>
                <w:sz w:val="32"/>
                <w:szCs w:val="32"/>
              </w:rPr>
            </w:pPr>
            <w:r>
              <w:rPr>
                <w:rFonts w:hint="eastAsia" w:ascii="仿宋" w:hAnsi="仿宋" w:eastAsia="仿宋" w:cs="Times New Roman"/>
                <w:bCs/>
                <w:color w:val="auto"/>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15" w:type="dxa"/>
            <w:vAlign w:val="center"/>
          </w:tcPr>
          <w:p>
            <w:pPr>
              <w:spacing w:before="100" w:beforeAutospacing="1" w:after="100" w:afterAutospacing="1" w:line="560" w:lineRule="exact"/>
              <w:rPr>
                <w:rFonts w:ascii="仿宋" w:hAnsi="仿宋" w:eastAsia="仿宋" w:cs="Times New Roman"/>
                <w:color w:val="auto"/>
                <w:sz w:val="32"/>
                <w:szCs w:val="32"/>
              </w:rPr>
            </w:pPr>
            <w:r>
              <w:rPr>
                <w:rFonts w:hint="eastAsia" w:ascii="仿宋" w:hAnsi="仿宋" w:eastAsia="仿宋" w:cs="Times New Roman"/>
                <w:bCs/>
                <w:color w:val="auto"/>
                <w:sz w:val="32"/>
                <w:szCs w:val="32"/>
              </w:rPr>
              <w:t>/</w:t>
            </w:r>
          </w:p>
        </w:tc>
        <w:tc>
          <w:tcPr>
            <w:tcW w:w="1276" w:type="dxa"/>
            <w:vAlign w:val="center"/>
          </w:tcPr>
          <w:p>
            <w:pPr>
              <w:spacing w:line="560" w:lineRule="exact"/>
              <w:rPr>
                <w:rFonts w:ascii="仿宋" w:hAnsi="仿宋" w:eastAsia="仿宋" w:cs="Times New Roman"/>
                <w:color w:val="auto"/>
                <w:sz w:val="32"/>
                <w:szCs w:val="32"/>
              </w:rPr>
            </w:pPr>
            <w:r>
              <w:rPr>
                <w:rFonts w:hint="eastAsia" w:ascii="仿宋" w:hAnsi="仿宋" w:eastAsia="仿宋" w:cs="Times New Roman"/>
                <w:bCs/>
                <w:color w:val="auto"/>
                <w:sz w:val="32"/>
                <w:szCs w:val="32"/>
              </w:rPr>
              <w:t>/</w:t>
            </w:r>
          </w:p>
        </w:tc>
        <w:tc>
          <w:tcPr>
            <w:tcW w:w="2672" w:type="dxa"/>
            <w:vAlign w:val="center"/>
          </w:tcPr>
          <w:p>
            <w:pPr>
              <w:spacing w:line="560" w:lineRule="exact"/>
              <w:rPr>
                <w:rFonts w:ascii="仿宋" w:hAnsi="仿宋" w:eastAsia="仿宋" w:cs="Times New Roman"/>
                <w:color w:val="auto"/>
                <w:sz w:val="32"/>
                <w:szCs w:val="32"/>
              </w:rPr>
            </w:pPr>
            <w:r>
              <w:rPr>
                <w:rFonts w:hint="eastAsia" w:ascii="仿宋" w:hAnsi="仿宋" w:eastAsia="仿宋" w:cs="Times New Roman"/>
                <w:bCs/>
                <w:color w:val="auto"/>
                <w:sz w:val="32"/>
                <w:szCs w:val="32"/>
              </w:rPr>
              <w:t>/</w:t>
            </w:r>
          </w:p>
        </w:tc>
        <w:tc>
          <w:tcPr>
            <w:tcW w:w="1837" w:type="dxa"/>
            <w:vAlign w:val="center"/>
          </w:tcPr>
          <w:p>
            <w:pPr>
              <w:spacing w:line="560" w:lineRule="exact"/>
              <w:rPr>
                <w:rFonts w:ascii="仿宋" w:hAnsi="仿宋" w:eastAsia="仿宋" w:cs="Times New Roman"/>
                <w:color w:val="auto"/>
                <w:sz w:val="32"/>
                <w:szCs w:val="32"/>
              </w:rPr>
            </w:pPr>
            <w:r>
              <w:rPr>
                <w:rFonts w:hint="eastAsia" w:ascii="仿宋" w:hAnsi="仿宋" w:eastAsia="仿宋" w:cs="Times New Roman"/>
                <w:bCs/>
                <w:color w:val="auto"/>
                <w:sz w:val="32"/>
                <w:szCs w:val="32"/>
              </w:rPr>
              <w:t>/</w:t>
            </w:r>
          </w:p>
        </w:tc>
      </w:tr>
    </w:tbl>
    <w:p>
      <w:pPr>
        <w:spacing w:line="560" w:lineRule="exact"/>
        <w:rPr>
          <w:rFonts w:ascii="仿宋" w:hAnsi="仿宋" w:eastAsia="仿宋"/>
          <w:color w:val="auto"/>
          <w:sz w:val="32"/>
          <w:szCs w:val="32"/>
        </w:rPr>
      </w:pPr>
    </w:p>
    <w:p>
      <w:pPr>
        <w:pStyle w:val="16"/>
        <w:spacing w:line="360" w:lineRule="auto"/>
        <w:jc w:val="center"/>
        <w:outlineLvl w:val="0"/>
        <w:rPr>
          <w:rStyle w:val="44"/>
          <w:color w:val="auto"/>
        </w:rPr>
      </w:pPr>
    </w:p>
    <w:p>
      <w:pPr>
        <w:pStyle w:val="16"/>
        <w:spacing w:line="360" w:lineRule="auto"/>
        <w:jc w:val="center"/>
        <w:outlineLvl w:val="0"/>
        <w:rPr>
          <w:rStyle w:val="44"/>
          <w:color w:val="auto"/>
        </w:rPr>
      </w:pPr>
    </w:p>
    <w:p>
      <w:pPr>
        <w:pStyle w:val="16"/>
        <w:spacing w:line="360" w:lineRule="auto"/>
        <w:jc w:val="center"/>
        <w:outlineLvl w:val="0"/>
        <w:rPr>
          <w:rStyle w:val="44"/>
          <w:color w:val="auto"/>
        </w:rPr>
      </w:pPr>
    </w:p>
    <w:p>
      <w:pPr>
        <w:pStyle w:val="16"/>
        <w:spacing w:line="360" w:lineRule="auto"/>
        <w:jc w:val="center"/>
        <w:outlineLvl w:val="0"/>
        <w:rPr>
          <w:rStyle w:val="44"/>
          <w:color w:val="auto"/>
        </w:rPr>
      </w:pPr>
    </w:p>
    <w:p>
      <w:pPr>
        <w:pStyle w:val="16"/>
        <w:spacing w:line="360" w:lineRule="auto"/>
        <w:jc w:val="center"/>
        <w:outlineLvl w:val="0"/>
        <w:rPr>
          <w:rStyle w:val="44"/>
          <w:color w:val="auto"/>
        </w:rPr>
      </w:pPr>
    </w:p>
    <w:p>
      <w:pPr>
        <w:pStyle w:val="16"/>
        <w:spacing w:line="360" w:lineRule="auto"/>
        <w:jc w:val="center"/>
        <w:outlineLvl w:val="0"/>
        <w:rPr>
          <w:rStyle w:val="44"/>
          <w:color w:val="auto"/>
        </w:rPr>
      </w:pPr>
    </w:p>
    <w:p>
      <w:pPr>
        <w:pStyle w:val="16"/>
        <w:spacing w:line="360" w:lineRule="auto"/>
        <w:jc w:val="center"/>
        <w:outlineLvl w:val="0"/>
        <w:rPr>
          <w:rStyle w:val="44"/>
          <w:color w:val="auto"/>
        </w:rPr>
      </w:pPr>
    </w:p>
    <w:p>
      <w:pPr>
        <w:pStyle w:val="16"/>
        <w:spacing w:line="360" w:lineRule="auto"/>
        <w:jc w:val="center"/>
        <w:outlineLvl w:val="0"/>
        <w:rPr>
          <w:rStyle w:val="44"/>
          <w:color w:val="auto"/>
        </w:rPr>
      </w:pPr>
    </w:p>
    <w:p>
      <w:pPr>
        <w:pStyle w:val="16"/>
        <w:spacing w:line="360" w:lineRule="auto"/>
        <w:jc w:val="center"/>
        <w:outlineLvl w:val="0"/>
        <w:rPr>
          <w:rStyle w:val="44"/>
          <w:color w:val="auto"/>
        </w:rPr>
      </w:pPr>
    </w:p>
    <w:p>
      <w:pPr>
        <w:pStyle w:val="16"/>
        <w:spacing w:line="360" w:lineRule="auto"/>
        <w:jc w:val="center"/>
        <w:outlineLvl w:val="0"/>
        <w:rPr>
          <w:rStyle w:val="44"/>
          <w:color w:val="auto"/>
        </w:rPr>
      </w:pPr>
    </w:p>
    <w:p>
      <w:pPr>
        <w:pStyle w:val="16"/>
        <w:spacing w:line="360" w:lineRule="auto"/>
        <w:jc w:val="center"/>
        <w:outlineLvl w:val="0"/>
        <w:rPr>
          <w:rFonts w:hAnsi="宋体"/>
          <w:color w:val="auto"/>
        </w:rPr>
      </w:pPr>
      <w:bookmarkStart w:id="219" w:name="_Toc1494"/>
      <w:r>
        <w:rPr>
          <w:rStyle w:val="44"/>
          <w:rFonts w:hint="eastAsia"/>
          <w:color w:val="auto"/>
        </w:rPr>
        <w:t>第六章 投标文件格式</w:t>
      </w:r>
      <w:bookmarkEnd w:id="151"/>
      <w:bookmarkEnd w:id="192"/>
      <w:bookmarkEnd w:id="193"/>
      <w:bookmarkEnd w:id="194"/>
      <w:bookmarkEnd w:id="219"/>
    </w:p>
    <w:p>
      <w:pPr>
        <w:snapToGrid w:val="0"/>
        <w:spacing w:beforeLines="50" w:after="50" w:line="440" w:lineRule="exact"/>
        <w:jc w:val="center"/>
        <w:outlineLvl w:val="1"/>
        <w:rPr>
          <w:b/>
          <w:color w:val="auto"/>
          <w:sz w:val="24"/>
        </w:rPr>
      </w:pPr>
      <w:bookmarkStart w:id="220" w:name="_Toc18361"/>
      <w:bookmarkStart w:id="221" w:name="_Toc8276"/>
      <w:r>
        <w:rPr>
          <w:rFonts w:hint="eastAsia"/>
          <w:b/>
          <w:color w:val="auto"/>
          <w:sz w:val="24"/>
        </w:rPr>
        <w:t>一、资格审查文件</w:t>
      </w:r>
      <w:bookmarkEnd w:id="220"/>
      <w:bookmarkEnd w:id="221"/>
    </w:p>
    <w:p>
      <w:pPr>
        <w:snapToGrid w:val="0"/>
        <w:spacing w:beforeLines="50" w:after="50" w:line="440" w:lineRule="exact"/>
        <w:jc w:val="center"/>
        <w:outlineLvl w:val="1"/>
        <w:rPr>
          <w:b/>
          <w:color w:val="auto"/>
          <w:sz w:val="24"/>
        </w:rPr>
      </w:pPr>
    </w:p>
    <w:p>
      <w:pPr>
        <w:snapToGrid w:val="0"/>
        <w:spacing w:beforeLines="50" w:after="50" w:line="360" w:lineRule="exact"/>
        <w:rPr>
          <w:b/>
          <w:color w:val="auto"/>
          <w:sz w:val="24"/>
        </w:rPr>
      </w:pPr>
      <w:r>
        <w:rPr>
          <w:rFonts w:hint="eastAsia"/>
          <w:b/>
          <w:color w:val="auto"/>
          <w:sz w:val="24"/>
        </w:rPr>
        <w:t xml:space="preserve">投标文件封面格式： </w:t>
      </w:r>
    </w:p>
    <w:p>
      <w:pPr>
        <w:snapToGrid w:val="0"/>
        <w:spacing w:beforeLines="50" w:after="50" w:line="360" w:lineRule="exact"/>
        <w:rPr>
          <w:color w:val="auto"/>
          <w:sz w:val="24"/>
        </w:rPr>
      </w:pPr>
    </w:p>
    <w:p>
      <w:pPr>
        <w:snapToGrid w:val="0"/>
        <w:spacing w:beforeLines="50" w:after="50" w:line="360" w:lineRule="exact"/>
        <w:rPr>
          <w:bCs/>
          <w:color w:val="auto"/>
          <w:szCs w:val="21"/>
        </w:rPr>
      </w:pPr>
      <w:r>
        <w:rPr>
          <w:rFonts w:hint="eastAsia"/>
          <w:bCs/>
          <w:color w:val="auto"/>
          <w:szCs w:val="21"/>
        </w:rPr>
        <w:t>正本/或副本</w:t>
      </w:r>
    </w:p>
    <w:p>
      <w:pPr>
        <w:snapToGrid w:val="0"/>
        <w:spacing w:beforeLines="50" w:after="50" w:line="360" w:lineRule="exact"/>
        <w:jc w:val="center"/>
        <w:rPr>
          <w:bCs/>
          <w:color w:val="auto"/>
          <w:szCs w:val="21"/>
        </w:rPr>
      </w:pPr>
    </w:p>
    <w:p>
      <w:pPr>
        <w:snapToGrid w:val="0"/>
        <w:spacing w:beforeLines="50" w:after="50" w:line="360" w:lineRule="exact"/>
        <w:jc w:val="center"/>
        <w:rPr>
          <w:b/>
          <w:bCs/>
          <w:color w:val="auto"/>
          <w:szCs w:val="21"/>
        </w:rPr>
      </w:pPr>
      <w:r>
        <w:rPr>
          <w:rFonts w:hint="eastAsia"/>
          <w:b/>
          <w:bCs/>
          <w:color w:val="auto"/>
          <w:szCs w:val="21"/>
        </w:rPr>
        <w:t>投标文件</w:t>
      </w:r>
    </w:p>
    <w:p>
      <w:pPr>
        <w:snapToGrid w:val="0"/>
        <w:spacing w:beforeLines="50" w:after="50" w:line="360" w:lineRule="exact"/>
        <w:rPr>
          <w:bCs/>
          <w:color w:val="auto"/>
          <w:szCs w:val="21"/>
        </w:rPr>
      </w:pPr>
    </w:p>
    <w:p>
      <w:pPr>
        <w:snapToGrid w:val="0"/>
        <w:spacing w:beforeLines="50" w:after="50" w:line="360" w:lineRule="exact"/>
        <w:ind w:firstLine="660" w:firstLineChars="300"/>
        <w:rPr>
          <w:bCs/>
          <w:color w:val="auto"/>
          <w:szCs w:val="21"/>
        </w:rPr>
      </w:pPr>
      <w:r>
        <w:rPr>
          <w:rFonts w:hint="eastAsia"/>
          <w:bCs/>
          <w:color w:val="auto"/>
          <w:szCs w:val="21"/>
        </w:rPr>
        <w:t xml:space="preserve">项目名称： </w:t>
      </w:r>
    </w:p>
    <w:p>
      <w:pPr>
        <w:snapToGrid w:val="0"/>
        <w:spacing w:beforeLines="50" w:after="50" w:line="360" w:lineRule="exact"/>
        <w:ind w:firstLine="660" w:firstLineChars="300"/>
        <w:rPr>
          <w:rFonts w:hint="eastAsia" w:eastAsia="宋体"/>
          <w:bCs/>
          <w:color w:val="auto"/>
          <w:szCs w:val="21"/>
          <w:lang w:eastAsia="zh-CN"/>
        </w:rPr>
      </w:pPr>
      <w:r>
        <w:rPr>
          <w:rFonts w:hint="eastAsia"/>
          <w:bCs/>
          <w:color w:val="auto"/>
          <w:szCs w:val="21"/>
          <w:lang w:eastAsia="zh-CN"/>
        </w:rPr>
        <w:t>项目编号：CZZC2020-G3-000242-HWST</w:t>
      </w:r>
    </w:p>
    <w:p>
      <w:pPr>
        <w:snapToGrid w:val="0"/>
        <w:spacing w:beforeLines="50" w:after="50" w:line="440" w:lineRule="exact"/>
        <w:ind w:firstLine="660" w:firstLineChars="300"/>
        <w:rPr>
          <w:bCs/>
          <w:color w:val="auto"/>
          <w:szCs w:val="21"/>
        </w:rPr>
      </w:pPr>
      <w:r>
        <w:rPr>
          <w:rFonts w:hint="eastAsia"/>
          <w:bCs/>
          <w:color w:val="auto"/>
          <w:szCs w:val="21"/>
        </w:rPr>
        <w:t>投标文件内容：资格审查文件</w:t>
      </w:r>
    </w:p>
    <w:p>
      <w:pPr>
        <w:snapToGrid w:val="0"/>
        <w:spacing w:beforeLines="50" w:after="50" w:line="360" w:lineRule="exact"/>
        <w:ind w:firstLine="660" w:firstLineChars="300"/>
        <w:rPr>
          <w:bCs/>
          <w:color w:val="auto"/>
          <w:szCs w:val="21"/>
        </w:rPr>
      </w:pPr>
      <w:r>
        <w:rPr>
          <w:rFonts w:hint="eastAsia"/>
          <w:bCs/>
          <w:color w:val="auto"/>
          <w:szCs w:val="21"/>
        </w:rPr>
        <w:t>投标人名称：</w:t>
      </w:r>
    </w:p>
    <w:p>
      <w:pPr>
        <w:snapToGrid w:val="0"/>
        <w:spacing w:beforeLines="50" w:after="50" w:line="360" w:lineRule="exact"/>
        <w:ind w:firstLine="660" w:firstLineChars="300"/>
        <w:rPr>
          <w:bCs/>
          <w:color w:val="auto"/>
          <w:szCs w:val="21"/>
        </w:rPr>
      </w:pPr>
      <w:r>
        <w:rPr>
          <w:rFonts w:hint="eastAsia"/>
          <w:bCs/>
          <w:color w:val="auto"/>
          <w:szCs w:val="21"/>
        </w:rPr>
        <w:t>投标人地址：</w:t>
      </w:r>
    </w:p>
    <w:p>
      <w:pPr>
        <w:pStyle w:val="12"/>
        <w:snapToGrid w:val="0"/>
        <w:spacing w:before="50" w:after="50" w:line="360" w:lineRule="exact"/>
        <w:ind w:firstLine="880" w:firstLineChars="400"/>
        <w:rPr>
          <w:bCs/>
          <w:color w:val="auto"/>
          <w:szCs w:val="21"/>
        </w:rPr>
      </w:pPr>
    </w:p>
    <w:p>
      <w:pPr>
        <w:snapToGrid w:val="0"/>
        <w:spacing w:beforeLines="50" w:after="50" w:line="360" w:lineRule="exact"/>
        <w:jc w:val="center"/>
        <w:rPr>
          <w:color w:val="auto"/>
          <w:szCs w:val="21"/>
        </w:rPr>
      </w:pPr>
      <w:r>
        <w:rPr>
          <w:rFonts w:hint="eastAsia"/>
          <w:color w:val="auto"/>
          <w:szCs w:val="21"/>
        </w:rPr>
        <w:t xml:space="preserve">                        年  月  日</w:t>
      </w:r>
    </w:p>
    <w:p>
      <w:pPr>
        <w:snapToGrid w:val="0"/>
        <w:spacing w:beforeLines="50" w:after="50" w:line="440" w:lineRule="exact"/>
        <w:jc w:val="center"/>
        <w:outlineLvl w:val="1"/>
        <w:rPr>
          <w:color w:val="auto"/>
          <w:szCs w:val="21"/>
        </w:rPr>
      </w:pPr>
    </w:p>
    <w:p>
      <w:pPr>
        <w:snapToGrid w:val="0"/>
        <w:spacing w:beforeLines="50" w:after="50" w:line="440" w:lineRule="exact"/>
        <w:jc w:val="center"/>
        <w:outlineLvl w:val="1"/>
        <w:rPr>
          <w:color w:val="auto"/>
          <w:szCs w:val="21"/>
        </w:rPr>
      </w:pPr>
    </w:p>
    <w:p>
      <w:pPr>
        <w:snapToGrid w:val="0"/>
        <w:spacing w:beforeLines="50" w:after="50" w:line="440" w:lineRule="exact"/>
        <w:jc w:val="center"/>
        <w:outlineLvl w:val="1"/>
        <w:rPr>
          <w:color w:val="auto"/>
          <w:sz w:val="24"/>
        </w:rPr>
      </w:pPr>
    </w:p>
    <w:p>
      <w:pPr>
        <w:snapToGrid w:val="0"/>
        <w:spacing w:beforeLines="50" w:after="50" w:line="440" w:lineRule="exact"/>
        <w:jc w:val="center"/>
        <w:outlineLvl w:val="1"/>
        <w:rPr>
          <w:color w:val="auto"/>
          <w:sz w:val="24"/>
        </w:rPr>
      </w:pPr>
    </w:p>
    <w:p>
      <w:pPr>
        <w:snapToGrid w:val="0"/>
        <w:spacing w:beforeLines="50" w:after="50" w:line="440" w:lineRule="exact"/>
        <w:jc w:val="center"/>
        <w:outlineLvl w:val="1"/>
        <w:rPr>
          <w:color w:val="auto"/>
          <w:sz w:val="24"/>
        </w:rPr>
      </w:pPr>
    </w:p>
    <w:p>
      <w:pPr>
        <w:snapToGrid w:val="0"/>
        <w:spacing w:beforeLines="50" w:after="50" w:line="440" w:lineRule="exact"/>
        <w:jc w:val="center"/>
        <w:outlineLvl w:val="1"/>
        <w:rPr>
          <w:color w:val="auto"/>
          <w:sz w:val="24"/>
        </w:rPr>
      </w:pPr>
    </w:p>
    <w:p>
      <w:pPr>
        <w:snapToGrid w:val="0"/>
        <w:spacing w:beforeLines="50" w:after="50" w:line="440" w:lineRule="exact"/>
        <w:jc w:val="center"/>
        <w:outlineLvl w:val="1"/>
        <w:rPr>
          <w:color w:val="auto"/>
          <w:sz w:val="24"/>
        </w:rPr>
      </w:pPr>
    </w:p>
    <w:p>
      <w:pPr>
        <w:snapToGrid w:val="0"/>
        <w:spacing w:before="50" w:after="50" w:line="400" w:lineRule="exact"/>
        <w:ind w:firstLine="108" w:firstLineChars="49"/>
        <w:jc w:val="center"/>
        <w:rPr>
          <w:b/>
          <w:color w:val="auto"/>
          <w:szCs w:val="21"/>
        </w:rPr>
      </w:pPr>
      <w:bookmarkStart w:id="222" w:name="_Toc23660_WPSOffice_Level1"/>
      <w:r>
        <w:rPr>
          <w:rFonts w:hint="eastAsia"/>
          <w:b/>
          <w:color w:val="auto"/>
          <w:szCs w:val="21"/>
        </w:rPr>
        <w:br w:type="page"/>
      </w:r>
    </w:p>
    <w:p>
      <w:pPr>
        <w:snapToGrid w:val="0"/>
        <w:spacing w:before="50" w:after="50" w:line="400" w:lineRule="exact"/>
        <w:ind w:firstLine="108" w:firstLineChars="49"/>
        <w:jc w:val="center"/>
        <w:rPr>
          <w:b/>
          <w:color w:val="auto"/>
          <w:szCs w:val="21"/>
        </w:rPr>
      </w:pPr>
      <w:r>
        <w:rPr>
          <w:rFonts w:hint="eastAsia"/>
          <w:b/>
          <w:color w:val="auto"/>
          <w:szCs w:val="21"/>
        </w:rPr>
        <w:t>目录（页码自行编制）</w:t>
      </w:r>
      <w:bookmarkEnd w:id="222"/>
    </w:p>
    <w:p>
      <w:pPr>
        <w:wordWrap w:val="0"/>
        <w:spacing w:line="360" w:lineRule="auto"/>
        <w:ind w:firstLine="440" w:firstLineChars="200"/>
        <w:rPr>
          <w:color w:val="auto"/>
        </w:rPr>
      </w:pPr>
      <w:r>
        <w:rPr>
          <w:rFonts w:hint="eastAsia"/>
          <w:color w:val="auto"/>
        </w:rPr>
        <w:t>（1）投标声明书。</w:t>
      </w:r>
    </w:p>
    <w:p>
      <w:pPr>
        <w:wordWrap w:val="0"/>
        <w:spacing w:line="360" w:lineRule="auto"/>
        <w:ind w:firstLine="440" w:firstLineChars="200"/>
        <w:rPr>
          <w:color w:val="auto"/>
        </w:rPr>
      </w:pPr>
      <w:r>
        <w:rPr>
          <w:rFonts w:hint="eastAsia"/>
          <w:color w:val="auto"/>
        </w:rPr>
        <w:t>（2）投标保证金缴纳证明复印件。</w:t>
      </w:r>
    </w:p>
    <w:p>
      <w:pPr>
        <w:wordWrap w:val="0"/>
        <w:spacing w:line="360" w:lineRule="auto"/>
        <w:ind w:firstLine="440" w:firstLineChars="200"/>
        <w:rPr>
          <w:color w:val="auto"/>
        </w:rPr>
      </w:pPr>
      <w:r>
        <w:rPr>
          <w:rFonts w:hint="eastAsia"/>
          <w:color w:val="auto"/>
        </w:rPr>
        <w:t>（3）投标人有效的营业执照副本复印件及投标人在“国家企业信用信息公示系统”网站（http://www.gsxt.gov.cn ）查询其企业信用信息，并打印企业“基础信息”材料。</w:t>
      </w:r>
    </w:p>
    <w:p>
      <w:pPr>
        <w:wordWrap w:val="0"/>
        <w:spacing w:line="360" w:lineRule="auto"/>
        <w:ind w:firstLine="440" w:firstLineChars="200"/>
        <w:rPr>
          <w:color w:val="auto"/>
        </w:rPr>
      </w:pPr>
      <w:r>
        <w:rPr>
          <w:rFonts w:hint="eastAsia"/>
          <w:color w:val="auto"/>
        </w:rPr>
        <w:t>（4）“法定代表人身份证明原件及身份证复印件（法定代表人签署投标文件时提供）”或者“法定代表人授权书原件和委托代理人身份证复印件及法定代表人身份证复印件（委托代理人签署投标文件时提供）”。</w:t>
      </w:r>
    </w:p>
    <w:p>
      <w:pPr>
        <w:wordWrap w:val="0"/>
        <w:spacing w:line="360" w:lineRule="auto"/>
        <w:ind w:firstLine="440" w:firstLineChars="200"/>
        <w:rPr>
          <w:color w:val="auto"/>
        </w:rPr>
      </w:pPr>
      <w:r>
        <w:rPr>
          <w:rFonts w:hint="eastAsia"/>
          <w:color w:val="auto"/>
        </w:rPr>
        <w:t>（5）投标文件递交截止之日前半年内投标人连续三个月为项目实施人员依法缴纳社会保险的缴费证明；无缴费记录的，应提供由投标人所在地社保部门出具的《依法缴纳或依法免缴社保费证明》。（社保证明要求列明的缴纳社保人员名单须包含项目实施人员一览表人员名单）。（复印件，原件备查，格式自拟）</w:t>
      </w:r>
    </w:p>
    <w:p>
      <w:pPr>
        <w:wordWrap w:val="0"/>
        <w:spacing w:line="360" w:lineRule="auto"/>
        <w:ind w:firstLine="440" w:firstLineChars="200"/>
        <w:rPr>
          <w:color w:val="auto"/>
        </w:rPr>
      </w:pPr>
      <w:r>
        <w:rPr>
          <w:rFonts w:hint="eastAsia"/>
          <w:color w:val="auto"/>
        </w:rPr>
        <w:t>（6）投标文件递交截止之日前半年内投标人连续三个月的依法缴纳税费或依法免缴税费的证明；无纳税记录的，应提供由投标人所在地主管国税、地税部门出具的《依法纳税或依法免税证明》。（复印件，原件备查，格式自拟）</w:t>
      </w:r>
    </w:p>
    <w:p>
      <w:pPr>
        <w:wordWrap w:val="0"/>
        <w:spacing w:line="360" w:lineRule="auto"/>
        <w:ind w:firstLine="440" w:firstLineChars="200"/>
        <w:rPr>
          <w:color w:val="auto"/>
        </w:rPr>
      </w:pPr>
      <w:r>
        <w:rPr>
          <w:rFonts w:hint="eastAsia"/>
          <w:color w:val="auto"/>
        </w:rPr>
        <w:t>（7）投标人近三年（</w:t>
      </w:r>
      <w:r>
        <w:rPr>
          <w:color w:val="auto"/>
        </w:rPr>
        <w:t>2017、2018、2019</w:t>
      </w:r>
      <w:r>
        <w:rPr>
          <w:rFonts w:hint="eastAsia"/>
          <w:color w:val="auto"/>
        </w:rPr>
        <w:t>年）经审计的财务报表，包括资产负债表、现金流量表、利润表和财务情况报告的复印件（对于从取得营业执照时间起到投标截止时间为止不足要求年数的投标人，只需提交企业取得营业执照年份至所要求最近年份经审计的财务报表）或投标人基本开户银行出具的资信证明复印件。（原件备查）</w:t>
      </w:r>
    </w:p>
    <w:p>
      <w:pPr>
        <w:wordWrap w:val="0"/>
        <w:spacing w:line="360" w:lineRule="auto"/>
        <w:ind w:firstLine="440" w:firstLineChars="200"/>
        <w:rPr>
          <w:color w:val="auto"/>
        </w:rPr>
      </w:pPr>
      <w:r>
        <w:rPr>
          <w:rFonts w:hint="eastAsia"/>
          <w:color w:val="auto"/>
        </w:rPr>
        <w:t>（8）投标人提供其在“信用中国”网站（www.creditchina.gov.cn ）及中国政府采购网（www.ccgp.gov.cn ）的信用记录查询截图；（必须按下述要求提供，否则投标无效。）</w:t>
      </w:r>
    </w:p>
    <w:p>
      <w:pPr>
        <w:wordWrap w:val="0"/>
        <w:spacing w:line="360" w:lineRule="auto"/>
        <w:ind w:firstLine="440" w:firstLineChars="200"/>
        <w:rPr>
          <w:color w:val="auto"/>
        </w:rPr>
      </w:pPr>
      <w:r>
        <w:rPr>
          <w:rFonts w:hint="eastAsia"/>
          <w:color w:val="auto"/>
        </w:rPr>
        <w:t xml:space="preserve"> 信用记录查询方式及截图要求：供应商在“信用中国”网站（www.creditchina.gov.cn ）进行本企业信用记录查询，并打印“失信被执行人、重大税收违法案件当事人名单、政府采购严重违法失信名单” 三种情形的信用记录查询截图；供应商在中国政府采购网（www.ccgp.gov.cn ）进行本企业信用记录查询，并打印“政府采购严重违法失信行为记录名单”情形的信用记录截图。</w:t>
      </w:r>
    </w:p>
    <w:p>
      <w:pPr>
        <w:wordWrap w:val="0"/>
        <w:spacing w:line="360" w:lineRule="auto"/>
        <w:ind w:firstLine="440" w:firstLineChars="200"/>
        <w:rPr>
          <w:color w:val="auto"/>
        </w:rPr>
      </w:pPr>
      <w:r>
        <w:rPr>
          <w:rFonts w:hint="eastAsia"/>
          <w:color w:val="auto"/>
        </w:rPr>
        <w:t>查询时间：招标公告发布之日起至投标文件递交截止时间止任一时间；在中国政府采购网查询时不能设置处罚开始日期。</w:t>
      </w:r>
    </w:p>
    <w:p>
      <w:pPr>
        <w:snapToGrid w:val="0"/>
        <w:spacing w:line="380" w:lineRule="exact"/>
        <w:ind w:firstLine="440" w:firstLineChars="200"/>
        <w:rPr>
          <w:b/>
          <w:color w:val="auto"/>
          <w:szCs w:val="21"/>
        </w:rPr>
      </w:pPr>
      <w:r>
        <w:rPr>
          <w:rFonts w:hint="eastAsia"/>
          <w:color w:val="auto"/>
        </w:rPr>
        <w:t>（9）投标人资格要求中的资质证书及项目负责人相关注册证、职称证等证明材料。</w:t>
      </w:r>
      <w:r>
        <w:rPr>
          <w:rFonts w:hint="eastAsia"/>
          <w:b/>
          <w:color w:val="auto"/>
          <w:szCs w:val="21"/>
        </w:rPr>
        <w:t>（复印件，原件备查）</w:t>
      </w:r>
    </w:p>
    <w:p>
      <w:pPr>
        <w:snapToGrid w:val="0"/>
        <w:spacing w:line="380" w:lineRule="exact"/>
        <w:ind w:firstLine="468" w:firstLineChars="213"/>
        <w:jc w:val="center"/>
        <w:rPr>
          <w:color w:val="auto"/>
          <w:szCs w:val="21"/>
        </w:rPr>
      </w:pPr>
    </w:p>
    <w:p>
      <w:pPr>
        <w:rPr>
          <w:b/>
          <w:color w:val="auto"/>
          <w:szCs w:val="21"/>
        </w:rPr>
      </w:pPr>
      <w:r>
        <w:rPr>
          <w:rFonts w:hint="eastAsia"/>
          <w:b/>
          <w:color w:val="auto"/>
          <w:szCs w:val="21"/>
        </w:rPr>
        <w:br w:type="page"/>
      </w:r>
    </w:p>
    <w:p>
      <w:pPr>
        <w:snapToGrid w:val="0"/>
        <w:spacing w:beforeLines="50" w:after="50" w:line="360" w:lineRule="exact"/>
        <w:jc w:val="center"/>
        <w:rPr>
          <w:b/>
          <w:color w:val="auto"/>
          <w:szCs w:val="21"/>
        </w:rPr>
      </w:pPr>
      <w:r>
        <w:rPr>
          <w:rFonts w:hint="eastAsia"/>
          <w:b/>
          <w:color w:val="auto"/>
          <w:szCs w:val="21"/>
        </w:rPr>
        <w:t>1、投标声明书</w:t>
      </w:r>
    </w:p>
    <w:p>
      <w:pPr>
        <w:snapToGrid w:val="0"/>
        <w:spacing w:beforeLines="50" w:after="50" w:line="360" w:lineRule="exact"/>
        <w:jc w:val="center"/>
        <w:rPr>
          <w:color w:val="auto"/>
          <w:szCs w:val="21"/>
        </w:rPr>
      </w:pPr>
    </w:p>
    <w:p>
      <w:pPr>
        <w:snapToGrid w:val="0"/>
        <w:spacing w:beforeLines="50" w:after="50" w:line="360" w:lineRule="exact"/>
        <w:rPr>
          <w:color w:val="auto"/>
          <w:szCs w:val="21"/>
        </w:rPr>
      </w:pPr>
      <w:r>
        <w:rPr>
          <w:rFonts w:hint="eastAsia"/>
          <w:color w:val="auto"/>
          <w:szCs w:val="21"/>
        </w:rPr>
        <w:t>致：</w:t>
      </w:r>
      <w:r>
        <w:rPr>
          <w:rFonts w:hint="eastAsia"/>
          <w:color w:val="auto"/>
          <w:szCs w:val="21"/>
          <w:u w:val="single"/>
        </w:rPr>
        <w:t xml:space="preserve">                  </w:t>
      </w:r>
      <w:r>
        <w:rPr>
          <w:rFonts w:hint="eastAsia"/>
          <w:color w:val="auto"/>
          <w:szCs w:val="21"/>
        </w:rPr>
        <w:t>（招标采购单位名称）：</w:t>
      </w:r>
    </w:p>
    <w:p>
      <w:pPr>
        <w:snapToGrid w:val="0"/>
        <w:spacing w:beforeLines="50" w:after="50" w:line="360" w:lineRule="exact"/>
        <w:rPr>
          <w:color w:val="auto"/>
          <w:szCs w:val="21"/>
        </w:rPr>
      </w:pPr>
      <w:r>
        <w:rPr>
          <w:rFonts w:hint="eastAsia"/>
          <w:color w:val="auto"/>
          <w:szCs w:val="21"/>
          <w:u w:val="single"/>
        </w:rPr>
        <w:t xml:space="preserve">            </w:t>
      </w:r>
      <w:r>
        <w:rPr>
          <w:rFonts w:hint="eastAsia"/>
          <w:color w:val="auto"/>
          <w:szCs w:val="21"/>
        </w:rPr>
        <w:t>（投标人名称）系中华人民共和国合法企业，经营地址</w:t>
      </w:r>
      <w:r>
        <w:rPr>
          <w:rFonts w:hint="eastAsia"/>
          <w:color w:val="auto"/>
          <w:szCs w:val="21"/>
          <w:u w:val="single"/>
        </w:rPr>
        <w:t xml:space="preserve">                 </w:t>
      </w:r>
      <w:r>
        <w:rPr>
          <w:rFonts w:hint="eastAsia"/>
          <w:color w:val="auto"/>
          <w:szCs w:val="21"/>
        </w:rPr>
        <w:t>。</w:t>
      </w:r>
    </w:p>
    <w:p>
      <w:pPr>
        <w:snapToGrid w:val="0"/>
        <w:spacing w:beforeLines="50" w:after="50" w:line="360" w:lineRule="exact"/>
        <w:ind w:firstLine="645"/>
        <w:rPr>
          <w:color w:val="auto"/>
          <w:szCs w:val="21"/>
        </w:rPr>
      </w:pPr>
      <w:r>
        <w:rPr>
          <w:rFonts w:hint="eastAsia"/>
          <w:color w:val="auto"/>
          <w:szCs w:val="21"/>
        </w:rPr>
        <w:t>我</w:t>
      </w:r>
      <w:r>
        <w:rPr>
          <w:rFonts w:hint="eastAsia"/>
          <w:color w:val="auto"/>
          <w:szCs w:val="21"/>
          <w:u w:val="single"/>
        </w:rPr>
        <w:t xml:space="preserve">                      </w:t>
      </w:r>
      <w:r>
        <w:rPr>
          <w:rFonts w:hint="eastAsia"/>
          <w:color w:val="auto"/>
          <w:szCs w:val="21"/>
        </w:rPr>
        <w:t>（姓名）系</w:t>
      </w:r>
      <w:r>
        <w:rPr>
          <w:rFonts w:hint="eastAsia"/>
          <w:color w:val="auto"/>
          <w:szCs w:val="21"/>
          <w:u w:val="single"/>
        </w:rPr>
        <w:t xml:space="preserve">                 （</w:t>
      </w:r>
      <w:r>
        <w:rPr>
          <w:rFonts w:hint="eastAsia"/>
          <w:color w:val="auto"/>
          <w:szCs w:val="21"/>
        </w:rPr>
        <w:t>投标人名称）的法定代表人，我方愿意参加贵方组织的</w:t>
      </w:r>
      <w:r>
        <w:rPr>
          <w:rFonts w:hint="eastAsia"/>
          <w:color w:val="auto"/>
          <w:szCs w:val="21"/>
          <w:u w:val="single"/>
        </w:rPr>
        <w:t xml:space="preserve">                              </w:t>
      </w:r>
      <w:r>
        <w:rPr>
          <w:rFonts w:hint="eastAsia"/>
          <w:color w:val="auto"/>
          <w:szCs w:val="21"/>
        </w:rPr>
        <w:t>项目的投标，为便于贵方公正、择优地确定中标人及其投标服务，我方就本次投标有关事项郑重声明如下：</w:t>
      </w:r>
    </w:p>
    <w:p>
      <w:pPr>
        <w:snapToGrid w:val="0"/>
        <w:spacing w:line="360" w:lineRule="exact"/>
        <w:ind w:firstLine="440" w:firstLineChars="200"/>
        <w:rPr>
          <w:color w:val="auto"/>
          <w:szCs w:val="21"/>
        </w:rPr>
      </w:pPr>
      <w:r>
        <w:rPr>
          <w:rFonts w:hint="eastAsia"/>
          <w:color w:val="auto"/>
          <w:szCs w:val="21"/>
        </w:rPr>
        <w:t>1.我方向贵方提交的所有投标文件、资料都是准确的和真实的。</w:t>
      </w:r>
    </w:p>
    <w:p>
      <w:pPr>
        <w:snapToGrid w:val="0"/>
        <w:spacing w:beforeLines="50" w:line="360" w:lineRule="exact"/>
        <w:ind w:firstLine="440" w:firstLineChars="200"/>
        <w:rPr>
          <w:color w:val="auto"/>
          <w:szCs w:val="21"/>
        </w:rPr>
      </w:pPr>
      <w:r>
        <w:rPr>
          <w:rFonts w:hint="eastAsia"/>
          <w:color w:val="auto"/>
          <w:szCs w:val="21"/>
        </w:rPr>
        <w:t>2.我方不是采购人的附属机构；在获知本项目采购信息后，与采购人聘请的为此项目提供咨询服务的公司及其附属机构没有任何联系。</w:t>
      </w:r>
    </w:p>
    <w:p>
      <w:pPr>
        <w:snapToGrid w:val="0"/>
        <w:spacing w:beforeLines="50" w:line="360" w:lineRule="exact"/>
        <w:ind w:firstLine="440" w:firstLineChars="200"/>
        <w:rPr>
          <w:color w:val="auto"/>
          <w:szCs w:val="21"/>
          <w:u w:val="single"/>
        </w:rPr>
      </w:pPr>
      <w:r>
        <w:rPr>
          <w:rFonts w:hint="eastAsia"/>
          <w:color w:val="auto"/>
          <w:szCs w:val="21"/>
        </w:rPr>
        <w:t>3.我方此次向贵方提供的服务名称为：</w:t>
      </w:r>
      <w:r>
        <w:rPr>
          <w:rFonts w:hint="eastAsia"/>
          <w:color w:val="auto"/>
          <w:szCs w:val="21"/>
          <w:u w:val="single"/>
        </w:rPr>
        <w:t xml:space="preserve">                                    </w:t>
      </w:r>
    </w:p>
    <w:p>
      <w:pPr>
        <w:pStyle w:val="15"/>
        <w:snapToGrid w:val="0"/>
        <w:spacing w:line="360" w:lineRule="exact"/>
        <w:ind w:firstLine="404" w:firstLineChars="200"/>
        <w:rPr>
          <w:rFonts w:hAnsi="宋体"/>
          <w:color w:val="auto"/>
          <w:sz w:val="21"/>
          <w:szCs w:val="21"/>
        </w:rPr>
      </w:pPr>
      <w:r>
        <w:rPr>
          <w:rFonts w:hint="eastAsia" w:hAnsi="宋体"/>
          <w:color w:val="auto"/>
          <w:sz w:val="21"/>
          <w:szCs w:val="21"/>
        </w:rPr>
        <w:t>4.我方在此郑重声明，我方参加本项目的政府采购活动前三年内在经营活动中没有因经营受到刑事处罚或者责令停产停业、吊销许可证或者执照、较大数额罚款等行政处罚的重大违法记录，符合《中华人民共和国政府采购法》及《中华人民共和国政府采购实施条例》规定的供应商条件，我公司对此声明负全部法律责任。</w:t>
      </w:r>
    </w:p>
    <w:p>
      <w:pPr>
        <w:pStyle w:val="15"/>
        <w:snapToGrid w:val="0"/>
        <w:spacing w:line="360" w:lineRule="exact"/>
        <w:ind w:firstLine="404" w:firstLineChars="200"/>
        <w:rPr>
          <w:rFonts w:hAnsi="宋体"/>
          <w:color w:val="auto"/>
          <w:sz w:val="21"/>
          <w:szCs w:val="21"/>
        </w:rPr>
      </w:pPr>
      <w:r>
        <w:rPr>
          <w:rFonts w:hint="eastAsia" w:hAnsi="宋体"/>
          <w:color w:val="auto"/>
          <w:sz w:val="21"/>
          <w:szCs w:val="21"/>
        </w:rPr>
        <w:t>5.以上事项如有虚假或隐瞒，我方愿意承担一切后果，并不再寻求任何旨在减轻或免除法律责任的辩解。</w:t>
      </w:r>
    </w:p>
    <w:p>
      <w:pPr>
        <w:pStyle w:val="15"/>
        <w:snapToGrid w:val="0"/>
        <w:spacing w:line="360" w:lineRule="exact"/>
        <w:ind w:firstLine="404" w:firstLineChars="200"/>
        <w:rPr>
          <w:rFonts w:hAnsi="宋体"/>
          <w:color w:val="auto"/>
          <w:sz w:val="21"/>
          <w:szCs w:val="21"/>
        </w:rPr>
      </w:pPr>
    </w:p>
    <w:p>
      <w:pPr>
        <w:snapToGrid w:val="0"/>
        <w:spacing w:beforeLines="50" w:line="360" w:lineRule="exact"/>
        <w:ind w:firstLine="3784" w:firstLineChars="1720"/>
        <w:rPr>
          <w:color w:val="auto"/>
          <w:szCs w:val="21"/>
        </w:rPr>
      </w:pPr>
      <w:r>
        <w:rPr>
          <w:rFonts w:hint="eastAsia"/>
          <w:color w:val="auto"/>
          <w:szCs w:val="21"/>
        </w:rPr>
        <w:t xml:space="preserve">投标人名称（盖单位公章）：   </w:t>
      </w:r>
    </w:p>
    <w:p>
      <w:pPr>
        <w:snapToGrid w:val="0"/>
        <w:spacing w:beforeLines="50" w:line="360" w:lineRule="exact"/>
        <w:ind w:firstLine="3784" w:firstLineChars="1720"/>
        <w:rPr>
          <w:color w:val="auto"/>
          <w:szCs w:val="21"/>
          <w:u w:val="single"/>
        </w:rPr>
      </w:pPr>
      <w:r>
        <w:rPr>
          <w:rFonts w:hint="eastAsia"/>
          <w:color w:val="auto"/>
          <w:szCs w:val="21"/>
        </w:rPr>
        <w:t>法定代表人签字：</w:t>
      </w:r>
    </w:p>
    <w:p>
      <w:pPr>
        <w:snapToGrid w:val="0"/>
        <w:spacing w:beforeLines="50" w:after="50" w:line="360" w:lineRule="exact"/>
        <w:ind w:firstLine="3740" w:firstLineChars="1700"/>
        <w:rPr>
          <w:color w:val="auto"/>
          <w:szCs w:val="21"/>
        </w:rPr>
      </w:pPr>
    </w:p>
    <w:p>
      <w:pPr>
        <w:snapToGrid w:val="0"/>
        <w:spacing w:beforeLines="50" w:after="50" w:line="360" w:lineRule="exact"/>
        <w:ind w:firstLine="220" w:firstLineChars="100"/>
        <w:rPr>
          <w:color w:val="auto"/>
          <w:szCs w:val="21"/>
        </w:rPr>
      </w:pPr>
      <w:r>
        <w:rPr>
          <w:rFonts w:hint="eastAsia"/>
          <w:color w:val="auto"/>
          <w:szCs w:val="21"/>
        </w:rPr>
        <w:t xml:space="preserve">                                          年    月    日</w:t>
      </w:r>
    </w:p>
    <w:p>
      <w:pPr>
        <w:snapToGrid w:val="0"/>
        <w:spacing w:before="50" w:afterLines="50" w:line="400" w:lineRule="exact"/>
        <w:rPr>
          <w:b/>
          <w:color w:val="auto"/>
          <w:szCs w:val="21"/>
        </w:rPr>
      </w:pPr>
    </w:p>
    <w:p>
      <w:pPr>
        <w:snapToGrid w:val="0"/>
        <w:spacing w:before="50" w:afterLines="50" w:line="400" w:lineRule="exact"/>
        <w:rPr>
          <w:b/>
          <w:color w:val="auto"/>
          <w:szCs w:val="21"/>
        </w:rPr>
      </w:pPr>
    </w:p>
    <w:p>
      <w:pPr>
        <w:snapToGrid w:val="0"/>
        <w:spacing w:before="50" w:afterLines="50" w:line="400" w:lineRule="exact"/>
        <w:rPr>
          <w:b/>
          <w:color w:val="auto"/>
          <w:szCs w:val="21"/>
        </w:rPr>
      </w:pPr>
    </w:p>
    <w:p>
      <w:pPr>
        <w:pStyle w:val="25"/>
        <w:ind w:left="0" w:leftChars="0" w:firstLine="0" w:firstLineChars="0"/>
        <w:rPr>
          <w:color w:val="auto"/>
        </w:rPr>
      </w:pPr>
    </w:p>
    <w:p>
      <w:pPr>
        <w:rPr>
          <w:color w:val="auto"/>
        </w:rPr>
      </w:pPr>
    </w:p>
    <w:p>
      <w:pPr>
        <w:pStyle w:val="2"/>
        <w:rPr>
          <w:color w:val="auto"/>
        </w:rPr>
      </w:pPr>
    </w:p>
    <w:p>
      <w:pPr>
        <w:pStyle w:val="2"/>
        <w:rPr>
          <w:color w:val="auto"/>
        </w:rPr>
      </w:pPr>
    </w:p>
    <w:p>
      <w:pPr>
        <w:pStyle w:val="2"/>
        <w:rPr>
          <w:color w:val="auto"/>
        </w:rPr>
      </w:pPr>
    </w:p>
    <w:p>
      <w:pPr>
        <w:pStyle w:val="2"/>
        <w:rPr>
          <w:color w:val="auto"/>
        </w:rPr>
      </w:pPr>
    </w:p>
    <w:p>
      <w:pPr>
        <w:snapToGrid w:val="0"/>
        <w:spacing w:before="50" w:afterLines="50" w:line="400" w:lineRule="exact"/>
        <w:jc w:val="center"/>
        <w:rPr>
          <w:b/>
          <w:color w:val="auto"/>
          <w:szCs w:val="21"/>
        </w:rPr>
      </w:pPr>
      <w:r>
        <w:rPr>
          <w:rFonts w:hint="eastAsia"/>
          <w:b/>
          <w:color w:val="auto"/>
          <w:szCs w:val="21"/>
        </w:rPr>
        <w:t>2、投标保证金缴纳证明复印件</w:t>
      </w:r>
    </w:p>
    <w:p>
      <w:pPr>
        <w:snapToGrid w:val="0"/>
        <w:spacing w:before="50" w:afterLines="50" w:line="400" w:lineRule="exact"/>
        <w:ind w:firstLine="220" w:firstLineChars="100"/>
        <w:rPr>
          <w:color w:val="auto"/>
          <w:szCs w:val="21"/>
        </w:rPr>
      </w:pPr>
      <w:r>
        <w:rPr>
          <w:rFonts w:hint="eastAsia"/>
          <w:color w:val="auto"/>
          <w:szCs w:val="21"/>
        </w:rPr>
        <w:t>提供投标保证金缴纳证明复印件</w:t>
      </w:r>
    </w:p>
    <w:p>
      <w:pPr>
        <w:snapToGrid w:val="0"/>
        <w:spacing w:before="50" w:afterLines="50" w:line="400" w:lineRule="exact"/>
        <w:rPr>
          <w:b/>
          <w:color w:val="auto"/>
          <w:szCs w:val="21"/>
        </w:rPr>
      </w:pPr>
    </w:p>
    <w:p>
      <w:pPr>
        <w:snapToGrid w:val="0"/>
        <w:spacing w:before="50" w:afterLines="50" w:line="400" w:lineRule="exact"/>
        <w:rPr>
          <w:b/>
          <w:color w:val="auto"/>
          <w:szCs w:val="21"/>
        </w:rPr>
      </w:pPr>
    </w:p>
    <w:p>
      <w:pPr>
        <w:wordWrap w:val="0"/>
        <w:spacing w:line="360" w:lineRule="auto"/>
        <w:ind w:firstLine="442" w:firstLineChars="200"/>
        <w:jc w:val="center"/>
        <w:rPr>
          <w:color w:val="auto"/>
        </w:rPr>
      </w:pPr>
      <w:r>
        <w:rPr>
          <w:b/>
          <w:bCs/>
          <w:color w:val="auto"/>
        </w:rPr>
        <w:t>3、</w:t>
      </w:r>
      <w:r>
        <w:rPr>
          <w:rFonts w:hint="eastAsia"/>
          <w:b/>
          <w:bCs/>
          <w:color w:val="auto"/>
        </w:rPr>
        <w:t>投标人有效的营业执照副本复印件及投标人在“国家企业信用信息公示系统”网站（http://www.gsxt.gov.cn ）查询其企业信用信息，并打印企业“基础信息”材料。</w:t>
      </w:r>
    </w:p>
    <w:p>
      <w:pPr>
        <w:snapToGrid w:val="0"/>
        <w:spacing w:before="50" w:afterLines="50" w:line="400" w:lineRule="exact"/>
        <w:rPr>
          <w:b/>
          <w:color w:val="auto"/>
          <w:szCs w:val="21"/>
        </w:rPr>
      </w:pPr>
    </w:p>
    <w:p>
      <w:pPr>
        <w:snapToGrid w:val="0"/>
        <w:spacing w:before="50" w:afterLines="50" w:line="400" w:lineRule="exact"/>
        <w:rPr>
          <w:color w:val="auto"/>
          <w:szCs w:val="21"/>
        </w:rPr>
      </w:pPr>
      <w:r>
        <w:rPr>
          <w:rFonts w:hint="eastAsia"/>
          <w:color w:val="auto"/>
          <w:szCs w:val="21"/>
        </w:rPr>
        <w:t>营业执照副本复印件要求清晰反映公司经营范围。</w:t>
      </w:r>
    </w:p>
    <w:p>
      <w:pPr>
        <w:snapToGrid w:val="0"/>
        <w:spacing w:before="50" w:afterLines="50" w:line="400" w:lineRule="exact"/>
        <w:rPr>
          <w:b/>
          <w:color w:val="auto"/>
          <w:szCs w:val="21"/>
        </w:rPr>
      </w:pPr>
    </w:p>
    <w:p>
      <w:pPr>
        <w:snapToGrid w:val="0"/>
        <w:spacing w:before="50" w:afterLines="50" w:line="400" w:lineRule="exact"/>
        <w:jc w:val="center"/>
        <w:rPr>
          <w:b/>
          <w:color w:val="auto"/>
          <w:szCs w:val="21"/>
        </w:rPr>
      </w:pPr>
    </w:p>
    <w:p>
      <w:pPr>
        <w:snapToGrid w:val="0"/>
        <w:spacing w:before="50" w:afterLines="50" w:line="400" w:lineRule="exact"/>
        <w:jc w:val="center"/>
        <w:rPr>
          <w:b/>
          <w:color w:val="auto"/>
          <w:szCs w:val="21"/>
        </w:rPr>
      </w:pPr>
    </w:p>
    <w:p>
      <w:pPr>
        <w:snapToGrid w:val="0"/>
        <w:spacing w:before="50" w:afterLines="50" w:line="400" w:lineRule="exact"/>
        <w:jc w:val="center"/>
        <w:rPr>
          <w:b/>
          <w:color w:val="auto"/>
          <w:szCs w:val="21"/>
        </w:rPr>
      </w:pPr>
    </w:p>
    <w:p>
      <w:pPr>
        <w:snapToGrid w:val="0"/>
        <w:spacing w:before="50" w:afterLines="50" w:line="400" w:lineRule="exact"/>
        <w:jc w:val="center"/>
        <w:rPr>
          <w:b/>
          <w:color w:val="auto"/>
          <w:szCs w:val="21"/>
        </w:rPr>
      </w:pPr>
    </w:p>
    <w:p>
      <w:pPr>
        <w:snapToGrid w:val="0"/>
        <w:spacing w:line="420" w:lineRule="exact"/>
        <w:ind w:firstLine="470" w:firstLineChars="213"/>
        <w:rPr>
          <w:b/>
          <w:color w:val="auto"/>
          <w:szCs w:val="21"/>
        </w:rPr>
      </w:pPr>
    </w:p>
    <w:p>
      <w:pPr>
        <w:snapToGrid w:val="0"/>
        <w:spacing w:line="420" w:lineRule="exact"/>
        <w:ind w:firstLine="470" w:firstLineChars="213"/>
        <w:rPr>
          <w:b/>
          <w:color w:val="auto"/>
          <w:szCs w:val="21"/>
        </w:rPr>
      </w:pPr>
    </w:p>
    <w:p>
      <w:pPr>
        <w:snapToGrid w:val="0"/>
        <w:spacing w:line="420" w:lineRule="exact"/>
        <w:ind w:firstLine="470" w:firstLineChars="213"/>
        <w:rPr>
          <w:b/>
          <w:color w:val="auto"/>
          <w:szCs w:val="21"/>
        </w:rPr>
      </w:pPr>
    </w:p>
    <w:p>
      <w:pPr>
        <w:snapToGrid w:val="0"/>
        <w:spacing w:line="420" w:lineRule="exact"/>
        <w:ind w:firstLine="470" w:firstLineChars="213"/>
        <w:rPr>
          <w:b/>
          <w:color w:val="auto"/>
          <w:szCs w:val="21"/>
        </w:rPr>
      </w:pPr>
    </w:p>
    <w:p>
      <w:pPr>
        <w:snapToGrid w:val="0"/>
        <w:spacing w:line="420" w:lineRule="exact"/>
        <w:ind w:firstLine="470" w:firstLineChars="213"/>
        <w:rPr>
          <w:b/>
          <w:color w:val="auto"/>
          <w:szCs w:val="21"/>
        </w:rPr>
      </w:pPr>
    </w:p>
    <w:p>
      <w:pPr>
        <w:snapToGrid w:val="0"/>
        <w:spacing w:line="420" w:lineRule="exact"/>
        <w:ind w:firstLine="470" w:firstLineChars="213"/>
        <w:rPr>
          <w:b/>
          <w:color w:val="auto"/>
          <w:szCs w:val="21"/>
        </w:rPr>
      </w:pPr>
    </w:p>
    <w:p>
      <w:pPr>
        <w:snapToGrid w:val="0"/>
        <w:spacing w:line="420" w:lineRule="exact"/>
        <w:ind w:firstLine="470" w:firstLineChars="213"/>
        <w:rPr>
          <w:b/>
          <w:color w:val="auto"/>
          <w:szCs w:val="21"/>
        </w:rPr>
      </w:pPr>
    </w:p>
    <w:p>
      <w:pPr>
        <w:snapToGrid w:val="0"/>
        <w:spacing w:line="420" w:lineRule="exact"/>
        <w:ind w:firstLine="470" w:firstLineChars="213"/>
        <w:rPr>
          <w:b/>
          <w:color w:val="auto"/>
          <w:szCs w:val="21"/>
        </w:rPr>
      </w:pPr>
    </w:p>
    <w:p>
      <w:pPr>
        <w:snapToGrid w:val="0"/>
        <w:spacing w:line="420" w:lineRule="exact"/>
        <w:ind w:firstLine="470" w:firstLineChars="213"/>
        <w:rPr>
          <w:b/>
          <w:color w:val="auto"/>
          <w:szCs w:val="21"/>
        </w:rPr>
      </w:pPr>
    </w:p>
    <w:p>
      <w:pPr>
        <w:snapToGrid w:val="0"/>
        <w:spacing w:line="420" w:lineRule="exact"/>
        <w:ind w:firstLine="470" w:firstLineChars="213"/>
        <w:rPr>
          <w:b/>
          <w:color w:val="auto"/>
          <w:szCs w:val="21"/>
        </w:rPr>
      </w:pPr>
    </w:p>
    <w:p>
      <w:pPr>
        <w:snapToGrid w:val="0"/>
        <w:spacing w:line="420" w:lineRule="exact"/>
        <w:ind w:firstLine="470" w:firstLineChars="213"/>
        <w:rPr>
          <w:b/>
          <w:color w:val="auto"/>
          <w:szCs w:val="21"/>
        </w:rPr>
      </w:pPr>
    </w:p>
    <w:p>
      <w:pPr>
        <w:snapToGrid w:val="0"/>
        <w:spacing w:line="420" w:lineRule="exact"/>
        <w:ind w:firstLine="470" w:firstLineChars="213"/>
        <w:rPr>
          <w:b/>
          <w:color w:val="auto"/>
          <w:szCs w:val="21"/>
        </w:rPr>
      </w:pPr>
    </w:p>
    <w:p>
      <w:pPr>
        <w:snapToGrid w:val="0"/>
        <w:spacing w:line="420" w:lineRule="exact"/>
        <w:rPr>
          <w:b/>
          <w:color w:val="auto"/>
          <w:szCs w:val="21"/>
        </w:rPr>
      </w:pPr>
    </w:p>
    <w:p>
      <w:pPr>
        <w:snapToGrid w:val="0"/>
        <w:spacing w:line="420" w:lineRule="exact"/>
        <w:ind w:firstLine="470" w:firstLineChars="213"/>
        <w:rPr>
          <w:b/>
          <w:color w:val="auto"/>
          <w:szCs w:val="21"/>
        </w:rPr>
      </w:pPr>
    </w:p>
    <w:p>
      <w:pPr>
        <w:snapToGrid w:val="0"/>
        <w:spacing w:line="420" w:lineRule="exact"/>
        <w:ind w:firstLine="470" w:firstLineChars="213"/>
        <w:rPr>
          <w:b/>
          <w:color w:val="auto"/>
          <w:szCs w:val="21"/>
        </w:rPr>
      </w:pPr>
    </w:p>
    <w:p>
      <w:pPr>
        <w:snapToGrid w:val="0"/>
        <w:spacing w:line="420" w:lineRule="exact"/>
        <w:ind w:firstLine="470" w:firstLineChars="213"/>
        <w:rPr>
          <w:b/>
          <w:color w:val="auto"/>
          <w:szCs w:val="21"/>
        </w:rPr>
      </w:pPr>
      <w:r>
        <w:rPr>
          <w:rFonts w:hint="eastAsia"/>
          <w:b/>
          <w:color w:val="auto"/>
          <w:szCs w:val="21"/>
        </w:rPr>
        <w:t>4、“法定代表人身份证明原件及身份证复印件（法定代表人签署投标文件时提供）”或者“法定代表人授权书原件和委托代理人身份证复印件及法定代表人身份证复印件（委托代理人签署投标文件时提供）”</w:t>
      </w:r>
    </w:p>
    <w:p>
      <w:pPr>
        <w:jc w:val="center"/>
        <w:rPr>
          <w:b/>
          <w:color w:val="auto"/>
          <w:sz w:val="28"/>
          <w:szCs w:val="28"/>
        </w:rPr>
      </w:pPr>
      <w:bookmarkStart w:id="223" w:name="_Toc13795"/>
      <w:bookmarkStart w:id="224" w:name="_Toc349558171"/>
      <w:bookmarkStart w:id="225" w:name="_Toc392941005"/>
    </w:p>
    <w:p>
      <w:pPr>
        <w:jc w:val="center"/>
        <w:rPr>
          <w:b/>
          <w:color w:val="auto"/>
          <w:szCs w:val="21"/>
        </w:rPr>
      </w:pPr>
      <w:bookmarkStart w:id="226" w:name="_Toc4479_WPSOffice_Level1"/>
      <w:r>
        <w:rPr>
          <w:rFonts w:hint="eastAsia"/>
          <w:b/>
          <w:color w:val="auto"/>
          <w:szCs w:val="21"/>
        </w:rPr>
        <w:t>4.1法定代表人身份证明</w:t>
      </w:r>
      <w:bookmarkEnd w:id="223"/>
      <w:bookmarkEnd w:id="224"/>
      <w:bookmarkEnd w:id="225"/>
      <w:bookmarkEnd w:id="226"/>
    </w:p>
    <w:p>
      <w:pPr>
        <w:adjustRightInd w:val="0"/>
        <w:spacing w:line="480" w:lineRule="exact"/>
        <w:rPr>
          <w:color w:val="auto"/>
          <w:szCs w:val="21"/>
        </w:rPr>
      </w:pPr>
    </w:p>
    <w:p>
      <w:pPr>
        <w:adjustRightInd w:val="0"/>
        <w:spacing w:line="400" w:lineRule="exact"/>
        <w:ind w:firstLine="1430" w:firstLineChars="650"/>
        <w:rPr>
          <w:bCs/>
          <w:color w:val="auto"/>
          <w:szCs w:val="21"/>
          <w:u w:val="single"/>
          <w:lang w:val="en-US"/>
        </w:rPr>
      </w:pPr>
      <w:r>
        <w:rPr>
          <w:rFonts w:hint="eastAsia"/>
          <w:bCs/>
          <w:color w:val="auto"/>
          <w:szCs w:val="21"/>
        </w:rPr>
        <w:t>供应商名称</w:t>
      </w:r>
      <w:r>
        <w:rPr>
          <w:bCs/>
          <w:color w:val="auto"/>
          <w:szCs w:val="21"/>
        </w:rPr>
        <w:t>：</w:t>
      </w:r>
      <w:r>
        <w:rPr>
          <w:rFonts w:hint="eastAsia"/>
          <w:bCs/>
          <w:color w:val="auto"/>
          <w:szCs w:val="21"/>
          <w:lang w:val="en-US"/>
        </w:rPr>
        <w:t xml:space="preserve"> </w:t>
      </w:r>
    </w:p>
    <w:p>
      <w:pPr>
        <w:adjustRightInd w:val="0"/>
        <w:spacing w:line="400" w:lineRule="exact"/>
        <w:ind w:firstLine="1430" w:firstLineChars="650"/>
        <w:rPr>
          <w:bCs/>
          <w:color w:val="auto"/>
          <w:szCs w:val="21"/>
        </w:rPr>
      </w:pPr>
    </w:p>
    <w:p>
      <w:pPr>
        <w:adjustRightInd w:val="0"/>
        <w:spacing w:line="400" w:lineRule="exact"/>
        <w:ind w:firstLine="1430" w:firstLineChars="650"/>
        <w:rPr>
          <w:bCs/>
          <w:color w:val="auto"/>
          <w:szCs w:val="21"/>
          <w:u w:val="single"/>
        </w:rPr>
      </w:pPr>
      <w:r>
        <w:rPr>
          <w:bCs/>
          <w:color w:val="auto"/>
          <w:szCs w:val="21"/>
        </w:rPr>
        <w:t>单位性质：</w:t>
      </w:r>
    </w:p>
    <w:p>
      <w:pPr>
        <w:adjustRightInd w:val="0"/>
        <w:spacing w:line="400" w:lineRule="exact"/>
        <w:ind w:firstLine="1430" w:firstLineChars="650"/>
        <w:rPr>
          <w:bCs/>
          <w:color w:val="auto"/>
          <w:szCs w:val="21"/>
        </w:rPr>
      </w:pPr>
    </w:p>
    <w:p>
      <w:pPr>
        <w:adjustRightInd w:val="0"/>
        <w:spacing w:line="400" w:lineRule="exact"/>
        <w:ind w:firstLine="1430" w:firstLineChars="650"/>
        <w:rPr>
          <w:bCs/>
          <w:color w:val="auto"/>
          <w:szCs w:val="21"/>
          <w:u w:val="single"/>
        </w:rPr>
      </w:pPr>
      <w:r>
        <w:rPr>
          <w:bCs/>
          <w:color w:val="auto"/>
          <w:szCs w:val="21"/>
        </w:rPr>
        <w:t>地 址：</w:t>
      </w:r>
    </w:p>
    <w:p>
      <w:pPr>
        <w:adjustRightInd w:val="0"/>
        <w:spacing w:line="400" w:lineRule="exact"/>
        <w:ind w:firstLine="1430" w:firstLineChars="650"/>
        <w:rPr>
          <w:bCs/>
          <w:color w:val="auto"/>
          <w:szCs w:val="21"/>
        </w:rPr>
      </w:pPr>
    </w:p>
    <w:p>
      <w:pPr>
        <w:adjustRightInd w:val="0"/>
        <w:spacing w:line="400" w:lineRule="exact"/>
        <w:ind w:firstLine="1430" w:firstLineChars="650"/>
        <w:rPr>
          <w:bCs/>
          <w:color w:val="auto"/>
          <w:szCs w:val="21"/>
        </w:rPr>
      </w:pPr>
      <w:r>
        <w:rPr>
          <w:bCs/>
          <w:color w:val="auto"/>
          <w:szCs w:val="21"/>
        </w:rPr>
        <w:t>成立时间： 年</w:t>
      </w:r>
      <w:r>
        <w:rPr>
          <w:rFonts w:hint="eastAsia"/>
          <w:bCs/>
          <w:color w:val="auto"/>
          <w:szCs w:val="21"/>
          <w:lang w:val="en-US"/>
        </w:rPr>
        <w:t xml:space="preserve">  </w:t>
      </w:r>
      <w:r>
        <w:rPr>
          <w:bCs/>
          <w:color w:val="auto"/>
          <w:szCs w:val="21"/>
        </w:rPr>
        <w:t>月</w:t>
      </w:r>
      <w:r>
        <w:rPr>
          <w:rFonts w:hint="eastAsia"/>
          <w:bCs/>
          <w:color w:val="auto"/>
          <w:szCs w:val="21"/>
          <w:lang w:val="en-US"/>
        </w:rPr>
        <w:t xml:space="preserve">  </w:t>
      </w:r>
      <w:r>
        <w:rPr>
          <w:bCs/>
          <w:color w:val="auto"/>
          <w:szCs w:val="21"/>
        </w:rPr>
        <w:t>日</w:t>
      </w:r>
    </w:p>
    <w:p>
      <w:pPr>
        <w:adjustRightInd w:val="0"/>
        <w:spacing w:line="400" w:lineRule="exact"/>
        <w:ind w:firstLine="1430" w:firstLineChars="650"/>
        <w:rPr>
          <w:bCs/>
          <w:color w:val="auto"/>
          <w:szCs w:val="21"/>
        </w:rPr>
      </w:pPr>
    </w:p>
    <w:p>
      <w:pPr>
        <w:adjustRightInd w:val="0"/>
        <w:spacing w:line="400" w:lineRule="exact"/>
        <w:ind w:firstLine="1430" w:firstLineChars="650"/>
        <w:rPr>
          <w:bCs/>
          <w:color w:val="auto"/>
          <w:szCs w:val="21"/>
          <w:u w:val="single"/>
        </w:rPr>
      </w:pPr>
      <w:r>
        <w:rPr>
          <w:bCs/>
          <w:color w:val="auto"/>
          <w:szCs w:val="21"/>
        </w:rPr>
        <w:t>经营期限：</w:t>
      </w:r>
    </w:p>
    <w:p>
      <w:pPr>
        <w:adjustRightInd w:val="0"/>
        <w:spacing w:line="400" w:lineRule="exact"/>
        <w:ind w:firstLine="1430" w:firstLineChars="650"/>
        <w:rPr>
          <w:bCs/>
          <w:color w:val="auto"/>
          <w:szCs w:val="21"/>
        </w:rPr>
      </w:pPr>
    </w:p>
    <w:p>
      <w:pPr>
        <w:adjustRightInd w:val="0"/>
        <w:spacing w:line="400" w:lineRule="exact"/>
        <w:ind w:firstLine="1430" w:firstLineChars="650"/>
        <w:rPr>
          <w:bCs/>
          <w:color w:val="auto"/>
          <w:szCs w:val="21"/>
          <w:u w:val="single"/>
        </w:rPr>
      </w:pPr>
      <w:r>
        <w:rPr>
          <w:bCs/>
          <w:color w:val="auto"/>
          <w:szCs w:val="21"/>
        </w:rPr>
        <w:t>姓 名：</w:t>
      </w:r>
      <w:r>
        <w:rPr>
          <w:rFonts w:hint="eastAsia"/>
          <w:bCs/>
          <w:color w:val="auto"/>
          <w:szCs w:val="21"/>
          <w:lang w:val="en-US"/>
        </w:rPr>
        <w:t xml:space="preserve">  </w:t>
      </w:r>
      <w:r>
        <w:rPr>
          <w:bCs/>
          <w:color w:val="auto"/>
          <w:szCs w:val="21"/>
        </w:rPr>
        <w:t xml:space="preserve"> 性 别：</w:t>
      </w:r>
      <w:r>
        <w:rPr>
          <w:rFonts w:hint="eastAsia"/>
          <w:bCs/>
          <w:color w:val="auto"/>
          <w:szCs w:val="21"/>
          <w:lang w:val="en-US"/>
        </w:rPr>
        <w:t xml:space="preserve">   </w:t>
      </w:r>
      <w:r>
        <w:rPr>
          <w:bCs/>
          <w:color w:val="auto"/>
          <w:szCs w:val="21"/>
        </w:rPr>
        <w:t>年 龄：</w:t>
      </w:r>
      <w:r>
        <w:rPr>
          <w:rFonts w:hint="eastAsia"/>
          <w:bCs/>
          <w:color w:val="auto"/>
          <w:szCs w:val="21"/>
          <w:lang w:val="en-US"/>
        </w:rPr>
        <w:t xml:space="preserve">     </w:t>
      </w:r>
      <w:r>
        <w:rPr>
          <w:bCs/>
          <w:color w:val="auto"/>
          <w:szCs w:val="21"/>
        </w:rPr>
        <w:t>职 务：</w:t>
      </w:r>
    </w:p>
    <w:p>
      <w:pPr>
        <w:adjustRightInd w:val="0"/>
        <w:spacing w:line="400" w:lineRule="exact"/>
        <w:ind w:firstLine="1430" w:firstLineChars="650"/>
        <w:rPr>
          <w:bCs/>
          <w:color w:val="auto"/>
          <w:szCs w:val="21"/>
        </w:rPr>
      </w:pPr>
    </w:p>
    <w:p>
      <w:pPr>
        <w:adjustRightInd w:val="0"/>
        <w:spacing w:line="400" w:lineRule="exact"/>
        <w:ind w:firstLine="1430" w:firstLineChars="650"/>
        <w:rPr>
          <w:bCs/>
          <w:color w:val="auto"/>
          <w:szCs w:val="21"/>
        </w:rPr>
      </w:pPr>
      <w:r>
        <w:rPr>
          <w:bCs/>
          <w:color w:val="auto"/>
          <w:szCs w:val="21"/>
        </w:rPr>
        <w:t>系</w:t>
      </w:r>
      <w:r>
        <w:rPr>
          <w:rFonts w:hint="eastAsia"/>
          <w:bCs/>
          <w:color w:val="auto"/>
          <w:szCs w:val="21"/>
          <w:u w:val="single"/>
          <w:lang w:val="en-US"/>
        </w:rPr>
        <w:t xml:space="preserve">              </w:t>
      </w:r>
      <w:r>
        <w:rPr>
          <w:bCs/>
          <w:color w:val="auto"/>
          <w:szCs w:val="21"/>
          <w:u w:val="single"/>
        </w:rPr>
        <w:t xml:space="preserve"> </w:t>
      </w:r>
      <w:r>
        <w:rPr>
          <w:rFonts w:hint="eastAsia"/>
          <w:bCs/>
          <w:color w:val="auto"/>
          <w:szCs w:val="21"/>
          <w:u w:val="single"/>
          <w:lang w:val="en-US"/>
        </w:rPr>
        <w:t xml:space="preserve">  </w:t>
      </w:r>
      <w:r>
        <w:rPr>
          <w:bCs/>
          <w:color w:val="auto"/>
          <w:szCs w:val="21"/>
          <w:u w:val="single"/>
        </w:rPr>
        <w:t>（</w:t>
      </w:r>
      <w:r>
        <w:rPr>
          <w:rFonts w:hint="eastAsia"/>
          <w:bCs/>
          <w:color w:val="auto"/>
          <w:szCs w:val="21"/>
          <w:u w:val="single"/>
        </w:rPr>
        <w:t>供应商</w:t>
      </w:r>
      <w:r>
        <w:rPr>
          <w:bCs/>
          <w:color w:val="auto"/>
          <w:szCs w:val="21"/>
          <w:u w:val="single"/>
        </w:rPr>
        <w:t>名称）</w:t>
      </w:r>
      <w:r>
        <w:rPr>
          <w:bCs/>
          <w:color w:val="auto"/>
          <w:szCs w:val="21"/>
        </w:rPr>
        <w:t>的法定代表人。</w:t>
      </w:r>
    </w:p>
    <w:p>
      <w:pPr>
        <w:adjustRightInd w:val="0"/>
        <w:spacing w:line="400" w:lineRule="exact"/>
        <w:ind w:firstLine="1430" w:firstLineChars="650"/>
        <w:rPr>
          <w:bCs/>
          <w:color w:val="auto"/>
          <w:szCs w:val="21"/>
        </w:rPr>
      </w:pPr>
    </w:p>
    <w:p>
      <w:pPr>
        <w:adjustRightInd w:val="0"/>
        <w:spacing w:line="400" w:lineRule="exact"/>
        <w:ind w:firstLine="1430" w:firstLineChars="650"/>
        <w:rPr>
          <w:bCs/>
          <w:color w:val="auto"/>
          <w:szCs w:val="21"/>
        </w:rPr>
      </w:pPr>
      <w:r>
        <w:rPr>
          <w:bCs/>
          <w:color w:val="auto"/>
          <w:szCs w:val="21"/>
        </w:rPr>
        <w:t>特此证明。</w:t>
      </w:r>
    </w:p>
    <w:p>
      <w:pPr>
        <w:adjustRightInd w:val="0"/>
        <w:spacing w:line="400" w:lineRule="exact"/>
        <w:rPr>
          <w:bCs/>
          <w:color w:val="auto"/>
          <w:szCs w:val="21"/>
        </w:rPr>
      </w:pPr>
    </w:p>
    <w:p>
      <w:pPr>
        <w:adjustRightInd w:val="0"/>
        <w:spacing w:line="400" w:lineRule="exact"/>
        <w:ind w:firstLine="1430" w:firstLineChars="650"/>
        <w:rPr>
          <w:bCs/>
          <w:color w:val="auto"/>
          <w:szCs w:val="21"/>
        </w:rPr>
      </w:pPr>
    </w:p>
    <w:p>
      <w:pPr>
        <w:adjustRightInd w:val="0"/>
        <w:spacing w:line="400" w:lineRule="exact"/>
        <w:ind w:firstLine="3520" w:firstLineChars="1600"/>
        <w:rPr>
          <w:bCs/>
          <w:color w:val="auto"/>
          <w:szCs w:val="21"/>
        </w:rPr>
      </w:pPr>
      <w:r>
        <w:rPr>
          <w:rFonts w:hint="eastAsia"/>
          <w:bCs/>
          <w:color w:val="auto"/>
          <w:szCs w:val="21"/>
        </w:rPr>
        <w:t>投标人</w:t>
      </w:r>
      <w:r>
        <w:rPr>
          <w:bCs/>
          <w:color w:val="auto"/>
          <w:szCs w:val="21"/>
        </w:rPr>
        <w:t>名称（盖</w:t>
      </w:r>
      <w:r>
        <w:rPr>
          <w:rFonts w:hint="eastAsia"/>
          <w:bCs/>
          <w:color w:val="auto"/>
          <w:szCs w:val="21"/>
        </w:rPr>
        <w:t>单位公</w:t>
      </w:r>
      <w:r>
        <w:rPr>
          <w:bCs/>
          <w:color w:val="auto"/>
          <w:szCs w:val="21"/>
        </w:rPr>
        <w:t>章）：</w:t>
      </w:r>
    </w:p>
    <w:p>
      <w:pPr>
        <w:adjustRightInd w:val="0"/>
        <w:spacing w:line="400" w:lineRule="exact"/>
        <w:ind w:firstLine="1430" w:firstLineChars="650"/>
        <w:rPr>
          <w:bCs/>
          <w:color w:val="auto"/>
          <w:szCs w:val="21"/>
        </w:rPr>
      </w:pPr>
    </w:p>
    <w:p>
      <w:pPr>
        <w:spacing w:line="480" w:lineRule="exact"/>
        <w:ind w:firstLine="4070" w:firstLineChars="1850"/>
        <w:rPr>
          <w:color w:val="auto"/>
          <w:szCs w:val="21"/>
        </w:rPr>
      </w:pPr>
      <w:r>
        <w:rPr>
          <w:color w:val="auto"/>
          <w:szCs w:val="21"/>
        </w:rPr>
        <w:t>日期：</w:t>
      </w:r>
      <w:r>
        <w:rPr>
          <w:rFonts w:hint="eastAsia"/>
          <w:color w:val="auto"/>
          <w:szCs w:val="21"/>
          <w:lang w:val="en-US"/>
        </w:rPr>
        <w:t xml:space="preserve">    </w:t>
      </w:r>
      <w:r>
        <w:rPr>
          <w:color w:val="auto"/>
          <w:szCs w:val="21"/>
        </w:rPr>
        <w:t>年</w:t>
      </w:r>
      <w:r>
        <w:rPr>
          <w:rFonts w:hint="eastAsia"/>
          <w:color w:val="auto"/>
          <w:szCs w:val="21"/>
          <w:lang w:val="en-US"/>
        </w:rPr>
        <w:t xml:space="preserve">  </w:t>
      </w:r>
      <w:r>
        <w:rPr>
          <w:color w:val="auto"/>
          <w:szCs w:val="21"/>
        </w:rPr>
        <w:t>月</w:t>
      </w:r>
      <w:r>
        <w:rPr>
          <w:rFonts w:hint="eastAsia"/>
          <w:color w:val="auto"/>
          <w:szCs w:val="21"/>
          <w:lang w:val="en-US"/>
        </w:rPr>
        <w:t xml:space="preserve">   </w:t>
      </w:r>
      <w:r>
        <w:rPr>
          <w:color w:val="auto"/>
          <w:szCs w:val="21"/>
        </w:rPr>
        <w:t>日</w:t>
      </w:r>
    </w:p>
    <w:p>
      <w:pPr>
        <w:spacing w:line="480" w:lineRule="exact"/>
        <w:ind w:firstLine="4070" w:firstLineChars="1850"/>
        <w:rPr>
          <w:color w:val="auto"/>
          <w:szCs w:val="21"/>
        </w:rPr>
      </w:pPr>
    </w:p>
    <w:p>
      <w:pPr>
        <w:spacing w:line="300" w:lineRule="auto"/>
        <w:ind w:left="86"/>
        <w:rPr>
          <w:color w:val="auto"/>
          <w:szCs w:val="21"/>
        </w:rPr>
      </w:pPr>
      <w:r>
        <w:rPr>
          <w:rFonts w:hint="eastAsia"/>
          <w:color w:val="auto"/>
          <w:szCs w:val="21"/>
        </w:rPr>
        <w:t>附：法定代表人身份证（复印件）</w:t>
      </w:r>
    </w:p>
    <w:p>
      <w:pPr>
        <w:spacing w:line="480" w:lineRule="exact"/>
        <w:ind w:firstLine="4070" w:firstLineChars="1850"/>
        <w:rPr>
          <w:color w:val="auto"/>
          <w:szCs w:val="21"/>
        </w:rPr>
      </w:pPr>
    </w:p>
    <w:p>
      <w:pPr>
        <w:rPr>
          <w:b/>
          <w:color w:val="auto"/>
          <w:szCs w:val="21"/>
        </w:rPr>
      </w:pPr>
      <w:bookmarkStart w:id="227" w:name="_Toc8189_WPSOffice_Level1"/>
      <w:r>
        <w:rPr>
          <w:rFonts w:hint="eastAsia"/>
          <w:b/>
          <w:color w:val="auto"/>
          <w:szCs w:val="21"/>
        </w:rPr>
        <w:br w:type="page"/>
      </w:r>
    </w:p>
    <w:p>
      <w:pPr>
        <w:snapToGrid w:val="0"/>
        <w:spacing w:beforeLines="50" w:after="50" w:line="440" w:lineRule="exact"/>
        <w:jc w:val="center"/>
        <w:rPr>
          <w:b/>
          <w:color w:val="auto"/>
          <w:szCs w:val="21"/>
        </w:rPr>
      </w:pPr>
      <w:r>
        <w:rPr>
          <w:rFonts w:hint="eastAsia"/>
          <w:b/>
          <w:color w:val="auto"/>
          <w:szCs w:val="21"/>
        </w:rPr>
        <w:t>4.2法定代表人授权委托书</w:t>
      </w:r>
      <w:bookmarkEnd w:id="227"/>
    </w:p>
    <w:p>
      <w:pPr>
        <w:snapToGrid w:val="0"/>
        <w:spacing w:beforeLines="50" w:after="50" w:line="440" w:lineRule="exact"/>
        <w:rPr>
          <w:bCs/>
          <w:color w:val="auto"/>
          <w:szCs w:val="21"/>
        </w:rPr>
      </w:pPr>
    </w:p>
    <w:p>
      <w:pPr>
        <w:snapToGrid w:val="0"/>
        <w:spacing w:beforeLines="50" w:after="50" w:line="440" w:lineRule="exact"/>
        <w:rPr>
          <w:b/>
          <w:bCs/>
          <w:color w:val="auto"/>
          <w:szCs w:val="21"/>
        </w:rPr>
      </w:pPr>
      <w:r>
        <w:rPr>
          <w:rFonts w:hint="eastAsia"/>
          <w:bCs/>
          <w:color w:val="auto"/>
          <w:szCs w:val="21"/>
        </w:rPr>
        <w:t>致：</w:t>
      </w:r>
      <w:r>
        <w:rPr>
          <w:rFonts w:hint="eastAsia"/>
          <w:color w:val="auto"/>
          <w:szCs w:val="21"/>
        </w:rPr>
        <w:t>（招标采购单位名称）：</w:t>
      </w:r>
    </w:p>
    <w:p>
      <w:pPr>
        <w:snapToGrid w:val="0"/>
        <w:spacing w:beforeLines="50" w:after="50" w:line="440" w:lineRule="exact"/>
        <w:ind w:firstLine="660" w:firstLineChars="300"/>
        <w:rPr>
          <w:color w:val="auto"/>
          <w:szCs w:val="21"/>
        </w:rPr>
      </w:pPr>
      <w:r>
        <w:rPr>
          <w:rFonts w:hint="eastAsia"/>
          <w:color w:val="auto"/>
          <w:szCs w:val="21"/>
        </w:rPr>
        <w:t>我</w:t>
      </w:r>
      <w:r>
        <w:rPr>
          <w:rFonts w:hint="eastAsia"/>
          <w:color w:val="auto"/>
          <w:szCs w:val="21"/>
          <w:u w:val="single"/>
          <w:lang w:val="en-US"/>
        </w:rPr>
        <w:t xml:space="preserve">       </w:t>
      </w:r>
      <w:r>
        <w:rPr>
          <w:rFonts w:hint="eastAsia"/>
          <w:color w:val="auto"/>
          <w:szCs w:val="21"/>
          <w:u w:val="single"/>
        </w:rPr>
        <w:t>（姓名）</w:t>
      </w:r>
      <w:r>
        <w:rPr>
          <w:rFonts w:hint="eastAsia"/>
          <w:color w:val="auto"/>
          <w:szCs w:val="21"/>
        </w:rPr>
        <w:t>系</w:t>
      </w:r>
      <w:r>
        <w:rPr>
          <w:rFonts w:hint="eastAsia"/>
          <w:color w:val="auto"/>
          <w:szCs w:val="21"/>
          <w:u w:val="single"/>
          <w:lang w:val="en-US"/>
        </w:rPr>
        <w:t xml:space="preserve">                 </w:t>
      </w:r>
      <w:r>
        <w:rPr>
          <w:rFonts w:hint="eastAsia"/>
          <w:color w:val="auto"/>
          <w:szCs w:val="21"/>
          <w:u w:val="single"/>
        </w:rPr>
        <w:t>（投标人名称）</w:t>
      </w:r>
      <w:r>
        <w:rPr>
          <w:rFonts w:hint="eastAsia"/>
          <w:color w:val="auto"/>
          <w:szCs w:val="21"/>
        </w:rPr>
        <w:t>的法定代表人，现授权委托本单位在职职工 （姓名）以我方的名义参加项目的投标活动，并代表我方全权办理针对上述项目的投标、开标、评标、签约等具体事务和签署相关文件。</w:t>
      </w:r>
    </w:p>
    <w:p>
      <w:pPr>
        <w:snapToGrid w:val="0"/>
        <w:spacing w:beforeLines="50" w:after="50" w:line="440" w:lineRule="exact"/>
        <w:rPr>
          <w:color w:val="auto"/>
          <w:szCs w:val="21"/>
        </w:rPr>
      </w:pPr>
      <w:r>
        <w:rPr>
          <w:rFonts w:hint="eastAsia"/>
          <w:color w:val="auto"/>
          <w:szCs w:val="21"/>
        </w:rPr>
        <w:t xml:space="preserve">    我方对被授权人的签名事项负全部责任。</w:t>
      </w:r>
    </w:p>
    <w:p>
      <w:pPr>
        <w:snapToGrid w:val="0"/>
        <w:spacing w:beforeLines="50" w:after="50" w:line="440" w:lineRule="exact"/>
        <w:ind w:firstLine="480"/>
        <w:rPr>
          <w:color w:val="auto"/>
          <w:szCs w:val="21"/>
        </w:rPr>
      </w:pPr>
      <w:r>
        <w:rPr>
          <w:rFonts w:hint="eastAsia"/>
          <w:color w:val="auto"/>
          <w:szCs w:val="21"/>
          <w:u w:val="single"/>
        </w:rPr>
        <w:t>在撤销授权的书面通知以前，本授权书一直有效。</w:t>
      </w:r>
      <w:r>
        <w:rPr>
          <w:rFonts w:hint="eastAsia"/>
          <w:color w:val="auto"/>
          <w:szCs w:val="21"/>
        </w:rPr>
        <w:t>被授权人在授权书有效期内签署的所有文件不因授权的撤销而失效。</w:t>
      </w:r>
    </w:p>
    <w:p>
      <w:pPr>
        <w:snapToGrid w:val="0"/>
        <w:spacing w:beforeLines="50" w:after="50" w:line="440" w:lineRule="exact"/>
        <w:ind w:firstLine="480"/>
        <w:rPr>
          <w:color w:val="auto"/>
          <w:szCs w:val="21"/>
        </w:rPr>
      </w:pPr>
      <w:r>
        <w:rPr>
          <w:rFonts w:hint="eastAsia"/>
          <w:color w:val="auto"/>
          <w:szCs w:val="21"/>
        </w:rPr>
        <w:t>被授权人无转委托权，特此委托。</w:t>
      </w:r>
    </w:p>
    <w:p>
      <w:pPr>
        <w:snapToGrid w:val="0"/>
        <w:spacing w:beforeLines="50" w:after="50" w:line="440" w:lineRule="exact"/>
        <w:rPr>
          <w:color w:val="auto"/>
          <w:szCs w:val="21"/>
        </w:rPr>
      </w:pPr>
    </w:p>
    <w:p>
      <w:pPr>
        <w:snapToGrid w:val="0"/>
        <w:spacing w:beforeLines="50" w:after="50" w:line="440" w:lineRule="exact"/>
        <w:rPr>
          <w:color w:val="auto"/>
          <w:szCs w:val="21"/>
          <w:u w:val="single"/>
        </w:rPr>
      </w:pPr>
      <w:r>
        <w:rPr>
          <w:rFonts w:hint="eastAsia"/>
          <w:color w:val="auto"/>
          <w:szCs w:val="21"/>
        </w:rPr>
        <w:t>被授权人签名：                 法定代表人签名：</w:t>
      </w:r>
    </w:p>
    <w:p>
      <w:pPr>
        <w:snapToGrid w:val="0"/>
        <w:spacing w:beforeLines="50" w:after="50" w:line="440" w:lineRule="exact"/>
        <w:rPr>
          <w:color w:val="auto"/>
          <w:szCs w:val="21"/>
        </w:rPr>
      </w:pPr>
      <w:r>
        <w:rPr>
          <w:rFonts w:hint="eastAsia"/>
          <w:color w:val="auto"/>
          <w:szCs w:val="21"/>
        </w:rPr>
        <w:t>所在部门职务：                          职务：</w:t>
      </w:r>
    </w:p>
    <w:p>
      <w:pPr>
        <w:snapToGrid w:val="0"/>
        <w:spacing w:beforeLines="50" w:after="50" w:line="440" w:lineRule="exact"/>
        <w:rPr>
          <w:color w:val="auto"/>
          <w:szCs w:val="21"/>
        </w:rPr>
      </w:pPr>
      <w:r>
        <w:rPr>
          <w:rFonts w:hint="eastAsia"/>
          <w:color w:val="auto"/>
          <w:szCs w:val="21"/>
        </w:rPr>
        <w:t>被授权人身份证号码：</w:t>
      </w:r>
    </w:p>
    <w:p>
      <w:pPr>
        <w:snapToGrid w:val="0"/>
        <w:spacing w:beforeLines="50" w:after="50" w:line="440" w:lineRule="exact"/>
        <w:rPr>
          <w:color w:val="auto"/>
          <w:szCs w:val="21"/>
        </w:rPr>
      </w:pPr>
    </w:p>
    <w:p>
      <w:pPr>
        <w:snapToGrid w:val="0"/>
        <w:spacing w:beforeLines="50" w:after="50" w:line="440" w:lineRule="exact"/>
        <w:rPr>
          <w:color w:val="auto"/>
          <w:szCs w:val="21"/>
        </w:rPr>
      </w:pPr>
    </w:p>
    <w:p>
      <w:pPr>
        <w:snapToGrid w:val="0"/>
        <w:spacing w:beforeLines="50" w:after="50" w:line="440" w:lineRule="exact"/>
        <w:ind w:firstLine="5940" w:firstLineChars="2700"/>
        <w:rPr>
          <w:color w:val="auto"/>
          <w:szCs w:val="21"/>
        </w:rPr>
      </w:pPr>
      <w:r>
        <w:rPr>
          <w:rFonts w:hint="eastAsia"/>
          <w:color w:val="auto"/>
          <w:szCs w:val="21"/>
        </w:rPr>
        <w:t xml:space="preserve">  投标人名称</w:t>
      </w:r>
      <w:r>
        <w:rPr>
          <w:bCs/>
          <w:color w:val="auto"/>
          <w:szCs w:val="21"/>
        </w:rPr>
        <w:t>（盖</w:t>
      </w:r>
      <w:r>
        <w:rPr>
          <w:rFonts w:hint="eastAsia"/>
          <w:bCs/>
          <w:color w:val="auto"/>
          <w:szCs w:val="21"/>
        </w:rPr>
        <w:t>单位公</w:t>
      </w:r>
      <w:r>
        <w:rPr>
          <w:bCs/>
          <w:color w:val="auto"/>
          <w:szCs w:val="21"/>
        </w:rPr>
        <w:t>章）</w:t>
      </w:r>
      <w:r>
        <w:rPr>
          <w:rFonts w:hint="eastAsia"/>
          <w:color w:val="auto"/>
          <w:szCs w:val="21"/>
        </w:rPr>
        <w:t>：</w:t>
      </w:r>
    </w:p>
    <w:p>
      <w:pPr>
        <w:snapToGrid w:val="0"/>
        <w:spacing w:beforeLines="50" w:after="50" w:line="440" w:lineRule="exact"/>
        <w:jc w:val="center"/>
        <w:rPr>
          <w:color w:val="auto"/>
          <w:szCs w:val="21"/>
        </w:rPr>
      </w:pPr>
      <w:r>
        <w:rPr>
          <w:rFonts w:hint="eastAsia"/>
          <w:color w:val="auto"/>
          <w:szCs w:val="21"/>
        </w:rPr>
        <w:t xml:space="preserve">                                        年    月    日</w:t>
      </w:r>
    </w:p>
    <w:p>
      <w:pPr>
        <w:snapToGrid w:val="0"/>
        <w:spacing w:before="50" w:afterLines="50" w:line="400" w:lineRule="exact"/>
        <w:rPr>
          <w:b/>
          <w:color w:val="auto"/>
          <w:szCs w:val="21"/>
        </w:rPr>
      </w:pPr>
    </w:p>
    <w:p>
      <w:pPr>
        <w:spacing w:line="300" w:lineRule="auto"/>
        <w:ind w:left="86"/>
        <w:rPr>
          <w:color w:val="auto"/>
          <w:szCs w:val="21"/>
        </w:rPr>
      </w:pPr>
      <w:r>
        <w:rPr>
          <w:rFonts w:hint="eastAsia"/>
          <w:color w:val="auto"/>
          <w:szCs w:val="21"/>
        </w:rPr>
        <w:t>附：法定代表人身份证及委托代理人身份证（复印件）</w:t>
      </w:r>
    </w:p>
    <w:p>
      <w:pPr>
        <w:snapToGrid w:val="0"/>
        <w:spacing w:before="50" w:afterLines="50" w:line="400" w:lineRule="exact"/>
        <w:rPr>
          <w:b/>
          <w:color w:val="auto"/>
          <w:szCs w:val="21"/>
        </w:rPr>
      </w:pPr>
    </w:p>
    <w:p>
      <w:pPr>
        <w:snapToGrid w:val="0"/>
        <w:spacing w:line="380" w:lineRule="exact"/>
        <w:ind w:firstLine="470" w:firstLineChars="213"/>
        <w:rPr>
          <w:b/>
          <w:color w:val="auto"/>
          <w:szCs w:val="21"/>
        </w:rPr>
      </w:pPr>
    </w:p>
    <w:p>
      <w:pPr>
        <w:snapToGrid w:val="0"/>
        <w:spacing w:line="380" w:lineRule="exact"/>
        <w:ind w:firstLine="470" w:firstLineChars="213"/>
        <w:rPr>
          <w:b/>
          <w:color w:val="auto"/>
          <w:szCs w:val="21"/>
        </w:rPr>
      </w:pPr>
    </w:p>
    <w:p>
      <w:pPr>
        <w:snapToGrid w:val="0"/>
        <w:spacing w:line="380" w:lineRule="exact"/>
        <w:ind w:firstLine="470" w:firstLineChars="213"/>
        <w:rPr>
          <w:b/>
          <w:color w:val="auto"/>
          <w:szCs w:val="21"/>
        </w:rPr>
      </w:pPr>
    </w:p>
    <w:p>
      <w:pPr>
        <w:snapToGrid w:val="0"/>
        <w:spacing w:line="380" w:lineRule="exact"/>
        <w:ind w:firstLine="470" w:firstLineChars="213"/>
        <w:rPr>
          <w:b/>
          <w:color w:val="auto"/>
          <w:szCs w:val="21"/>
        </w:rPr>
      </w:pPr>
    </w:p>
    <w:p>
      <w:pPr>
        <w:snapToGrid w:val="0"/>
        <w:spacing w:line="380" w:lineRule="exact"/>
        <w:ind w:firstLine="442" w:firstLineChars="200"/>
        <w:rPr>
          <w:b/>
          <w:color w:val="auto"/>
          <w:szCs w:val="21"/>
        </w:rPr>
      </w:pPr>
      <w:r>
        <w:rPr>
          <w:rFonts w:hint="eastAsia"/>
          <w:b/>
          <w:color w:val="auto"/>
          <w:szCs w:val="21"/>
        </w:rPr>
        <w:t>5、投标文件递交截止之日前半年内投标人连续三个月为项目实施人员依法缴纳社会保险的缴费证明；无缴费记录的，应提供由投标人所在地社保部门出具的《依法缴纳或依法免缴社保费证明》。（社保证明要求列明的缴纳社保人员名单须包含项目实施人员一览表人员名单）。（复印件，原件备查，格式自拟）</w:t>
      </w:r>
    </w:p>
    <w:p>
      <w:pPr>
        <w:snapToGrid w:val="0"/>
        <w:spacing w:line="380" w:lineRule="exact"/>
        <w:ind w:firstLine="468" w:firstLineChars="213"/>
        <w:jc w:val="center"/>
        <w:rPr>
          <w:color w:val="auto"/>
          <w:szCs w:val="21"/>
        </w:rPr>
      </w:pPr>
    </w:p>
    <w:p>
      <w:pPr>
        <w:snapToGrid w:val="0"/>
        <w:spacing w:line="380" w:lineRule="exact"/>
        <w:ind w:firstLine="468" w:firstLineChars="213"/>
        <w:jc w:val="center"/>
        <w:rPr>
          <w:color w:val="auto"/>
          <w:szCs w:val="21"/>
        </w:rPr>
      </w:pPr>
    </w:p>
    <w:p>
      <w:pPr>
        <w:numPr>
          <w:ilvl w:val="0"/>
          <w:numId w:val="5"/>
        </w:numPr>
        <w:spacing w:line="400" w:lineRule="exact"/>
        <w:ind w:firstLine="433" w:firstLineChars="196"/>
        <w:rPr>
          <w:b/>
          <w:color w:val="auto"/>
          <w:szCs w:val="21"/>
        </w:rPr>
      </w:pPr>
      <w:r>
        <w:rPr>
          <w:rFonts w:hint="eastAsia"/>
          <w:b/>
          <w:color w:val="auto"/>
          <w:szCs w:val="21"/>
        </w:rPr>
        <w:t>投标文件递交截止之日前半年内投标人连续三个月的依法缴纳税费或依法免缴税费的证明；无纳税记录的，应提供由投标人所在地主管国税、地税部门出具的《依法纳税或依法免税证明》。（复印件，原件备查，格式自拟）</w:t>
      </w:r>
    </w:p>
    <w:p>
      <w:pPr>
        <w:pStyle w:val="25"/>
        <w:ind w:left="431" w:leftChars="196" w:firstLine="0" w:firstLineChars="0"/>
        <w:rPr>
          <w:color w:val="auto"/>
        </w:rPr>
      </w:pPr>
    </w:p>
    <w:p>
      <w:pPr>
        <w:rPr>
          <w:color w:val="auto"/>
        </w:rPr>
      </w:pPr>
    </w:p>
    <w:p>
      <w:pPr>
        <w:numPr>
          <w:ilvl w:val="0"/>
          <w:numId w:val="5"/>
        </w:numPr>
        <w:spacing w:line="400" w:lineRule="exact"/>
        <w:ind w:firstLine="433" w:firstLineChars="196"/>
        <w:rPr>
          <w:b/>
          <w:color w:val="auto"/>
          <w:szCs w:val="21"/>
        </w:rPr>
      </w:pPr>
      <w:r>
        <w:rPr>
          <w:rFonts w:hint="eastAsia"/>
          <w:b/>
          <w:color w:val="auto"/>
          <w:szCs w:val="21"/>
        </w:rPr>
        <w:t>投标人近三年（</w:t>
      </w:r>
      <w:r>
        <w:rPr>
          <w:rFonts w:hint="eastAsia"/>
          <w:b/>
          <w:color w:val="auto"/>
          <w:szCs w:val="21"/>
          <w:lang w:val="en-US"/>
        </w:rPr>
        <w:t>2017、2018、2019</w:t>
      </w:r>
      <w:r>
        <w:rPr>
          <w:rFonts w:hint="eastAsia"/>
          <w:b/>
          <w:color w:val="auto"/>
          <w:szCs w:val="21"/>
        </w:rPr>
        <w:t>年）经审计的财务报表，包括资产负债表、现金流量表、利润表和财务情况报告的复印件（对于从取得营业执照时间起到投标截止时间为止不足要求年数的投标人，只需提交企业取得营业执照年份至所要求最近年份经审计的财务报表）或投标人基本开户银行出具的资信证明复印件。（原件备查）</w:t>
      </w:r>
    </w:p>
    <w:p>
      <w:pPr>
        <w:snapToGrid w:val="0"/>
        <w:spacing w:line="380" w:lineRule="exact"/>
        <w:ind w:firstLine="468" w:firstLineChars="213"/>
        <w:jc w:val="center"/>
        <w:rPr>
          <w:color w:val="auto"/>
          <w:szCs w:val="21"/>
        </w:rPr>
      </w:pPr>
    </w:p>
    <w:p>
      <w:pPr>
        <w:snapToGrid w:val="0"/>
        <w:spacing w:line="380" w:lineRule="exact"/>
        <w:ind w:firstLine="468" w:firstLineChars="213"/>
        <w:rPr>
          <w:color w:val="auto"/>
          <w:szCs w:val="21"/>
        </w:rPr>
      </w:pPr>
    </w:p>
    <w:p>
      <w:pPr>
        <w:snapToGrid w:val="0"/>
        <w:spacing w:before="50" w:afterLines="50" w:line="440" w:lineRule="exact"/>
        <w:rPr>
          <w:color w:val="auto"/>
          <w:szCs w:val="21"/>
        </w:rPr>
      </w:pPr>
    </w:p>
    <w:p>
      <w:pPr>
        <w:snapToGrid w:val="0"/>
        <w:spacing w:before="50" w:afterLines="50" w:line="440" w:lineRule="exact"/>
        <w:rPr>
          <w:b/>
          <w:bCs/>
          <w:color w:val="auto"/>
          <w:szCs w:val="21"/>
        </w:rPr>
      </w:pPr>
      <w:r>
        <w:rPr>
          <w:rFonts w:hint="eastAsia"/>
          <w:b/>
          <w:bCs/>
          <w:color w:val="auto"/>
          <w:szCs w:val="21"/>
        </w:rPr>
        <w:t>8、投标人提供其在“信用中国”网站（www.creditchina.gov.cn ）及中国政府采购网（www.ccgp.gov.cn ）的信用记录查询截图；（必须按下述要求提供，否则投标无效。）</w:t>
      </w:r>
    </w:p>
    <w:p>
      <w:pPr>
        <w:snapToGrid w:val="0"/>
        <w:spacing w:before="50" w:afterLines="50" w:line="440" w:lineRule="exact"/>
        <w:rPr>
          <w:b/>
          <w:bCs/>
          <w:color w:val="auto"/>
          <w:szCs w:val="21"/>
        </w:rPr>
      </w:pPr>
      <w:r>
        <w:rPr>
          <w:rFonts w:hint="eastAsia"/>
          <w:b/>
          <w:bCs/>
          <w:color w:val="auto"/>
          <w:szCs w:val="21"/>
        </w:rPr>
        <w:t xml:space="preserve"> 信用记录查询方式及截图要求：供应商在“信用中国”网站（www.creditchina.gov.cn ）进行本企业信用记录查询，并打印“失信被执行人、重大税收违法案件当事人名单、政府采购严重违法失信名单” 三种情形的信用记录查询截图；供应商在中国政府采购网（www.ccgp.gov.cn ）进行本企业信用记录查询，并打印“政府采购严重违法失信行为记录名单”情形的信用记录截图。</w:t>
      </w:r>
    </w:p>
    <w:p>
      <w:pPr>
        <w:snapToGrid w:val="0"/>
        <w:spacing w:before="50" w:afterLines="50" w:line="440" w:lineRule="exact"/>
        <w:rPr>
          <w:b/>
          <w:bCs/>
          <w:color w:val="auto"/>
          <w:szCs w:val="21"/>
        </w:rPr>
      </w:pPr>
      <w:r>
        <w:rPr>
          <w:rFonts w:hint="eastAsia"/>
          <w:b/>
          <w:bCs/>
          <w:color w:val="auto"/>
          <w:szCs w:val="21"/>
        </w:rPr>
        <w:t>查询时间：招标公告发布之日起至投标文件递交截止时间止任一时间；在中国政府采购网查询时不能设置处罚开始日期。</w:t>
      </w:r>
    </w:p>
    <w:p>
      <w:pPr>
        <w:snapToGrid w:val="0"/>
        <w:spacing w:before="50" w:afterLines="50" w:line="440" w:lineRule="exact"/>
        <w:rPr>
          <w:b/>
          <w:bCs/>
          <w:color w:val="auto"/>
          <w:szCs w:val="21"/>
        </w:rPr>
      </w:pPr>
    </w:p>
    <w:p>
      <w:pPr>
        <w:snapToGrid w:val="0"/>
        <w:spacing w:line="380" w:lineRule="exact"/>
        <w:ind w:firstLine="442" w:firstLineChars="200"/>
        <w:rPr>
          <w:b/>
          <w:color w:val="auto"/>
          <w:szCs w:val="21"/>
        </w:rPr>
      </w:pPr>
      <w:r>
        <w:rPr>
          <w:rFonts w:hint="eastAsia"/>
          <w:b/>
          <w:bCs/>
          <w:color w:val="auto"/>
          <w:szCs w:val="21"/>
        </w:rPr>
        <w:t>9、投标人资格要求中的资质证书及项目负责人相关注册证、职称证等证明材料。</w:t>
      </w:r>
      <w:r>
        <w:rPr>
          <w:rFonts w:hint="eastAsia"/>
          <w:b/>
          <w:color w:val="auto"/>
          <w:szCs w:val="21"/>
        </w:rPr>
        <w:t>（复印件，原件备查）</w:t>
      </w:r>
    </w:p>
    <w:p>
      <w:pPr>
        <w:snapToGrid w:val="0"/>
        <w:spacing w:line="380" w:lineRule="exact"/>
        <w:ind w:firstLine="468" w:firstLineChars="213"/>
        <w:jc w:val="center"/>
        <w:rPr>
          <w:color w:val="auto"/>
          <w:szCs w:val="21"/>
        </w:rPr>
      </w:pPr>
    </w:p>
    <w:p>
      <w:pPr>
        <w:snapToGrid w:val="0"/>
        <w:spacing w:beforeLines="50" w:after="50" w:line="440" w:lineRule="exact"/>
        <w:jc w:val="both"/>
        <w:outlineLvl w:val="1"/>
        <w:rPr>
          <w:b/>
          <w:color w:val="auto"/>
          <w:sz w:val="24"/>
        </w:rPr>
      </w:pPr>
      <w:bookmarkStart w:id="228" w:name="_Toc13000"/>
      <w:r>
        <w:rPr>
          <w:rFonts w:hint="eastAsia"/>
          <w:b/>
          <w:color w:val="auto"/>
          <w:sz w:val="24"/>
        </w:rPr>
        <w:br w:type="page"/>
      </w:r>
      <w:bookmarkStart w:id="229" w:name="_Toc17630"/>
      <w:r>
        <w:rPr>
          <w:rFonts w:hint="eastAsia"/>
          <w:b/>
          <w:color w:val="auto"/>
          <w:sz w:val="24"/>
        </w:rPr>
        <w:t>二、商务、技术、报价文件</w:t>
      </w:r>
      <w:bookmarkEnd w:id="228"/>
      <w:bookmarkEnd w:id="229"/>
    </w:p>
    <w:p>
      <w:pPr>
        <w:snapToGrid w:val="0"/>
        <w:spacing w:beforeLines="50" w:after="50" w:line="440" w:lineRule="exact"/>
        <w:jc w:val="center"/>
        <w:outlineLvl w:val="1"/>
        <w:rPr>
          <w:b/>
          <w:color w:val="auto"/>
          <w:sz w:val="24"/>
        </w:rPr>
      </w:pPr>
    </w:p>
    <w:p>
      <w:pPr>
        <w:snapToGrid w:val="0"/>
        <w:spacing w:beforeLines="50" w:after="50" w:line="360" w:lineRule="exact"/>
        <w:rPr>
          <w:b/>
          <w:color w:val="auto"/>
          <w:sz w:val="24"/>
        </w:rPr>
      </w:pPr>
      <w:r>
        <w:rPr>
          <w:rFonts w:hint="eastAsia"/>
          <w:b/>
          <w:color w:val="auto"/>
          <w:sz w:val="24"/>
        </w:rPr>
        <w:t xml:space="preserve">投标文件封面格式： </w:t>
      </w:r>
    </w:p>
    <w:p>
      <w:pPr>
        <w:snapToGrid w:val="0"/>
        <w:spacing w:beforeLines="50" w:after="50" w:line="360" w:lineRule="exact"/>
        <w:rPr>
          <w:color w:val="auto"/>
          <w:sz w:val="24"/>
        </w:rPr>
      </w:pPr>
    </w:p>
    <w:p>
      <w:pPr>
        <w:snapToGrid w:val="0"/>
        <w:spacing w:beforeLines="50" w:after="50" w:line="360" w:lineRule="exact"/>
        <w:rPr>
          <w:bCs/>
          <w:color w:val="auto"/>
          <w:szCs w:val="21"/>
        </w:rPr>
      </w:pPr>
      <w:r>
        <w:rPr>
          <w:rFonts w:hint="eastAsia"/>
          <w:bCs/>
          <w:color w:val="auto"/>
          <w:szCs w:val="21"/>
        </w:rPr>
        <w:t>正本/或副本</w:t>
      </w:r>
    </w:p>
    <w:p>
      <w:pPr>
        <w:snapToGrid w:val="0"/>
        <w:spacing w:beforeLines="50" w:after="50" w:line="360" w:lineRule="exact"/>
        <w:jc w:val="center"/>
        <w:rPr>
          <w:bCs/>
          <w:color w:val="auto"/>
          <w:szCs w:val="21"/>
        </w:rPr>
      </w:pPr>
    </w:p>
    <w:p>
      <w:pPr>
        <w:snapToGrid w:val="0"/>
        <w:spacing w:beforeLines="50" w:after="50" w:line="360" w:lineRule="exact"/>
        <w:jc w:val="center"/>
        <w:rPr>
          <w:b/>
          <w:bCs/>
          <w:color w:val="auto"/>
          <w:szCs w:val="21"/>
        </w:rPr>
      </w:pPr>
      <w:r>
        <w:rPr>
          <w:rFonts w:hint="eastAsia"/>
          <w:b/>
          <w:bCs/>
          <w:color w:val="auto"/>
          <w:szCs w:val="21"/>
        </w:rPr>
        <w:t>投标文件</w:t>
      </w:r>
    </w:p>
    <w:p>
      <w:pPr>
        <w:snapToGrid w:val="0"/>
        <w:spacing w:beforeLines="50" w:after="50" w:line="360" w:lineRule="exact"/>
        <w:rPr>
          <w:bCs/>
          <w:color w:val="auto"/>
          <w:szCs w:val="21"/>
        </w:rPr>
      </w:pPr>
    </w:p>
    <w:p>
      <w:pPr>
        <w:snapToGrid w:val="0"/>
        <w:spacing w:beforeLines="50" w:after="50" w:line="360" w:lineRule="exact"/>
        <w:ind w:firstLine="660" w:firstLineChars="300"/>
        <w:rPr>
          <w:bCs/>
          <w:color w:val="auto"/>
          <w:szCs w:val="21"/>
        </w:rPr>
      </w:pPr>
      <w:r>
        <w:rPr>
          <w:rFonts w:hint="eastAsia"/>
          <w:bCs/>
          <w:color w:val="auto"/>
          <w:szCs w:val="21"/>
        </w:rPr>
        <w:t xml:space="preserve">项目名称： </w:t>
      </w:r>
    </w:p>
    <w:p>
      <w:pPr>
        <w:snapToGrid w:val="0"/>
        <w:spacing w:beforeLines="50" w:after="50" w:line="360" w:lineRule="exact"/>
        <w:ind w:firstLine="660" w:firstLineChars="300"/>
        <w:rPr>
          <w:rFonts w:hint="eastAsia" w:eastAsia="宋体"/>
          <w:bCs/>
          <w:color w:val="auto"/>
          <w:szCs w:val="21"/>
          <w:lang w:eastAsia="zh-CN"/>
        </w:rPr>
      </w:pPr>
      <w:r>
        <w:rPr>
          <w:rFonts w:hint="eastAsia"/>
          <w:bCs/>
          <w:color w:val="auto"/>
          <w:szCs w:val="21"/>
          <w:lang w:eastAsia="zh-CN"/>
        </w:rPr>
        <w:t>项目编号：CZZC2020-G3-000242-HWST</w:t>
      </w:r>
    </w:p>
    <w:p>
      <w:pPr>
        <w:snapToGrid w:val="0"/>
        <w:spacing w:beforeLines="50" w:after="50" w:line="440" w:lineRule="exact"/>
        <w:ind w:firstLine="660" w:firstLineChars="300"/>
        <w:rPr>
          <w:bCs/>
          <w:color w:val="auto"/>
          <w:szCs w:val="21"/>
        </w:rPr>
      </w:pPr>
      <w:r>
        <w:rPr>
          <w:rFonts w:hint="eastAsia"/>
          <w:bCs/>
          <w:color w:val="auto"/>
          <w:szCs w:val="21"/>
        </w:rPr>
        <w:t>投标文件内容：商务、技术、报价文件</w:t>
      </w:r>
    </w:p>
    <w:p>
      <w:pPr>
        <w:snapToGrid w:val="0"/>
        <w:spacing w:beforeLines="50" w:after="50" w:line="360" w:lineRule="exact"/>
        <w:ind w:firstLine="660" w:firstLineChars="300"/>
        <w:rPr>
          <w:bCs/>
          <w:color w:val="auto"/>
          <w:szCs w:val="21"/>
        </w:rPr>
      </w:pPr>
      <w:r>
        <w:rPr>
          <w:rFonts w:hint="eastAsia"/>
          <w:bCs/>
          <w:color w:val="auto"/>
          <w:szCs w:val="21"/>
        </w:rPr>
        <w:t>投标人名称：</w:t>
      </w:r>
    </w:p>
    <w:p>
      <w:pPr>
        <w:snapToGrid w:val="0"/>
        <w:spacing w:beforeLines="50" w:after="50" w:line="360" w:lineRule="exact"/>
        <w:ind w:firstLine="660" w:firstLineChars="300"/>
        <w:rPr>
          <w:bCs/>
          <w:color w:val="auto"/>
          <w:szCs w:val="21"/>
        </w:rPr>
      </w:pPr>
      <w:r>
        <w:rPr>
          <w:rFonts w:hint="eastAsia"/>
          <w:bCs/>
          <w:color w:val="auto"/>
          <w:szCs w:val="21"/>
        </w:rPr>
        <w:t>投标人地址：</w:t>
      </w:r>
    </w:p>
    <w:p>
      <w:pPr>
        <w:pStyle w:val="12"/>
        <w:snapToGrid w:val="0"/>
        <w:spacing w:before="50" w:after="50" w:line="360" w:lineRule="exact"/>
        <w:ind w:firstLine="880" w:firstLineChars="400"/>
        <w:rPr>
          <w:bCs/>
          <w:color w:val="auto"/>
          <w:szCs w:val="21"/>
        </w:rPr>
      </w:pPr>
    </w:p>
    <w:p>
      <w:pPr>
        <w:snapToGrid w:val="0"/>
        <w:spacing w:beforeLines="50" w:after="50" w:line="360" w:lineRule="exact"/>
        <w:jc w:val="center"/>
        <w:rPr>
          <w:color w:val="auto"/>
          <w:szCs w:val="21"/>
        </w:rPr>
      </w:pPr>
      <w:r>
        <w:rPr>
          <w:rFonts w:hint="eastAsia"/>
          <w:color w:val="auto"/>
          <w:szCs w:val="21"/>
        </w:rPr>
        <w:t xml:space="preserve">                        年  月  日</w:t>
      </w:r>
    </w:p>
    <w:p>
      <w:pPr>
        <w:snapToGrid w:val="0"/>
        <w:spacing w:before="50" w:afterLines="50" w:line="440" w:lineRule="exact"/>
        <w:rPr>
          <w:color w:val="auto"/>
          <w:szCs w:val="21"/>
        </w:rPr>
      </w:pPr>
    </w:p>
    <w:p>
      <w:pPr>
        <w:snapToGrid w:val="0"/>
        <w:spacing w:before="50" w:afterLines="50" w:line="440" w:lineRule="exact"/>
        <w:rPr>
          <w:color w:val="auto"/>
          <w:szCs w:val="21"/>
        </w:rPr>
      </w:pPr>
    </w:p>
    <w:p>
      <w:pPr>
        <w:snapToGrid w:val="0"/>
        <w:spacing w:before="50" w:afterLines="50" w:line="440" w:lineRule="exact"/>
        <w:rPr>
          <w:color w:val="auto"/>
          <w:szCs w:val="21"/>
        </w:rPr>
      </w:pPr>
    </w:p>
    <w:p>
      <w:pPr>
        <w:snapToGrid w:val="0"/>
        <w:spacing w:before="50" w:afterLines="50" w:line="440" w:lineRule="exact"/>
        <w:rPr>
          <w:color w:val="auto"/>
          <w:szCs w:val="21"/>
        </w:rPr>
      </w:pPr>
    </w:p>
    <w:p>
      <w:pPr>
        <w:snapToGrid w:val="0"/>
        <w:spacing w:before="50" w:afterLines="50" w:line="440" w:lineRule="exact"/>
        <w:rPr>
          <w:color w:val="auto"/>
          <w:szCs w:val="21"/>
        </w:rPr>
      </w:pPr>
    </w:p>
    <w:p>
      <w:pPr>
        <w:snapToGrid w:val="0"/>
        <w:spacing w:before="50" w:afterLines="50" w:line="440" w:lineRule="exact"/>
        <w:rPr>
          <w:color w:val="auto"/>
          <w:szCs w:val="21"/>
        </w:rPr>
      </w:pPr>
    </w:p>
    <w:p>
      <w:pPr>
        <w:snapToGrid w:val="0"/>
        <w:spacing w:before="50" w:afterLines="50" w:line="440" w:lineRule="exact"/>
        <w:rPr>
          <w:color w:val="auto"/>
          <w:szCs w:val="21"/>
        </w:rPr>
      </w:pPr>
    </w:p>
    <w:p>
      <w:pPr>
        <w:snapToGrid w:val="0"/>
        <w:spacing w:before="50" w:afterLines="50" w:line="440" w:lineRule="exact"/>
        <w:rPr>
          <w:color w:val="auto"/>
          <w:szCs w:val="21"/>
        </w:rPr>
      </w:pPr>
    </w:p>
    <w:p>
      <w:pPr>
        <w:snapToGrid w:val="0"/>
        <w:spacing w:before="50" w:after="50" w:line="400" w:lineRule="exact"/>
        <w:ind w:firstLine="108" w:firstLineChars="49"/>
        <w:jc w:val="center"/>
        <w:rPr>
          <w:b/>
          <w:color w:val="auto"/>
          <w:szCs w:val="21"/>
        </w:rPr>
      </w:pPr>
      <w:bookmarkStart w:id="230" w:name="_Toc11918_WPSOffice_Level1"/>
      <w:r>
        <w:rPr>
          <w:rFonts w:hint="eastAsia"/>
          <w:b/>
          <w:color w:val="auto"/>
          <w:szCs w:val="21"/>
        </w:rPr>
        <w:br w:type="page"/>
      </w:r>
    </w:p>
    <w:p>
      <w:pPr>
        <w:snapToGrid w:val="0"/>
        <w:spacing w:before="50" w:after="50" w:line="400" w:lineRule="exact"/>
        <w:ind w:firstLine="108" w:firstLineChars="49"/>
        <w:jc w:val="center"/>
        <w:rPr>
          <w:b/>
          <w:color w:val="auto"/>
          <w:szCs w:val="21"/>
        </w:rPr>
      </w:pPr>
      <w:r>
        <w:rPr>
          <w:rFonts w:hint="eastAsia"/>
          <w:b/>
          <w:color w:val="auto"/>
          <w:szCs w:val="21"/>
        </w:rPr>
        <w:t>目录（页码自行编制）</w:t>
      </w:r>
      <w:bookmarkEnd w:id="230"/>
    </w:p>
    <w:p>
      <w:pPr>
        <w:snapToGrid w:val="0"/>
        <w:spacing w:line="420" w:lineRule="exact"/>
        <w:ind w:firstLine="433" w:firstLineChars="196"/>
        <w:jc w:val="center"/>
        <w:rPr>
          <w:b/>
          <w:color w:val="auto"/>
          <w:szCs w:val="21"/>
        </w:rPr>
      </w:pPr>
    </w:p>
    <w:p>
      <w:pPr>
        <w:snapToGrid w:val="0"/>
        <w:spacing w:line="420" w:lineRule="exact"/>
        <w:ind w:firstLine="433" w:firstLineChars="196"/>
        <w:rPr>
          <w:b/>
          <w:color w:val="auto"/>
          <w:szCs w:val="21"/>
        </w:rPr>
      </w:pPr>
    </w:p>
    <w:p>
      <w:pPr>
        <w:snapToGrid w:val="0"/>
        <w:spacing w:line="420" w:lineRule="exact"/>
        <w:ind w:firstLine="433" w:firstLineChars="196"/>
        <w:rPr>
          <w:b/>
          <w:color w:val="auto"/>
          <w:szCs w:val="21"/>
        </w:rPr>
      </w:pPr>
      <w:bookmarkStart w:id="231" w:name="_Toc19242_WPSOffice_Level1"/>
      <w:r>
        <w:rPr>
          <w:rFonts w:hint="eastAsia"/>
          <w:b/>
          <w:color w:val="auto"/>
          <w:szCs w:val="21"/>
        </w:rPr>
        <w:t>一、商务文件部分</w:t>
      </w:r>
      <w:bookmarkEnd w:id="231"/>
    </w:p>
    <w:p>
      <w:pPr>
        <w:snapToGrid w:val="0"/>
        <w:spacing w:line="420" w:lineRule="exact"/>
        <w:ind w:firstLine="431" w:firstLineChars="196"/>
        <w:rPr>
          <w:color w:val="auto"/>
        </w:rPr>
      </w:pPr>
      <w:r>
        <w:rPr>
          <w:rFonts w:hint="eastAsia"/>
          <w:color w:val="auto"/>
        </w:rPr>
        <w:t>★（1）投标人基本情况登记表。</w:t>
      </w:r>
    </w:p>
    <w:p>
      <w:pPr>
        <w:snapToGrid w:val="0"/>
        <w:spacing w:line="420" w:lineRule="exact"/>
        <w:ind w:firstLine="433" w:firstLineChars="196"/>
        <w:rPr>
          <w:b/>
          <w:color w:val="auto"/>
        </w:rPr>
      </w:pPr>
      <w:r>
        <w:rPr>
          <w:rFonts w:hint="eastAsia"/>
          <w:b/>
          <w:color w:val="auto"/>
        </w:rPr>
        <w:t>投标人认为必要提供的其它商务证明材料：</w:t>
      </w:r>
    </w:p>
    <w:p>
      <w:pPr>
        <w:snapToGrid w:val="0"/>
        <w:spacing w:line="380" w:lineRule="exact"/>
        <w:ind w:firstLine="440" w:firstLineChars="200"/>
        <w:rPr>
          <w:color w:val="auto"/>
        </w:rPr>
      </w:pPr>
      <w:r>
        <w:rPr>
          <w:rFonts w:hint="eastAsia"/>
          <w:color w:val="auto"/>
        </w:rPr>
        <w:t>（2）投标人完成过的类似项目证明文件</w:t>
      </w:r>
      <w:r>
        <w:rPr>
          <w:rFonts w:hint="eastAsia"/>
          <w:b/>
          <w:color w:val="auto"/>
          <w:szCs w:val="21"/>
        </w:rPr>
        <w:t>（复印件，原件备查）</w:t>
      </w:r>
      <w:r>
        <w:rPr>
          <w:rFonts w:hint="eastAsia"/>
          <w:color w:val="auto"/>
        </w:rPr>
        <w:t>。</w:t>
      </w:r>
    </w:p>
    <w:p>
      <w:pPr>
        <w:snapToGrid w:val="0"/>
        <w:spacing w:line="380" w:lineRule="exact"/>
        <w:ind w:firstLine="440" w:firstLineChars="200"/>
        <w:rPr>
          <w:color w:val="auto"/>
        </w:rPr>
      </w:pPr>
      <w:r>
        <w:rPr>
          <w:rFonts w:hint="eastAsia"/>
          <w:color w:val="auto"/>
        </w:rPr>
        <w:t>（3）投标人的信誉、荣誉证书或文件</w:t>
      </w:r>
      <w:r>
        <w:rPr>
          <w:rFonts w:hint="eastAsia"/>
          <w:b/>
          <w:color w:val="auto"/>
          <w:szCs w:val="21"/>
        </w:rPr>
        <w:t>（复印件，原件备查）</w:t>
      </w:r>
      <w:r>
        <w:rPr>
          <w:rFonts w:hint="eastAsia"/>
          <w:color w:val="auto"/>
        </w:rPr>
        <w:t>。</w:t>
      </w:r>
    </w:p>
    <w:p>
      <w:pPr>
        <w:snapToGrid w:val="0"/>
        <w:spacing w:line="380" w:lineRule="exact"/>
        <w:ind w:firstLine="440" w:firstLineChars="200"/>
        <w:rPr>
          <w:b/>
          <w:color w:val="auto"/>
          <w:szCs w:val="21"/>
        </w:rPr>
      </w:pPr>
      <w:r>
        <w:rPr>
          <w:rFonts w:hint="eastAsia"/>
          <w:color w:val="auto"/>
        </w:rPr>
        <w:t>（4）投标人认为可以证明其服务能力或业绩的其它材料</w:t>
      </w:r>
      <w:r>
        <w:rPr>
          <w:rFonts w:hint="eastAsia"/>
          <w:b/>
          <w:color w:val="auto"/>
          <w:szCs w:val="21"/>
        </w:rPr>
        <w:t>（复印件，原件备查）</w:t>
      </w:r>
    </w:p>
    <w:p>
      <w:pPr>
        <w:snapToGrid w:val="0"/>
        <w:spacing w:line="380" w:lineRule="exact"/>
        <w:ind w:firstLine="468" w:firstLineChars="213"/>
        <w:jc w:val="center"/>
        <w:rPr>
          <w:color w:val="auto"/>
          <w:szCs w:val="21"/>
        </w:rPr>
      </w:pPr>
    </w:p>
    <w:p>
      <w:pPr>
        <w:snapToGrid w:val="0"/>
        <w:spacing w:line="420" w:lineRule="exact"/>
        <w:ind w:firstLine="431" w:firstLineChars="196"/>
        <w:rPr>
          <w:color w:val="auto"/>
          <w:szCs w:val="21"/>
        </w:rPr>
      </w:pPr>
      <w:r>
        <w:rPr>
          <w:rFonts w:hint="eastAsia"/>
          <w:color w:val="auto"/>
          <w:szCs w:val="21"/>
        </w:rPr>
        <w:t>。</w:t>
      </w:r>
    </w:p>
    <w:p>
      <w:pPr>
        <w:snapToGrid w:val="0"/>
        <w:spacing w:line="420" w:lineRule="exact"/>
        <w:ind w:firstLine="433" w:firstLineChars="196"/>
        <w:rPr>
          <w:color w:val="auto"/>
          <w:szCs w:val="21"/>
        </w:rPr>
      </w:pPr>
      <w:bookmarkStart w:id="232" w:name="_Toc31000_WPSOffice_Level1"/>
      <w:r>
        <w:rPr>
          <w:rFonts w:hint="eastAsia"/>
          <w:b/>
          <w:bCs/>
          <w:color w:val="auto"/>
          <w:szCs w:val="21"/>
        </w:rPr>
        <w:t>二、技术文件部分</w:t>
      </w:r>
      <w:bookmarkEnd w:id="232"/>
    </w:p>
    <w:p>
      <w:pPr>
        <w:snapToGrid w:val="0"/>
        <w:spacing w:line="420" w:lineRule="exact"/>
        <w:ind w:firstLine="440" w:firstLineChars="200"/>
        <w:rPr>
          <w:color w:val="auto"/>
        </w:rPr>
      </w:pPr>
      <w:r>
        <w:rPr>
          <w:rFonts w:hint="eastAsia"/>
          <w:color w:val="auto"/>
        </w:rPr>
        <w:t>★（1）服务承诺。</w:t>
      </w:r>
    </w:p>
    <w:p>
      <w:pPr>
        <w:snapToGrid w:val="0"/>
        <w:spacing w:line="420" w:lineRule="exact"/>
        <w:ind w:firstLine="440" w:firstLineChars="200"/>
        <w:rPr>
          <w:color w:val="auto"/>
        </w:rPr>
      </w:pPr>
      <w:r>
        <w:rPr>
          <w:rFonts w:hint="eastAsia"/>
          <w:color w:val="auto"/>
        </w:rPr>
        <w:t>★（2）服务方案（包含但不限于以下内容：工作计划和实施方案、质量控制措施、进度控制措施。）</w:t>
      </w:r>
    </w:p>
    <w:p>
      <w:pPr>
        <w:snapToGrid w:val="0"/>
        <w:spacing w:line="420" w:lineRule="exact"/>
        <w:ind w:firstLine="440" w:firstLineChars="200"/>
        <w:rPr>
          <w:color w:val="auto"/>
        </w:rPr>
      </w:pPr>
      <w:r>
        <w:rPr>
          <w:rFonts w:hint="eastAsia"/>
          <w:color w:val="auto"/>
        </w:rPr>
        <w:t>★（3）项目实施人员一览表。</w:t>
      </w:r>
    </w:p>
    <w:p>
      <w:pPr>
        <w:snapToGrid w:val="0"/>
        <w:spacing w:line="420" w:lineRule="exact"/>
        <w:ind w:firstLine="431" w:firstLineChars="196"/>
        <w:rPr>
          <w:color w:val="auto"/>
          <w:szCs w:val="21"/>
        </w:rPr>
      </w:pPr>
      <w:r>
        <w:rPr>
          <w:rFonts w:hint="eastAsia"/>
          <w:color w:val="auto"/>
        </w:rPr>
        <w:t>（4）投标人认为需要说明的其他技术文件和说明</w:t>
      </w:r>
      <w:r>
        <w:rPr>
          <w:rFonts w:hint="eastAsia"/>
          <w:color w:val="auto"/>
          <w:szCs w:val="21"/>
        </w:rPr>
        <w:t>。</w:t>
      </w:r>
    </w:p>
    <w:p>
      <w:pPr>
        <w:snapToGrid w:val="0"/>
        <w:spacing w:line="420" w:lineRule="exact"/>
        <w:ind w:firstLine="433" w:firstLineChars="196"/>
        <w:rPr>
          <w:b/>
          <w:color w:val="auto"/>
          <w:szCs w:val="21"/>
        </w:rPr>
      </w:pPr>
      <w:bookmarkStart w:id="233" w:name="_Toc3579_WPSOffice_Level1"/>
      <w:r>
        <w:rPr>
          <w:rFonts w:hint="eastAsia"/>
          <w:b/>
          <w:color w:val="auto"/>
          <w:szCs w:val="21"/>
        </w:rPr>
        <w:t>三、报价文件</w:t>
      </w:r>
      <w:r>
        <w:rPr>
          <w:rFonts w:hint="eastAsia"/>
          <w:b/>
          <w:bCs/>
          <w:color w:val="auto"/>
          <w:szCs w:val="21"/>
        </w:rPr>
        <w:t>部分</w:t>
      </w:r>
      <w:r>
        <w:rPr>
          <w:rFonts w:hint="eastAsia"/>
          <w:b/>
          <w:color w:val="auto"/>
          <w:szCs w:val="21"/>
        </w:rPr>
        <w:t>：</w:t>
      </w:r>
      <w:bookmarkEnd w:id="233"/>
    </w:p>
    <w:p>
      <w:pPr>
        <w:tabs>
          <w:tab w:val="left" w:pos="3870"/>
          <w:tab w:val="left" w:pos="4085"/>
        </w:tabs>
        <w:spacing w:line="360" w:lineRule="auto"/>
        <w:ind w:firstLine="440" w:firstLineChars="200"/>
        <w:rPr>
          <w:color w:val="auto"/>
          <w:szCs w:val="21"/>
        </w:rPr>
      </w:pPr>
      <w:r>
        <w:rPr>
          <w:rFonts w:hint="eastAsia"/>
          <w:color w:val="auto"/>
          <w:szCs w:val="21"/>
        </w:rPr>
        <w:t>★（1）投标函；</w:t>
      </w:r>
    </w:p>
    <w:p>
      <w:pPr>
        <w:tabs>
          <w:tab w:val="left" w:pos="3870"/>
          <w:tab w:val="left" w:pos="4085"/>
        </w:tabs>
        <w:spacing w:line="360" w:lineRule="auto"/>
        <w:ind w:firstLine="440" w:firstLineChars="200"/>
        <w:rPr>
          <w:color w:val="auto"/>
          <w:szCs w:val="21"/>
        </w:rPr>
      </w:pPr>
      <w:r>
        <w:rPr>
          <w:rFonts w:hint="eastAsia"/>
          <w:color w:val="auto"/>
          <w:szCs w:val="21"/>
        </w:rPr>
        <w:t xml:space="preserve">★（2）投标报价表； </w:t>
      </w:r>
    </w:p>
    <w:p>
      <w:pPr>
        <w:tabs>
          <w:tab w:val="left" w:pos="3870"/>
          <w:tab w:val="left" w:pos="4085"/>
        </w:tabs>
        <w:spacing w:line="360" w:lineRule="auto"/>
        <w:ind w:firstLine="440" w:firstLineChars="200"/>
        <w:rPr>
          <w:color w:val="auto"/>
          <w:szCs w:val="21"/>
        </w:rPr>
      </w:pPr>
      <w:r>
        <w:rPr>
          <w:rFonts w:hint="eastAsia"/>
          <w:color w:val="auto"/>
          <w:szCs w:val="21"/>
        </w:rPr>
        <w:t>（3）投标人符合中小企业划型标准的，按《政府采购促进中小企业发展暂行办法》（财库〔2011〕181号）要求，提供有效证明文件。</w:t>
      </w:r>
    </w:p>
    <w:p>
      <w:pPr>
        <w:spacing w:line="360" w:lineRule="auto"/>
        <w:ind w:firstLine="440" w:firstLineChars="200"/>
        <w:rPr>
          <w:color w:val="auto"/>
          <w:szCs w:val="21"/>
        </w:rPr>
      </w:pPr>
      <w:r>
        <w:rPr>
          <w:rFonts w:hint="eastAsia"/>
          <w:color w:val="auto"/>
          <w:szCs w:val="21"/>
        </w:rPr>
        <w:t>（4）投标人属于监狱企业的，应提供由省级以上监狱管理局、戒毒管理局（含新疆生产建设兵团）出具的属于监狱企业的证明文件。</w:t>
      </w:r>
    </w:p>
    <w:p>
      <w:pPr>
        <w:tabs>
          <w:tab w:val="left" w:pos="3870"/>
          <w:tab w:val="left" w:pos="4085"/>
        </w:tabs>
        <w:spacing w:line="360" w:lineRule="auto"/>
        <w:ind w:firstLine="440" w:firstLineChars="200"/>
        <w:rPr>
          <w:color w:val="auto"/>
          <w:szCs w:val="21"/>
        </w:rPr>
      </w:pPr>
      <w:r>
        <w:rPr>
          <w:rFonts w:hint="eastAsia"/>
          <w:color w:val="auto"/>
          <w:szCs w:val="21"/>
        </w:rPr>
        <w:t>（5）投标人属于残疾人福利性单位，按《三部门联合发布关于促进残疾人就业政府采购政策的通知》（财库〔2017〕141号）要求，提供《残疾人福利性单位声明函》。</w:t>
      </w:r>
    </w:p>
    <w:p>
      <w:pPr>
        <w:tabs>
          <w:tab w:val="left" w:pos="3870"/>
          <w:tab w:val="left" w:pos="4085"/>
        </w:tabs>
        <w:spacing w:line="360" w:lineRule="auto"/>
        <w:ind w:firstLine="440" w:firstLineChars="200"/>
        <w:rPr>
          <w:color w:val="auto"/>
          <w:szCs w:val="21"/>
        </w:rPr>
      </w:pPr>
      <w:r>
        <w:rPr>
          <w:rFonts w:hint="eastAsia"/>
          <w:color w:val="auto"/>
          <w:szCs w:val="21"/>
        </w:rPr>
        <w:t>（6）投标人针对报价需要说明的其他文件和说明（格式自拟）。</w:t>
      </w:r>
    </w:p>
    <w:p>
      <w:pPr>
        <w:snapToGrid w:val="0"/>
        <w:spacing w:before="50" w:afterLines="50" w:line="440" w:lineRule="exact"/>
        <w:rPr>
          <w:color w:val="auto"/>
          <w:szCs w:val="21"/>
        </w:rPr>
      </w:pPr>
    </w:p>
    <w:p>
      <w:pPr>
        <w:snapToGrid w:val="0"/>
        <w:spacing w:before="50" w:afterLines="50" w:line="440" w:lineRule="exact"/>
        <w:rPr>
          <w:color w:val="auto"/>
          <w:szCs w:val="21"/>
        </w:rPr>
      </w:pPr>
      <w:r>
        <w:rPr>
          <w:rFonts w:hint="eastAsia"/>
          <w:color w:val="auto"/>
          <w:szCs w:val="21"/>
        </w:rPr>
        <w:br w:type="page"/>
      </w:r>
    </w:p>
    <w:p>
      <w:pPr>
        <w:snapToGrid w:val="0"/>
        <w:spacing w:before="50" w:afterLines="50" w:line="440" w:lineRule="exact"/>
        <w:rPr>
          <w:color w:val="auto"/>
          <w:szCs w:val="21"/>
        </w:rPr>
      </w:pPr>
      <w:bookmarkStart w:id="234" w:name="_Toc13697_WPSOffice_Level1"/>
      <w:r>
        <w:rPr>
          <w:rFonts w:hint="eastAsia"/>
          <w:color w:val="auto"/>
          <w:szCs w:val="21"/>
        </w:rPr>
        <w:t>一、</w:t>
      </w:r>
      <w:r>
        <w:rPr>
          <w:rFonts w:hint="eastAsia"/>
          <w:b/>
          <w:color w:val="auto"/>
          <w:szCs w:val="21"/>
        </w:rPr>
        <w:t>商务文件部分</w:t>
      </w:r>
      <w:bookmarkEnd w:id="234"/>
    </w:p>
    <w:p>
      <w:pPr>
        <w:spacing w:line="620" w:lineRule="exact"/>
        <w:ind w:firstLine="630" w:firstLineChars="196"/>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32"/>
          <w:szCs w:val="32"/>
        </w:rPr>
        <w:t>投标人基本情况登记表</w:t>
      </w:r>
    </w:p>
    <w:p>
      <w:pPr>
        <w:spacing w:line="620" w:lineRule="exact"/>
        <w:ind w:firstLine="433" w:firstLineChars="196"/>
        <w:rPr>
          <w:bCs/>
          <w:color w:val="auto"/>
          <w:szCs w:val="21"/>
        </w:rPr>
      </w:pPr>
      <w:r>
        <w:rPr>
          <w:rFonts w:hint="eastAsia"/>
          <w:b/>
          <w:color w:val="auto"/>
          <w:szCs w:val="21"/>
        </w:rPr>
        <w:t>填表须知：</w:t>
      </w:r>
      <w:r>
        <w:rPr>
          <w:rFonts w:hint="eastAsia"/>
          <w:bCs/>
          <w:color w:val="auto"/>
          <w:szCs w:val="21"/>
        </w:rPr>
        <w:t>投标人须完整填写本表，而且保证所有填写内容是真实和准确的。</w:t>
      </w:r>
    </w:p>
    <w:p>
      <w:pPr>
        <w:spacing w:line="360" w:lineRule="exact"/>
        <w:ind w:firstLine="433" w:firstLineChars="196"/>
        <w:rPr>
          <w:b/>
          <w:color w:val="auto"/>
          <w:szCs w:val="21"/>
        </w:rPr>
      </w:pPr>
      <w:r>
        <w:rPr>
          <w:rFonts w:hint="eastAsia"/>
          <w:b/>
          <w:color w:val="auto"/>
          <w:szCs w:val="21"/>
        </w:rPr>
        <w:t>一、投标人组织机构和法律地位：</w:t>
      </w:r>
    </w:p>
    <w:p>
      <w:pPr>
        <w:spacing w:line="360" w:lineRule="exact"/>
        <w:ind w:firstLine="440" w:firstLineChars="200"/>
        <w:rPr>
          <w:color w:val="auto"/>
          <w:szCs w:val="21"/>
          <w:u w:val="single"/>
        </w:rPr>
      </w:pPr>
      <w:r>
        <w:rPr>
          <w:rFonts w:hint="eastAsia"/>
          <w:color w:val="auto"/>
          <w:szCs w:val="21"/>
        </w:rPr>
        <w:t>1.投标人名称：</w:t>
      </w:r>
    </w:p>
    <w:p>
      <w:pPr>
        <w:spacing w:line="360" w:lineRule="exact"/>
        <w:ind w:firstLine="440" w:firstLineChars="200"/>
        <w:rPr>
          <w:color w:val="auto"/>
          <w:szCs w:val="21"/>
        </w:rPr>
      </w:pPr>
      <w:r>
        <w:rPr>
          <w:rFonts w:hint="eastAsia"/>
          <w:color w:val="auto"/>
          <w:szCs w:val="21"/>
        </w:rPr>
        <w:t>2.成立（注册）日期及地点：</w:t>
      </w:r>
    </w:p>
    <w:p>
      <w:pPr>
        <w:spacing w:line="360" w:lineRule="exact"/>
        <w:ind w:firstLine="440" w:firstLineChars="200"/>
        <w:rPr>
          <w:color w:val="auto"/>
          <w:szCs w:val="21"/>
        </w:rPr>
      </w:pPr>
      <w:r>
        <w:rPr>
          <w:rFonts w:hint="eastAsia"/>
          <w:color w:val="auto"/>
          <w:szCs w:val="21"/>
        </w:rPr>
        <w:t>3.投标人组织机构代码证编号：</w:t>
      </w:r>
    </w:p>
    <w:p>
      <w:pPr>
        <w:spacing w:line="360" w:lineRule="exact"/>
        <w:ind w:firstLine="440" w:firstLineChars="200"/>
        <w:rPr>
          <w:color w:val="auto"/>
          <w:szCs w:val="21"/>
        </w:rPr>
      </w:pPr>
      <w:r>
        <w:rPr>
          <w:rFonts w:hint="eastAsia"/>
          <w:color w:val="auto"/>
          <w:szCs w:val="21"/>
        </w:rPr>
        <w:t>4.投标人法定代表人：姓名</w:t>
      </w:r>
      <w:r>
        <w:rPr>
          <w:rFonts w:hint="eastAsia"/>
          <w:color w:val="auto"/>
          <w:szCs w:val="21"/>
          <w:lang w:val="en-US"/>
        </w:rPr>
        <w:t xml:space="preserve"> </w:t>
      </w:r>
      <w:r>
        <w:rPr>
          <w:rFonts w:hint="eastAsia"/>
          <w:color w:val="auto"/>
          <w:szCs w:val="21"/>
        </w:rPr>
        <w:t>职务</w:t>
      </w:r>
      <w:r>
        <w:rPr>
          <w:rFonts w:hint="eastAsia"/>
          <w:color w:val="auto"/>
          <w:szCs w:val="21"/>
          <w:lang w:val="en-US"/>
        </w:rPr>
        <w:t xml:space="preserve">  </w:t>
      </w:r>
      <w:r>
        <w:rPr>
          <w:rFonts w:hint="eastAsia"/>
          <w:color w:val="auto"/>
          <w:szCs w:val="21"/>
        </w:rPr>
        <w:t>电话</w:t>
      </w:r>
    </w:p>
    <w:p>
      <w:pPr>
        <w:spacing w:line="360" w:lineRule="exact"/>
        <w:ind w:firstLine="440" w:firstLineChars="200"/>
        <w:rPr>
          <w:color w:val="auto"/>
          <w:szCs w:val="21"/>
        </w:rPr>
      </w:pPr>
      <w:r>
        <w:rPr>
          <w:rFonts w:hint="eastAsia"/>
          <w:color w:val="auto"/>
          <w:szCs w:val="21"/>
        </w:rPr>
        <w:t>5.政府采购业务联系人：姓名</w:t>
      </w:r>
      <w:r>
        <w:rPr>
          <w:rFonts w:hint="eastAsia"/>
          <w:color w:val="auto"/>
          <w:szCs w:val="21"/>
          <w:lang w:val="en-US"/>
        </w:rPr>
        <w:t xml:space="preserve"> </w:t>
      </w:r>
      <w:r>
        <w:rPr>
          <w:rFonts w:hint="eastAsia"/>
          <w:color w:val="auto"/>
          <w:szCs w:val="21"/>
        </w:rPr>
        <w:t>职务</w:t>
      </w:r>
      <w:r>
        <w:rPr>
          <w:rFonts w:hint="eastAsia"/>
          <w:color w:val="auto"/>
          <w:szCs w:val="21"/>
          <w:lang w:val="en-US"/>
        </w:rPr>
        <w:t xml:space="preserve">  </w:t>
      </w:r>
      <w:r>
        <w:rPr>
          <w:rFonts w:hint="eastAsia"/>
          <w:color w:val="auto"/>
          <w:szCs w:val="21"/>
        </w:rPr>
        <w:t>电话</w:t>
      </w:r>
    </w:p>
    <w:p>
      <w:pPr>
        <w:spacing w:line="360" w:lineRule="exact"/>
        <w:ind w:firstLine="480"/>
        <w:rPr>
          <w:color w:val="auto"/>
          <w:szCs w:val="21"/>
          <w:u w:val="single"/>
        </w:rPr>
      </w:pPr>
      <w:r>
        <w:rPr>
          <w:rFonts w:hint="eastAsia"/>
          <w:color w:val="auto"/>
          <w:szCs w:val="21"/>
        </w:rPr>
        <w:t xml:space="preserve">                      手机传真</w:t>
      </w:r>
    </w:p>
    <w:p>
      <w:pPr>
        <w:spacing w:line="360" w:lineRule="exact"/>
        <w:ind w:firstLine="440" w:firstLineChars="200"/>
        <w:rPr>
          <w:color w:val="auto"/>
          <w:szCs w:val="21"/>
          <w:u w:val="single"/>
        </w:rPr>
      </w:pPr>
      <w:r>
        <w:rPr>
          <w:rFonts w:hint="eastAsia"/>
          <w:color w:val="auto"/>
          <w:szCs w:val="21"/>
        </w:rPr>
        <w:t>6.邮政编码：</w:t>
      </w:r>
    </w:p>
    <w:p>
      <w:pPr>
        <w:spacing w:line="360" w:lineRule="exact"/>
        <w:ind w:firstLine="440" w:firstLineChars="200"/>
        <w:rPr>
          <w:color w:val="auto"/>
          <w:szCs w:val="21"/>
          <w:u w:val="single"/>
        </w:rPr>
      </w:pPr>
      <w:r>
        <w:rPr>
          <w:rFonts w:hint="eastAsia"/>
          <w:color w:val="auto"/>
          <w:szCs w:val="21"/>
        </w:rPr>
        <w:t>7.通信地址：</w:t>
      </w:r>
    </w:p>
    <w:p>
      <w:pPr>
        <w:spacing w:line="360" w:lineRule="exact"/>
        <w:ind w:firstLine="440" w:firstLineChars="200"/>
        <w:rPr>
          <w:color w:val="auto"/>
          <w:szCs w:val="21"/>
          <w:u w:val="single"/>
        </w:rPr>
      </w:pPr>
    </w:p>
    <w:p>
      <w:pPr>
        <w:spacing w:line="360" w:lineRule="exact"/>
        <w:ind w:firstLine="442" w:firstLineChars="200"/>
        <w:rPr>
          <w:b/>
          <w:bCs/>
          <w:color w:val="auto"/>
          <w:szCs w:val="21"/>
        </w:rPr>
      </w:pPr>
      <w:r>
        <w:rPr>
          <w:rFonts w:hint="eastAsia"/>
          <w:b/>
          <w:bCs/>
          <w:color w:val="auto"/>
          <w:szCs w:val="21"/>
        </w:rPr>
        <w:t>二、投标人财务状况：</w:t>
      </w:r>
    </w:p>
    <w:p>
      <w:pPr>
        <w:spacing w:line="360" w:lineRule="exact"/>
        <w:ind w:firstLine="440" w:firstLineChars="200"/>
        <w:rPr>
          <w:color w:val="auto"/>
          <w:szCs w:val="21"/>
        </w:rPr>
      </w:pPr>
      <w:r>
        <w:rPr>
          <w:rFonts w:hint="eastAsia"/>
          <w:color w:val="auto"/>
          <w:szCs w:val="21"/>
        </w:rPr>
        <w:t>1.注册资本：</w:t>
      </w:r>
    </w:p>
    <w:p>
      <w:pPr>
        <w:spacing w:line="360" w:lineRule="exact"/>
        <w:ind w:firstLine="440" w:firstLineChars="200"/>
        <w:rPr>
          <w:color w:val="auto"/>
          <w:szCs w:val="21"/>
        </w:rPr>
      </w:pPr>
      <w:r>
        <w:rPr>
          <w:rFonts w:hint="eastAsia"/>
          <w:color w:val="auto"/>
          <w:szCs w:val="21"/>
        </w:rPr>
        <w:t>2.实收资本：</w:t>
      </w:r>
    </w:p>
    <w:p>
      <w:pPr>
        <w:spacing w:line="360" w:lineRule="exact"/>
        <w:ind w:firstLine="440" w:firstLineChars="200"/>
        <w:rPr>
          <w:color w:val="auto"/>
          <w:szCs w:val="21"/>
        </w:rPr>
      </w:pPr>
      <w:r>
        <w:rPr>
          <w:rFonts w:hint="eastAsia"/>
          <w:color w:val="auto"/>
          <w:szCs w:val="21"/>
        </w:rPr>
        <w:t>3.近期资产负债表：</w:t>
      </w:r>
    </w:p>
    <w:p>
      <w:pPr>
        <w:spacing w:line="360" w:lineRule="exact"/>
        <w:ind w:firstLine="440" w:firstLineChars="200"/>
        <w:rPr>
          <w:color w:val="auto"/>
          <w:szCs w:val="21"/>
        </w:rPr>
      </w:pPr>
      <w:r>
        <w:rPr>
          <w:rFonts w:hint="eastAsia"/>
          <w:color w:val="auto"/>
          <w:szCs w:val="21"/>
        </w:rPr>
        <w:t>（1）固定资产：</w:t>
      </w:r>
    </w:p>
    <w:p>
      <w:pPr>
        <w:spacing w:line="360" w:lineRule="exact"/>
        <w:rPr>
          <w:color w:val="auto"/>
          <w:szCs w:val="21"/>
          <w:u w:val="single"/>
        </w:rPr>
      </w:pPr>
      <w:r>
        <w:rPr>
          <w:rFonts w:hint="eastAsia"/>
          <w:color w:val="auto"/>
          <w:szCs w:val="21"/>
        </w:rPr>
        <w:t xml:space="preserve">             原值：</w:t>
      </w:r>
    </w:p>
    <w:p>
      <w:pPr>
        <w:tabs>
          <w:tab w:val="left" w:pos="1560"/>
        </w:tabs>
        <w:spacing w:line="360" w:lineRule="exact"/>
        <w:rPr>
          <w:color w:val="auto"/>
          <w:szCs w:val="21"/>
          <w:u w:val="single"/>
        </w:rPr>
      </w:pPr>
      <w:r>
        <w:rPr>
          <w:rFonts w:hint="eastAsia"/>
          <w:color w:val="auto"/>
          <w:szCs w:val="21"/>
        </w:rPr>
        <w:tab/>
      </w:r>
      <w:r>
        <w:rPr>
          <w:rFonts w:hint="eastAsia"/>
          <w:color w:val="auto"/>
          <w:szCs w:val="21"/>
        </w:rPr>
        <w:t>净值：</w:t>
      </w:r>
    </w:p>
    <w:p>
      <w:pPr>
        <w:tabs>
          <w:tab w:val="left" w:pos="1560"/>
        </w:tabs>
        <w:spacing w:line="360" w:lineRule="exact"/>
        <w:ind w:firstLine="440" w:firstLineChars="200"/>
        <w:rPr>
          <w:color w:val="auto"/>
          <w:szCs w:val="21"/>
          <w:u w:val="single"/>
        </w:rPr>
      </w:pPr>
      <w:r>
        <w:rPr>
          <w:rFonts w:hint="eastAsia"/>
          <w:color w:val="auto"/>
          <w:szCs w:val="21"/>
        </w:rPr>
        <w:t>（2）流动资金：</w:t>
      </w:r>
    </w:p>
    <w:p>
      <w:pPr>
        <w:tabs>
          <w:tab w:val="left" w:pos="1560"/>
        </w:tabs>
        <w:spacing w:line="360" w:lineRule="exact"/>
        <w:ind w:firstLine="440" w:firstLineChars="200"/>
        <w:rPr>
          <w:color w:val="auto"/>
          <w:szCs w:val="21"/>
          <w:u w:val="single"/>
        </w:rPr>
      </w:pPr>
      <w:r>
        <w:rPr>
          <w:rFonts w:hint="eastAsia"/>
          <w:color w:val="auto"/>
          <w:szCs w:val="21"/>
        </w:rPr>
        <w:t>（3）长期负债：</w:t>
      </w:r>
    </w:p>
    <w:p>
      <w:pPr>
        <w:tabs>
          <w:tab w:val="left" w:pos="1560"/>
        </w:tabs>
        <w:spacing w:line="360" w:lineRule="exact"/>
        <w:ind w:firstLine="440" w:firstLineChars="200"/>
        <w:rPr>
          <w:b/>
          <w:color w:val="auto"/>
          <w:szCs w:val="21"/>
        </w:rPr>
      </w:pPr>
      <w:r>
        <w:rPr>
          <w:rFonts w:hint="eastAsia"/>
          <w:color w:val="auto"/>
          <w:szCs w:val="21"/>
        </w:rPr>
        <w:t>（4）短期负债：</w:t>
      </w:r>
    </w:p>
    <w:p>
      <w:pPr>
        <w:spacing w:line="360" w:lineRule="auto"/>
        <w:ind w:firstLine="433" w:firstLineChars="196"/>
        <w:rPr>
          <w:color w:val="auto"/>
          <w:szCs w:val="21"/>
        </w:rPr>
      </w:pPr>
      <w:r>
        <w:rPr>
          <w:rFonts w:hint="eastAsia"/>
          <w:b/>
          <w:color w:val="auto"/>
          <w:szCs w:val="21"/>
        </w:rPr>
        <w:t>三、投标人目前涉及的诉讼案或仲裁的情况（如有如实填写）</w:t>
      </w:r>
    </w:p>
    <w:tbl>
      <w:tblPr>
        <w:tblStyle w:val="29"/>
        <w:tblW w:w="9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3985"/>
        <w:gridCol w:w="2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68" w:type="dxa"/>
            <w:vAlign w:val="center"/>
          </w:tcPr>
          <w:p>
            <w:pPr>
              <w:spacing w:line="360" w:lineRule="exact"/>
              <w:jc w:val="center"/>
              <w:rPr>
                <w:color w:val="auto"/>
                <w:szCs w:val="21"/>
              </w:rPr>
            </w:pPr>
            <w:r>
              <w:rPr>
                <w:rFonts w:hint="eastAsia"/>
                <w:color w:val="auto"/>
                <w:szCs w:val="21"/>
              </w:rPr>
              <w:t>涉及的另一方或另几方</w:t>
            </w:r>
          </w:p>
        </w:tc>
        <w:tc>
          <w:tcPr>
            <w:tcW w:w="3985" w:type="dxa"/>
            <w:vAlign w:val="center"/>
          </w:tcPr>
          <w:p>
            <w:pPr>
              <w:spacing w:line="360" w:lineRule="exact"/>
              <w:jc w:val="center"/>
              <w:rPr>
                <w:color w:val="auto"/>
                <w:szCs w:val="21"/>
              </w:rPr>
            </w:pPr>
            <w:r>
              <w:rPr>
                <w:rFonts w:hint="eastAsia"/>
                <w:color w:val="auto"/>
                <w:szCs w:val="21"/>
              </w:rPr>
              <w:t>争端的原因</w:t>
            </w:r>
          </w:p>
        </w:tc>
        <w:tc>
          <w:tcPr>
            <w:tcW w:w="2398" w:type="dxa"/>
            <w:vAlign w:val="center"/>
          </w:tcPr>
          <w:p>
            <w:pPr>
              <w:spacing w:line="360" w:lineRule="exact"/>
              <w:jc w:val="center"/>
              <w:rPr>
                <w:color w:val="auto"/>
                <w:szCs w:val="21"/>
              </w:rPr>
            </w:pPr>
            <w:r>
              <w:rPr>
                <w:rFonts w:hint="eastAsia"/>
                <w:color w:val="auto"/>
                <w:szCs w:val="21"/>
              </w:rPr>
              <w:t>涉及的金额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3168" w:type="dxa"/>
            <w:vAlign w:val="center"/>
          </w:tcPr>
          <w:p>
            <w:pPr>
              <w:spacing w:line="360" w:lineRule="exact"/>
              <w:jc w:val="center"/>
              <w:rPr>
                <w:color w:val="auto"/>
                <w:szCs w:val="21"/>
              </w:rPr>
            </w:pPr>
          </w:p>
        </w:tc>
        <w:tc>
          <w:tcPr>
            <w:tcW w:w="3985" w:type="dxa"/>
            <w:vAlign w:val="center"/>
          </w:tcPr>
          <w:p>
            <w:pPr>
              <w:spacing w:line="360" w:lineRule="exact"/>
              <w:jc w:val="center"/>
              <w:rPr>
                <w:color w:val="auto"/>
                <w:szCs w:val="21"/>
              </w:rPr>
            </w:pPr>
          </w:p>
        </w:tc>
        <w:tc>
          <w:tcPr>
            <w:tcW w:w="2398" w:type="dxa"/>
            <w:vAlign w:val="center"/>
          </w:tcPr>
          <w:p>
            <w:pPr>
              <w:spacing w:line="360" w:lineRule="exact"/>
              <w:jc w:val="center"/>
              <w:rPr>
                <w:color w:val="auto"/>
                <w:szCs w:val="21"/>
              </w:rPr>
            </w:pPr>
          </w:p>
        </w:tc>
      </w:tr>
    </w:tbl>
    <w:p>
      <w:pPr>
        <w:spacing w:line="360" w:lineRule="exact"/>
        <w:ind w:firstLine="480"/>
        <w:rPr>
          <w:color w:val="auto"/>
          <w:szCs w:val="21"/>
        </w:rPr>
      </w:pPr>
    </w:p>
    <w:p>
      <w:pPr>
        <w:widowControl/>
        <w:wordWrap w:val="0"/>
        <w:spacing w:line="360" w:lineRule="exact"/>
        <w:ind w:firstLine="480"/>
        <w:jc w:val="right"/>
        <w:rPr>
          <w:color w:val="auto"/>
          <w:szCs w:val="21"/>
          <w:u w:val="single"/>
        </w:rPr>
      </w:pPr>
      <w:r>
        <w:rPr>
          <w:rFonts w:hint="eastAsia"/>
          <w:color w:val="auto"/>
          <w:szCs w:val="21"/>
        </w:rPr>
        <w:t xml:space="preserve">  投标人（</w:t>
      </w:r>
      <w:r>
        <w:rPr>
          <w:rFonts w:hint="eastAsia"/>
          <w:b/>
          <w:bCs/>
          <w:color w:val="auto"/>
          <w:szCs w:val="21"/>
        </w:rPr>
        <w:t>公章</w:t>
      </w:r>
      <w:r>
        <w:rPr>
          <w:rFonts w:hint="eastAsia"/>
          <w:color w:val="auto"/>
          <w:szCs w:val="21"/>
        </w:rPr>
        <w:t>）：</w:t>
      </w:r>
    </w:p>
    <w:p>
      <w:pPr>
        <w:widowControl/>
        <w:wordWrap w:val="0"/>
        <w:spacing w:line="360" w:lineRule="auto"/>
        <w:ind w:left="1540" w:hanging="1540" w:hangingChars="700"/>
        <w:jc w:val="right"/>
        <w:rPr>
          <w:rFonts w:ascii="仿宋_GB2312" w:hAnsi="仿宋_GB2312" w:eastAsia="仿宋_GB2312" w:cs="仿宋_GB2312"/>
          <w:color w:val="auto"/>
          <w:sz w:val="24"/>
        </w:rPr>
      </w:pPr>
      <w:r>
        <w:rPr>
          <w:rFonts w:hint="eastAsia"/>
          <w:color w:val="auto"/>
          <w:szCs w:val="21"/>
        </w:rPr>
        <w:t>法定代表人或被授权人</w:t>
      </w:r>
      <w:r>
        <w:rPr>
          <w:rFonts w:hint="eastAsia"/>
          <w:b/>
          <w:color w:val="auto"/>
          <w:szCs w:val="21"/>
        </w:rPr>
        <w:t>签名</w:t>
      </w:r>
      <w:r>
        <w:rPr>
          <w:rFonts w:hint="eastAsia"/>
          <w:color w:val="auto"/>
          <w:szCs w:val="21"/>
        </w:rPr>
        <w:t>：</w:t>
      </w:r>
    </w:p>
    <w:p>
      <w:pPr>
        <w:snapToGrid w:val="0"/>
        <w:spacing w:beforeLines="50" w:after="50" w:line="360" w:lineRule="exact"/>
        <w:ind w:firstLine="240" w:firstLineChars="100"/>
        <w:jc w:val="right"/>
        <w:rPr>
          <w:color w:val="auto"/>
          <w:szCs w:val="21"/>
        </w:rPr>
      </w:pPr>
      <w:r>
        <w:rPr>
          <w:rFonts w:hint="eastAsia" w:hAnsi="仿宋_GB2312" w:cs="仿宋_GB2312"/>
          <w:bCs/>
          <w:color w:val="auto"/>
          <w:sz w:val="24"/>
        </w:rPr>
        <w:t>年    月   日</w:t>
      </w:r>
    </w:p>
    <w:p>
      <w:pPr>
        <w:snapToGrid w:val="0"/>
        <w:spacing w:line="420" w:lineRule="exact"/>
        <w:rPr>
          <w:b/>
          <w:color w:val="auto"/>
          <w:sz w:val="24"/>
        </w:rPr>
      </w:pPr>
    </w:p>
    <w:p>
      <w:pPr>
        <w:snapToGrid w:val="0"/>
        <w:spacing w:line="420" w:lineRule="exact"/>
        <w:rPr>
          <w:b/>
          <w:color w:val="auto"/>
          <w:sz w:val="24"/>
        </w:rPr>
      </w:pPr>
      <w:r>
        <w:rPr>
          <w:rFonts w:hint="eastAsia"/>
          <w:b/>
          <w:color w:val="auto"/>
          <w:sz w:val="24"/>
        </w:rPr>
        <w:t>投标人认为必要提供的其它商务证明材料：</w:t>
      </w:r>
    </w:p>
    <w:p>
      <w:pPr>
        <w:snapToGrid w:val="0"/>
        <w:spacing w:before="50"/>
        <w:rPr>
          <w:b/>
          <w:color w:val="auto"/>
          <w:szCs w:val="21"/>
        </w:rPr>
      </w:pPr>
    </w:p>
    <w:p>
      <w:pPr>
        <w:snapToGrid w:val="0"/>
        <w:spacing w:before="50" w:afterLines="50"/>
        <w:jc w:val="center"/>
        <w:rPr>
          <w:b/>
          <w:color w:val="auto"/>
          <w:szCs w:val="21"/>
        </w:rPr>
      </w:pPr>
      <w:r>
        <w:rPr>
          <w:rFonts w:hint="eastAsia"/>
          <w:b/>
          <w:color w:val="auto"/>
          <w:szCs w:val="21"/>
        </w:rPr>
        <w:t>2、投标人完成过的类似项目证明文件：</w:t>
      </w:r>
    </w:p>
    <w:p>
      <w:pPr>
        <w:pStyle w:val="23"/>
        <w:snapToGrid w:val="0"/>
        <w:ind w:left="420" w:hanging="420"/>
        <w:rPr>
          <w:color w:val="auto"/>
          <w:sz w:val="21"/>
          <w:szCs w:val="21"/>
        </w:rPr>
      </w:pPr>
      <w:r>
        <w:rPr>
          <w:rFonts w:hint="eastAsia"/>
          <w:color w:val="auto"/>
          <w:sz w:val="21"/>
          <w:szCs w:val="21"/>
        </w:rPr>
        <w:t xml:space="preserve">投标人承担的项目一览表格式： </w:t>
      </w:r>
    </w:p>
    <w:tbl>
      <w:tblPr>
        <w:tblStyle w:val="29"/>
        <w:tblW w:w="92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2"/>
        <w:gridCol w:w="1816"/>
        <w:gridCol w:w="2802"/>
        <w:gridCol w:w="1656"/>
        <w:gridCol w:w="16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5" w:hRule="atLeast"/>
        </w:trPr>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auto"/>
                <w:szCs w:val="21"/>
              </w:rPr>
            </w:pPr>
            <w:r>
              <w:rPr>
                <w:rFonts w:hint="eastAsia"/>
                <w:color w:val="auto"/>
                <w:szCs w:val="21"/>
              </w:rPr>
              <w:t>序号</w:t>
            </w:r>
          </w:p>
        </w:tc>
        <w:tc>
          <w:tcPr>
            <w:tcW w:w="181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auto"/>
                <w:szCs w:val="21"/>
              </w:rPr>
            </w:pPr>
            <w:r>
              <w:rPr>
                <w:rFonts w:hint="eastAsia"/>
                <w:color w:val="auto"/>
                <w:szCs w:val="21"/>
              </w:rPr>
              <w:t>委托单位名称</w:t>
            </w:r>
          </w:p>
        </w:tc>
        <w:tc>
          <w:tcPr>
            <w:tcW w:w="2802" w:type="dxa"/>
            <w:tcBorders>
              <w:top w:val="single" w:color="auto" w:sz="4" w:space="0"/>
              <w:left w:val="single" w:color="auto" w:sz="4" w:space="0"/>
              <w:right w:val="single" w:color="auto" w:sz="4" w:space="0"/>
            </w:tcBorders>
            <w:vAlign w:val="center"/>
          </w:tcPr>
          <w:p>
            <w:pPr>
              <w:snapToGrid w:val="0"/>
              <w:spacing w:line="240" w:lineRule="exact"/>
              <w:jc w:val="center"/>
              <w:rPr>
                <w:color w:val="auto"/>
                <w:szCs w:val="21"/>
              </w:rPr>
            </w:pPr>
            <w:r>
              <w:rPr>
                <w:rFonts w:hint="eastAsia"/>
                <w:color w:val="auto"/>
                <w:szCs w:val="21"/>
              </w:rPr>
              <w:t>项目名称（或合同名称）</w:t>
            </w:r>
          </w:p>
        </w:tc>
        <w:tc>
          <w:tcPr>
            <w:tcW w:w="165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auto"/>
                <w:szCs w:val="21"/>
              </w:rPr>
            </w:pPr>
            <w:r>
              <w:rPr>
                <w:rFonts w:hint="eastAsia"/>
                <w:color w:val="auto"/>
                <w:szCs w:val="21"/>
              </w:rPr>
              <w:t>合同金额</w:t>
            </w:r>
          </w:p>
          <w:p>
            <w:pPr>
              <w:snapToGrid w:val="0"/>
              <w:spacing w:line="240" w:lineRule="exact"/>
              <w:jc w:val="center"/>
              <w:rPr>
                <w:color w:val="auto"/>
                <w:szCs w:val="21"/>
              </w:rPr>
            </w:pPr>
            <w:r>
              <w:rPr>
                <w:rFonts w:hint="eastAsia"/>
                <w:color w:val="auto"/>
                <w:szCs w:val="21"/>
              </w:rPr>
              <w:t>（万元）</w:t>
            </w:r>
          </w:p>
        </w:tc>
        <w:tc>
          <w:tcPr>
            <w:tcW w:w="1654"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auto"/>
                <w:szCs w:val="21"/>
              </w:rPr>
            </w:pPr>
            <w:r>
              <w:rPr>
                <w:rFonts w:hint="eastAsia"/>
                <w:color w:val="auto"/>
                <w:szCs w:val="21"/>
              </w:rPr>
              <w:t>合同签订日期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1332" w:type="dxa"/>
            <w:tcBorders>
              <w:top w:val="single" w:color="auto" w:sz="4" w:space="0"/>
              <w:left w:val="single" w:color="auto" w:sz="4" w:space="0"/>
              <w:bottom w:val="single" w:color="auto" w:sz="4" w:space="0"/>
              <w:right w:val="single" w:color="auto" w:sz="4" w:space="0"/>
            </w:tcBorders>
          </w:tcPr>
          <w:p>
            <w:pPr>
              <w:snapToGrid w:val="0"/>
              <w:spacing w:line="240" w:lineRule="exact"/>
              <w:rPr>
                <w:color w:val="auto"/>
                <w:szCs w:val="21"/>
              </w:rPr>
            </w:pPr>
          </w:p>
        </w:tc>
        <w:tc>
          <w:tcPr>
            <w:tcW w:w="1816" w:type="dxa"/>
            <w:tcBorders>
              <w:top w:val="single" w:color="auto" w:sz="4" w:space="0"/>
              <w:left w:val="single" w:color="auto" w:sz="4" w:space="0"/>
              <w:bottom w:val="single" w:color="auto" w:sz="4" w:space="0"/>
              <w:right w:val="single" w:color="auto" w:sz="4" w:space="0"/>
            </w:tcBorders>
          </w:tcPr>
          <w:p>
            <w:pPr>
              <w:snapToGrid w:val="0"/>
              <w:spacing w:line="240" w:lineRule="exact"/>
              <w:rPr>
                <w:color w:val="auto"/>
                <w:szCs w:val="21"/>
              </w:rPr>
            </w:pPr>
          </w:p>
        </w:tc>
        <w:tc>
          <w:tcPr>
            <w:tcW w:w="2802" w:type="dxa"/>
            <w:tcBorders>
              <w:top w:val="single" w:color="auto" w:sz="4" w:space="0"/>
              <w:left w:val="single" w:color="auto" w:sz="4" w:space="0"/>
              <w:bottom w:val="single" w:color="auto" w:sz="4" w:space="0"/>
              <w:right w:val="single" w:color="auto" w:sz="4" w:space="0"/>
            </w:tcBorders>
          </w:tcPr>
          <w:p>
            <w:pPr>
              <w:snapToGrid w:val="0"/>
              <w:spacing w:line="240" w:lineRule="exact"/>
              <w:rPr>
                <w:color w:val="auto"/>
                <w:szCs w:val="21"/>
              </w:rPr>
            </w:pPr>
          </w:p>
        </w:tc>
        <w:tc>
          <w:tcPr>
            <w:tcW w:w="1656" w:type="dxa"/>
            <w:tcBorders>
              <w:top w:val="single" w:color="auto" w:sz="4" w:space="0"/>
              <w:left w:val="single" w:color="auto" w:sz="4" w:space="0"/>
              <w:bottom w:val="single" w:color="auto" w:sz="4" w:space="0"/>
              <w:right w:val="single" w:color="auto" w:sz="4" w:space="0"/>
            </w:tcBorders>
          </w:tcPr>
          <w:p>
            <w:pPr>
              <w:snapToGrid w:val="0"/>
              <w:spacing w:line="240" w:lineRule="exact"/>
              <w:rPr>
                <w:color w:val="auto"/>
                <w:szCs w:val="21"/>
              </w:rPr>
            </w:pPr>
          </w:p>
        </w:tc>
        <w:tc>
          <w:tcPr>
            <w:tcW w:w="1654" w:type="dxa"/>
            <w:tcBorders>
              <w:top w:val="single" w:color="auto" w:sz="4" w:space="0"/>
              <w:left w:val="single" w:color="auto" w:sz="4" w:space="0"/>
              <w:bottom w:val="single" w:color="auto" w:sz="4" w:space="0"/>
              <w:right w:val="single" w:color="auto" w:sz="4" w:space="0"/>
            </w:tcBorders>
          </w:tcPr>
          <w:p>
            <w:pPr>
              <w:snapToGrid w:val="0"/>
              <w:spacing w:line="240" w:lineRule="exac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33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rPr>
                <w:color w:val="auto"/>
                <w:szCs w:val="21"/>
              </w:rPr>
            </w:pPr>
          </w:p>
        </w:tc>
        <w:tc>
          <w:tcPr>
            <w:tcW w:w="181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rPr>
                <w:color w:val="auto"/>
                <w:szCs w:val="21"/>
              </w:rPr>
            </w:pPr>
          </w:p>
        </w:tc>
        <w:tc>
          <w:tcPr>
            <w:tcW w:w="280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rPr>
                <w:color w:val="auto"/>
                <w:szCs w:val="21"/>
              </w:rPr>
            </w:pPr>
          </w:p>
        </w:tc>
        <w:tc>
          <w:tcPr>
            <w:tcW w:w="165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rPr>
                <w:color w:val="auto"/>
                <w:szCs w:val="21"/>
              </w:rPr>
            </w:pPr>
          </w:p>
        </w:tc>
        <w:tc>
          <w:tcPr>
            <w:tcW w:w="165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133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rPr>
                <w:color w:val="auto"/>
                <w:szCs w:val="21"/>
              </w:rPr>
            </w:pPr>
          </w:p>
        </w:tc>
        <w:tc>
          <w:tcPr>
            <w:tcW w:w="181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rPr>
                <w:color w:val="auto"/>
                <w:szCs w:val="21"/>
              </w:rPr>
            </w:pPr>
          </w:p>
        </w:tc>
        <w:tc>
          <w:tcPr>
            <w:tcW w:w="280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rPr>
                <w:color w:val="auto"/>
                <w:szCs w:val="21"/>
              </w:rPr>
            </w:pPr>
          </w:p>
        </w:tc>
        <w:tc>
          <w:tcPr>
            <w:tcW w:w="165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rPr>
                <w:color w:val="auto"/>
                <w:szCs w:val="21"/>
              </w:rPr>
            </w:pPr>
          </w:p>
        </w:tc>
        <w:tc>
          <w:tcPr>
            <w:tcW w:w="165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33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rPr>
                <w:color w:val="auto"/>
                <w:szCs w:val="21"/>
              </w:rPr>
            </w:pPr>
          </w:p>
        </w:tc>
        <w:tc>
          <w:tcPr>
            <w:tcW w:w="181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rPr>
                <w:color w:val="auto"/>
                <w:szCs w:val="21"/>
              </w:rPr>
            </w:pPr>
          </w:p>
        </w:tc>
        <w:tc>
          <w:tcPr>
            <w:tcW w:w="280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rPr>
                <w:color w:val="auto"/>
                <w:szCs w:val="21"/>
              </w:rPr>
            </w:pPr>
          </w:p>
        </w:tc>
        <w:tc>
          <w:tcPr>
            <w:tcW w:w="165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rPr>
                <w:color w:val="auto"/>
                <w:szCs w:val="21"/>
              </w:rPr>
            </w:pPr>
          </w:p>
        </w:tc>
        <w:tc>
          <w:tcPr>
            <w:tcW w:w="165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33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rPr>
                <w:color w:val="auto"/>
                <w:szCs w:val="21"/>
              </w:rPr>
            </w:pPr>
          </w:p>
        </w:tc>
        <w:tc>
          <w:tcPr>
            <w:tcW w:w="181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rPr>
                <w:color w:val="auto"/>
                <w:szCs w:val="21"/>
              </w:rPr>
            </w:pPr>
          </w:p>
        </w:tc>
        <w:tc>
          <w:tcPr>
            <w:tcW w:w="280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rPr>
                <w:color w:val="auto"/>
                <w:szCs w:val="21"/>
              </w:rPr>
            </w:pPr>
          </w:p>
        </w:tc>
        <w:tc>
          <w:tcPr>
            <w:tcW w:w="165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rPr>
                <w:color w:val="auto"/>
                <w:szCs w:val="21"/>
              </w:rPr>
            </w:pPr>
          </w:p>
        </w:tc>
        <w:tc>
          <w:tcPr>
            <w:tcW w:w="165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rPr>
                <w:color w:val="auto"/>
                <w:szCs w:val="21"/>
              </w:rPr>
            </w:pPr>
          </w:p>
        </w:tc>
      </w:tr>
    </w:tbl>
    <w:p>
      <w:pPr>
        <w:pStyle w:val="13"/>
        <w:snapToGrid w:val="0"/>
        <w:rPr>
          <w:rFonts w:ascii="宋体" w:hAnsi="宋体" w:eastAsia="宋体"/>
          <w:color w:val="auto"/>
          <w:sz w:val="21"/>
          <w:szCs w:val="21"/>
        </w:rPr>
      </w:pPr>
      <w:r>
        <w:rPr>
          <w:rFonts w:hint="eastAsia" w:ascii="宋体" w:hAnsi="宋体" w:eastAsia="宋体"/>
          <w:color w:val="auto"/>
          <w:sz w:val="21"/>
          <w:szCs w:val="21"/>
        </w:rPr>
        <w:t>（附投标人完成过的类似项目证明材料复印件，按评标办法要求提供）</w:t>
      </w:r>
    </w:p>
    <w:p>
      <w:pPr>
        <w:snapToGrid w:val="0"/>
        <w:spacing w:beforeLines="50" w:line="360" w:lineRule="exact"/>
        <w:ind w:firstLine="3784" w:firstLineChars="1720"/>
        <w:rPr>
          <w:color w:val="auto"/>
          <w:szCs w:val="21"/>
        </w:rPr>
      </w:pPr>
    </w:p>
    <w:p>
      <w:pPr>
        <w:snapToGrid w:val="0"/>
        <w:spacing w:beforeLines="50" w:line="360" w:lineRule="exact"/>
        <w:ind w:firstLine="3784" w:firstLineChars="1720"/>
        <w:rPr>
          <w:color w:val="auto"/>
          <w:szCs w:val="21"/>
        </w:rPr>
      </w:pPr>
      <w:r>
        <w:rPr>
          <w:rFonts w:hint="eastAsia"/>
          <w:color w:val="auto"/>
          <w:szCs w:val="21"/>
        </w:rPr>
        <w:t xml:space="preserve">投标人名称（盖单位公章）：   </w:t>
      </w:r>
    </w:p>
    <w:p>
      <w:pPr>
        <w:snapToGrid w:val="0"/>
        <w:spacing w:beforeLines="50" w:line="360" w:lineRule="exact"/>
        <w:ind w:firstLine="3784" w:firstLineChars="1720"/>
        <w:rPr>
          <w:color w:val="auto"/>
          <w:szCs w:val="21"/>
          <w:u w:val="single"/>
        </w:rPr>
      </w:pPr>
      <w:r>
        <w:rPr>
          <w:rFonts w:hint="eastAsia"/>
          <w:color w:val="auto"/>
          <w:szCs w:val="21"/>
        </w:rPr>
        <w:t>法定代表人或授权代理人签字：</w:t>
      </w:r>
    </w:p>
    <w:p>
      <w:pPr>
        <w:snapToGrid w:val="0"/>
        <w:spacing w:beforeLines="50" w:after="50" w:line="360" w:lineRule="exact"/>
        <w:ind w:firstLine="3740" w:firstLineChars="1700"/>
        <w:rPr>
          <w:color w:val="auto"/>
          <w:szCs w:val="21"/>
        </w:rPr>
      </w:pPr>
    </w:p>
    <w:p>
      <w:pPr>
        <w:snapToGrid w:val="0"/>
        <w:spacing w:beforeLines="50" w:after="50" w:line="360" w:lineRule="exact"/>
        <w:ind w:firstLine="220" w:firstLineChars="100"/>
        <w:rPr>
          <w:color w:val="auto"/>
          <w:szCs w:val="21"/>
        </w:rPr>
      </w:pPr>
      <w:r>
        <w:rPr>
          <w:rFonts w:hint="eastAsia"/>
          <w:color w:val="auto"/>
          <w:szCs w:val="21"/>
        </w:rPr>
        <w:t xml:space="preserve">                                          年    月    日</w:t>
      </w:r>
    </w:p>
    <w:p>
      <w:pPr>
        <w:snapToGrid w:val="0"/>
        <w:spacing w:before="50"/>
        <w:rPr>
          <w:color w:val="auto"/>
          <w:szCs w:val="21"/>
        </w:rPr>
      </w:pPr>
    </w:p>
    <w:p>
      <w:pPr>
        <w:snapToGrid w:val="0"/>
        <w:spacing w:before="50"/>
        <w:rPr>
          <w:color w:val="auto"/>
          <w:szCs w:val="21"/>
        </w:rPr>
      </w:pPr>
    </w:p>
    <w:p>
      <w:pPr>
        <w:snapToGrid w:val="0"/>
        <w:spacing w:before="50"/>
        <w:rPr>
          <w:color w:val="auto"/>
          <w:szCs w:val="21"/>
        </w:rPr>
      </w:pPr>
    </w:p>
    <w:p>
      <w:pPr>
        <w:snapToGrid w:val="0"/>
        <w:spacing w:before="50"/>
        <w:rPr>
          <w:color w:val="auto"/>
          <w:szCs w:val="21"/>
        </w:rPr>
      </w:pPr>
    </w:p>
    <w:p>
      <w:pPr>
        <w:snapToGrid w:val="0"/>
        <w:spacing w:before="50"/>
        <w:rPr>
          <w:color w:val="auto"/>
          <w:szCs w:val="21"/>
        </w:rPr>
      </w:pPr>
    </w:p>
    <w:p>
      <w:pPr>
        <w:snapToGrid w:val="0"/>
        <w:spacing w:before="50"/>
        <w:rPr>
          <w:color w:val="auto"/>
          <w:szCs w:val="21"/>
        </w:rPr>
      </w:pPr>
    </w:p>
    <w:p>
      <w:pPr>
        <w:snapToGrid w:val="0"/>
        <w:spacing w:before="50"/>
        <w:rPr>
          <w:color w:val="auto"/>
          <w:szCs w:val="21"/>
        </w:rPr>
      </w:pPr>
    </w:p>
    <w:p>
      <w:pPr>
        <w:snapToGrid w:val="0"/>
        <w:spacing w:before="50"/>
        <w:rPr>
          <w:color w:val="auto"/>
          <w:szCs w:val="21"/>
        </w:rPr>
      </w:pPr>
    </w:p>
    <w:p>
      <w:pPr>
        <w:snapToGrid w:val="0"/>
        <w:spacing w:before="50"/>
        <w:rPr>
          <w:color w:val="auto"/>
          <w:szCs w:val="21"/>
        </w:rPr>
      </w:pPr>
    </w:p>
    <w:p>
      <w:pPr>
        <w:snapToGrid w:val="0"/>
        <w:spacing w:before="50"/>
        <w:rPr>
          <w:color w:val="auto"/>
          <w:szCs w:val="21"/>
        </w:rPr>
      </w:pPr>
    </w:p>
    <w:p>
      <w:pPr>
        <w:snapToGrid w:val="0"/>
        <w:spacing w:before="50"/>
        <w:rPr>
          <w:color w:val="auto"/>
          <w:szCs w:val="21"/>
        </w:rPr>
      </w:pPr>
    </w:p>
    <w:p>
      <w:pPr>
        <w:snapToGrid w:val="0"/>
        <w:spacing w:before="50"/>
        <w:rPr>
          <w:color w:val="auto"/>
          <w:szCs w:val="21"/>
        </w:rPr>
      </w:pPr>
    </w:p>
    <w:p>
      <w:pPr>
        <w:snapToGrid w:val="0"/>
        <w:spacing w:before="50"/>
        <w:rPr>
          <w:color w:val="auto"/>
          <w:szCs w:val="21"/>
        </w:rPr>
      </w:pPr>
    </w:p>
    <w:p>
      <w:pPr>
        <w:snapToGrid w:val="0"/>
        <w:spacing w:before="50"/>
        <w:rPr>
          <w:color w:val="auto"/>
          <w:szCs w:val="21"/>
        </w:rPr>
      </w:pPr>
    </w:p>
    <w:p>
      <w:pPr>
        <w:snapToGrid w:val="0"/>
        <w:spacing w:before="50"/>
        <w:rPr>
          <w:color w:val="auto"/>
          <w:szCs w:val="21"/>
        </w:rPr>
      </w:pPr>
    </w:p>
    <w:p>
      <w:pPr>
        <w:snapToGrid w:val="0"/>
        <w:spacing w:before="50"/>
        <w:jc w:val="center"/>
        <w:rPr>
          <w:b/>
          <w:color w:val="auto"/>
        </w:rPr>
      </w:pPr>
      <w:r>
        <w:rPr>
          <w:rFonts w:hint="eastAsia"/>
          <w:b/>
          <w:color w:val="auto"/>
          <w:szCs w:val="21"/>
        </w:rPr>
        <w:t>3、投标人的</w:t>
      </w:r>
      <w:r>
        <w:rPr>
          <w:b/>
          <w:color w:val="auto"/>
          <w:szCs w:val="21"/>
        </w:rPr>
        <w:t>信誉、荣誉证书或文件</w:t>
      </w:r>
      <w:r>
        <w:rPr>
          <w:rFonts w:hint="eastAsia"/>
          <w:b/>
          <w:color w:val="auto"/>
          <w:szCs w:val="21"/>
        </w:rPr>
        <w:t>（</w:t>
      </w:r>
      <w:r>
        <w:rPr>
          <w:rFonts w:hint="eastAsia"/>
          <w:b/>
          <w:color w:val="auto"/>
        </w:rPr>
        <w:t>复印件）</w:t>
      </w:r>
    </w:p>
    <w:p>
      <w:pPr>
        <w:snapToGrid w:val="0"/>
        <w:spacing w:before="50"/>
        <w:rPr>
          <w:b/>
          <w:color w:val="auto"/>
        </w:rPr>
      </w:pPr>
    </w:p>
    <w:p>
      <w:pPr>
        <w:snapToGrid w:val="0"/>
        <w:spacing w:before="50"/>
        <w:ind w:firstLine="440" w:firstLineChars="200"/>
        <w:rPr>
          <w:color w:val="auto"/>
          <w:szCs w:val="21"/>
        </w:rPr>
      </w:pPr>
      <w:r>
        <w:rPr>
          <w:rFonts w:hint="eastAsia"/>
          <w:color w:val="auto"/>
          <w:szCs w:val="21"/>
        </w:rPr>
        <w:t>由投标人自行提供。</w:t>
      </w:r>
    </w:p>
    <w:p>
      <w:pPr>
        <w:snapToGrid w:val="0"/>
        <w:spacing w:before="50"/>
        <w:ind w:firstLine="440" w:firstLineChars="200"/>
        <w:rPr>
          <w:color w:val="auto"/>
        </w:rPr>
      </w:pPr>
    </w:p>
    <w:p>
      <w:pPr>
        <w:snapToGrid w:val="0"/>
        <w:spacing w:before="50"/>
        <w:ind w:firstLine="440" w:firstLineChars="200"/>
        <w:rPr>
          <w:color w:val="auto"/>
        </w:rPr>
      </w:pPr>
    </w:p>
    <w:p>
      <w:pPr>
        <w:snapToGrid w:val="0"/>
        <w:spacing w:before="50"/>
        <w:ind w:firstLine="440" w:firstLineChars="200"/>
        <w:rPr>
          <w:color w:val="auto"/>
        </w:rPr>
      </w:pPr>
    </w:p>
    <w:p>
      <w:pPr>
        <w:snapToGrid w:val="0"/>
        <w:spacing w:before="50"/>
        <w:ind w:firstLine="440" w:firstLineChars="200"/>
        <w:rPr>
          <w:color w:val="auto"/>
        </w:rPr>
      </w:pPr>
    </w:p>
    <w:p>
      <w:pPr>
        <w:snapToGrid w:val="0"/>
        <w:spacing w:before="50"/>
        <w:ind w:firstLine="440" w:firstLineChars="200"/>
        <w:rPr>
          <w:color w:val="auto"/>
        </w:rPr>
      </w:pPr>
    </w:p>
    <w:p>
      <w:pPr>
        <w:snapToGrid w:val="0"/>
        <w:spacing w:before="50"/>
        <w:ind w:firstLine="440" w:firstLineChars="200"/>
        <w:rPr>
          <w:color w:val="auto"/>
        </w:rPr>
      </w:pPr>
    </w:p>
    <w:p>
      <w:pPr>
        <w:snapToGrid w:val="0"/>
        <w:spacing w:line="420" w:lineRule="exact"/>
        <w:ind w:firstLine="433" w:firstLineChars="196"/>
        <w:jc w:val="center"/>
        <w:rPr>
          <w:b/>
          <w:color w:val="auto"/>
          <w:szCs w:val="21"/>
        </w:rPr>
      </w:pPr>
    </w:p>
    <w:p>
      <w:pPr>
        <w:snapToGrid w:val="0"/>
        <w:spacing w:line="420" w:lineRule="exact"/>
        <w:ind w:firstLine="433" w:firstLineChars="196"/>
        <w:jc w:val="center"/>
        <w:rPr>
          <w:b/>
          <w:color w:val="auto"/>
          <w:szCs w:val="21"/>
        </w:rPr>
      </w:pPr>
    </w:p>
    <w:p>
      <w:pPr>
        <w:snapToGrid w:val="0"/>
        <w:spacing w:line="420" w:lineRule="exact"/>
        <w:ind w:firstLine="433" w:firstLineChars="196"/>
        <w:jc w:val="center"/>
        <w:rPr>
          <w:b/>
          <w:color w:val="auto"/>
          <w:szCs w:val="21"/>
        </w:rPr>
      </w:pPr>
    </w:p>
    <w:p>
      <w:pPr>
        <w:snapToGrid w:val="0"/>
        <w:spacing w:line="420" w:lineRule="exact"/>
        <w:ind w:firstLine="433" w:firstLineChars="196"/>
        <w:jc w:val="center"/>
        <w:rPr>
          <w:b/>
          <w:color w:val="auto"/>
          <w:szCs w:val="21"/>
        </w:rPr>
      </w:pPr>
    </w:p>
    <w:p>
      <w:pPr>
        <w:snapToGrid w:val="0"/>
        <w:spacing w:line="420" w:lineRule="exact"/>
        <w:ind w:firstLine="433" w:firstLineChars="196"/>
        <w:jc w:val="center"/>
        <w:rPr>
          <w:b/>
          <w:color w:val="auto"/>
          <w:szCs w:val="21"/>
        </w:rPr>
      </w:pPr>
    </w:p>
    <w:p>
      <w:pPr>
        <w:snapToGrid w:val="0"/>
        <w:spacing w:line="420" w:lineRule="exact"/>
        <w:ind w:firstLine="433" w:firstLineChars="196"/>
        <w:jc w:val="center"/>
        <w:rPr>
          <w:b/>
          <w:color w:val="auto"/>
          <w:szCs w:val="21"/>
        </w:rPr>
      </w:pPr>
      <w:r>
        <w:rPr>
          <w:rFonts w:hint="eastAsia"/>
          <w:b/>
          <w:color w:val="auto"/>
          <w:szCs w:val="21"/>
        </w:rPr>
        <w:t>4、</w:t>
      </w:r>
      <w:r>
        <w:rPr>
          <w:b/>
          <w:color w:val="auto"/>
          <w:szCs w:val="21"/>
        </w:rPr>
        <w:t>投标人认为可以证明其能力或业绩的其它材料</w:t>
      </w:r>
      <w:r>
        <w:rPr>
          <w:rFonts w:hint="eastAsia"/>
          <w:b/>
          <w:color w:val="auto"/>
          <w:szCs w:val="21"/>
        </w:rPr>
        <w:t>（复印件）</w:t>
      </w:r>
    </w:p>
    <w:p>
      <w:pPr>
        <w:snapToGrid w:val="0"/>
        <w:spacing w:before="50"/>
        <w:ind w:firstLine="440" w:firstLineChars="200"/>
        <w:rPr>
          <w:color w:val="auto"/>
          <w:szCs w:val="21"/>
        </w:rPr>
      </w:pPr>
    </w:p>
    <w:p>
      <w:pPr>
        <w:snapToGrid w:val="0"/>
        <w:spacing w:before="50"/>
        <w:ind w:firstLine="440" w:firstLineChars="200"/>
        <w:rPr>
          <w:color w:val="auto"/>
          <w:szCs w:val="21"/>
        </w:rPr>
      </w:pPr>
      <w:r>
        <w:rPr>
          <w:rFonts w:hint="eastAsia"/>
          <w:color w:val="auto"/>
          <w:szCs w:val="21"/>
        </w:rPr>
        <w:t>由投标人自行提供。</w:t>
      </w:r>
    </w:p>
    <w:p>
      <w:pPr>
        <w:snapToGrid w:val="0"/>
        <w:spacing w:before="50"/>
        <w:ind w:firstLine="440" w:firstLineChars="200"/>
        <w:rPr>
          <w:color w:val="auto"/>
          <w:szCs w:val="21"/>
        </w:rPr>
      </w:pPr>
      <w:r>
        <w:rPr>
          <w:rFonts w:hint="eastAsia"/>
          <w:color w:val="auto"/>
          <w:szCs w:val="21"/>
        </w:rPr>
        <w:br w:type="page"/>
      </w:r>
    </w:p>
    <w:p>
      <w:pPr>
        <w:snapToGrid w:val="0"/>
        <w:spacing w:before="50"/>
        <w:ind w:firstLine="442" w:firstLineChars="200"/>
        <w:rPr>
          <w:color w:val="auto"/>
          <w:szCs w:val="21"/>
        </w:rPr>
      </w:pPr>
      <w:bookmarkStart w:id="235" w:name="_Toc1488_WPSOffice_Level1"/>
      <w:r>
        <w:rPr>
          <w:rFonts w:hint="eastAsia"/>
          <w:b/>
          <w:bCs/>
          <w:color w:val="auto"/>
          <w:szCs w:val="21"/>
        </w:rPr>
        <w:t>二、技术文件部分</w:t>
      </w:r>
      <w:bookmarkEnd w:id="235"/>
    </w:p>
    <w:p>
      <w:pPr>
        <w:snapToGrid w:val="0"/>
        <w:spacing w:line="420" w:lineRule="exact"/>
        <w:ind w:firstLine="442" w:firstLineChars="200"/>
        <w:jc w:val="center"/>
        <w:rPr>
          <w:b/>
          <w:color w:val="auto"/>
          <w:szCs w:val="21"/>
        </w:rPr>
      </w:pPr>
      <w:r>
        <w:rPr>
          <w:rFonts w:hint="eastAsia"/>
          <w:b/>
          <w:color w:val="auto"/>
          <w:szCs w:val="21"/>
        </w:rPr>
        <w:t>1、服务承诺</w:t>
      </w:r>
    </w:p>
    <w:p>
      <w:pPr>
        <w:snapToGrid w:val="0"/>
        <w:spacing w:line="420" w:lineRule="exact"/>
        <w:ind w:firstLine="440" w:firstLineChars="200"/>
        <w:rPr>
          <w:color w:val="auto"/>
          <w:szCs w:val="21"/>
        </w:rPr>
      </w:pPr>
      <w:r>
        <w:rPr>
          <w:rFonts w:hint="eastAsia"/>
          <w:color w:val="auto"/>
          <w:szCs w:val="21"/>
        </w:rPr>
        <w:t>投标人依据企业自身实际情况及招标文件第二章《招标项目采购需求》自行填写，格式自拟。</w:t>
      </w:r>
    </w:p>
    <w:p>
      <w:pPr>
        <w:snapToGrid w:val="0"/>
        <w:spacing w:line="420" w:lineRule="exact"/>
        <w:ind w:firstLine="442" w:firstLineChars="200"/>
        <w:jc w:val="center"/>
        <w:rPr>
          <w:b/>
          <w:color w:val="auto"/>
          <w:szCs w:val="21"/>
        </w:rPr>
      </w:pPr>
    </w:p>
    <w:p>
      <w:pPr>
        <w:snapToGrid w:val="0"/>
        <w:spacing w:line="420" w:lineRule="exact"/>
        <w:ind w:firstLine="442" w:firstLineChars="200"/>
        <w:jc w:val="center"/>
        <w:rPr>
          <w:b/>
          <w:color w:val="auto"/>
          <w:szCs w:val="21"/>
        </w:rPr>
      </w:pPr>
      <w:r>
        <w:rPr>
          <w:rFonts w:hint="eastAsia"/>
          <w:b/>
          <w:color w:val="auto"/>
          <w:szCs w:val="21"/>
        </w:rPr>
        <w:br w:type="page"/>
      </w:r>
    </w:p>
    <w:p>
      <w:pPr>
        <w:snapToGrid w:val="0"/>
        <w:spacing w:line="420" w:lineRule="exact"/>
        <w:ind w:firstLine="442" w:firstLineChars="200"/>
        <w:jc w:val="center"/>
        <w:rPr>
          <w:b/>
          <w:color w:val="auto"/>
          <w:szCs w:val="21"/>
        </w:rPr>
      </w:pPr>
      <w:r>
        <w:rPr>
          <w:rFonts w:hint="eastAsia"/>
          <w:b/>
          <w:color w:val="auto"/>
          <w:szCs w:val="21"/>
        </w:rPr>
        <w:t>2、服务方案（包含但不限于以下内容：工作计划和实施方案、质量控制措施、进度控制措施。）</w:t>
      </w:r>
    </w:p>
    <w:p>
      <w:pPr>
        <w:snapToGrid w:val="0"/>
        <w:spacing w:line="420" w:lineRule="exact"/>
        <w:ind w:firstLine="440" w:firstLineChars="200"/>
        <w:rPr>
          <w:color w:val="auto"/>
          <w:szCs w:val="21"/>
        </w:rPr>
      </w:pPr>
    </w:p>
    <w:p>
      <w:pPr>
        <w:snapToGrid w:val="0"/>
        <w:spacing w:line="420" w:lineRule="exact"/>
        <w:ind w:firstLine="440" w:firstLineChars="200"/>
        <w:rPr>
          <w:color w:val="auto"/>
          <w:szCs w:val="21"/>
        </w:rPr>
      </w:pPr>
      <w:r>
        <w:rPr>
          <w:rFonts w:hint="eastAsia"/>
          <w:color w:val="auto"/>
          <w:szCs w:val="21"/>
        </w:rPr>
        <w:t>投标人自行根据项目特点、企业自身情况及评分办法的内容提供，格式自拟</w:t>
      </w:r>
    </w:p>
    <w:p>
      <w:pPr>
        <w:snapToGrid w:val="0"/>
        <w:spacing w:line="420" w:lineRule="exact"/>
        <w:ind w:firstLine="442" w:firstLineChars="200"/>
        <w:jc w:val="center"/>
        <w:rPr>
          <w:b/>
          <w:color w:val="auto"/>
          <w:szCs w:val="21"/>
        </w:rPr>
      </w:pPr>
    </w:p>
    <w:p>
      <w:pPr>
        <w:snapToGrid w:val="0"/>
        <w:spacing w:line="420" w:lineRule="exact"/>
        <w:ind w:firstLine="442" w:firstLineChars="200"/>
        <w:jc w:val="center"/>
        <w:rPr>
          <w:b/>
          <w:color w:val="auto"/>
          <w:szCs w:val="21"/>
        </w:rPr>
      </w:pPr>
    </w:p>
    <w:p>
      <w:pPr>
        <w:snapToGrid w:val="0"/>
        <w:spacing w:line="420" w:lineRule="exact"/>
        <w:jc w:val="both"/>
        <w:rPr>
          <w:b/>
          <w:color w:val="auto"/>
          <w:szCs w:val="21"/>
        </w:rPr>
      </w:pPr>
    </w:p>
    <w:p>
      <w:pPr>
        <w:snapToGrid w:val="0"/>
        <w:spacing w:line="420" w:lineRule="exact"/>
        <w:ind w:firstLine="442" w:firstLineChars="200"/>
        <w:jc w:val="center"/>
        <w:rPr>
          <w:b/>
          <w:color w:val="auto"/>
          <w:szCs w:val="21"/>
        </w:rPr>
      </w:pPr>
      <w:r>
        <w:rPr>
          <w:rFonts w:hint="eastAsia"/>
          <w:b/>
          <w:color w:val="auto"/>
          <w:szCs w:val="21"/>
        </w:rPr>
        <w:t>3、项目实施人员一览表</w:t>
      </w:r>
    </w:p>
    <w:p>
      <w:pPr>
        <w:snapToGrid w:val="0"/>
        <w:spacing w:line="420" w:lineRule="exact"/>
        <w:ind w:firstLine="442" w:firstLineChars="200"/>
        <w:jc w:val="center"/>
        <w:rPr>
          <w:b/>
          <w:color w:val="auto"/>
          <w:szCs w:val="21"/>
        </w:rPr>
      </w:pPr>
      <w:r>
        <w:rPr>
          <w:rFonts w:hint="eastAsia"/>
          <w:b/>
          <w:color w:val="auto"/>
          <w:szCs w:val="21"/>
        </w:rPr>
        <w:t>3.1拟投入的实施人员基本情况表</w:t>
      </w:r>
    </w:p>
    <w:tbl>
      <w:tblPr>
        <w:tblStyle w:val="29"/>
        <w:tblW w:w="105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3"/>
        <w:gridCol w:w="923"/>
        <w:gridCol w:w="914"/>
        <w:gridCol w:w="956"/>
        <w:gridCol w:w="1325"/>
        <w:gridCol w:w="2287"/>
        <w:gridCol w:w="1816"/>
        <w:gridCol w:w="1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4" w:hRule="atLeast"/>
          <w:jc w:val="center"/>
        </w:trPr>
        <w:tc>
          <w:tcPr>
            <w:tcW w:w="923"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50"/>
              <w:jc w:val="center"/>
              <w:rPr>
                <w:color w:val="auto"/>
                <w:szCs w:val="21"/>
              </w:rPr>
            </w:pPr>
            <w:r>
              <w:rPr>
                <w:rFonts w:hint="eastAsia"/>
                <w:color w:val="auto"/>
                <w:szCs w:val="21"/>
              </w:rPr>
              <w:t>序号</w:t>
            </w:r>
          </w:p>
        </w:tc>
        <w:tc>
          <w:tcPr>
            <w:tcW w:w="923"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50"/>
              <w:jc w:val="center"/>
              <w:rPr>
                <w:color w:val="auto"/>
                <w:szCs w:val="21"/>
              </w:rPr>
            </w:pPr>
            <w:r>
              <w:rPr>
                <w:rFonts w:hint="eastAsia"/>
                <w:color w:val="auto"/>
                <w:szCs w:val="21"/>
              </w:rPr>
              <w:t>姓名</w:t>
            </w:r>
          </w:p>
        </w:tc>
        <w:tc>
          <w:tcPr>
            <w:tcW w:w="914"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50"/>
              <w:jc w:val="center"/>
              <w:rPr>
                <w:color w:val="auto"/>
                <w:szCs w:val="21"/>
              </w:rPr>
            </w:pPr>
            <w:r>
              <w:rPr>
                <w:rFonts w:hint="eastAsia"/>
                <w:color w:val="auto"/>
                <w:szCs w:val="21"/>
              </w:rPr>
              <w:t>专业</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50"/>
              <w:jc w:val="center"/>
              <w:rPr>
                <w:color w:val="auto"/>
                <w:szCs w:val="21"/>
              </w:rPr>
            </w:pPr>
            <w:r>
              <w:rPr>
                <w:rFonts w:hint="eastAsia"/>
                <w:color w:val="auto"/>
                <w:szCs w:val="21"/>
              </w:rPr>
              <w:t>职称</w:t>
            </w:r>
          </w:p>
        </w:tc>
        <w:tc>
          <w:tcPr>
            <w:tcW w:w="132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50"/>
              <w:jc w:val="center"/>
              <w:rPr>
                <w:color w:val="auto"/>
                <w:szCs w:val="21"/>
              </w:rPr>
            </w:pPr>
            <w:r>
              <w:rPr>
                <w:rFonts w:hint="eastAsia"/>
                <w:color w:val="auto"/>
                <w:szCs w:val="21"/>
              </w:rPr>
              <w:t>学历</w:t>
            </w:r>
          </w:p>
        </w:tc>
        <w:tc>
          <w:tcPr>
            <w:tcW w:w="228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50"/>
              <w:jc w:val="center"/>
              <w:rPr>
                <w:color w:val="auto"/>
                <w:szCs w:val="21"/>
              </w:rPr>
            </w:pPr>
            <w:r>
              <w:rPr>
                <w:rFonts w:hint="eastAsia"/>
                <w:color w:val="auto"/>
                <w:szCs w:val="21"/>
              </w:rPr>
              <w:t>注册证书编号</w:t>
            </w:r>
          </w:p>
        </w:tc>
        <w:tc>
          <w:tcPr>
            <w:tcW w:w="1816"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50"/>
              <w:jc w:val="center"/>
              <w:rPr>
                <w:color w:val="auto"/>
                <w:szCs w:val="21"/>
              </w:rPr>
            </w:pPr>
            <w:r>
              <w:rPr>
                <w:rFonts w:hint="eastAsia"/>
                <w:color w:val="auto"/>
                <w:szCs w:val="21"/>
              </w:rPr>
              <w:t>在本项目中拟担任的工作</w:t>
            </w:r>
          </w:p>
        </w:tc>
        <w:tc>
          <w:tcPr>
            <w:tcW w:w="137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50"/>
              <w:jc w:val="center"/>
              <w:rPr>
                <w:color w:val="auto"/>
                <w:szCs w:val="21"/>
              </w:rPr>
            </w:pPr>
            <w:r>
              <w:rPr>
                <w:rFonts w:hint="eastAsia"/>
                <w:color w:val="auto"/>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923" w:type="dxa"/>
            <w:tcBorders>
              <w:top w:val="single" w:color="auto" w:sz="4" w:space="0"/>
              <w:left w:val="single" w:color="auto" w:sz="4" w:space="0"/>
              <w:bottom w:val="single" w:color="auto" w:sz="4" w:space="0"/>
              <w:right w:val="single" w:color="auto" w:sz="4" w:space="0"/>
              <w:tl2br w:val="nil"/>
              <w:tr2bl w:val="nil"/>
            </w:tcBorders>
          </w:tcPr>
          <w:p>
            <w:pPr>
              <w:snapToGrid w:val="0"/>
              <w:spacing w:beforeLines="50"/>
              <w:rPr>
                <w:color w:val="auto"/>
                <w:szCs w:val="21"/>
              </w:rPr>
            </w:pPr>
          </w:p>
        </w:tc>
        <w:tc>
          <w:tcPr>
            <w:tcW w:w="923" w:type="dxa"/>
            <w:tcBorders>
              <w:top w:val="single" w:color="auto" w:sz="4" w:space="0"/>
              <w:left w:val="single" w:color="auto" w:sz="4" w:space="0"/>
              <w:bottom w:val="single" w:color="auto" w:sz="4" w:space="0"/>
              <w:right w:val="single" w:color="auto" w:sz="4" w:space="0"/>
              <w:tl2br w:val="nil"/>
              <w:tr2bl w:val="nil"/>
            </w:tcBorders>
          </w:tcPr>
          <w:p>
            <w:pPr>
              <w:snapToGrid w:val="0"/>
              <w:spacing w:beforeLines="50"/>
              <w:rPr>
                <w:color w:val="auto"/>
                <w:szCs w:val="21"/>
              </w:rPr>
            </w:pPr>
          </w:p>
        </w:tc>
        <w:tc>
          <w:tcPr>
            <w:tcW w:w="914" w:type="dxa"/>
            <w:tcBorders>
              <w:top w:val="single" w:color="auto" w:sz="4" w:space="0"/>
              <w:left w:val="single" w:color="auto" w:sz="4" w:space="0"/>
              <w:bottom w:val="single" w:color="auto" w:sz="4" w:space="0"/>
              <w:right w:val="single" w:color="auto" w:sz="4" w:space="0"/>
              <w:tl2br w:val="nil"/>
              <w:tr2bl w:val="nil"/>
            </w:tcBorders>
          </w:tcPr>
          <w:p>
            <w:pPr>
              <w:snapToGrid w:val="0"/>
              <w:spacing w:beforeLines="50"/>
              <w:rPr>
                <w:color w:val="auto"/>
                <w:szCs w:val="21"/>
              </w:rPr>
            </w:pPr>
          </w:p>
        </w:tc>
        <w:tc>
          <w:tcPr>
            <w:tcW w:w="956" w:type="dxa"/>
            <w:tcBorders>
              <w:top w:val="single" w:color="auto" w:sz="4" w:space="0"/>
              <w:left w:val="single" w:color="auto" w:sz="4" w:space="0"/>
              <w:bottom w:val="single" w:color="auto" w:sz="4" w:space="0"/>
              <w:right w:val="single" w:color="auto" w:sz="4" w:space="0"/>
              <w:tl2br w:val="nil"/>
              <w:tr2bl w:val="nil"/>
            </w:tcBorders>
          </w:tcPr>
          <w:p>
            <w:pPr>
              <w:snapToGrid w:val="0"/>
              <w:spacing w:beforeLines="50"/>
              <w:rPr>
                <w:color w:val="auto"/>
                <w:szCs w:val="21"/>
              </w:rPr>
            </w:pPr>
          </w:p>
        </w:tc>
        <w:tc>
          <w:tcPr>
            <w:tcW w:w="1325" w:type="dxa"/>
            <w:tcBorders>
              <w:top w:val="single" w:color="auto" w:sz="4" w:space="0"/>
              <w:left w:val="single" w:color="auto" w:sz="4" w:space="0"/>
              <w:bottom w:val="single" w:color="auto" w:sz="4" w:space="0"/>
              <w:right w:val="single" w:color="auto" w:sz="4" w:space="0"/>
              <w:tl2br w:val="nil"/>
              <w:tr2bl w:val="nil"/>
            </w:tcBorders>
          </w:tcPr>
          <w:p>
            <w:pPr>
              <w:snapToGrid w:val="0"/>
              <w:spacing w:beforeLines="50"/>
              <w:rPr>
                <w:color w:val="auto"/>
                <w:szCs w:val="21"/>
              </w:rPr>
            </w:pPr>
          </w:p>
        </w:tc>
        <w:tc>
          <w:tcPr>
            <w:tcW w:w="2287" w:type="dxa"/>
            <w:tcBorders>
              <w:top w:val="single" w:color="auto" w:sz="4" w:space="0"/>
              <w:left w:val="single" w:color="auto" w:sz="4" w:space="0"/>
              <w:bottom w:val="single" w:color="auto" w:sz="4" w:space="0"/>
              <w:right w:val="single" w:color="auto" w:sz="4" w:space="0"/>
              <w:tl2br w:val="nil"/>
              <w:tr2bl w:val="nil"/>
            </w:tcBorders>
          </w:tcPr>
          <w:p>
            <w:pPr>
              <w:snapToGrid w:val="0"/>
              <w:spacing w:beforeLines="50"/>
              <w:rPr>
                <w:color w:val="auto"/>
                <w:szCs w:val="21"/>
              </w:rPr>
            </w:pPr>
          </w:p>
        </w:tc>
        <w:tc>
          <w:tcPr>
            <w:tcW w:w="1816" w:type="dxa"/>
            <w:tcBorders>
              <w:top w:val="single" w:color="auto" w:sz="4" w:space="0"/>
              <w:left w:val="single" w:color="auto" w:sz="4" w:space="0"/>
              <w:bottom w:val="single" w:color="auto" w:sz="4" w:space="0"/>
              <w:right w:val="single" w:color="auto" w:sz="4" w:space="0"/>
              <w:tl2br w:val="nil"/>
              <w:tr2bl w:val="nil"/>
            </w:tcBorders>
          </w:tcPr>
          <w:p>
            <w:pPr>
              <w:snapToGrid w:val="0"/>
              <w:spacing w:beforeLines="50"/>
              <w:rPr>
                <w:color w:val="auto"/>
                <w:szCs w:val="21"/>
              </w:rPr>
            </w:pPr>
          </w:p>
        </w:tc>
        <w:tc>
          <w:tcPr>
            <w:tcW w:w="1371" w:type="dxa"/>
            <w:tcBorders>
              <w:top w:val="single" w:color="auto" w:sz="4" w:space="0"/>
              <w:left w:val="single" w:color="auto" w:sz="4" w:space="0"/>
              <w:bottom w:val="single" w:color="auto" w:sz="4" w:space="0"/>
              <w:right w:val="single" w:color="auto" w:sz="4" w:space="0"/>
              <w:tl2br w:val="nil"/>
              <w:tr2bl w:val="nil"/>
            </w:tcBorders>
          </w:tcPr>
          <w:p>
            <w:pPr>
              <w:snapToGrid w:val="0"/>
              <w:spacing w:beforeLines="50"/>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923" w:type="dxa"/>
            <w:tcBorders>
              <w:top w:val="single" w:color="auto" w:sz="4" w:space="0"/>
              <w:left w:val="single" w:color="auto" w:sz="4" w:space="0"/>
              <w:bottom w:val="single" w:color="auto" w:sz="4" w:space="0"/>
              <w:right w:val="single" w:color="auto" w:sz="4" w:space="0"/>
              <w:tl2br w:val="nil"/>
              <w:tr2bl w:val="nil"/>
            </w:tcBorders>
          </w:tcPr>
          <w:p>
            <w:pPr>
              <w:snapToGrid w:val="0"/>
              <w:spacing w:beforeLines="50"/>
              <w:rPr>
                <w:color w:val="auto"/>
                <w:szCs w:val="21"/>
              </w:rPr>
            </w:pPr>
          </w:p>
        </w:tc>
        <w:tc>
          <w:tcPr>
            <w:tcW w:w="923" w:type="dxa"/>
            <w:tcBorders>
              <w:top w:val="single" w:color="auto" w:sz="4" w:space="0"/>
              <w:left w:val="single" w:color="auto" w:sz="4" w:space="0"/>
              <w:bottom w:val="single" w:color="auto" w:sz="4" w:space="0"/>
              <w:right w:val="single" w:color="auto" w:sz="4" w:space="0"/>
              <w:tl2br w:val="nil"/>
              <w:tr2bl w:val="nil"/>
            </w:tcBorders>
          </w:tcPr>
          <w:p>
            <w:pPr>
              <w:snapToGrid w:val="0"/>
              <w:spacing w:beforeLines="50"/>
              <w:rPr>
                <w:color w:val="auto"/>
                <w:szCs w:val="21"/>
              </w:rPr>
            </w:pPr>
          </w:p>
        </w:tc>
        <w:tc>
          <w:tcPr>
            <w:tcW w:w="914" w:type="dxa"/>
            <w:tcBorders>
              <w:top w:val="single" w:color="auto" w:sz="4" w:space="0"/>
              <w:left w:val="single" w:color="auto" w:sz="4" w:space="0"/>
              <w:bottom w:val="single" w:color="auto" w:sz="4" w:space="0"/>
              <w:right w:val="single" w:color="auto" w:sz="4" w:space="0"/>
              <w:tl2br w:val="nil"/>
              <w:tr2bl w:val="nil"/>
            </w:tcBorders>
          </w:tcPr>
          <w:p>
            <w:pPr>
              <w:snapToGrid w:val="0"/>
              <w:spacing w:beforeLines="50"/>
              <w:rPr>
                <w:color w:val="auto"/>
                <w:szCs w:val="21"/>
              </w:rPr>
            </w:pPr>
          </w:p>
        </w:tc>
        <w:tc>
          <w:tcPr>
            <w:tcW w:w="956" w:type="dxa"/>
            <w:tcBorders>
              <w:top w:val="single" w:color="auto" w:sz="4" w:space="0"/>
              <w:left w:val="single" w:color="auto" w:sz="4" w:space="0"/>
              <w:bottom w:val="single" w:color="auto" w:sz="4" w:space="0"/>
              <w:right w:val="single" w:color="auto" w:sz="4" w:space="0"/>
              <w:tl2br w:val="nil"/>
              <w:tr2bl w:val="nil"/>
            </w:tcBorders>
          </w:tcPr>
          <w:p>
            <w:pPr>
              <w:snapToGrid w:val="0"/>
              <w:spacing w:beforeLines="50"/>
              <w:rPr>
                <w:color w:val="auto"/>
                <w:szCs w:val="21"/>
              </w:rPr>
            </w:pPr>
          </w:p>
        </w:tc>
        <w:tc>
          <w:tcPr>
            <w:tcW w:w="1325" w:type="dxa"/>
            <w:tcBorders>
              <w:top w:val="single" w:color="auto" w:sz="4" w:space="0"/>
              <w:left w:val="single" w:color="auto" w:sz="4" w:space="0"/>
              <w:bottom w:val="single" w:color="auto" w:sz="4" w:space="0"/>
              <w:right w:val="single" w:color="auto" w:sz="4" w:space="0"/>
              <w:tl2br w:val="nil"/>
              <w:tr2bl w:val="nil"/>
            </w:tcBorders>
          </w:tcPr>
          <w:p>
            <w:pPr>
              <w:snapToGrid w:val="0"/>
              <w:spacing w:beforeLines="50"/>
              <w:rPr>
                <w:color w:val="auto"/>
                <w:szCs w:val="21"/>
              </w:rPr>
            </w:pPr>
          </w:p>
        </w:tc>
        <w:tc>
          <w:tcPr>
            <w:tcW w:w="2287" w:type="dxa"/>
            <w:tcBorders>
              <w:top w:val="single" w:color="auto" w:sz="4" w:space="0"/>
              <w:left w:val="single" w:color="auto" w:sz="4" w:space="0"/>
              <w:bottom w:val="single" w:color="auto" w:sz="4" w:space="0"/>
              <w:right w:val="single" w:color="auto" w:sz="4" w:space="0"/>
              <w:tl2br w:val="nil"/>
              <w:tr2bl w:val="nil"/>
            </w:tcBorders>
          </w:tcPr>
          <w:p>
            <w:pPr>
              <w:snapToGrid w:val="0"/>
              <w:spacing w:beforeLines="50"/>
              <w:rPr>
                <w:color w:val="auto"/>
                <w:szCs w:val="21"/>
              </w:rPr>
            </w:pPr>
          </w:p>
        </w:tc>
        <w:tc>
          <w:tcPr>
            <w:tcW w:w="1816" w:type="dxa"/>
            <w:tcBorders>
              <w:top w:val="single" w:color="auto" w:sz="4" w:space="0"/>
              <w:left w:val="single" w:color="auto" w:sz="4" w:space="0"/>
              <w:bottom w:val="single" w:color="auto" w:sz="4" w:space="0"/>
              <w:right w:val="single" w:color="auto" w:sz="4" w:space="0"/>
              <w:tl2br w:val="nil"/>
              <w:tr2bl w:val="nil"/>
            </w:tcBorders>
          </w:tcPr>
          <w:p>
            <w:pPr>
              <w:snapToGrid w:val="0"/>
              <w:spacing w:beforeLines="50"/>
              <w:rPr>
                <w:color w:val="auto"/>
                <w:szCs w:val="21"/>
              </w:rPr>
            </w:pPr>
          </w:p>
        </w:tc>
        <w:tc>
          <w:tcPr>
            <w:tcW w:w="1371" w:type="dxa"/>
            <w:tcBorders>
              <w:top w:val="single" w:color="auto" w:sz="4" w:space="0"/>
              <w:left w:val="single" w:color="auto" w:sz="4" w:space="0"/>
              <w:bottom w:val="single" w:color="auto" w:sz="4" w:space="0"/>
              <w:right w:val="single" w:color="auto" w:sz="4" w:space="0"/>
              <w:tl2br w:val="nil"/>
              <w:tr2bl w:val="nil"/>
            </w:tcBorders>
          </w:tcPr>
          <w:p>
            <w:pPr>
              <w:snapToGrid w:val="0"/>
              <w:spacing w:beforeLines="50"/>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923" w:type="dxa"/>
            <w:tcBorders>
              <w:top w:val="single" w:color="auto" w:sz="4" w:space="0"/>
              <w:left w:val="single" w:color="auto" w:sz="4" w:space="0"/>
              <w:bottom w:val="single" w:color="auto" w:sz="4" w:space="0"/>
              <w:right w:val="single" w:color="auto" w:sz="4" w:space="0"/>
              <w:tl2br w:val="nil"/>
              <w:tr2bl w:val="nil"/>
            </w:tcBorders>
          </w:tcPr>
          <w:p>
            <w:pPr>
              <w:snapToGrid w:val="0"/>
              <w:spacing w:beforeLines="50"/>
              <w:rPr>
                <w:color w:val="auto"/>
                <w:szCs w:val="21"/>
              </w:rPr>
            </w:pPr>
          </w:p>
        </w:tc>
        <w:tc>
          <w:tcPr>
            <w:tcW w:w="923" w:type="dxa"/>
            <w:tcBorders>
              <w:top w:val="single" w:color="auto" w:sz="4" w:space="0"/>
              <w:left w:val="single" w:color="auto" w:sz="4" w:space="0"/>
              <w:bottom w:val="single" w:color="auto" w:sz="4" w:space="0"/>
              <w:right w:val="single" w:color="auto" w:sz="4" w:space="0"/>
              <w:tl2br w:val="nil"/>
              <w:tr2bl w:val="nil"/>
            </w:tcBorders>
          </w:tcPr>
          <w:p>
            <w:pPr>
              <w:snapToGrid w:val="0"/>
              <w:spacing w:beforeLines="50"/>
              <w:rPr>
                <w:color w:val="auto"/>
                <w:szCs w:val="21"/>
              </w:rPr>
            </w:pPr>
          </w:p>
        </w:tc>
        <w:tc>
          <w:tcPr>
            <w:tcW w:w="914" w:type="dxa"/>
            <w:tcBorders>
              <w:top w:val="single" w:color="auto" w:sz="4" w:space="0"/>
              <w:left w:val="single" w:color="auto" w:sz="4" w:space="0"/>
              <w:bottom w:val="single" w:color="auto" w:sz="4" w:space="0"/>
              <w:right w:val="single" w:color="auto" w:sz="4" w:space="0"/>
              <w:tl2br w:val="nil"/>
              <w:tr2bl w:val="nil"/>
            </w:tcBorders>
          </w:tcPr>
          <w:p>
            <w:pPr>
              <w:snapToGrid w:val="0"/>
              <w:spacing w:beforeLines="50"/>
              <w:rPr>
                <w:color w:val="auto"/>
                <w:szCs w:val="21"/>
              </w:rPr>
            </w:pPr>
          </w:p>
        </w:tc>
        <w:tc>
          <w:tcPr>
            <w:tcW w:w="956" w:type="dxa"/>
            <w:tcBorders>
              <w:top w:val="single" w:color="auto" w:sz="4" w:space="0"/>
              <w:left w:val="single" w:color="auto" w:sz="4" w:space="0"/>
              <w:bottom w:val="single" w:color="auto" w:sz="4" w:space="0"/>
              <w:right w:val="single" w:color="auto" w:sz="4" w:space="0"/>
              <w:tl2br w:val="nil"/>
              <w:tr2bl w:val="nil"/>
            </w:tcBorders>
          </w:tcPr>
          <w:p>
            <w:pPr>
              <w:pStyle w:val="17"/>
              <w:snapToGrid w:val="0"/>
              <w:spacing w:beforeLines="50"/>
              <w:ind w:left="0" w:leftChars="0"/>
              <w:rPr>
                <w:rFonts w:hAnsi="宋体" w:cs="宋体"/>
                <w:color w:val="auto"/>
              </w:rPr>
            </w:pPr>
          </w:p>
        </w:tc>
        <w:tc>
          <w:tcPr>
            <w:tcW w:w="1325" w:type="dxa"/>
            <w:tcBorders>
              <w:top w:val="single" w:color="auto" w:sz="4" w:space="0"/>
              <w:left w:val="single" w:color="auto" w:sz="4" w:space="0"/>
              <w:bottom w:val="single" w:color="auto" w:sz="4" w:space="0"/>
              <w:right w:val="single" w:color="auto" w:sz="4" w:space="0"/>
              <w:tl2br w:val="nil"/>
              <w:tr2bl w:val="nil"/>
            </w:tcBorders>
          </w:tcPr>
          <w:p>
            <w:pPr>
              <w:snapToGrid w:val="0"/>
              <w:spacing w:beforeLines="50"/>
              <w:rPr>
                <w:color w:val="auto"/>
                <w:szCs w:val="21"/>
              </w:rPr>
            </w:pPr>
          </w:p>
        </w:tc>
        <w:tc>
          <w:tcPr>
            <w:tcW w:w="2287" w:type="dxa"/>
            <w:tcBorders>
              <w:top w:val="single" w:color="auto" w:sz="4" w:space="0"/>
              <w:left w:val="single" w:color="auto" w:sz="4" w:space="0"/>
              <w:bottom w:val="single" w:color="auto" w:sz="4" w:space="0"/>
              <w:right w:val="single" w:color="auto" w:sz="4" w:space="0"/>
              <w:tl2br w:val="nil"/>
              <w:tr2bl w:val="nil"/>
            </w:tcBorders>
          </w:tcPr>
          <w:p>
            <w:pPr>
              <w:snapToGrid w:val="0"/>
              <w:spacing w:beforeLines="50"/>
              <w:rPr>
                <w:color w:val="auto"/>
                <w:szCs w:val="21"/>
              </w:rPr>
            </w:pPr>
          </w:p>
        </w:tc>
        <w:tc>
          <w:tcPr>
            <w:tcW w:w="1816" w:type="dxa"/>
            <w:tcBorders>
              <w:top w:val="single" w:color="auto" w:sz="4" w:space="0"/>
              <w:left w:val="single" w:color="auto" w:sz="4" w:space="0"/>
              <w:bottom w:val="single" w:color="auto" w:sz="4" w:space="0"/>
              <w:right w:val="single" w:color="auto" w:sz="4" w:space="0"/>
              <w:tl2br w:val="nil"/>
              <w:tr2bl w:val="nil"/>
            </w:tcBorders>
          </w:tcPr>
          <w:p>
            <w:pPr>
              <w:snapToGrid w:val="0"/>
              <w:spacing w:beforeLines="50"/>
              <w:rPr>
                <w:color w:val="auto"/>
                <w:szCs w:val="21"/>
              </w:rPr>
            </w:pPr>
          </w:p>
        </w:tc>
        <w:tc>
          <w:tcPr>
            <w:tcW w:w="1371" w:type="dxa"/>
            <w:tcBorders>
              <w:top w:val="single" w:color="auto" w:sz="4" w:space="0"/>
              <w:left w:val="single" w:color="auto" w:sz="4" w:space="0"/>
              <w:bottom w:val="single" w:color="auto" w:sz="4" w:space="0"/>
              <w:right w:val="single" w:color="auto" w:sz="4" w:space="0"/>
              <w:tl2br w:val="nil"/>
              <w:tr2bl w:val="nil"/>
            </w:tcBorders>
          </w:tcPr>
          <w:p>
            <w:pPr>
              <w:snapToGrid w:val="0"/>
              <w:spacing w:beforeLines="50"/>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923" w:type="dxa"/>
            <w:tcBorders>
              <w:top w:val="single" w:color="auto" w:sz="4" w:space="0"/>
              <w:left w:val="single" w:color="auto" w:sz="4" w:space="0"/>
              <w:bottom w:val="single" w:color="auto" w:sz="4" w:space="0"/>
              <w:right w:val="single" w:color="auto" w:sz="4" w:space="0"/>
              <w:tl2br w:val="nil"/>
              <w:tr2bl w:val="nil"/>
            </w:tcBorders>
          </w:tcPr>
          <w:p>
            <w:pPr>
              <w:snapToGrid w:val="0"/>
              <w:spacing w:beforeLines="50"/>
              <w:rPr>
                <w:color w:val="auto"/>
                <w:szCs w:val="21"/>
              </w:rPr>
            </w:pPr>
          </w:p>
        </w:tc>
        <w:tc>
          <w:tcPr>
            <w:tcW w:w="923" w:type="dxa"/>
            <w:tcBorders>
              <w:top w:val="single" w:color="auto" w:sz="4" w:space="0"/>
              <w:left w:val="single" w:color="auto" w:sz="4" w:space="0"/>
              <w:bottom w:val="single" w:color="auto" w:sz="4" w:space="0"/>
              <w:right w:val="single" w:color="auto" w:sz="4" w:space="0"/>
              <w:tl2br w:val="nil"/>
              <w:tr2bl w:val="nil"/>
            </w:tcBorders>
          </w:tcPr>
          <w:p>
            <w:pPr>
              <w:snapToGrid w:val="0"/>
              <w:spacing w:beforeLines="50"/>
              <w:rPr>
                <w:color w:val="auto"/>
                <w:szCs w:val="21"/>
              </w:rPr>
            </w:pPr>
          </w:p>
        </w:tc>
        <w:tc>
          <w:tcPr>
            <w:tcW w:w="914" w:type="dxa"/>
            <w:tcBorders>
              <w:top w:val="single" w:color="auto" w:sz="4" w:space="0"/>
              <w:left w:val="single" w:color="auto" w:sz="4" w:space="0"/>
              <w:bottom w:val="single" w:color="auto" w:sz="4" w:space="0"/>
              <w:right w:val="single" w:color="auto" w:sz="4" w:space="0"/>
              <w:tl2br w:val="nil"/>
              <w:tr2bl w:val="nil"/>
            </w:tcBorders>
          </w:tcPr>
          <w:p>
            <w:pPr>
              <w:snapToGrid w:val="0"/>
              <w:spacing w:beforeLines="50"/>
              <w:rPr>
                <w:color w:val="auto"/>
                <w:szCs w:val="21"/>
              </w:rPr>
            </w:pPr>
          </w:p>
        </w:tc>
        <w:tc>
          <w:tcPr>
            <w:tcW w:w="956" w:type="dxa"/>
            <w:tcBorders>
              <w:top w:val="single" w:color="auto" w:sz="4" w:space="0"/>
              <w:left w:val="single" w:color="auto" w:sz="4" w:space="0"/>
              <w:bottom w:val="single" w:color="auto" w:sz="4" w:space="0"/>
              <w:right w:val="single" w:color="auto" w:sz="4" w:space="0"/>
              <w:tl2br w:val="nil"/>
              <w:tr2bl w:val="nil"/>
            </w:tcBorders>
          </w:tcPr>
          <w:p>
            <w:pPr>
              <w:pStyle w:val="17"/>
              <w:snapToGrid w:val="0"/>
              <w:spacing w:beforeLines="50"/>
              <w:ind w:left="0" w:leftChars="0"/>
              <w:rPr>
                <w:rFonts w:hAnsi="宋体" w:cs="宋体"/>
                <w:color w:val="auto"/>
              </w:rPr>
            </w:pPr>
          </w:p>
        </w:tc>
        <w:tc>
          <w:tcPr>
            <w:tcW w:w="1325" w:type="dxa"/>
            <w:tcBorders>
              <w:top w:val="single" w:color="auto" w:sz="4" w:space="0"/>
              <w:left w:val="single" w:color="auto" w:sz="4" w:space="0"/>
              <w:bottom w:val="single" w:color="auto" w:sz="4" w:space="0"/>
              <w:right w:val="single" w:color="auto" w:sz="4" w:space="0"/>
              <w:tl2br w:val="nil"/>
              <w:tr2bl w:val="nil"/>
            </w:tcBorders>
          </w:tcPr>
          <w:p>
            <w:pPr>
              <w:snapToGrid w:val="0"/>
              <w:spacing w:beforeLines="50"/>
              <w:rPr>
                <w:color w:val="auto"/>
                <w:szCs w:val="21"/>
              </w:rPr>
            </w:pPr>
          </w:p>
        </w:tc>
        <w:tc>
          <w:tcPr>
            <w:tcW w:w="2287" w:type="dxa"/>
            <w:tcBorders>
              <w:top w:val="single" w:color="auto" w:sz="4" w:space="0"/>
              <w:left w:val="single" w:color="auto" w:sz="4" w:space="0"/>
              <w:bottom w:val="single" w:color="auto" w:sz="4" w:space="0"/>
              <w:right w:val="single" w:color="auto" w:sz="4" w:space="0"/>
              <w:tl2br w:val="nil"/>
              <w:tr2bl w:val="nil"/>
            </w:tcBorders>
          </w:tcPr>
          <w:p>
            <w:pPr>
              <w:snapToGrid w:val="0"/>
              <w:spacing w:beforeLines="50"/>
              <w:rPr>
                <w:color w:val="auto"/>
                <w:szCs w:val="21"/>
              </w:rPr>
            </w:pPr>
          </w:p>
        </w:tc>
        <w:tc>
          <w:tcPr>
            <w:tcW w:w="1816" w:type="dxa"/>
            <w:tcBorders>
              <w:top w:val="single" w:color="auto" w:sz="4" w:space="0"/>
              <w:left w:val="single" w:color="auto" w:sz="4" w:space="0"/>
              <w:bottom w:val="single" w:color="auto" w:sz="4" w:space="0"/>
              <w:right w:val="single" w:color="auto" w:sz="4" w:space="0"/>
              <w:tl2br w:val="nil"/>
              <w:tr2bl w:val="nil"/>
            </w:tcBorders>
          </w:tcPr>
          <w:p>
            <w:pPr>
              <w:snapToGrid w:val="0"/>
              <w:spacing w:beforeLines="50"/>
              <w:rPr>
                <w:color w:val="auto"/>
                <w:szCs w:val="21"/>
              </w:rPr>
            </w:pPr>
          </w:p>
        </w:tc>
        <w:tc>
          <w:tcPr>
            <w:tcW w:w="1371" w:type="dxa"/>
            <w:tcBorders>
              <w:top w:val="single" w:color="auto" w:sz="4" w:space="0"/>
              <w:left w:val="single" w:color="auto" w:sz="4" w:space="0"/>
              <w:bottom w:val="single" w:color="auto" w:sz="4" w:space="0"/>
              <w:right w:val="single" w:color="auto" w:sz="4" w:space="0"/>
              <w:tl2br w:val="nil"/>
              <w:tr2bl w:val="nil"/>
            </w:tcBorders>
          </w:tcPr>
          <w:p>
            <w:pPr>
              <w:snapToGrid w:val="0"/>
              <w:spacing w:beforeLines="50"/>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923" w:type="dxa"/>
            <w:tcBorders>
              <w:top w:val="single" w:color="auto" w:sz="4" w:space="0"/>
              <w:left w:val="single" w:color="auto" w:sz="4" w:space="0"/>
              <w:bottom w:val="single" w:color="auto" w:sz="4" w:space="0"/>
              <w:right w:val="single" w:color="auto" w:sz="4" w:space="0"/>
              <w:tl2br w:val="nil"/>
              <w:tr2bl w:val="nil"/>
            </w:tcBorders>
          </w:tcPr>
          <w:p>
            <w:pPr>
              <w:snapToGrid w:val="0"/>
              <w:spacing w:beforeLines="50"/>
              <w:rPr>
                <w:color w:val="auto"/>
                <w:szCs w:val="21"/>
              </w:rPr>
            </w:pPr>
          </w:p>
        </w:tc>
        <w:tc>
          <w:tcPr>
            <w:tcW w:w="923" w:type="dxa"/>
            <w:tcBorders>
              <w:top w:val="single" w:color="auto" w:sz="4" w:space="0"/>
              <w:left w:val="single" w:color="auto" w:sz="4" w:space="0"/>
              <w:bottom w:val="single" w:color="auto" w:sz="4" w:space="0"/>
              <w:right w:val="single" w:color="auto" w:sz="4" w:space="0"/>
              <w:tl2br w:val="nil"/>
              <w:tr2bl w:val="nil"/>
            </w:tcBorders>
          </w:tcPr>
          <w:p>
            <w:pPr>
              <w:snapToGrid w:val="0"/>
              <w:spacing w:beforeLines="50"/>
              <w:rPr>
                <w:color w:val="auto"/>
                <w:szCs w:val="21"/>
              </w:rPr>
            </w:pPr>
          </w:p>
        </w:tc>
        <w:tc>
          <w:tcPr>
            <w:tcW w:w="914" w:type="dxa"/>
            <w:tcBorders>
              <w:top w:val="single" w:color="auto" w:sz="4" w:space="0"/>
              <w:left w:val="single" w:color="auto" w:sz="4" w:space="0"/>
              <w:bottom w:val="single" w:color="auto" w:sz="4" w:space="0"/>
              <w:right w:val="single" w:color="auto" w:sz="4" w:space="0"/>
              <w:tl2br w:val="nil"/>
              <w:tr2bl w:val="nil"/>
            </w:tcBorders>
          </w:tcPr>
          <w:p>
            <w:pPr>
              <w:snapToGrid w:val="0"/>
              <w:spacing w:beforeLines="50"/>
              <w:rPr>
                <w:color w:val="auto"/>
                <w:szCs w:val="21"/>
              </w:rPr>
            </w:pPr>
          </w:p>
        </w:tc>
        <w:tc>
          <w:tcPr>
            <w:tcW w:w="956" w:type="dxa"/>
            <w:tcBorders>
              <w:top w:val="single" w:color="auto" w:sz="4" w:space="0"/>
              <w:left w:val="single" w:color="auto" w:sz="4" w:space="0"/>
              <w:bottom w:val="single" w:color="auto" w:sz="4" w:space="0"/>
              <w:right w:val="single" w:color="auto" w:sz="4" w:space="0"/>
              <w:tl2br w:val="nil"/>
              <w:tr2bl w:val="nil"/>
            </w:tcBorders>
          </w:tcPr>
          <w:p>
            <w:pPr>
              <w:pStyle w:val="17"/>
              <w:snapToGrid w:val="0"/>
              <w:spacing w:beforeLines="50"/>
              <w:ind w:left="0" w:leftChars="0"/>
              <w:rPr>
                <w:rFonts w:hAnsi="宋体" w:cs="宋体"/>
                <w:color w:val="auto"/>
              </w:rPr>
            </w:pPr>
          </w:p>
        </w:tc>
        <w:tc>
          <w:tcPr>
            <w:tcW w:w="1325" w:type="dxa"/>
            <w:tcBorders>
              <w:top w:val="single" w:color="auto" w:sz="4" w:space="0"/>
              <w:left w:val="single" w:color="auto" w:sz="4" w:space="0"/>
              <w:bottom w:val="single" w:color="auto" w:sz="4" w:space="0"/>
              <w:right w:val="single" w:color="auto" w:sz="4" w:space="0"/>
              <w:tl2br w:val="nil"/>
              <w:tr2bl w:val="nil"/>
            </w:tcBorders>
          </w:tcPr>
          <w:p>
            <w:pPr>
              <w:snapToGrid w:val="0"/>
              <w:spacing w:beforeLines="50"/>
              <w:rPr>
                <w:color w:val="auto"/>
                <w:szCs w:val="21"/>
              </w:rPr>
            </w:pPr>
          </w:p>
        </w:tc>
        <w:tc>
          <w:tcPr>
            <w:tcW w:w="2287" w:type="dxa"/>
            <w:tcBorders>
              <w:top w:val="single" w:color="auto" w:sz="4" w:space="0"/>
              <w:left w:val="single" w:color="auto" w:sz="4" w:space="0"/>
              <w:bottom w:val="single" w:color="auto" w:sz="4" w:space="0"/>
              <w:right w:val="single" w:color="auto" w:sz="4" w:space="0"/>
              <w:tl2br w:val="nil"/>
              <w:tr2bl w:val="nil"/>
            </w:tcBorders>
          </w:tcPr>
          <w:p>
            <w:pPr>
              <w:snapToGrid w:val="0"/>
              <w:spacing w:beforeLines="50"/>
              <w:rPr>
                <w:color w:val="auto"/>
                <w:szCs w:val="21"/>
              </w:rPr>
            </w:pPr>
          </w:p>
        </w:tc>
        <w:tc>
          <w:tcPr>
            <w:tcW w:w="1816" w:type="dxa"/>
            <w:tcBorders>
              <w:top w:val="single" w:color="auto" w:sz="4" w:space="0"/>
              <w:left w:val="single" w:color="auto" w:sz="4" w:space="0"/>
              <w:bottom w:val="single" w:color="auto" w:sz="4" w:space="0"/>
              <w:right w:val="single" w:color="auto" w:sz="4" w:space="0"/>
              <w:tl2br w:val="nil"/>
              <w:tr2bl w:val="nil"/>
            </w:tcBorders>
          </w:tcPr>
          <w:p>
            <w:pPr>
              <w:snapToGrid w:val="0"/>
              <w:spacing w:beforeLines="50"/>
              <w:rPr>
                <w:color w:val="auto"/>
                <w:szCs w:val="21"/>
              </w:rPr>
            </w:pPr>
          </w:p>
        </w:tc>
        <w:tc>
          <w:tcPr>
            <w:tcW w:w="1371" w:type="dxa"/>
            <w:tcBorders>
              <w:top w:val="single" w:color="auto" w:sz="4" w:space="0"/>
              <w:left w:val="single" w:color="auto" w:sz="4" w:space="0"/>
              <w:bottom w:val="single" w:color="auto" w:sz="4" w:space="0"/>
              <w:right w:val="single" w:color="auto" w:sz="4" w:space="0"/>
              <w:tl2br w:val="nil"/>
              <w:tr2bl w:val="nil"/>
            </w:tcBorders>
          </w:tcPr>
          <w:p>
            <w:pPr>
              <w:snapToGrid w:val="0"/>
              <w:spacing w:beforeLines="50"/>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923" w:type="dxa"/>
            <w:tcBorders>
              <w:top w:val="single" w:color="auto" w:sz="4" w:space="0"/>
              <w:left w:val="single" w:color="auto" w:sz="4" w:space="0"/>
              <w:bottom w:val="single" w:color="auto" w:sz="4" w:space="0"/>
              <w:right w:val="single" w:color="auto" w:sz="4" w:space="0"/>
              <w:tl2br w:val="nil"/>
              <w:tr2bl w:val="nil"/>
            </w:tcBorders>
          </w:tcPr>
          <w:p>
            <w:pPr>
              <w:snapToGrid w:val="0"/>
              <w:spacing w:beforeLines="50"/>
              <w:rPr>
                <w:color w:val="auto"/>
                <w:szCs w:val="21"/>
              </w:rPr>
            </w:pPr>
          </w:p>
        </w:tc>
        <w:tc>
          <w:tcPr>
            <w:tcW w:w="923" w:type="dxa"/>
            <w:tcBorders>
              <w:top w:val="single" w:color="auto" w:sz="4" w:space="0"/>
              <w:left w:val="single" w:color="auto" w:sz="4" w:space="0"/>
              <w:bottom w:val="single" w:color="auto" w:sz="4" w:space="0"/>
              <w:right w:val="single" w:color="auto" w:sz="4" w:space="0"/>
              <w:tl2br w:val="nil"/>
              <w:tr2bl w:val="nil"/>
            </w:tcBorders>
          </w:tcPr>
          <w:p>
            <w:pPr>
              <w:snapToGrid w:val="0"/>
              <w:spacing w:beforeLines="50"/>
              <w:rPr>
                <w:color w:val="auto"/>
                <w:szCs w:val="21"/>
              </w:rPr>
            </w:pPr>
          </w:p>
        </w:tc>
        <w:tc>
          <w:tcPr>
            <w:tcW w:w="914" w:type="dxa"/>
            <w:tcBorders>
              <w:top w:val="single" w:color="auto" w:sz="4" w:space="0"/>
              <w:left w:val="single" w:color="auto" w:sz="4" w:space="0"/>
              <w:bottom w:val="single" w:color="auto" w:sz="4" w:space="0"/>
              <w:right w:val="single" w:color="auto" w:sz="4" w:space="0"/>
              <w:tl2br w:val="nil"/>
              <w:tr2bl w:val="nil"/>
            </w:tcBorders>
          </w:tcPr>
          <w:p>
            <w:pPr>
              <w:snapToGrid w:val="0"/>
              <w:spacing w:beforeLines="50"/>
              <w:rPr>
                <w:color w:val="auto"/>
                <w:szCs w:val="21"/>
              </w:rPr>
            </w:pPr>
          </w:p>
        </w:tc>
        <w:tc>
          <w:tcPr>
            <w:tcW w:w="956" w:type="dxa"/>
            <w:tcBorders>
              <w:top w:val="single" w:color="auto" w:sz="4" w:space="0"/>
              <w:left w:val="single" w:color="auto" w:sz="4" w:space="0"/>
              <w:bottom w:val="single" w:color="auto" w:sz="4" w:space="0"/>
              <w:right w:val="single" w:color="auto" w:sz="4" w:space="0"/>
              <w:tl2br w:val="nil"/>
              <w:tr2bl w:val="nil"/>
            </w:tcBorders>
          </w:tcPr>
          <w:p>
            <w:pPr>
              <w:pStyle w:val="17"/>
              <w:snapToGrid w:val="0"/>
              <w:spacing w:beforeLines="50"/>
              <w:ind w:left="0" w:leftChars="0"/>
              <w:rPr>
                <w:rFonts w:hAnsi="宋体" w:cs="宋体"/>
                <w:color w:val="auto"/>
              </w:rPr>
            </w:pPr>
          </w:p>
        </w:tc>
        <w:tc>
          <w:tcPr>
            <w:tcW w:w="1325" w:type="dxa"/>
            <w:tcBorders>
              <w:top w:val="single" w:color="auto" w:sz="4" w:space="0"/>
              <w:left w:val="single" w:color="auto" w:sz="4" w:space="0"/>
              <w:bottom w:val="single" w:color="auto" w:sz="4" w:space="0"/>
              <w:right w:val="single" w:color="auto" w:sz="4" w:space="0"/>
              <w:tl2br w:val="nil"/>
              <w:tr2bl w:val="nil"/>
            </w:tcBorders>
          </w:tcPr>
          <w:p>
            <w:pPr>
              <w:snapToGrid w:val="0"/>
              <w:spacing w:beforeLines="50"/>
              <w:rPr>
                <w:color w:val="auto"/>
                <w:szCs w:val="21"/>
              </w:rPr>
            </w:pPr>
          </w:p>
        </w:tc>
        <w:tc>
          <w:tcPr>
            <w:tcW w:w="2287" w:type="dxa"/>
            <w:tcBorders>
              <w:top w:val="single" w:color="auto" w:sz="4" w:space="0"/>
              <w:left w:val="single" w:color="auto" w:sz="4" w:space="0"/>
              <w:bottom w:val="single" w:color="auto" w:sz="4" w:space="0"/>
              <w:right w:val="single" w:color="auto" w:sz="4" w:space="0"/>
              <w:tl2br w:val="nil"/>
              <w:tr2bl w:val="nil"/>
            </w:tcBorders>
          </w:tcPr>
          <w:p>
            <w:pPr>
              <w:snapToGrid w:val="0"/>
              <w:spacing w:beforeLines="50"/>
              <w:rPr>
                <w:color w:val="auto"/>
                <w:szCs w:val="21"/>
              </w:rPr>
            </w:pPr>
          </w:p>
        </w:tc>
        <w:tc>
          <w:tcPr>
            <w:tcW w:w="1816" w:type="dxa"/>
            <w:tcBorders>
              <w:top w:val="single" w:color="auto" w:sz="4" w:space="0"/>
              <w:left w:val="single" w:color="auto" w:sz="4" w:space="0"/>
              <w:bottom w:val="single" w:color="auto" w:sz="4" w:space="0"/>
              <w:right w:val="single" w:color="auto" w:sz="4" w:space="0"/>
              <w:tl2br w:val="nil"/>
              <w:tr2bl w:val="nil"/>
            </w:tcBorders>
          </w:tcPr>
          <w:p>
            <w:pPr>
              <w:snapToGrid w:val="0"/>
              <w:spacing w:beforeLines="50"/>
              <w:rPr>
                <w:color w:val="auto"/>
                <w:szCs w:val="21"/>
              </w:rPr>
            </w:pPr>
          </w:p>
        </w:tc>
        <w:tc>
          <w:tcPr>
            <w:tcW w:w="1371" w:type="dxa"/>
            <w:tcBorders>
              <w:top w:val="single" w:color="auto" w:sz="4" w:space="0"/>
              <w:left w:val="single" w:color="auto" w:sz="4" w:space="0"/>
              <w:bottom w:val="single" w:color="auto" w:sz="4" w:space="0"/>
              <w:right w:val="single" w:color="auto" w:sz="4" w:space="0"/>
              <w:tl2br w:val="nil"/>
              <w:tr2bl w:val="nil"/>
            </w:tcBorders>
          </w:tcPr>
          <w:p>
            <w:pPr>
              <w:snapToGrid w:val="0"/>
              <w:spacing w:beforeLines="50"/>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23" w:type="dxa"/>
            <w:tcBorders>
              <w:top w:val="single" w:color="auto" w:sz="4" w:space="0"/>
              <w:left w:val="single" w:color="auto" w:sz="4" w:space="0"/>
              <w:bottom w:val="single" w:color="auto" w:sz="4" w:space="0"/>
              <w:right w:val="single" w:color="auto" w:sz="4" w:space="0"/>
              <w:tl2br w:val="nil"/>
              <w:tr2bl w:val="nil"/>
            </w:tcBorders>
          </w:tcPr>
          <w:p>
            <w:pPr>
              <w:snapToGrid w:val="0"/>
              <w:spacing w:beforeLines="50"/>
              <w:rPr>
                <w:color w:val="auto"/>
                <w:szCs w:val="21"/>
              </w:rPr>
            </w:pPr>
          </w:p>
        </w:tc>
        <w:tc>
          <w:tcPr>
            <w:tcW w:w="923" w:type="dxa"/>
            <w:tcBorders>
              <w:top w:val="single" w:color="auto" w:sz="4" w:space="0"/>
              <w:left w:val="single" w:color="auto" w:sz="4" w:space="0"/>
              <w:bottom w:val="single" w:color="auto" w:sz="4" w:space="0"/>
              <w:right w:val="single" w:color="auto" w:sz="4" w:space="0"/>
              <w:tl2br w:val="nil"/>
              <w:tr2bl w:val="nil"/>
            </w:tcBorders>
          </w:tcPr>
          <w:p>
            <w:pPr>
              <w:snapToGrid w:val="0"/>
              <w:spacing w:beforeLines="50"/>
              <w:rPr>
                <w:color w:val="auto"/>
                <w:szCs w:val="21"/>
              </w:rPr>
            </w:pPr>
          </w:p>
        </w:tc>
        <w:tc>
          <w:tcPr>
            <w:tcW w:w="914" w:type="dxa"/>
            <w:tcBorders>
              <w:top w:val="single" w:color="auto" w:sz="4" w:space="0"/>
              <w:left w:val="single" w:color="auto" w:sz="4" w:space="0"/>
              <w:bottom w:val="single" w:color="auto" w:sz="4" w:space="0"/>
              <w:right w:val="single" w:color="auto" w:sz="4" w:space="0"/>
              <w:tl2br w:val="nil"/>
              <w:tr2bl w:val="nil"/>
            </w:tcBorders>
          </w:tcPr>
          <w:p>
            <w:pPr>
              <w:snapToGrid w:val="0"/>
              <w:spacing w:beforeLines="50"/>
              <w:rPr>
                <w:color w:val="auto"/>
                <w:szCs w:val="21"/>
              </w:rPr>
            </w:pPr>
          </w:p>
        </w:tc>
        <w:tc>
          <w:tcPr>
            <w:tcW w:w="956" w:type="dxa"/>
            <w:tcBorders>
              <w:top w:val="single" w:color="auto" w:sz="4" w:space="0"/>
              <w:left w:val="single" w:color="auto" w:sz="4" w:space="0"/>
              <w:bottom w:val="single" w:color="auto" w:sz="4" w:space="0"/>
              <w:right w:val="single" w:color="auto" w:sz="4" w:space="0"/>
              <w:tl2br w:val="nil"/>
              <w:tr2bl w:val="nil"/>
            </w:tcBorders>
          </w:tcPr>
          <w:p>
            <w:pPr>
              <w:pStyle w:val="17"/>
              <w:snapToGrid w:val="0"/>
              <w:spacing w:beforeLines="50"/>
              <w:ind w:left="0" w:leftChars="0"/>
              <w:rPr>
                <w:rFonts w:hAnsi="宋体" w:cs="宋体"/>
                <w:color w:val="auto"/>
              </w:rPr>
            </w:pPr>
          </w:p>
        </w:tc>
        <w:tc>
          <w:tcPr>
            <w:tcW w:w="1325" w:type="dxa"/>
            <w:tcBorders>
              <w:top w:val="single" w:color="auto" w:sz="4" w:space="0"/>
              <w:left w:val="single" w:color="auto" w:sz="4" w:space="0"/>
              <w:bottom w:val="single" w:color="auto" w:sz="4" w:space="0"/>
              <w:right w:val="single" w:color="auto" w:sz="4" w:space="0"/>
              <w:tl2br w:val="nil"/>
              <w:tr2bl w:val="nil"/>
            </w:tcBorders>
          </w:tcPr>
          <w:p>
            <w:pPr>
              <w:snapToGrid w:val="0"/>
              <w:spacing w:beforeLines="50"/>
              <w:rPr>
                <w:color w:val="auto"/>
                <w:szCs w:val="21"/>
              </w:rPr>
            </w:pPr>
          </w:p>
        </w:tc>
        <w:tc>
          <w:tcPr>
            <w:tcW w:w="2287" w:type="dxa"/>
            <w:tcBorders>
              <w:top w:val="single" w:color="auto" w:sz="4" w:space="0"/>
              <w:left w:val="single" w:color="auto" w:sz="4" w:space="0"/>
              <w:bottom w:val="single" w:color="auto" w:sz="4" w:space="0"/>
              <w:right w:val="single" w:color="auto" w:sz="4" w:space="0"/>
              <w:tl2br w:val="nil"/>
              <w:tr2bl w:val="nil"/>
            </w:tcBorders>
          </w:tcPr>
          <w:p>
            <w:pPr>
              <w:snapToGrid w:val="0"/>
              <w:spacing w:beforeLines="50"/>
              <w:rPr>
                <w:color w:val="auto"/>
                <w:szCs w:val="21"/>
              </w:rPr>
            </w:pPr>
          </w:p>
        </w:tc>
        <w:tc>
          <w:tcPr>
            <w:tcW w:w="1816" w:type="dxa"/>
            <w:tcBorders>
              <w:top w:val="single" w:color="auto" w:sz="4" w:space="0"/>
              <w:left w:val="single" w:color="auto" w:sz="4" w:space="0"/>
              <w:bottom w:val="single" w:color="auto" w:sz="4" w:space="0"/>
              <w:right w:val="single" w:color="auto" w:sz="4" w:space="0"/>
              <w:tl2br w:val="nil"/>
              <w:tr2bl w:val="nil"/>
            </w:tcBorders>
          </w:tcPr>
          <w:p>
            <w:pPr>
              <w:snapToGrid w:val="0"/>
              <w:spacing w:beforeLines="50"/>
              <w:rPr>
                <w:color w:val="auto"/>
                <w:szCs w:val="21"/>
              </w:rPr>
            </w:pPr>
          </w:p>
        </w:tc>
        <w:tc>
          <w:tcPr>
            <w:tcW w:w="1371" w:type="dxa"/>
            <w:tcBorders>
              <w:top w:val="single" w:color="auto" w:sz="4" w:space="0"/>
              <w:left w:val="single" w:color="auto" w:sz="4" w:space="0"/>
              <w:bottom w:val="single" w:color="auto" w:sz="4" w:space="0"/>
              <w:right w:val="single" w:color="auto" w:sz="4" w:space="0"/>
              <w:tl2br w:val="nil"/>
              <w:tr2bl w:val="nil"/>
            </w:tcBorders>
          </w:tcPr>
          <w:p>
            <w:pPr>
              <w:snapToGrid w:val="0"/>
              <w:spacing w:beforeLines="50"/>
              <w:rPr>
                <w:color w:val="auto"/>
                <w:szCs w:val="21"/>
              </w:rPr>
            </w:pPr>
          </w:p>
        </w:tc>
      </w:tr>
    </w:tbl>
    <w:p>
      <w:pPr>
        <w:snapToGrid w:val="0"/>
        <w:spacing w:line="420" w:lineRule="exact"/>
        <w:rPr>
          <w:b/>
          <w:color w:val="auto"/>
          <w:szCs w:val="21"/>
        </w:rPr>
      </w:pPr>
    </w:p>
    <w:p>
      <w:pPr>
        <w:snapToGrid w:val="0"/>
        <w:spacing w:afterLines="50" w:line="440" w:lineRule="exact"/>
        <w:rPr>
          <w:color w:val="auto"/>
        </w:rPr>
      </w:pPr>
      <w:r>
        <w:rPr>
          <w:rFonts w:hint="eastAsia"/>
          <w:color w:val="auto"/>
        </w:rPr>
        <w:t>注：</w:t>
      </w:r>
      <w:r>
        <w:rPr>
          <w:rFonts w:hint="eastAsia"/>
          <w:color w:val="auto"/>
          <w:lang w:val="en-US"/>
        </w:rPr>
        <w:t>1.</w:t>
      </w:r>
      <w:r>
        <w:rPr>
          <w:rFonts w:hint="eastAsia"/>
          <w:color w:val="auto"/>
        </w:rPr>
        <w:t>在填写时，如本表格不适合投标单位的实际情况，可根据本表格式自行划表填写。</w:t>
      </w:r>
    </w:p>
    <w:p>
      <w:pPr>
        <w:snapToGrid w:val="0"/>
        <w:spacing w:afterLines="50" w:line="440" w:lineRule="exact"/>
        <w:ind w:firstLine="440" w:firstLineChars="200"/>
        <w:rPr>
          <w:color w:val="auto"/>
        </w:rPr>
      </w:pPr>
      <w:r>
        <w:rPr>
          <w:rFonts w:hint="eastAsia"/>
          <w:color w:val="auto"/>
          <w:lang w:val="en-US"/>
        </w:rPr>
        <w:t>2.拟投入本项目主要人员，必须是本单位职员，表后须附：注册证、资格证书、职称证、身份证、毕业证复印件</w:t>
      </w:r>
      <w:r>
        <w:rPr>
          <w:rFonts w:hint="eastAsia"/>
          <w:color w:val="auto"/>
        </w:rPr>
        <w:t>以及投标文件递交截止之日前半年内投标人连续三个月为项目实施人员依法缴纳社会保险的缴纳证明复印件。</w:t>
      </w:r>
    </w:p>
    <w:p>
      <w:pPr>
        <w:snapToGrid w:val="0"/>
        <w:spacing w:beforeLines="50" w:line="360" w:lineRule="exact"/>
        <w:ind w:firstLine="3784" w:firstLineChars="1720"/>
        <w:rPr>
          <w:color w:val="auto"/>
        </w:rPr>
      </w:pPr>
      <w:r>
        <w:rPr>
          <w:rFonts w:hint="eastAsia"/>
          <w:color w:val="auto"/>
        </w:rPr>
        <w:t xml:space="preserve">投标人名称（盖单位公章）：   </w:t>
      </w:r>
    </w:p>
    <w:p>
      <w:pPr>
        <w:snapToGrid w:val="0"/>
        <w:spacing w:beforeLines="50" w:line="360" w:lineRule="exact"/>
        <w:ind w:firstLine="3784" w:firstLineChars="1720"/>
        <w:rPr>
          <w:color w:val="auto"/>
          <w:u w:val="single"/>
        </w:rPr>
      </w:pPr>
      <w:r>
        <w:rPr>
          <w:rFonts w:hint="eastAsia"/>
          <w:color w:val="auto"/>
        </w:rPr>
        <w:t>法定代表人或授权代理人签字：</w:t>
      </w:r>
    </w:p>
    <w:p>
      <w:pPr>
        <w:snapToGrid w:val="0"/>
        <w:spacing w:beforeLines="50" w:line="360" w:lineRule="exact"/>
        <w:ind w:firstLine="3740" w:firstLineChars="1700"/>
        <w:rPr>
          <w:color w:val="auto"/>
        </w:rPr>
      </w:pPr>
    </w:p>
    <w:p>
      <w:pPr>
        <w:snapToGrid w:val="0"/>
        <w:spacing w:line="420" w:lineRule="exact"/>
        <w:ind w:firstLine="440" w:firstLineChars="200"/>
        <w:jc w:val="center"/>
        <w:rPr>
          <w:b/>
          <w:color w:val="auto"/>
          <w:szCs w:val="21"/>
        </w:rPr>
      </w:pPr>
      <w:r>
        <w:rPr>
          <w:rFonts w:hint="eastAsia"/>
          <w:color w:val="auto"/>
        </w:rPr>
        <w:t xml:space="preserve">                                          年    月    日</w:t>
      </w:r>
    </w:p>
    <w:p>
      <w:pPr>
        <w:snapToGrid w:val="0"/>
        <w:spacing w:line="420" w:lineRule="exact"/>
        <w:ind w:firstLine="442" w:firstLineChars="200"/>
        <w:jc w:val="center"/>
        <w:rPr>
          <w:b/>
          <w:color w:val="auto"/>
          <w:szCs w:val="21"/>
        </w:rPr>
      </w:pPr>
    </w:p>
    <w:p>
      <w:pPr>
        <w:snapToGrid w:val="0"/>
        <w:spacing w:line="420" w:lineRule="exact"/>
        <w:ind w:firstLine="442" w:firstLineChars="200"/>
        <w:jc w:val="center"/>
        <w:rPr>
          <w:b/>
          <w:color w:val="auto"/>
          <w:szCs w:val="21"/>
        </w:rPr>
      </w:pPr>
    </w:p>
    <w:p>
      <w:pPr>
        <w:snapToGrid w:val="0"/>
        <w:spacing w:line="420" w:lineRule="exact"/>
        <w:ind w:firstLine="442" w:firstLineChars="200"/>
        <w:jc w:val="center"/>
        <w:rPr>
          <w:b/>
          <w:color w:val="auto"/>
          <w:szCs w:val="21"/>
        </w:rPr>
      </w:pPr>
    </w:p>
    <w:p>
      <w:pPr>
        <w:snapToGrid w:val="0"/>
        <w:spacing w:line="420" w:lineRule="exact"/>
        <w:ind w:firstLine="442" w:firstLineChars="200"/>
        <w:jc w:val="center"/>
        <w:rPr>
          <w:b/>
          <w:color w:val="auto"/>
          <w:szCs w:val="21"/>
        </w:rPr>
      </w:pPr>
      <w:r>
        <w:rPr>
          <w:rFonts w:hint="eastAsia"/>
          <w:b/>
          <w:color w:val="auto"/>
          <w:szCs w:val="21"/>
        </w:rPr>
        <w:t>3.2</w:t>
      </w:r>
      <w:r>
        <w:rPr>
          <w:rFonts w:hint="eastAsia"/>
          <w:b/>
          <w:color w:val="auto"/>
          <w:szCs w:val="21"/>
          <w:lang w:val="en-US"/>
        </w:rPr>
        <w:t xml:space="preserve"> </w:t>
      </w:r>
      <w:r>
        <w:rPr>
          <w:rFonts w:hint="eastAsia"/>
          <w:b/>
          <w:color w:val="auto"/>
          <w:szCs w:val="21"/>
        </w:rPr>
        <w:t>拟派项目负责人情况表</w:t>
      </w:r>
    </w:p>
    <w:tbl>
      <w:tblPr>
        <w:tblStyle w:val="29"/>
        <w:tblW w:w="9394" w:type="dxa"/>
        <w:jc w:val="center"/>
        <w:tblLayout w:type="fixed"/>
        <w:tblCellMar>
          <w:top w:w="0" w:type="dxa"/>
          <w:left w:w="108" w:type="dxa"/>
          <w:bottom w:w="0" w:type="dxa"/>
          <w:right w:w="108" w:type="dxa"/>
        </w:tblCellMar>
      </w:tblPr>
      <w:tblGrid>
        <w:gridCol w:w="1686"/>
        <w:gridCol w:w="3047"/>
        <w:gridCol w:w="2098"/>
        <w:gridCol w:w="2563"/>
      </w:tblGrid>
      <w:tr>
        <w:tblPrEx>
          <w:tblCellMar>
            <w:top w:w="0" w:type="dxa"/>
            <w:left w:w="108" w:type="dxa"/>
            <w:bottom w:w="0" w:type="dxa"/>
            <w:right w:w="108" w:type="dxa"/>
          </w:tblCellMar>
        </w:tblPrEx>
        <w:trPr>
          <w:trHeight w:val="594" w:hRule="atLeast"/>
          <w:jc w:val="center"/>
        </w:trPr>
        <w:tc>
          <w:tcPr>
            <w:tcW w:w="1686" w:type="dxa"/>
            <w:tcBorders>
              <w:top w:val="single" w:color="auto" w:sz="4" w:space="0"/>
              <w:left w:val="single" w:color="auto" w:sz="4" w:space="0"/>
              <w:bottom w:val="single" w:color="auto" w:sz="6" w:space="0"/>
              <w:right w:val="single" w:color="auto" w:sz="6" w:space="0"/>
            </w:tcBorders>
            <w:noWrap/>
            <w:vAlign w:val="center"/>
          </w:tcPr>
          <w:p>
            <w:pPr>
              <w:jc w:val="center"/>
              <w:rPr>
                <w:color w:val="auto"/>
                <w:szCs w:val="21"/>
              </w:rPr>
            </w:pPr>
            <w:r>
              <w:rPr>
                <w:rFonts w:hint="eastAsia"/>
                <w:color w:val="auto"/>
                <w:szCs w:val="21"/>
              </w:rPr>
              <w:t>姓  名</w:t>
            </w:r>
          </w:p>
        </w:tc>
        <w:tc>
          <w:tcPr>
            <w:tcW w:w="3047" w:type="dxa"/>
            <w:tcBorders>
              <w:top w:val="single" w:color="auto" w:sz="4" w:space="0"/>
              <w:left w:val="single" w:color="auto" w:sz="6" w:space="0"/>
              <w:bottom w:val="single" w:color="auto" w:sz="6" w:space="0"/>
              <w:right w:val="single" w:color="auto" w:sz="6" w:space="0"/>
            </w:tcBorders>
            <w:noWrap/>
            <w:vAlign w:val="center"/>
          </w:tcPr>
          <w:p>
            <w:pPr>
              <w:jc w:val="center"/>
              <w:rPr>
                <w:color w:val="auto"/>
                <w:szCs w:val="21"/>
              </w:rPr>
            </w:pPr>
          </w:p>
        </w:tc>
        <w:tc>
          <w:tcPr>
            <w:tcW w:w="2098" w:type="dxa"/>
            <w:tcBorders>
              <w:top w:val="single" w:color="auto" w:sz="4" w:space="0"/>
              <w:left w:val="single" w:color="auto" w:sz="6" w:space="0"/>
              <w:bottom w:val="single" w:color="auto" w:sz="6" w:space="0"/>
              <w:right w:val="single" w:color="auto" w:sz="6" w:space="0"/>
            </w:tcBorders>
            <w:noWrap/>
            <w:vAlign w:val="center"/>
          </w:tcPr>
          <w:p>
            <w:pPr>
              <w:jc w:val="center"/>
              <w:rPr>
                <w:color w:val="auto"/>
                <w:szCs w:val="21"/>
              </w:rPr>
            </w:pPr>
            <w:r>
              <w:rPr>
                <w:rFonts w:hint="eastAsia"/>
                <w:color w:val="auto"/>
                <w:szCs w:val="21"/>
              </w:rPr>
              <w:t>年  　龄</w:t>
            </w:r>
          </w:p>
        </w:tc>
        <w:tc>
          <w:tcPr>
            <w:tcW w:w="2563" w:type="dxa"/>
            <w:tcBorders>
              <w:top w:val="single" w:color="auto" w:sz="4" w:space="0"/>
              <w:left w:val="single" w:color="auto" w:sz="6" w:space="0"/>
              <w:bottom w:val="single" w:color="auto" w:sz="6" w:space="0"/>
              <w:right w:val="single" w:color="auto" w:sz="4" w:space="0"/>
            </w:tcBorders>
            <w:noWrap/>
            <w:vAlign w:val="center"/>
          </w:tcPr>
          <w:p>
            <w:pPr>
              <w:jc w:val="center"/>
              <w:rPr>
                <w:color w:val="auto"/>
                <w:szCs w:val="21"/>
              </w:rPr>
            </w:pPr>
          </w:p>
        </w:tc>
      </w:tr>
      <w:tr>
        <w:tblPrEx>
          <w:tblCellMar>
            <w:top w:w="0" w:type="dxa"/>
            <w:left w:w="108" w:type="dxa"/>
            <w:bottom w:w="0" w:type="dxa"/>
            <w:right w:w="108" w:type="dxa"/>
          </w:tblCellMar>
        </w:tblPrEx>
        <w:trPr>
          <w:trHeight w:val="625" w:hRule="atLeast"/>
          <w:jc w:val="center"/>
        </w:trPr>
        <w:tc>
          <w:tcPr>
            <w:tcW w:w="1686" w:type="dxa"/>
            <w:tcBorders>
              <w:top w:val="single" w:color="auto" w:sz="6" w:space="0"/>
              <w:left w:val="single" w:color="auto" w:sz="4" w:space="0"/>
              <w:bottom w:val="single" w:color="auto" w:sz="6" w:space="0"/>
              <w:right w:val="single" w:color="auto" w:sz="6" w:space="0"/>
            </w:tcBorders>
            <w:noWrap/>
            <w:vAlign w:val="center"/>
          </w:tcPr>
          <w:p>
            <w:pPr>
              <w:jc w:val="center"/>
              <w:rPr>
                <w:color w:val="auto"/>
                <w:szCs w:val="21"/>
              </w:rPr>
            </w:pPr>
            <w:r>
              <w:rPr>
                <w:rFonts w:hint="eastAsia"/>
                <w:color w:val="auto"/>
                <w:szCs w:val="21"/>
              </w:rPr>
              <w:t>性  别</w:t>
            </w:r>
          </w:p>
        </w:tc>
        <w:tc>
          <w:tcPr>
            <w:tcW w:w="3047" w:type="dxa"/>
            <w:tcBorders>
              <w:top w:val="single" w:color="auto" w:sz="6" w:space="0"/>
              <w:left w:val="single" w:color="auto" w:sz="6" w:space="0"/>
              <w:bottom w:val="single" w:color="auto" w:sz="6" w:space="0"/>
              <w:right w:val="single" w:color="auto" w:sz="6" w:space="0"/>
            </w:tcBorders>
            <w:noWrap/>
            <w:vAlign w:val="center"/>
          </w:tcPr>
          <w:p>
            <w:pPr>
              <w:jc w:val="center"/>
              <w:rPr>
                <w:color w:val="auto"/>
                <w:szCs w:val="21"/>
              </w:rPr>
            </w:pPr>
          </w:p>
        </w:tc>
        <w:tc>
          <w:tcPr>
            <w:tcW w:w="2098" w:type="dxa"/>
            <w:tcBorders>
              <w:top w:val="single" w:color="auto" w:sz="6" w:space="0"/>
              <w:left w:val="single" w:color="auto" w:sz="6" w:space="0"/>
              <w:bottom w:val="single" w:color="auto" w:sz="6" w:space="0"/>
              <w:right w:val="single" w:color="auto" w:sz="6" w:space="0"/>
            </w:tcBorders>
            <w:noWrap/>
            <w:vAlign w:val="center"/>
          </w:tcPr>
          <w:p>
            <w:pPr>
              <w:jc w:val="center"/>
              <w:rPr>
                <w:color w:val="auto"/>
                <w:szCs w:val="21"/>
              </w:rPr>
            </w:pPr>
            <w:r>
              <w:rPr>
                <w:rFonts w:hint="eastAsia"/>
                <w:color w:val="auto"/>
                <w:szCs w:val="21"/>
              </w:rPr>
              <w:t>技术职称</w:t>
            </w:r>
          </w:p>
        </w:tc>
        <w:tc>
          <w:tcPr>
            <w:tcW w:w="2563" w:type="dxa"/>
            <w:tcBorders>
              <w:top w:val="single" w:color="auto" w:sz="6" w:space="0"/>
              <w:left w:val="single" w:color="auto" w:sz="6" w:space="0"/>
              <w:bottom w:val="single" w:color="auto" w:sz="6" w:space="0"/>
              <w:right w:val="single" w:color="auto" w:sz="4" w:space="0"/>
            </w:tcBorders>
            <w:noWrap/>
            <w:vAlign w:val="center"/>
          </w:tcPr>
          <w:p>
            <w:pPr>
              <w:jc w:val="center"/>
              <w:rPr>
                <w:color w:val="auto"/>
                <w:szCs w:val="21"/>
              </w:rPr>
            </w:pPr>
          </w:p>
        </w:tc>
      </w:tr>
      <w:tr>
        <w:tblPrEx>
          <w:tblCellMar>
            <w:top w:w="0" w:type="dxa"/>
            <w:left w:w="108" w:type="dxa"/>
            <w:bottom w:w="0" w:type="dxa"/>
            <w:right w:w="108" w:type="dxa"/>
          </w:tblCellMar>
        </w:tblPrEx>
        <w:trPr>
          <w:trHeight w:val="625" w:hRule="atLeast"/>
          <w:jc w:val="center"/>
        </w:trPr>
        <w:tc>
          <w:tcPr>
            <w:tcW w:w="1686" w:type="dxa"/>
            <w:tcBorders>
              <w:top w:val="single" w:color="auto" w:sz="6" w:space="0"/>
              <w:left w:val="single" w:color="auto" w:sz="4" w:space="0"/>
              <w:bottom w:val="single" w:color="auto" w:sz="6" w:space="0"/>
              <w:right w:val="single" w:color="auto" w:sz="6" w:space="0"/>
            </w:tcBorders>
            <w:noWrap/>
            <w:vAlign w:val="center"/>
          </w:tcPr>
          <w:p>
            <w:pPr>
              <w:jc w:val="center"/>
              <w:rPr>
                <w:color w:val="auto"/>
                <w:szCs w:val="21"/>
              </w:rPr>
            </w:pPr>
            <w:r>
              <w:rPr>
                <w:rFonts w:hint="eastAsia"/>
                <w:color w:val="auto"/>
                <w:szCs w:val="21"/>
              </w:rPr>
              <w:t>毕业时间</w:t>
            </w:r>
          </w:p>
        </w:tc>
        <w:tc>
          <w:tcPr>
            <w:tcW w:w="3047" w:type="dxa"/>
            <w:tcBorders>
              <w:top w:val="single" w:color="auto" w:sz="6" w:space="0"/>
              <w:left w:val="single" w:color="auto" w:sz="6" w:space="0"/>
              <w:bottom w:val="single" w:color="auto" w:sz="6" w:space="0"/>
              <w:right w:val="single" w:color="auto" w:sz="6" w:space="0"/>
            </w:tcBorders>
            <w:noWrap/>
            <w:vAlign w:val="center"/>
          </w:tcPr>
          <w:p>
            <w:pPr>
              <w:jc w:val="center"/>
              <w:rPr>
                <w:color w:val="auto"/>
                <w:szCs w:val="21"/>
              </w:rPr>
            </w:pPr>
          </w:p>
        </w:tc>
        <w:tc>
          <w:tcPr>
            <w:tcW w:w="2098" w:type="dxa"/>
            <w:tcBorders>
              <w:top w:val="single" w:color="auto" w:sz="6" w:space="0"/>
              <w:left w:val="single" w:color="auto" w:sz="6" w:space="0"/>
              <w:bottom w:val="single" w:color="auto" w:sz="6" w:space="0"/>
              <w:right w:val="single" w:color="auto" w:sz="6" w:space="0"/>
            </w:tcBorders>
            <w:noWrap/>
            <w:vAlign w:val="center"/>
          </w:tcPr>
          <w:p>
            <w:pPr>
              <w:jc w:val="center"/>
              <w:rPr>
                <w:color w:val="auto"/>
                <w:szCs w:val="21"/>
              </w:rPr>
            </w:pPr>
            <w:r>
              <w:rPr>
                <w:rFonts w:hint="eastAsia"/>
                <w:color w:val="auto"/>
                <w:szCs w:val="21"/>
              </w:rPr>
              <w:t>毕业学院及专业</w:t>
            </w:r>
          </w:p>
        </w:tc>
        <w:tc>
          <w:tcPr>
            <w:tcW w:w="2563" w:type="dxa"/>
            <w:tcBorders>
              <w:top w:val="single" w:color="auto" w:sz="6" w:space="0"/>
              <w:left w:val="single" w:color="auto" w:sz="6" w:space="0"/>
              <w:bottom w:val="single" w:color="auto" w:sz="6" w:space="0"/>
              <w:right w:val="single" w:color="auto" w:sz="4" w:space="0"/>
            </w:tcBorders>
            <w:noWrap/>
            <w:vAlign w:val="center"/>
          </w:tcPr>
          <w:p>
            <w:pPr>
              <w:jc w:val="center"/>
              <w:rPr>
                <w:color w:val="auto"/>
                <w:szCs w:val="21"/>
              </w:rPr>
            </w:pPr>
          </w:p>
        </w:tc>
      </w:tr>
      <w:tr>
        <w:tblPrEx>
          <w:tblCellMar>
            <w:top w:w="0" w:type="dxa"/>
            <w:left w:w="108" w:type="dxa"/>
            <w:bottom w:w="0" w:type="dxa"/>
            <w:right w:w="108" w:type="dxa"/>
          </w:tblCellMar>
        </w:tblPrEx>
        <w:trPr>
          <w:trHeight w:val="638" w:hRule="atLeast"/>
          <w:jc w:val="center"/>
        </w:trPr>
        <w:tc>
          <w:tcPr>
            <w:tcW w:w="1686" w:type="dxa"/>
            <w:tcBorders>
              <w:top w:val="single" w:color="auto" w:sz="6" w:space="0"/>
              <w:left w:val="single" w:color="auto" w:sz="4" w:space="0"/>
              <w:bottom w:val="single" w:color="auto" w:sz="6" w:space="0"/>
              <w:right w:val="single" w:color="auto" w:sz="6" w:space="0"/>
            </w:tcBorders>
            <w:noWrap/>
            <w:vAlign w:val="center"/>
          </w:tcPr>
          <w:p>
            <w:pPr>
              <w:jc w:val="center"/>
              <w:rPr>
                <w:color w:val="auto"/>
                <w:szCs w:val="21"/>
              </w:rPr>
            </w:pPr>
            <w:r>
              <w:rPr>
                <w:rFonts w:hint="eastAsia"/>
                <w:color w:val="auto"/>
                <w:szCs w:val="21"/>
              </w:rPr>
              <w:t>拟任职务</w:t>
            </w:r>
          </w:p>
        </w:tc>
        <w:tc>
          <w:tcPr>
            <w:tcW w:w="3047" w:type="dxa"/>
            <w:tcBorders>
              <w:top w:val="single" w:color="auto" w:sz="6" w:space="0"/>
              <w:left w:val="single" w:color="auto" w:sz="6" w:space="0"/>
              <w:bottom w:val="single" w:color="auto" w:sz="6" w:space="0"/>
              <w:right w:val="single" w:color="auto" w:sz="6" w:space="0"/>
            </w:tcBorders>
            <w:noWrap/>
            <w:vAlign w:val="center"/>
          </w:tcPr>
          <w:p>
            <w:pPr>
              <w:jc w:val="center"/>
              <w:rPr>
                <w:color w:val="auto"/>
                <w:szCs w:val="21"/>
              </w:rPr>
            </w:pPr>
          </w:p>
        </w:tc>
        <w:tc>
          <w:tcPr>
            <w:tcW w:w="2098" w:type="dxa"/>
            <w:tcBorders>
              <w:top w:val="single" w:color="auto" w:sz="6" w:space="0"/>
              <w:left w:val="single" w:color="auto" w:sz="6" w:space="0"/>
              <w:bottom w:val="single" w:color="auto" w:sz="6" w:space="0"/>
              <w:right w:val="single" w:color="auto" w:sz="6" w:space="0"/>
            </w:tcBorders>
            <w:noWrap/>
            <w:vAlign w:val="center"/>
          </w:tcPr>
          <w:p>
            <w:pPr>
              <w:jc w:val="center"/>
              <w:rPr>
                <w:color w:val="auto"/>
                <w:szCs w:val="21"/>
              </w:rPr>
            </w:pPr>
            <w:r>
              <w:rPr>
                <w:rFonts w:hint="eastAsia"/>
                <w:color w:val="auto"/>
                <w:szCs w:val="21"/>
              </w:rPr>
              <w:t>为申请人服务时间</w:t>
            </w:r>
          </w:p>
        </w:tc>
        <w:tc>
          <w:tcPr>
            <w:tcW w:w="2563" w:type="dxa"/>
            <w:tcBorders>
              <w:top w:val="single" w:color="auto" w:sz="6" w:space="0"/>
              <w:left w:val="single" w:color="auto" w:sz="6" w:space="0"/>
              <w:bottom w:val="single" w:color="auto" w:sz="6" w:space="0"/>
              <w:right w:val="single" w:color="auto" w:sz="4" w:space="0"/>
            </w:tcBorders>
            <w:noWrap/>
            <w:vAlign w:val="center"/>
          </w:tcPr>
          <w:p>
            <w:pPr>
              <w:jc w:val="center"/>
              <w:rPr>
                <w:color w:val="auto"/>
                <w:szCs w:val="21"/>
              </w:rPr>
            </w:pPr>
          </w:p>
        </w:tc>
      </w:tr>
      <w:tr>
        <w:tblPrEx>
          <w:tblCellMar>
            <w:top w:w="0" w:type="dxa"/>
            <w:left w:w="108" w:type="dxa"/>
            <w:bottom w:w="0" w:type="dxa"/>
            <w:right w:w="108" w:type="dxa"/>
          </w:tblCellMar>
        </w:tblPrEx>
        <w:trPr>
          <w:trHeight w:val="671" w:hRule="atLeast"/>
          <w:jc w:val="center"/>
        </w:trPr>
        <w:tc>
          <w:tcPr>
            <w:tcW w:w="9394" w:type="dxa"/>
            <w:gridSpan w:val="4"/>
            <w:tcBorders>
              <w:top w:val="single" w:color="auto" w:sz="6" w:space="0"/>
              <w:left w:val="single" w:color="auto" w:sz="4" w:space="0"/>
              <w:bottom w:val="single" w:color="auto" w:sz="6" w:space="0"/>
              <w:right w:val="single" w:color="auto" w:sz="4" w:space="0"/>
            </w:tcBorders>
            <w:noWrap/>
            <w:vAlign w:val="center"/>
          </w:tcPr>
          <w:p>
            <w:pPr>
              <w:jc w:val="center"/>
              <w:rPr>
                <w:color w:val="auto"/>
                <w:szCs w:val="21"/>
              </w:rPr>
            </w:pPr>
            <w:r>
              <w:rPr>
                <w:rFonts w:hint="eastAsia"/>
                <w:color w:val="auto"/>
                <w:szCs w:val="21"/>
              </w:rPr>
              <w:t>经    历</w:t>
            </w:r>
          </w:p>
        </w:tc>
      </w:tr>
      <w:tr>
        <w:tblPrEx>
          <w:tblCellMar>
            <w:top w:w="0" w:type="dxa"/>
            <w:left w:w="108" w:type="dxa"/>
            <w:bottom w:w="0" w:type="dxa"/>
            <w:right w:w="108" w:type="dxa"/>
          </w:tblCellMar>
        </w:tblPrEx>
        <w:trPr>
          <w:trHeight w:val="667" w:hRule="atLeast"/>
          <w:jc w:val="center"/>
        </w:trPr>
        <w:tc>
          <w:tcPr>
            <w:tcW w:w="1686" w:type="dxa"/>
            <w:tcBorders>
              <w:top w:val="single" w:color="auto" w:sz="6" w:space="0"/>
              <w:left w:val="single" w:color="auto" w:sz="4" w:space="0"/>
              <w:bottom w:val="single" w:color="auto" w:sz="6" w:space="0"/>
              <w:right w:val="single" w:color="auto" w:sz="6" w:space="0"/>
            </w:tcBorders>
            <w:noWrap/>
            <w:vAlign w:val="center"/>
          </w:tcPr>
          <w:p>
            <w:pPr>
              <w:jc w:val="center"/>
              <w:rPr>
                <w:color w:val="auto"/>
                <w:szCs w:val="21"/>
              </w:rPr>
            </w:pPr>
            <w:r>
              <w:rPr>
                <w:rFonts w:hint="eastAsia"/>
                <w:color w:val="auto"/>
                <w:szCs w:val="21"/>
              </w:rPr>
              <w:t>时间</w:t>
            </w:r>
          </w:p>
        </w:tc>
        <w:tc>
          <w:tcPr>
            <w:tcW w:w="5145" w:type="dxa"/>
            <w:gridSpan w:val="2"/>
            <w:tcBorders>
              <w:top w:val="single" w:color="auto" w:sz="6" w:space="0"/>
              <w:left w:val="single" w:color="auto" w:sz="6" w:space="0"/>
              <w:bottom w:val="single" w:color="auto" w:sz="6" w:space="0"/>
              <w:right w:val="single" w:color="auto" w:sz="6" w:space="0"/>
            </w:tcBorders>
            <w:noWrap/>
            <w:vAlign w:val="center"/>
          </w:tcPr>
          <w:p>
            <w:pPr>
              <w:jc w:val="center"/>
              <w:rPr>
                <w:color w:val="auto"/>
                <w:szCs w:val="21"/>
              </w:rPr>
            </w:pPr>
            <w:r>
              <w:rPr>
                <w:rFonts w:hint="eastAsia"/>
                <w:color w:val="auto"/>
                <w:szCs w:val="21"/>
              </w:rPr>
              <w:t>参加过类型</w:t>
            </w:r>
            <w:r>
              <w:rPr>
                <w:color w:val="auto"/>
                <w:szCs w:val="21"/>
              </w:rPr>
              <w:t>项目</w:t>
            </w:r>
            <w:r>
              <w:rPr>
                <w:rFonts w:hint="eastAsia"/>
                <w:color w:val="auto"/>
                <w:szCs w:val="21"/>
              </w:rPr>
              <w:t>的项目名称（类型和金额）</w:t>
            </w:r>
          </w:p>
        </w:tc>
        <w:tc>
          <w:tcPr>
            <w:tcW w:w="2563" w:type="dxa"/>
            <w:tcBorders>
              <w:top w:val="single" w:color="auto" w:sz="6" w:space="0"/>
              <w:left w:val="single" w:color="auto" w:sz="6" w:space="0"/>
              <w:bottom w:val="single" w:color="auto" w:sz="6" w:space="0"/>
              <w:right w:val="single" w:color="auto" w:sz="4" w:space="0"/>
            </w:tcBorders>
            <w:noWrap/>
            <w:vAlign w:val="center"/>
          </w:tcPr>
          <w:p>
            <w:pPr>
              <w:jc w:val="center"/>
              <w:rPr>
                <w:color w:val="auto"/>
                <w:szCs w:val="21"/>
              </w:rPr>
            </w:pPr>
            <w:r>
              <w:rPr>
                <w:rFonts w:hint="eastAsia"/>
                <w:color w:val="auto"/>
                <w:szCs w:val="21"/>
              </w:rPr>
              <w:t>该项目中任职</w:t>
            </w:r>
          </w:p>
        </w:tc>
      </w:tr>
      <w:tr>
        <w:tblPrEx>
          <w:tblCellMar>
            <w:top w:w="0" w:type="dxa"/>
            <w:left w:w="108" w:type="dxa"/>
            <w:bottom w:w="0" w:type="dxa"/>
            <w:right w:w="108" w:type="dxa"/>
          </w:tblCellMar>
        </w:tblPrEx>
        <w:trPr>
          <w:trHeight w:val="649" w:hRule="atLeast"/>
          <w:jc w:val="center"/>
        </w:trPr>
        <w:tc>
          <w:tcPr>
            <w:tcW w:w="1686" w:type="dxa"/>
            <w:tcBorders>
              <w:top w:val="single" w:color="auto" w:sz="6" w:space="0"/>
              <w:left w:val="single" w:color="auto" w:sz="4" w:space="0"/>
              <w:bottom w:val="single" w:color="auto" w:sz="6" w:space="0"/>
              <w:right w:val="single" w:color="auto" w:sz="6" w:space="0"/>
            </w:tcBorders>
            <w:noWrap/>
            <w:vAlign w:val="center"/>
          </w:tcPr>
          <w:p>
            <w:pPr>
              <w:jc w:val="center"/>
              <w:rPr>
                <w:color w:val="auto"/>
                <w:szCs w:val="21"/>
              </w:rPr>
            </w:pPr>
          </w:p>
        </w:tc>
        <w:tc>
          <w:tcPr>
            <w:tcW w:w="5145" w:type="dxa"/>
            <w:gridSpan w:val="2"/>
            <w:tcBorders>
              <w:top w:val="single" w:color="auto" w:sz="6" w:space="0"/>
              <w:left w:val="single" w:color="auto" w:sz="6" w:space="0"/>
              <w:bottom w:val="single" w:color="auto" w:sz="6" w:space="0"/>
              <w:right w:val="single" w:color="auto" w:sz="6" w:space="0"/>
            </w:tcBorders>
            <w:noWrap/>
            <w:vAlign w:val="center"/>
          </w:tcPr>
          <w:p>
            <w:pPr>
              <w:jc w:val="center"/>
              <w:rPr>
                <w:color w:val="auto"/>
                <w:szCs w:val="21"/>
              </w:rPr>
            </w:pPr>
          </w:p>
        </w:tc>
        <w:tc>
          <w:tcPr>
            <w:tcW w:w="2563" w:type="dxa"/>
            <w:tcBorders>
              <w:top w:val="single" w:color="auto" w:sz="6" w:space="0"/>
              <w:left w:val="single" w:color="auto" w:sz="6" w:space="0"/>
              <w:bottom w:val="single" w:color="auto" w:sz="6" w:space="0"/>
              <w:right w:val="single" w:color="auto" w:sz="4" w:space="0"/>
            </w:tcBorders>
            <w:noWrap/>
            <w:vAlign w:val="center"/>
          </w:tcPr>
          <w:p>
            <w:pPr>
              <w:jc w:val="center"/>
              <w:rPr>
                <w:color w:val="auto"/>
                <w:szCs w:val="21"/>
              </w:rPr>
            </w:pPr>
          </w:p>
        </w:tc>
      </w:tr>
      <w:tr>
        <w:tblPrEx>
          <w:tblCellMar>
            <w:top w:w="0" w:type="dxa"/>
            <w:left w:w="108" w:type="dxa"/>
            <w:bottom w:w="0" w:type="dxa"/>
            <w:right w:w="108" w:type="dxa"/>
          </w:tblCellMar>
        </w:tblPrEx>
        <w:trPr>
          <w:trHeight w:val="484" w:hRule="atLeast"/>
          <w:jc w:val="center"/>
        </w:trPr>
        <w:tc>
          <w:tcPr>
            <w:tcW w:w="1686" w:type="dxa"/>
            <w:tcBorders>
              <w:top w:val="single" w:color="auto" w:sz="6" w:space="0"/>
              <w:left w:val="single" w:color="auto" w:sz="4" w:space="0"/>
              <w:bottom w:val="single" w:color="auto" w:sz="6" w:space="0"/>
              <w:right w:val="single" w:color="auto" w:sz="6" w:space="0"/>
            </w:tcBorders>
            <w:noWrap/>
            <w:vAlign w:val="center"/>
          </w:tcPr>
          <w:p>
            <w:pPr>
              <w:jc w:val="center"/>
              <w:rPr>
                <w:color w:val="auto"/>
                <w:szCs w:val="21"/>
              </w:rPr>
            </w:pPr>
          </w:p>
        </w:tc>
        <w:tc>
          <w:tcPr>
            <w:tcW w:w="5145" w:type="dxa"/>
            <w:gridSpan w:val="2"/>
            <w:tcBorders>
              <w:top w:val="single" w:color="auto" w:sz="6" w:space="0"/>
              <w:left w:val="single" w:color="auto" w:sz="6" w:space="0"/>
              <w:bottom w:val="single" w:color="auto" w:sz="6" w:space="0"/>
              <w:right w:val="single" w:color="auto" w:sz="6" w:space="0"/>
            </w:tcBorders>
            <w:noWrap/>
            <w:vAlign w:val="center"/>
          </w:tcPr>
          <w:p>
            <w:pPr>
              <w:jc w:val="center"/>
              <w:rPr>
                <w:color w:val="auto"/>
                <w:szCs w:val="21"/>
              </w:rPr>
            </w:pPr>
          </w:p>
        </w:tc>
        <w:tc>
          <w:tcPr>
            <w:tcW w:w="2563" w:type="dxa"/>
            <w:tcBorders>
              <w:top w:val="single" w:color="auto" w:sz="6" w:space="0"/>
              <w:left w:val="single" w:color="auto" w:sz="6" w:space="0"/>
              <w:bottom w:val="single" w:color="auto" w:sz="6" w:space="0"/>
              <w:right w:val="single" w:color="auto" w:sz="4" w:space="0"/>
            </w:tcBorders>
            <w:noWrap/>
            <w:vAlign w:val="center"/>
          </w:tcPr>
          <w:p>
            <w:pPr>
              <w:jc w:val="center"/>
              <w:rPr>
                <w:color w:val="auto"/>
                <w:szCs w:val="21"/>
              </w:rPr>
            </w:pPr>
          </w:p>
        </w:tc>
      </w:tr>
      <w:tr>
        <w:tblPrEx>
          <w:tblCellMar>
            <w:top w:w="0" w:type="dxa"/>
            <w:left w:w="108" w:type="dxa"/>
            <w:bottom w:w="0" w:type="dxa"/>
            <w:right w:w="108" w:type="dxa"/>
          </w:tblCellMar>
        </w:tblPrEx>
        <w:trPr>
          <w:trHeight w:val="484" w:hRule="atLeast"/>
          <w:jc w:val="center"/>
        </w:trPr>
        <w:tc>
          <w:tcPr>
            <w:tcW w:w="1686" w:type="dxa"/>
            <w:tcBorders>
              <w:top w:val="single" w:color="auto" w:sz="6" w:space="0"/>
              <w:left w:val="single" w:color="auto" w:sz="4" w:space="0"/>
              <w:bottom w:val="single" w:color="auto" w:sz="4" w:space="0"/>
              <w:right w:val="single" w:color="auto" w:sz="6" w:space="0"/>
            </w:tcBorders>
            <w:noWrap/>
            <w:vAlign w:val="center"/>
          </w:tcPr>
          <w:p>
            <w:pPr>
              <w:jc w:val="center"/>
              <w:rPr>
                <w:color w:val="auto"/>
                <w:szCs w:val="21"/>
              </w:rPr>
            </w:pPr>
            <w:r>
              <w:rPr>
                <w:rFonts w:ascii="Arial" w:hAnsi="Arial" w:cs="Arial"/>
                <w:color w:val="auto"/>
                <w:szCs w:val="21"/>
              </w:rPr>
              <w:t>…</w:t>
            </w:r>
          </w:p>
        </w:tc>
        <w:tc>
          <w:tcPr>
            <w:tcW w:w="5145" w:type="dxa"/>
            <w:gridSpan w:val="2"/>
            <w:tcBorders>
              <w:top w:val="single" w:color="auto" w:sz="6" w:space="0"/>
              <w:left w:val="single" w:color="auto" w:sz="6" w:space="0"/>
              <w:bottom w:val="single" w:color="auto" w:sz="4" w:space="0"/>
              <w:right w:val="single" w:color="auto" w:sz="6" w:space="0"/>
            </w:tcBorders>
            <w:noWrap/>
            <w:vAlign w:val="center"/>
          </w:tcPr>
          <w:p>
            <w:pPr>
              <w:jc w:val="center"/>
              <w:rPr>
                <w:color w:val="auto"/>
                <w:szCs w:val="21"/>
              </w:rPr>
            </w:pPr>
          </w:p>
        </w:tc>
        <w:tc>
          <w:tcPr>
            <w:tcW w:w="2563" w:type="dxa"/>
            <w:tcBorders>
              <w:top w:val="single" w:color="auto" w:sz="6" w:space="0"/>
              <w:left w:val="single" w:color="auto" w:sz="6" w:space="0"/>
              <w:bottom w:val="single" w:color="auto" w:sz="4" w:space="0"/>
              <w:right w:val="single" w:color="auto" w:sz="4" w:space="0"/>
            </w:tcBorders>
            <w:noWrap/>
            <w:vAlign w:val="center"/>
          </w:tcPr>
          <w:p>
            <w:pPr>
              <w:jc w:val="center"/>
              <w:rPr>
                <w:color w:val="auto"/>
                <w:szCs w:val="21"/>
              </w:rPr>
            </w:pPr>
          </w:p>
        </w:tc>
      </w:tr>
    </w:tbl>
    <w:p>
      <w:pPr>
        <w:spacing w:line="500" w:lineRule="exact"/>
        <w:ind w:firstLine="480"/>
        <w:rPr>
          <w:b/>
          <w:color w:val="auto"/>
          <w:szCs w:val="21"/>
          <w:u w:val="double"/>
        </w:rPr>
      </w:pPr>
      <w:r>
        <w:rPr>
          <w:rFonts w:hint="eastAsia"/>
          <w:b/>
          <w:color w:val="auto"/>
          <w:szCs w:val="21"/>
        </w:rPr>
        <w:t>注：需附个人</w:t>
      </w:r>
      <w:r>
        <w:rPr>
          <w:rFonts w:hint="eastAsia"/>
          <w:b/>
          <w:color w:val="auto"/>
          <w:szCs w:val="21"/>
          <w:lang w:val="en-US"/>
        </w:rPr>
        <w:t>注册证、资格证书、职称证、身份证、毕业证、业绩等复印件</w:t>
      </w:r>
      <w:r>
        <w:rPr>
          <w:rFonts w:hint="eastAsia"/>
          <w:b/>
          <w:color w:val="auto"/>
          <w:szCs w:val="21"/>
        </w:rPr>
        <w:t>；投标文件递交截止之日前半年内投标人连续三个月为项目负责人依法缴纳社会保险的缴纳证明复印件；</w:t>
      </w:r>
    </w:p>
    <w:p>
      <w:pPr>
        <w:spacing w:line="360" w:lineRule="auto"/>
        <w:ind w:firstLine="440" w:firstLineChars="200"/>
        <w:rPr>
          <w:color w:val="auto"/>
          <w:szCs w:val="21"/>
        </w:rPr>
      </w:pPr>
    </w:p>
    <w:p>
      <w:pPr>
        <w:spacing w:line="360" w:lineRule="auto"/>
        <w:ind w:firstLine="440" w:firstLineChars="200"/>
        <w:rPr>
          <w:color w:val="auto"/>
          <w:szCs w:val="21"/>
        </w:rPr>
      </w:pPr>
      <w:r>
        <w:rPr>
          <w:rFonts w:hint="eastAsia"/>
          <w:color w:val="auto"/>
          <w:szCs w:val="21"/>
        </w:rPr>
        <w:t>投标人</w:t>
      </w:r>
      <w:r>
        <w:rPr>
          <w:rFonts w:hint="eastAsia"/>
          <w:color w:val="auto"/>
          <w:szCs w:val="21"/>
          <w:u w:val="single"/>
        </w:rPr>
        <w:t xml:space="preserve">：    　　　　　　　　　　 </w:t>
      </w:r>
      <w:r>
        <w:rPr>
          <w:rFonts w:hint="eastAsia"/>
          <w:color w:val="auto"/>
          <w:szCs w:val="21"/>
        </w:rPr>
        <w:t xml:space="preserve">（盖公章）         </w:t>
      </w:r>
    </w:p>
    <w:p>
      <w:pPr>
        <w:spacing w:line="360" w:lineRule="auto"/>
        <w:ind w:firstLine="440" w:firstLineChars="200"/>
        <w:rPr>
          <w:color w:val="auto"/>
          <w:szCs w:val="21"/>
        </w:rPr>
      </w:pPr>
    </w:p>
    <w:p>
      <w:pPr>
        <w:spacing w:line="360" w:lineRule="auto"/>
        <w:ind w:firstLine="440" w:firstLineChars="200"/>
        <w:rPr>
          <w:color w:val="auto"/>
          <w:szCs w:val="21"/>
        </w:rPr>
      </w:pPr>
      <w:r>
        <w:rPr>
          <w:rFonts w:hint="eastAsia"/>
          <w:color w:val="auto"/>
          <w:szCs w:val="21"/>
        </w:rPr>
        <w:t>授权代理人：</w:t>
      </w:r>
      <w:r>
        <w:rPr>
          <w:rFonts w:hint="eastAsia"/>
          <w:color w:val="auto"/>
          <w:szCs w:val="21"/>
          <w:u w:val="single"/>
        </w:rPr>
        <w:t xml:space="preserve">       　　　　　　　　　　　</w:t>
      </w:r>
      <w:r>
        <w:rPr>
          <w:rFonts w:hint="eastAsia"/>
          <w:color w:val="auto"/>
          <w:szCs w:val="21"/>
        </w:rPr>
        <w:t xml:space="preserve">（签字或盖章）          </w:t>
      </w:r>
    </w:p>
    <w:p>
      <w:pPr>
        <w:spacing w:line="360" w:lineRule="auto"/>
        <w:ind w:firstLine="440" w:firstLineChars="200"/>
        <w:rPr>
          <w:color w:val="auto"/>
          <w:szCs w:val="21"/>
        </w:rPr>
      </w:pPr>
    </w:p>
    <w:p>
      <w:pPr>
        <w:spacing w:line="360" w:lineRule="auto"/>
        <w:ind w:firstLine="440" w:firstLineChars="200"/>
        <w:rPr>
          <w:b/>
          <w:color w:val="auto"/>
        </w:rPr>
      </w:pPr>
      <w:r>
        <w:rPr>
          <w:rFonts w:hint="eastAsia"/>
          <w:color w:val="auto"/>
          <w:szCs w:val="21"/>
        </w:rPr>
        <w:t>日　期：        年  　   月  　  日</w:t>
      </w:r>
    </w:p>
    <w:p>
      <w:pPr>
        <w:snapToGrid w:val="0"/>
        <w:spacing w:line="420" w:lineRule="exact"/>
        <w:ind w:firstLine="442" w:firstLineChars="200"/>
        <w:jc w:val="center"/>
        <w:rPr>
          <w:b/>
          <w:color w:val="auto"/>
          <w:szCs w:val="21"/>
        </w:rPr>
      </w:pPr>
      <w:r>
        <w:rPr>
          <w:rFonts w:hint="eastAsia"/>
          <w:b/>
          <w:color w:val="auto"/>
          <w:szCs w:val="21"/>
        </w:rPr>
        <w:br w:type="page"/>
      </w:r>
    </w:p>
    <w:p>
      <w:pPr>
        <w:snapToGrid w:val="0"/>
        <w:spacing w:line="420" w:lineRule="exact"/>
        <w:ind w:firstLine="442" w:firstLineChars="200"/>
        <w:jc w:val="center"/>
        <w:rPr>
          <w:b/>
          <w:color w:val="auto"/>
          <w:szCs w:val="21"/>
        </w:rPr>
      </w:pPr>
      <w:r>
        <w:rPr>
          <w:rFonts w:hint="eastAsia"/>
          <w:b/>
          <w:color w:val="auto"/>
          <w:szCs w:val="21"/>
        </w:rPr>
        <w:t>4、投标人认为需要说明的其他技术文件和说明</w:t>
      </w:r>
    </w:p>
    <w:p>
      <w:pPr>
        <w:snapToGrid w:val="0"/>
        <w:spacing w:before="50" w:afterLines="50"/>
        <w:jc w:val="center"/>
        <w:rPr>
          <w:b/>
          <w:color w:val="auto"/>
          <w:szCs w:val="21"/>
        </w:rPr>
      </w:pPr>
    </w:p>
    <w:p>
      <w:pPr>
        <w:snapToGrid w:val="0"/>
        <w:spacing w:line="420" w:lineRule="exact"/>
        <w:ind w:firstLine="440" w:firstLineChars="200"/>
        <w:rPr>
          <w:color w:val="auto"/>
        </w:rPr>
      </w:pPr>
      <w:r>
        <w:rPr>
          <w:rFonts w:hint="eastAsia"/>
          <w:color w:val="auto"/>
        </w:rPr>
        <w:t>投标人自行根据企业自身情况提供，格式自拟</w:t>
      </w:r>
    </w:p>
    <w:p>
      <w:pPr>
        <w:snapToGrid w:val="0"/>
        <w:spacing w:before="50" w:afterLines="50"/>
        <w:rPr>
          <w:color w:val="auto"/>
          <w:szCs w:val="21"/>
        </w:rPr>
      </w:pPr>
    </w:p>
    <w:p>
      <w:pPr>
        <w:snapToGrid w:val="0"/>
        <w:spacing w:before="50" w:afterLines="50"/>
        <w:rPr>
          <w:color w:val="auto"/>
          <w:szCs w:val="21"/>
        </w:rPr>
      </w:pPr>
    </w:p>
    <w:p>
      <w:pPr>
        <w:snapToGrid w:val="0"/>
        <w:spacing w:before="50" w:afterLines="50"/>
        <w:rPr>
          <w:color w:val="auto"/>
          <w:szCs w:val="21"/>
        </w:rPr>
      </w:pPr>
    </w:p>
    <w:p>
      <w:pPr>
        <w:snapToGrid w:val="0"/>
        <w:spacing w:before="50" w:afterLines="50"/>
        <w:rPr>
          <w:color w:val="auto"/>
          <w:szCs w:val="21"/>
        </w:rPr>
      </w:pPr>
    </w:p>
    <w:p>
      <w:pPr>
        <w:snapToGrid w:val="0"/>
        <w:spacing w:before="50" w:afterLines="50"/>
        <w:rPr>
          <w:color w:val="auto"/>
          <w:szCs w:val="21"/>
        </w:rPr>
      </w:pPr>
    </w:p>
    <w:p>
      <w:pPr>
        <w:snapToGrid w:val="0"/>
        <w:spacing w:before="50" w:afterLines="50"/>
        <w:rPr>
          <w:color w:val="auto"/>
          <w:szCs w:val="21"/>
        </w:rPr>
      </w:pPr>
    </w:p>
    <w:p>
      <w:pPr>
        <w:snapToGrid w:val="0"/>
        <w:spacing w:before="50" w:afterLines="50"/>
        <w:rPr>
          <w:color w:val="auto"/>
          <w:szCs w:val="21"/>
        </w:rPr>
      </w:pPr>
    </w:p>
    <w:p>
      <w:pPr>
        <w:snapToGrid w:val="0"/>
        <w:spacing w:before="50" w:afterLines="50"/>
        <w:rPr>
          <w:color w:val="auto"/>
          <w:szCs w:val="21"/>
        </w:rPr>
      </w:pPr>
    </w:p>
    <w:p>
      <w:pPr>
        <w:snapToGrid w:val="0"/>
        <w:spacing w:before="50" w:afterLines="50"/>
        <w:rPr>
          <w:color w:val="auto"/>
          <w:szCs w:val="21"/>
        </w:rPr>
      </w:pPr>
    </w:p>
    <w:p>
      <w:pPr>
        <w:snapToGrid w:val="0"/>
        <w:spacing w:before="50" w:afterLines="50"/>
        <w:rPr>
          <w:color w:val="auto"/>
          <w:szCs w:val="21"/>
        </w:rPr>
      </w:pPr>
    </w:p>
    <w:p>
      <w:pPr>
        <w:snapToGrid w:val="0"/>
        <w:spacing w:before="50" w:afterLines="50"/>
        <w:rPr>
          <w:color w:val="auto"/>
          <w:szCs w:val="21"/>
        </w:rPr>
      </w:pPr>
    </w:p>
    <w:p>
      <w:pPr>
        <w:snapToGrid w:val="0"/>
        <w:spacing w:line="420" w:lineRule="exact"/>
        <w:ind w:firstLine="433" w:firstLineChars="196"/>
        <w:rPr>
          <w:b/>
          <w:color w:val="auto"/>
          <w:szCs w:val="21"/>
        </w:rPr>
      </w:pPr>
      <w:r>
        <w:rPr>
          <w:rFonts w:hint="eastAsia"/>
          <w:b/>
          <w:color w:val="auto"/>
          <w:szCs w:val="21"/>
        </w:rPr>
        <w:br w:type="page"/>
      </w:r>
    </w:p>
    <w:p>
      <w:pPr>
        <w:snapToGrid w:val="0"/>
        <w:spacing w:line="420" w:lineRule="exact"/>
        <w:ind w:firstLine="433" w:firstLineChars="196"/>
        <w:rPr>
          <w:b/>
          <w:color w:val="auto"/>
          <w:szCs w:val="21"/>
        </w:rPr>
      </w:pPr>
      <w:bookmarkStart w:id="236" w:name="_Toc5103_WPSOffice_Level1"/>
      <w:r>
        <w:rPr>
          <w:rFonts w:hint="eastAsia"/>
          <w:b/>
          <w:color w:val="auto"/>
          <w:szCs w:val="21"/>
        </w:rPr>
        <w:t>三、报价文件</w:t>
      </w:r>
      <w:r>
        <w:rPr>
          <w:rFonts w:hint="eastAsia"/>
          <w:b/>
          <w:bCs/>
          <w:color w:val="auto"/>
          <w:szCs w:val="21"/>
        </w:rPr>
        <w:t>部分</w:t>
      </w:r>
      <w:r>
        <w:rPr>
          <w:rFonts w:hint="eastAsia"/>
          <w:b/>
          <w:color w:val="auto"/>
          <w:szCs w:val="21"/>
        </w:rPr>
        <w:t>：</w:t>
      </w:r>
      <w:bookmarkEnd w:id="236"/>
    </w:p>
    <w:p>
      <w:pPr>
        <w:tabs>
          <w:tab w:val="left" w:pos="3870"/>
          <w:tab w:val="left" w:pos="4085"/>
        </w:tabs>
        <w:snapToGrid w:val="0"/>
        <w:spacing w:line="420" w:lineRule="exact"/>
        <w:ind w:firstLine="442" w:firstLineChars="200"/>
        <w:jc w:val="center"/>
        <w:rPr>
          <w:b/>
          <w:color w:val="auto"/>
          <w:szCs w:val="21"/>
        </w:rPr>
      </w:pPr>
      <w:r>
        <w:rPr>
          <w:rFonts w:hint="eastAsia"/>
          <w:b/>
          <w:color w:val="auto"/>
          <w:szCs w:val="21"/>
        </w:rPr>
        <w:t>1、投标函</w:t>
      </w:r>
    </w:p>
    <w:p>
      <w:pPr>
        <w:tabs>
          <w:tab w:val="left" w:pos="3870"/>
          <w:tab w:val="left" w:pos="4085"/>
        </w:tabs>
        <w:snapToGrid w:val="0"/>
        <w:spacing w:line="420" w:lineRule="exact"/>
        <w:ind w:firstLine="442" w:firstLineChars="200"/>
        <w:jc w:val="center"/>
        <w:rPr>
          <w:b/>
          <w:color w:val="auto"/>
          <w:szCs w:val="21"/>
        </w:rPr>
      </w:pPr>
    </w:p>
    <w:p>
      <w:pPr>
        <w:snapToGrid w:val="0"/>
        <w:spacing w:line="460" w:lineRule="exact"/>
        <w:rPr>
          <w:color w:val="auto"/>
          <w:szCs w:val="21"/>
        </w:rPr>
      </w:pPr>
      <w:r>
        <w:rPr>
          <w:rFonts w:hint="eastAsia"/>
          <w:color w:val="auto"/>
          <w:szCs w:val="21"/>
        </w:rPr>
        <w:t>致：（招标采购单位名称）：</w:t>
      </w:r>
    </w:p>
    <w:p>
      <w:pPr>
        <w:snapToGrid w:val="0"/>
        <w:spacing w:line="460" w:lineRule="exact"/>
        <w:ind w:firstLine="480"/>
        <w:rPr>
          <w:color w:val="auto"/>
          <w:szCs w:val="21"/>
        </w:rPr>
      </w:pPr>
      <w:r>
        <w:rPr>
          <w:rFonts w:hint="eastAsia"/>
          <w:color w:val="auto"/>
          <w:szCs w:val="21"/>
        </w:rPr>
        <w:t>根据贵方为</w:t>
      </w:r>
      <w:r>
        <w:rPr>
          <w:rFonts w:hint="eastAsia"/>
          <w:color w:val="auto"/>
          <w:szCs w:val="21"/>
          <w:u w:val="single"/>
        </w:rPr>
        <w:t xml:space="preserve">                   </w:t>
      </w:r>
      <w:r>
        <w:rPr>
          <w:rFonts w:hint="eastAsia"/>
          <w:color w:val="auto"/>
          <w:szCs w:val="21"/>
        </w:rPr>
        <w:t>项目的招标文件/投标邀请书（</w:t>
      </w:r>
      <w:r>
        <w:rPr>
          <w:rFonts w:hint="eastAsia"/>
          <w:color w:val="auto"/>
          <w:szCs w:val="21"/>
          <w:lang w:eastAsia="zh-CN"/>
        </w:rPr>
        <w:t>项目编号：CZZC2020-G3-000242-HWST</w:t>
      </w:r>
      <w:r>
        <w:rPr>
          <w:rFonts w:hint="eastAsia"/>
          <w:color w:val="auto"/>
          <w:szCs w:val="21"/>
          <w:u w:val="single"/>
        </w:rPr>
        <w:t xml:space="preserve">            </w:t>
      </w:r>
      <w:r>
        <w:rPr>
          <w:rFonts w:hint="eastAsia"/>
          <w:color w:val="auto"/>
          <w:szCs w:val="21"/>
        </w:rPr>
        <w:t>），签字代表</w:t>
      </w:r>
      <w:r>
        <w:rPr>
          <w:rFonts w:hint="eastAsia"/>
          <w:color w:val="auto"/>
          <w:szCs w:val="21"/>
          <w:u w:val="single"/>
        </w:rPr>
        <w:t xml:space="preserve">            </w:t>
      </w:r>
      <w:r>
        <w:rPr>
          <w:rFonts w:hint="eastAsia"/>
          <w:color w:val="auto"/>
          <w:szCs w:val="21"/>
        </w:rPr>
        <w:t>（全名）经正式授权并代表投标人</w:t>
      </w:r>
      <w:r>
        <w:rPr>
          <w:rFonts w:hint="eastAsia"/>
          <w:color w:val="auto"/>
          <w:szCs w:val="21"/>
          <w:u w:val="single"/>
        </w:rPr>
        <w:t xml:space="preserve">                 </w:t>
      </w:r>
      <w:r>
        <w:rPr>
          <w:rFonts w:hint="eastAsia"/>
          <w:color w:val="auto"/>
          <w:szCs w:val="21"/>
        </w:rPr>
        <w:t>（投标人名称）提交资信/商务文件、技术文件、报价文件正本各一份、副本</w:t>
      </w:r>
      <w:r>
        <w:rPr>
          <w:rFonts w:hint="eastAsia"/>
          <w:color w:val="auto"/>
          <w:szCs w:val="21"/>
          <w:u w:val="single"/>
        </w:rPr>
        <w:t xml:space="preserve">          </w:t>
      </w:r>
      <w:r>
        <w:rPr>
          <w:rFonts w:hint="eastAsia"/>
          <w:color w:val="auto"/>
          <w:szCs w:val="21"/>
        </w:rPr>
        <w:t>份。</w:t>
      </w:r>
    </w:p>
    <w:p>
      <w:pPr>
        <w:snapToGrid w:val="0"/>
        <w:spacing w:line="460" w:lineRule="exact"/>
        <w:ind w:firstLine="440" w:firstLineChars="200"/>
        <w:rPr>
          <w:color w:val="auto"/>
          <w:szCs w:val="21"/>
        </w:rPr>
      </w:pPr>
      <w:r>
        <w:rPr>
          <w:rFonts w:hint="eastAsia"/>
          <w:color w:val="auto"/>
          <w:szCs w:val="21"/>
        </w:rPr>
        <w:t>据此函，签字代表宣布同意如下：</w:t>
      </w:r>
    </w:p>
    <w:p>
      <w:pPr>
        <w:snapToGrid w:val="0"/>
        <w:spacing w:line="460" w:lineRule="exact"/>
        <w:ind w:firstLine="440" w:firstLineChars="200"/>
        <w:rPr>
          <w:color w:val="auto"/>
          <w:szCs w:val="21"/>
        </w:rPr>
      </w:pPr>
      <w:r>
        <w:rPr>
          <w:rFonts w:hint="eastAsia"/>
          <w:color w:val="auto"/>
          <w:szCs w:val="21"/>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460" w:lineRule="exact"/>
        <w:ind w:firstLine="440" w:firstLineChars="200"/>
        <w:rPr>
          <w:color w:val="auto"/>
          <w:szCs w:val="21"/>
        </w:rPr>
      </w:pPr>
      <w:r>
        <w:rPr>
          <w:rFonts w:hint="eastAsia"/>
          <w:color w:val="auto"/>
          <w:szCs w:val="21"/>
        </w:rPr>
        <w:t>2.投标人在投标之前已经与贵方进行了充分的沟通，完全理解并接受招标文件的各项规定和要求，对招标文件的合理性、合法性不再有异议。</w:t>
      </w:r>
    </w:p>
    <w:p>
      <w:pPr>
        <w:snapToGrid w:val="0"/>
        <w:spacing w:line="460" w:lineRule="exact"/>
        <w:ind w:firstLine="440" w:firstLineChars="200"/>
        <w:rPr>
          <w:color w:val="auto"/>
          <w:szCs w:val="21"/>
        </w:rPr>
      </w:pPr>
      <w:r>
        <w:rPr>
          <w:rFonts w:hint="eastAsia"/>
          <w:color w:val="auto"/>
          <w:szCs w:val="21"/>
        </w:rPr>
        <w:t>3.本投标有效期自开标日起</w:t>
      </w:r>
      <w:r>
        <w:rPr>
          <w:rFonts w:hint="eastAsia"/>
          <w:color w:val="auto"/>
          <w:szCs w:val="21"/>
          <w:u w:val="single"/>
        </w:rPr>
        <w:t xml:space="preserve"> </w:t>
      </w:r>
      <w:r>
        <w:rPr>
          <w:rFonts w:hint="eastAsia"/>
          <w:color w:val="auto"/>
          <w:szCs w:val="21"/>
          <w:u w:val="single"/>
          <w:lang w:val="en-US"/>
        </w:rPr>
        <w:t xml:space="preserve">      </w:t>
      </w:r>
      <w:r>
        <w:rPr>
          <w:rFonts w:hint="eastAsia"/>
          <w:color w:val="auto"/>
          <w:szCs w:val="21"/>
        </w:rPr>
        <w:t>天内。</w:t>
      </w:r>
    </w:p>
    <w:p>
      <w:pPr>
        <w:snapToGrid w:val="0"/>
        <w:spacing w:line="460" w:lineRule="exact"/>
        <w:ind w:firstLine="440" w:firstLineChars="200"/>
        <w:rPr>
          <w:color w:val="auto"/>
          <w:szCs w:val="21"/>
        </w:rPr>
      </w:pPr>
      <w:r>
        <w:rPr>
          <w:rFonts w:hint="eastAsia"/>
          <w:color w:val="auto"/>
          <w:szCs w:val="21"/>
        </w:rPr>
        <w:t>4.如中标，本投标文件至本项目合同履行完毕止均保持有效，本投标人将按“招标文件”及政府采购法律、法规的规定履行合同责任和义务。</w:t>
      </w:r>
    </w:p>
    <w:p>
      <w:pPr>
        <w:snapToGrid w:val="0"/>
        <w:spacing w:line="460" w:lineRule="exact"/>
        <w:ind w:firstLine="440" w:firstLineChars="200"/>
        <w:rPr>
          <w:color w:val="auto"/>
          <w:szCs w:val="21"/>
        </w:rPr>
      </w:pPr>
      <w:r>
        <w:rPr>
          <w:rFonts w:hint="eastAsia"/>
          <w:color w:val="auto"/>
          <w:szCs w:val="21"/>
        </w:rPr>
        <w:t>5.投标人同意按照贵方要求提供与投标有关的一切数据或资料。</w:t>
      </w:r>
    </w:p>
    <w:p>
      <w:pPr>
        <w:snapToGrid w:val="0"/>
        <w:spacing w:line="460" w:lineRule="exact"/>
        <w:ind w:firstLine="440" w:firstLineChars="200"/>
        <w:rPr>
          <w:color w:val="auto"/>
          <w:szCs w:val="21"/>
        </w:rPr>
      </w:pPr>
      <w:r>
        <w:rPr>
          <w:rFonts w:hint="eastAsia"/>
          <w:color w:val="auto"/>
          <w:szCs w:val="21"/>
        </w:rPr>
        <w:t>6.与本投标有关的一切正式往来信函请寄：</w:t>
      </w:r>
    </w:p>
    <w:p>
      <w:pPr>
        <w:snapToGrid w:val="0"/>
        <w:spacing w:line="460" w:lineRule="exact"/>
        <w:ind w:firstLine="409" w:firstLineChars="186"/>
        <w:rPr>
          <w:color w:val="auto"/>
          <w:szCs w:val="21"/>
        </w:rPr>
      </w:pPr>
      <w:r>
        <w:rPr>
          <w:rFonts w:hint="eastAsia"/>
          <w:color w:val="auto"/>
          <w:szCs w:val="21"/>
        </w:rPr>
        <w:t>地址：</w:t>
      </w:r>
      <w:r>
        <w:rPr>
          <w:rFonts w:hint="eastAsia"/>
          <w:color w:val="auto"/>
          <w:szCs w:val="21"/>
          <w:lang w:val="en-US"/>
        </w:rPr>
        <w:t xml:space="preserve">  </w:t>
      </w:r>
      <w:r>
        <w:rPr>
          <w:rFonts w:hint="eastAsia"/>
          <w:color w:val="auto"/>
          <w:szCs w:val="21"/>
        </w:rPr>
        <w:t>邮编：  电话：</w:t>
      </w:r>
    </w:p>
    <w:p>
      <w:pPr>
        <w:snapToGrid w:val="0"/>
        <w:spacing w:line="460" w:lineRule="exact"/>
        <w:ind w:firstLine="409" w:firstLineChars="186"/>
        <w:rPr>
          <w:color w:val="auto"/>
          <w:szCs w:val="21"/>
        </w:rPr>
      </w:pPr>
      <w:r>
        <w:rPr>
          <w:rFonts w:hint="eastAsia"/>
          <w:color w:val="auto"/>
          <w:szCs w:val="21"/>
        </w:rPr>
        <w:t>传真：  投标人代表姓名：  职务：</w:t>
      </w:r>
    </w:p>
    <w:p>
      <w:pPr>
        <w:snapToGrid w:val="0"/>
        <w:spacing w:line="460" w:lineRule="exact"/>
        <w:ind w:firstLine="409" w:firstLineChars="186"/>
        <w:rPr>
          <w:color w:val="auto"/>
          <w:szCs w:val="21"/>
        </w:rPr>
      </w:pPr>
      <w:r>
        <w:rPr>
          <w:rFonts w:hint="eastAsia"/>
          <w:color w:val="auto"/>
          <w:szCs w:val="21"/>
        </w:rPr>
        <w:t>投标人名称(公章)：</w:t>
      </w:r>
    </w:p>
    <w:p>
      <w:pPr>
        <w:snapToGrid w:val="0"/>
        <w:spacing w:line="460" w:lineRule="exact"/>
        <w:ind w:firstLine="409" w:firstLineChars="186"/>
        <w:rPr>
          <w:color w:val="auto"/>
          <w:szCs w:val="21"/>
        </w:rPr>
      </w:pPr>
      <w:r>
        <w:rPr>
          <w:rFonts w:hint="eastAsia"/>
          <w:color w:val="auto"/>
          <w:szCs w:val="21"/>
        </w:rPr>
        <w:t xml:space="preserve">开户银行：   </w:t>
      </w:r>
    </w:p>
    <w:p>
      <w:pPr>
        <w:snapToGrid w:val="0"/>
        <w:spacing w:line="460" w:lineRule="exact"/>
        <w:ind w:firstLine="409" w:firstLineChars="186"/>
        <w:rPr>
          <w:color w:val="auto"/>
          <w:szCs w:val="21"/>
        </w:rPr>
      </w:pPr>
      <w:r>
        <w:rPr>
          <w:rFonts w:hint="eastAsia"/>
          <w:color w:val="auto"/>
          <w:szCs w:val="21"/>
        </w:rPr>
        <w:t>银行帐号：</w:t>
      </w:r>
    </w:p>
    <w:p>
      <w:pPr>
        <w:snapToGrid w:val="0"/>
        <w:spacing w:line="460" w:lineRule="exact"/>
        <w:ind w:firstLine="409" w:firstLineChars="186"/>
        <w:rPr>
          <w:color w:val="auto"/>
          <w:szCs w:val="21"/>
        </w:rPr>
      </w:pPr>
      <w:r>
        <w:rPr>
          <w:rFonts w:hint="eastAsia"/>
          <w:color w:val="auto"/>
          <w:szCs w:val="21"/>
        </w:rPr>
        <w:t>法定代表人或授权代理人签字：</w:t>
      </w:r>
    </w:p>
    <w:p>
      <w:pPr>
        <w:snapToGrid w:val="0"/>
        <w:spacing w:line="460" w:lineRule="exact"/>
        <w:ind w:firstLine="409" w:firstLineChars="186"/>
        <w:rPr>
          <w:color w:val="auto"/>
          <w:szCs w:val="21"/>
        </w:rPr>
      </w:pPr>
      <w:r>
        <w:rPr>
          <w:rFonts w:hint="eastAsia"/>
          <w:color w:val="auto"/>
          <w:szCs w:val="21"/>
        </w:rPr>
        <w:t>日期：</w:t>
      </w:r>
      <w:r>
        <w:rPr>
          <w:rFonts w:hint="eastAsia"/>
          <w:color w:val="auto"/>
          <w:szCs w:val="21"/>
          <w:lang w:val="en-US"/>
        </w:rPr>
        <w:t xml:space="preserve">  </w:t>
      </w:r>
      <w:r>
        <w:rPr>
          <w:rFonts w:hint="eastAsia"/>
          <w:color w:val="auto"/>
          <w:szCs w:val="21"/>
        </w:rPr>
        <w:t>年</w:t>
      </w:r>
      <w:r>
        <w:rPr>
          <w:rFonts w:hint="eastAsia"/>
          <w:color w:val="auto"/>
          <w:szCs w:val="21"/>
          <w:lang w:val="en-US"/>
        </w:rPr>
        <w:t xml:space="preserve">  </w:t>
      </w:r>
      <w:r>
        <w:rPr>
          <w:rFonts w:hint="eastAsia"/>
          <w:color w:val="auto"/>
          <w:szCs w:val="21"/>
        </w:rPr>
        <w:t>月</w:t>
      </w:r>
      <w:r>
        <w:rPr>
          <w:rFonts w:hint="eastAsia"/>
          <w:color w:val="auto"/>
          <w:szCs w:val="21"/>
          <w:lang w:val="en-US"/>
        </w:rPr>
        <w:t xml:space="preserve">  </w:t>
      </w:r>
      <w:r>
        <w:rPr>
          <w:rFonts w:hint="eastAsia"/>
          <w:color w:val="auto"/>
          <w:szCs w:val="21"/>
        </w:rPr>
        <w:t>日</w:t>
      </w:r>
    </w:p>
    <w:p>
      <w:pPr>
        <w:snapToGrid w:val="0"/>
        <w:spacing w:beforeLines="50" w:after="50" w:line="400" w:lineRule="exact"/>
        <w:rPr>
          <w:b/>
          <w:color w:val="auto"/>
          <w:szCs w:val="21"/>
        </w:rPr>
      </w:pPr>
    </w:p>
    <w:p>
      <w:pPr>
        <w:tabs>
          <w:tab w:val="left" w:pos="3870"/>
          <w:tab w:val="left" w:pos="4085"/>
        </w:tabs>
        <w:snapToGrid w:val="0"/>
        <w:spacing w:line="420" w:lineRule="exact"/>
        <w:ind w:firstLine="442" w:firstLineChars="200"/>
        <w:jc w:val="center"/>
        <w:rPr>
          <w:b/>
          <w:color w:val="auto"/>
          <w:szCs w:val="21"/>
        </w:rPr>
      </w:pPr>
    </w:p>
    <w:p>
      <w:pPr>
        <w:tabs>
          <w:tab w:val="left" w:pos="3870"/>
          <w:tab w:val="left" w:pos="4085"/>
        </w:tabs>
        <w:snapToGrid w:val="0"/>
        <w:spacing w:line="420" w:lineRule="exact"/>
        <w:ind w:firstLine="442" w:firstLineChars="200"/>
        <w:jc w:val="center"/>
        <w:rPr>
          <w:b/>
          <w:color w:val="auto"/>
          <w:szCs w:val="21"/>
        </w:rPr>
      </w:pPr>
    </w:p>
    <w:p>
      <w:pPr>
        <w:tabs>
          <w:tab w:val="left" w:pos="3870"/>
          <w:tab w:val="left" w:pos="4085"/>
        </w:tabs>
        <w:snapToGrid w:val="0"/>
        <w:spacing w:line="420" w:lineRule="exact"/>
        <w:ind w:firstLine="442" w:firstLineChars="200"/>
        <w:jc w:val="center"/>
        <w:rPr>
          <w:b/>
          <w:color w:val="auto"/>
          <w:szCs w:val="21"/>
        </w:rPr>
      </w:pPr>
    </w:p>
    <w:p>
      <w:pPr>
        <w:tabs>
          <w:tab w:val="left" w:pos="3870"/>
          <w:tab w:val="left" w:pos="4085"/>
        </w:tabs>
        <w:snapToGrid w:val="0"/>
        <w:spacing w:line="420" w:lineRule="exact"/>
        <w:ind w:firstLine="442" w:firstLineChars="200"/>
        <w:jc w:val="center"/>
        <w:rPr>
          <w:b/>
          <w:color w:val="auto"/>
          <w:szCs w:val="21"/>
        </w:rPr>
      </w:pPr>
    </w:p>
    <w:p>
      <w:pPr>
        <w:tabs>
          <w:tab w:val="left" w:pos="3870"/>
          <w:tab w:val="left" w:pos="4085"/>
        </w:tabs>
        <w:snapToGrid w:val="0"/>
        <w:spacing w:line="420" w:lineRule="exact"/>
        <w:ind w:firstLine="442" w:firstLineChars="200"/>
        <w:jc w:val="center"/>
        <w:rPr>
          <w:b/>
          <w:color w:val="auto"/>
          <w:szCs w:val="21"/>
        </w:rPr>
      </w:pPr>
      <w:r>
        <w:rPr>
          <w:rFonts w:hint="eastAsia"/>
          <w:b/>
          <w:color w:val="auto"/>
          <w:szCs w:val="21"/>
        </w:rPr>
        <w:t>2、投标报价表</w:t>
      </w:r>
    </w:p>
    <w:p>
      <w:pPr>
        <w:snapToGrid w:val="0"/>
        <w:spacing w:before="50" w:afterLines="50" w:line="440" w:lineRule="exact"/>
        <w:ind w:firstLine="2200" w:firstLineChars="1000"/>
        <w:jc w:val="right"/>
        <w:rPr>
          <w:color w:val="auto"/>
          <w:szCs w:val="21"/>
        </w:rPr>
      </w:pPr>
      <w:r>
        <w:rPr>
          <w:rFonts w:hint="eastAsia"/>
          <w:color w:val="auto"/>
          <w:szCs w:val="21"/>
        </w:rPr>
        <w:t>金额单位：人民币（元）</w:t>
      </w:r>
    </w:p>
    <w:tbl>
      <w:tblPr>
        <w:tblStyle w:val="29"/>
        <w:tblW w:w="84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6"/>
        <w:gridCol w:w="3750"/>
        <w:gridCol w:w="35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05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b/>
                <w:color w:val="auto"/>
                <w:szCs w:val="21"/>
              </w:rPr>
            </w:pPr>
            <w:r>
              <w:rPr>
                <w:rFonts w:hint="eastAsia"/>
                <w:b/>
                <w:color w:val="auto"/>
                <w:szCs w:val="21"/>
              </w:rPr>
              <w:t>项号</w:t>
            </w:r>
          </w:p>
        </w:tc>
        <w:tc>
          <w:tcPr>
            <w:tcW w:w="37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b/>
                <w:color w:val="auto"/>
                <w:szCs w:val="21"/>
              </w:rPr>
            </w:pPr>
            <w:r>
              <w:rPr>
                <w:rFonts w:hint="eastAsia"/>
                <w:b/>
                <w:color w:val="auto"/>
                <w:szCs w:val="21"/>
              </w:rPr>
              <w:t>服务名称</w:t>
            </w:r>
          </w:p>
        </w:tc>
        <w:tc>
          <w:tcPr>
            <w:tcW w:w="359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b/>
                <w:color w:val="auto"/>
                <w:szCs w:val="21"/>
              </w:rPr>
            </w:pPr>
            <w:r>
              <w:rPr>
                <w:rFonts w:hint="eastAsia"/>
                <w:b/>
                <w:color w:val="auto"/>
                <w:szCs w:val="21"/>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45" w:hRule="atLeast"/>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szCs w:val="21"/>
              </w:rPr>
            </w:pPr>
            <w:r>
              <w:rPr>
                <w:rFonts w:hint="eastAsia"/>
                <w:color w:val="auto"/>
              </w:rPr>
              <w:t>1</w:t>
            </w:r>
          </w:p>
        </w:tc>
        <w:tc>
          <w:tcPr>
            <w:tcW w:w="375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大新德天至宁明花山公路（硕龙至天西段）二期工程全过程造价咨询（从项目实施阶段起）</w:t>
            </w:r>
          </w:p>
        </w:tc>
        <w:tc>
          <w:tcPr>
            <w:tcW w:w="3599"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承诺同意按招标文件约定的报价方式。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5" w:hRule="atLeast"/>
          <w:jc w:val="center"/>
        </w:trPr>
        <w:tc>
          <w:tcPr>
            <w:tcW w:w="8405"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50" w:after="50"/>
              <w:rPr>
                <w:color w:val="auto"/>
                <w:szCs w:val="21"/>
              </w:rPr>
            </w:pPr>
            <w:r>
              <w:rPr>
                <w:rFonts w:hint="eastAsia"/>
                <w:color w:val="auto"/>
                <w:szCs w:val="21"/>
              </w:rPr>
              <w:t>服务期限：</w:t>
            </w:r>
          </w:p>
        </w:tc>
      </w:tr>
    </w:tbl>
    <w:p>
      <w:pPr>
        <w:snapToGrid w:val="0"/>
        <w:spacing w:beforeLines="50" w:line="360" w:lineRule="exact"/>
        <w:ind w:firstLine="3784" w:firstLineChars="1720"/>
        <w:rPr>
          <w:color w:val="auto"/>
          <w:szCs w:val="21"/>
        </w:rPr>
      </w:pPr>
    </w:p>
    <w:p>
      <w:pPr>
        <w:snapToGrid w:val="0"/>
        <w:spacing w:beforeLines="50" w:line="360" w:lineRule="exact"/>
        <w:ind w:firstLine="3784" w:firstLineChars="1720"/>
        <w:rPr>
          <w:color w:val="auto"/>
          <w:szCs w:val="21"/>
        </w:rPr>
      </w:pPr>
    </w:p>
    <w:p>
      <w:pPr>
        <w:snapToGrid w:val="0"/>
        <w:spacing w:beforeLines="50" w:line="360" w:lineRule="exact"/>
        <w:ind w:firstLine="3784" w:firstLineChars="1720"/>
        <w:rPr>
          <w:color w:val="auto"/>
          <w:szCs w:val="21"/>
        </w:rPr>
      </w:pPr>
      <w:r>
        <w:rPr>
          <w:rFonts w:hint="eastAsia"/>
          <w:color w:val="auto"/>
          <w:szCs w:val="21"/>
        </w:rPr>
        <w:t xml:space="preserve">投标人名称（盖单位公章）：   </w:t>
      </w:r>
    </w:p>
    <w:p>
      <w:pPr>
        <w:snapToGrid w:val="0"/>
        <w:spacing w:beforeLines="50" w:line="360" w:lineRule="exact"/>
        <w:ind w:firstLine="3784" w:firstLineChars="1720"/>
        <w:rPr>
          <w:color w:val="auto"/>
          <w:szCs w:val="21"/>
          <w:u w:val="single"/>
        </w:rPr>
      </w:pPr>
      <w:r>
        <w:rPr>
          <w:rFonts w:hint="eastAsia"/>
          <w:color w:val="auto"/>
          <w:szCs w:val="21"/>
        </w:rPr>
        <w:t>法定代表人或授权代理人签字：</w:t>
      </w:r>
    </w:p>
    <w:p>
      <w:pPr>
        <w:tabs>
          <w:tab w:val="left" w:pos="3870"/>
          <w:tab w:val="left" w:pos="4085"/>
        </w:tabs>
        <w:snapToGrid w:val="0"/>
        <w:spacing w:line="420" w:lineRule="exact"/>
        <w:ind w:firstLine="440" w:firstLineChars="200"/>
        <w:rPr>
          <w:b/>
          <w:color w:val="auto"/>
          <w:szCs w:val="21"/>
        </w:rPr>
      </w:pPr>
      <w:r>
        <w:rPr>
          <w:rFonts w:hint="eastAsia"/>
          <w:color w:val="auto"/>
          <w:szCs w:val="21"/>
        </w:rPr>
        <w:t xml:space="preserve">                                日期：      年    月    日      </w:t>
      </w:r>
      <w:r>
        <w:rPr>
          <w:rFonts w:hint="eastAsia"/>
          <w:b/>
          <w:color w:val="auto"/>
          <w:szCs w:val="21"/>
        </w:rPr>
        <w:br w:type="page"/>
      </w:r>
    </w:p>
    <w:p>
      <w:pPr>
        <w:tabs>
          <w:tab w:val="left" w:pos="3870"/>
          <w:tab w:val="left" w:pos="4085"/>
        </w:tabs>
        <w:snapToGrid w:val="0"/>
        <w:spacing w:line="420" w:lineRule="exact"/>
        <w:ind w:firstLine="442" w:firstLineChars="200"/>
        <w:rPr>
          <w:b/>
          <w:color w:val="auto"/>
          <w:szCs w:val="21"/>
        </w:rPr>
      </w:pPr>
      <w:r>
        <w:rPr>
          <w:rFonts w:hint="eastAsia"/>
          <w:b/>
          <w:color w:val="auto"/>
          <w:szCs w:val="21"/>
        </w:rPr>
        <w:t>3、投标人符合中小企业划型标准的，按《政府采购促进中小企业发展暂行办法》（财库〔2011〕181号）要求，提供有效证明文件</w:t>
      </w:r>
    </w:p>
    <w:p>
      <w:pPr>
        <w:ind w:right="403" w:rightChars="183"/>
        <w:jc w:val="center"/>
        <w:rPr>
          <w:b/>
          <w:color w:val="auto"/>
          <w:sz w:val="28"/>
          <w:szCs w:val="28"/>
        </w:rPr>
      </w:pPr>
    </w:p>
    <w:p>
      <w:pPr>
        <w:ind w:right="403" w:rightChars="183"/>
        <w:jc w:val="center"/>
        <w:rPr>
          <w:b/>
          <w:color w:val="auto"/>
          <w:sz w:val="28"/>
          <w:szCs w:val="28"/>
        </w:rPr>
      </w:pPr>
      <w:r>
        <w:rPr>
          <w:rFonts w:hint="eastAsia"/>
          <w:b/>
          <w:color w:val="auto"/>
          <w:sz w:val="28"/>
          <w:szCs w:val="28"/>
        </w:rPr>
        <w:t>中小企业声明函</w:t>
      </w:r>
    </w:p>
    <w:p>
      <w:pPr>
        <w:spacing w:line="360" w:lineRule="auto"/>
        <w:ind w:right="403" w:rightChars="183" w:firstLine="330" w:firstLineChars="150"/>
        <w:rPr>
          <w:color w:val="auto"/>
          <w:szCs w:val="21"/>
        </w:rPr>
      </w:pPr>
      <w:r>
        <w:rPr>
          <w:rFonts w:hint="eastAsia"/>
          <w:color w:val="auto"/>
          <w:szCs w:val="21"/>
        </w:rPr>
        <w:t>本公司郑重声明，根据《政府采购促进中小企业发展暂行办法》（财库[2011]181 号）的规定，本公司为______（请填写：中型、小型、微型）企业。即，本公司同时满足以下条件：</w:t>
      </w:r>
    </w:p>
    <w:p>
      <w:pPr>
        <w:spacing w:line="360" w:lineRule="auto"/>
        <w:ind w:right="403" w:rightChars="183" w:firstLine="444" w:firstLineChars="202"/>
        <w:rPr>
          <w:color w:val="auto"/>
          <w:szCs w:val="21"/>
        </w:rPr>
      </w:pPr>
      <w:r>
        <w:rPr>
          <w:rFonts w:hint="eastAsia"/>
          <w:color w:val="auto"/>
          <w:szCs w:val="21"/>
        </w:rPr>
        <w:t>1、根据《工业和信息化部、国家统计局、国家发展和改革委员会、财政部关于印发中小企业划型标准规定的通知》（工信部联企业[2011]300 号）规定的划分标准，本公司为______（请填写：中型、小型、微型）企业。</w:t>
      </w:r>
    </w:p>
    <w:p>
      <w:pPr>
        <w:spacing w:line="360" w:lineRule="auto"/>
        <w:ind w:right="403" w:rightChars="183" w:firstLine="444" w:firstLineChars="202"/>
        <w:rPr>
          <w:color w:val="auto"/>
          <w:szCs w:val="21"/>
        </w:rPr>
      </w:pPr>
      <w:r>
        <w:rPr>
          <w:rFonts w:hint="eastAsia"/>
          <w:color w:val="auto"/>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360" w:lineRule="auto"/>
        <w:ind w:right="403" w:rightChars="183" w:firstLine="330" w:firstLineChars="150"/>
        <w:rPr>
          <w:color w:val="auto"/>
          <w:szCs w:val="21"/>
        </w:rPr>
      </w:pPr>
      <w:r>
        <w:rPr>
          <w:rFonts w:hint="eastAsia"/>
          <w:color w:val="auto"/>
          <w:szCs w:val="21"/>
        </w:rPr>
        <w:t>本公司对上述声明的真实性负责。如有虚假，将依法承担相应责任。</w:t>
      </w:r>
    </w:p>
    <w:p>
      <w:pPr>
        <w:spacing w:line="360" w:lineRule="auto"/>
        <w:ind w:right="403" w:rightChars="183"/>
        <w:rPr>
          <w:color w:val="auto"/>
          <w:szCs w:val="21"/>
        </w:rPr>
      </w:pPr>
    </w:p>
    <w:p>
      <w:pPr>
        <w:spacing w:line="360" w:lineRule="auto"/>
        <w:ind w:right="-22" w:rightChars="-10"/>
        <w:jc w:val="right"/>
        <w:rPr>
          <w:color w:val="auto"/>
          <w:szCs w:val="21"/>
        </w:rPr>
      </w:pPr>
      <w:r>
        <w:rPr>
          <w:rFonts w:hint="eastAsia"/>
          <w:color w:val="auto"/>
          <w:szCs w:val="21"/>
        </w:rPr>
        <w:t>投标人名称（盖单位公章）：</w:t>
      </w:r>
    </w:p>
    <w:p>
      <w:pPr>
        <w:pStyle w:val="16"/>
        <w:spacing w:line="500" w:lineRule="exact"/>
        <w:jc w:val="right"/>
        <w:rPr>
          <w:rFonts w:hAnsi="宋体"/>
          <w:color w:val="auto"/>
        </w:rPr>
      </w:pPr>
      <w:r>
        <w:rPr>
          <w:rFonts w:hint="eastAsia" w:hAnsi="宋体"/>
          <w:color w:val="auto"/>
        </w:rPr>
        <w:t xml:space="preserve">年    月    日 </w:t>
      </w:r>
    </w:p>
    <w:p>
      <w:pPr>
        <w:pStyle w:val="16"/>
        <w:spacing w:line="500" w:lineRule="exact"/>
        <w:jc w:val="right"/>
        <w:rPr>
          <w:rFonts w:hAnsi="宋体"/>
          <w:color w:val="auto"/>
        </w:rPr>
      </w:pPr>
    </w:p>
    <w:p>
      <w:pPr>
        <w:spacing w:line="460" w:lineRule="exact"/>
        <w:ind w:firstLine="440" w:firstLineChars="200"/>
        <w:rPr>
          <w:color w:val="auto"/>
          <w:szCs w:val="21"/>
        </w:rPr>
      </w:pPr>
      <w:r>
        <w:rPr>
          <w:rFonts w:hint="eastAsia"/>
          <w:color w:val="auto"/>
          <w:szCs w:val="21"/>
        </w:rPr>
        <w:t>备注：依据《工业和信息化部、国家统计局、国家发展和改革委员会、财政部关于印发中小企业划型标准规定的通知》（ 工信部联企业 [2011]300号），中小企业划分为中型、小型、微型三种类型，具体标准根据企业从业人员、营业收入、资产总额等指标，结合行业特点制定。招标采购单位将在中标公告中公布中标人中小企业声明函中的声明信息，接受社会监督，投标人如有虚假，将依法承担相应责任。</w:t>
      </w:r>
    </w:p>
    <w:p>
      <w:pPr>
        <w:tabs>
          <w:tab w:val="left" w:pos="3870"/>
          <w:tab w:val="left" w:pos="4085"/>
        </w:tabs>
        <w:snapToGrid w:val="0"/>
        <w:spacing w:line="420" w:lineRule="exact"/>
        <w:ind w:firstLine="440" w:firstLineChars="200"/>
        <w:rPr>
          <w:color w:val="auto"/>
          <w:szCs w:val="21"/>
        </w:rPr>
      </w:pPr>
    </w:p>
    <w:p>
      <w:pPr>
        <w:tabs>
          <w:tab w:val="left" w:pos="3870"/>
          <w:tab w:val="left" w:pos="4085"/>
        </w:tabs>
        <w:snapToGrid w:val="0"/>
        <w:spacing w:line="420" w:lineRule="exact"/>
        <w:ind w:firstLine="440" w:firstLineChars="200"/>
        <w:rPr>
          <w:color w:val="auto"/>
          <w:szCs w:val="21"/>
        </w:rPr>
      </w:pPr>
    </w:p>
    <w:p>
      <w:pPr>
        <w:tabs>
          <w:tab w:val="left" w:pos="3870"/>
          <w:tab w:val="left" w:pos="4085"/>
        </w:tabs>
        <w:snapToGrid w:val="0"/>
        <w:spacing w:line="420" w:lineRule="exact"/>
        <w:ind w:firstLine="440" w:firstLineChars="200"/>
        <w:rPr>
          <w:color w:val="auto"/>
          <w:szCs w:val="21"/>
        </w:rPr>
      </w:pPr>
    </w:p>
    <w:p>
      <w:pPr>
        <w:tabs>
          <w:tab w:val="left" w:pos="3870"/>
          <w:tab w:val="left" w:pos="4085"/>
        </w:tabs>
        <w:snapToGrid w:val="0"/>
        <w:spacing w:line="420" w:lineRule="exact"/>
        <w:ind w:firstLine="440" w:firstLineChars="200"/>
        <w:rPr>
          <w:color w:val="auto"/>
          <w:szCs w:val="21"/>
        </w:rPr>
      </w:pPr>
    </w:p>
    <w:p>
      <w:pPr>
        <w:tabs>
          <w:tab w:val="left" w:pos="3870"/>
          <w:tab w:val="left" w:pos="4085"/>
        </w:tabs>
        <w:snapToGrid w:val="0"/>
        <w:spacing w:line="420" w:lineRule="exact"/>
        <w:rPr>
          <w:color w:val="auto"/>
          <w:szCs w:val="21"/>
        </w:rPr>
      </w:pPr>
    </w:p>
    <w:p>
      <w:pPr>
        <w:tabs>
          <w:tab w:val="left" w:pos="3870"/>
          <w:tab w:val="left" w:pos="4085"/>
        </w:tabs>
        <w:snapToGrid w:val="0"/>
        <w:spacing w:line="420" w:lineRule="exact"/>
        <w:ind w:firstLine="442" w:firstLineChars="200"/>
        <w:rPr>
          <w:b/>
          <w:color w:val="auto"/>
          <w:szCs w:val="21"/>
        </w:rPr>
      </w:pPr>
      <w:r>
        <w:rPr>
          <w:rFonts w:hint="eastAsia"/>
          <w:b/>
          <w:color w:val="auto"/>
          <w:szCs w:val="21"/>
        </w:rPr>
        <w:t>4、投标人属于监狱企业的，应提供由省级以上监狱管理局、戒毒管理局（含新疆生产建设兵团）出具的属于监狱企业的证明文件复印件。</w:t>
      </w:r>
    </w:p>
    <w:p>
      <w:pPr>
        <w:tabs>
          <w:tab w:val="left" w:pos="3870"/>
          <w:tab w:val="left" w:pos="4085"/>
        </w:tabs>
        <w:snapToGrid w:val="0"/>
        <w:spacing w:line="420" w:lineRule="exact"/>
        <w:ind w:firstLine="442" w:firstLineChars="200"/>
        <w:rPr>
          <w:b/>
          <w:color w:val="auto"/>
          <w:szCs w:val="21"/>
        </w:rPr>
      </w:pPr>
      <w:r>
        <w:rPr>
          <w:rFonts w:hint="eastAsia"/>
          <w:b/>
          <w:color w:val="auto"/>
          <w:szCs w:val="21"/>
        </w:rPr>
        <w:t>（格式自拟）</w:t>
      </w:r>
    </w:p>
    <w:p>
      <w:pPr>
        <w:tabs>
          <w:tab w:val="left" w:pos="3870"/>
          <w:tab w:val="left" w:pos="4085"/>
        </w:tabs>
        <w:snapToGrid w:val="0"/>
        <w:spacing w:line="420" w:lineRule="exact"/>
        <w:ind w:firstLine="442" w:firstLineChars="200"/>
        <w:rPr>
          <w:b/>
          <w:color w:val="auto"/>
          <w:szCs w:val="21"/>
        </w:rPr>
      </w:pPr>
    </w:p>
    <w:p>
      <w:pPr>
        <w:tabs>
          <w:tab w:val="left" w:pos="3870"/>
          <w:tab w:val="left" w:pos="4085"/>
        </w:tabs>
        <w:snapToGrid w:val="0"/>
        <w:spacing w:line="420" w:lineRule="exact"/>
        <w:ind w:firstLine="442" w:firstLineChars="200"/>
        <w:rPr>
          <w:b/>
          <w:color w:val="auto"/>
          <w:szCs w:val="21"/>
        </w:rPr>
      </w:pPr>
    </w:p>
    <w:p>
      <w:pPr>
        <w:tabs>
          <w:tab w:val="left" w:pos="3870"/>
          <w:tab w:val="left" w:pos="4085"/>
        </w:tabs>
        <w:snapToGrid w:val="0"/>
        <w:spacing w:line="420" w:lineRule="exact"/>
        <w:ind w:firstLine="442" w:firstLineChars="200"/>
        <w:rPr>
          <w:b/>
          <w:color w:val="auto"/>
          <w:szCs w:val="21"/>
        </w:rPr>
      </w:pPr>
    </w:p>
    <w:p>
      <w:pPr>
        <w:tabs>
          <w:tab w:val="left" w:pos="3870"/>
          <w:tab w:val="left" w:pos="4085"/>
        </w:tabs>
        <w:snapToGrid w:val="0"/>
        <w:spacing w:line="420" w:lineRule="exact"/>
        <w:ind w:firstLine="442" w:firstLineChars="200"/>
        <w:rPr>
          <w:b/>
          <w:color w:val="auto"/>
          <w:szCs w:val="21"/>
        </w:rPr>
      </w:pPr>
      <w:r>
        <w:rPr>
          <w:rFonts w:hint="eastAsia"/>
          <w:b/>
          <w:color w:val="auto"/>
          <w:szCs w:val="21"/>
        </w:rPr>
        <w:t>5、投标人属于残疾人福利性单位，按《三部门联合发布关于促进残疾人就业政府采购政策的通知》（财库〔2017〕141号）要求，提供《残疾人福利性单位声明函》</w:t>
      </w:r>
    </w:p>
    <w:p>
      <w:pPr>
        <w:spacing w:line="588" w:lineRule="exact"/>
        <w:jc w:val="center"/>
        <w:rPr>
          <w:b/>
          <w:color w:val="auto"/>
          <w:sz w:val="28"/>
          <w:szCs w:val="28"/>
        </w:rPr>
      </w:pPr>
      <w:bookmarkStart w:id="237" w:name="OLE_LINK13"/>
      <w:bookmarkStart w:id="238" w:name="OLE_LINK14"/>
    </w:p>
    <w:p>
      <w:pPr>
        <w:spacing w:line="588" w:lineRule="exact"/>
        <w:jc w:val="center"/>
        <w:rPr>
          <w:b/>
          <w:color w:val="auto"/>
          <w:sz w:val="28"/>
          <w:szCs w:val="28"/>
        </w:rPr>
      </w:pPr>
      <w:r>
        <w:rPr>
          <w:rFonts w:hint="eastAsia"/>
          <w:b/>
          <w:color w:val="auto"/>
          <w:sz w:val="28"/>
          <w:szCs w:val="28"/>
        </w:rPr>
        <w:t>残疾人福利性单位声明函</w:t>
      </w:r>
    </w:p>
    <w:bookmarkEnd w:id="237"/>
    <w:bookmarkEnd w:id="238"/>
    <w:p>
      <w:pPr>
        <w:spacing w:line="588" w:lineRule="exact"/>
        <w:rPr>
          <w:b/>
          <w:color w:val="auto"/>
          <w:spacing w:val="6"/>
          <w:sz w:val="28"/>
          <w:szCs w:val="28"/>
        </w:rPr>
      </w:pPr>
    </w:p>
    <w:p>
      <w:pPr>
        <w:spacing w:line="588" w:lineRule="exact"/>
        <w:ind w:firstLine="440" w:firstLineChars="200"/>
        <w:rPr>
          <w:color w:val="auto"/>
          <w:szCs w:val="21"/>
        </w:rPr>
      </w:pPr>
      <w:r>
        <w:rPr>
          <w:rFonts w:hint="eastAsia"/>
          <w:color w:val="auto"/>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0" w:firstLineChars="200"/>
        <w:rPr>
          <w:color w:val="auto"/>
          <w:szCs w:val="21"/>
        </w:rPr>
      </w:pPr>
      <w:r>
        <w:rPr>
          <w:rFonts w:hint="eastAsia"/>
          <w:color w:val="auto"/>
          <w:szCs w:val="21"/>
        </w:rPr>
        <w:t>本单位对上述声明的真实性负责。如有虚假，将依法承担相应责任。</w:t>
      </w:r>
    </w:p>
    <w:p>
      <w:pPr>
        <w:spacing w:line="588" w:lineRule="exact"/>
        <w:ind w:firstLine="440" w:firstLineChars="200"/>
        <w:rPr>
          <w:color w:val="auto"/>
          <w:szCs w:val="21"/>
        </w:rPr>
      </w:pPr>
    </w:p>
    <w:p>
      <w:pPr>
        <w:spacing w:line="360" w:lineRule="auto"/>
        <w:ind w:right="-22" w:rightChars="-10"/>
        <w:jc w:val="right"/>
        <w:rPr>
          <w:color w:val="auto"/>
          <w:szCs w:val="21"/>
        </w:rPr>
      </w:pPr>
      <w:r>
        <w:rPr>
          <w:rFonts w:hint="eastAsia"/>
          <w:color w:val="auto"/>
          <w:szCs w:val="21"/>
        </w:rPr>
        <w:t>投标人名称（盖单位公章）：</w:t>
      </w:r>
    </w:p>
    <w:p>
      <w:pPr>
        <w:pStyle w:val="16"/>
        <w:spacing w:line="500" w:lineRule="exact"/>
        <w:jc w:val="right"/>
        <w:rPr>
          <w:rFonts w:hAnsi="宋体"/>
          <w:color w:val="auto"/>
        </w:rPr>
      </w:pPr>
      <w:r>
        <w:rPr>
          <w:rFonts w:hint="eastAsia" w:hAnsi="宋体"/>
          <w:color w:val="auto"/>
        </w:rPr>
        <w:t xml:space="preserve">年    月    日 </w:t>
      </w:r>
    </w:p>
    <w:p>
      <w:pPr>
        <w:tabs>
          <w:tab w:val="left" w:pos="3870"/>
          <w:tab w:val="left" w:pos="4085"/>
        </w:tabs>
        <w:snapToGrid w:val="0"/>
        <w:spacing w:line="420" w:lineRule="exact"/>
        <w:ind w:firstLine="442" w:firstLineChars="200"/>
        <w:rPr>
          <w:b/>
          <w:bCs/>
          <w:color w:val="auto"/>
          <w:szCs w:val="21"/>
        </w:rPr>
      </w:pPr>
      <w:r>
        <w:rPr>
          <w:rFonts w:hint="eastAsia"/>
          <w:b/>
          <w:bCs/>
          <w:color w:val="auto"/>
          <w:szCs w:val="21"/>
        </w:rPr>
        <w:t>备注：招标采购单位将在中标公告中公布中标人《残疾人福利性单位声明函》中的声明信息，接受社会监督，投标人如有虚假，将依法承担相应责任</w:t>
      </w:r>
    </w:p>
    <w:p>
      <w:pPr>
        <w:tabs>
          <w:tab w:val="left" w:pos="3870"/>
          <w:tab w:val="left" w:pos="4085"/>
        </w:tabs>
        <w:snapToGrid w:val="0"/>
        <w:spacing w:line="420" w:lineRule="exact"/>
        <w:ind w:firstLine="440" w:firstLineChars="200"/>
        <w:rPr>
          <w:color w:val="auto"/>
          <w:szCs w:val="21"/>
        </w:rPr>
      </w:pPr>
    </w:p>
    <w:p>
      <w:pPr>
        <w:tabs>
          <w:tab w:val="left" w:pos="3870"/>
          <w:tab w:val="left" w:pos="4085"/>
        </w:tabs>
        <w:snapToGrid w:val="0"/>
        <w:spacing w:line="420" w:lineRule="exact"/>
        <w:jc w:val="both"/>
        <w:rPr>
          <w:b/>
          <w:color w:val="auto"/>
          <w:szCs w:val="21"/>
        </w:rPr>
      </w:pPr>
    </w:p>
    <w:p>
      <w:pPr>
        <w:tabs>
          <w:tab w:val="left" w:pos="3870"/>
          <w:tab w:val="left" w:pos="4085"/>
        </w:tabs>
        <w:snapToGrid w:val="0"/>
        <w:spacing w:line="420" w:lineRule="exact"/>
        <w:ind w:firstLine="442" w:firstLineChars="200"/>
        <w:jc w:val="center"/>
        <w:rPr>
          <w:b/>
          <w:color w:val="auto"/>
          <w:szCs w:val="21"/>
        </w:rPr>
      </w:pPr>
      <w:r>
        <w:rPr>
          <w:rFonts w:hint="eastAsia"/>
          <w:b/>
          <w:color w:val="auto"/>
          <w:szCs w:val="21"/>
        </w:rPr>
        <w:t>6、投标人针对报价需要说明的其他文件和说明</w:t>
      </w:r>
    </w:p>
    <w:p>
      <w:pPr>
        <w:snapToGrid w:val="0"/>
        <w:spacing w:before="50" w:afterLines="50"/>
        <w:rPr>
          <w:color w:val="auto"/>
          <w:szCs w:val="21"/>
        </w:rPr>
      </w:pPr>
    </w:p>
    <w:p>
      <w:pPr>
        <w:snapToGrid w:val="0"/>
        <w:spacing w:before="50" w:afterLines="50"/>
        <w:ind w:firstLine="1100" w:firstLineChars="500"/>
        <w:rPr>
          <w:color w:val="auto"/>
        </w:rPr>
      </w:pPr>
      <w:r>
        <w:rPr>
          <w:rFonts w:hint="eastAsia"/>
          <w:color w:val="auto"/>
          <w:szCs w:val="21"/>
        </w:rPr>
        <w:t>由投标人根据投标报价及企业自身情况，自行提供，格式自拟。</w:t>
      </w:r>
    </w:p>
    <w:sectPr>
      <w:footerReference r:id="rId5" w:type="default"/>
      <w:pgSz w:w="11906" w:h="16838"/>
      <w:pgMar w:top="1701" w:right="1418" w:bottom="1701"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199"/>
      <w:jc w:val="center"/>
      <w:rPr>
        <w:rFonts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4896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4896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48957952" behindDoc="1" locked="0" layoutInCell="1" allowOverlap="1">
              <wp:simplePos x="0" y="0"/>
              <wp:positionH relativeFrom="page">
                <wp:posOffset>1289685</wp:posOffset>
              </wp:positionH>
              <wp:positionV relativeFrom="page">
                <wp:posOffset>496570</wp:posOffset>
              </wp:positionV>
              <wp:extent cx="5283200" cy="310515"/>
              <wp:effectExtent l="0" t="0" r="0" b="0"/>
              <wp:wrapNone/>
              <wp:docPr id="18" name="文本框 2"/>
              <wp:cNvGraphicFramePr/>
              <a:graphic xmlns:a="http://schemas.openxmlformats.org/drawingml/2006/main">
                <a:graphicData uri="http://schemas.microsoft.com/office/word/2010/wordprocessingShape">
                  <wps:wsp>
                    <wps:cNvSpPr txBox="1"/>
                    <wps:spPr>
                      <a:xfrm>
                        <a:off x="0" y="0"/>
                        <a:ext cx="5283200" cy="310515"/>
                      </a:xfrm>
                      <a:prstGeom prst="rect">
                        <a:avLst/>
                      </a:prstGeom>
                      <a:noFill/>
                      <a:ln>
                        <a:noFill/>
                      </a:ln>
                      <a:effectLst/>
                    </wps:spPr>
                    <wps:txbx>
                      <w:txbxContent>
                        <w:p/>
                      </w:txbxContent>
                    </wps:txbx>
                    <wps:bodyPr lIns="0" tIns="0" rIns="0" bIns="0" upright="1"/>
                  </wps:wsp>
                </a:graphicData>
              </a:graphic>
            </wp:anchor>
          </w:drawing>
        </mc:Choice>
        <mc:Fallback>
          <w:pict>
            <v:shape id="文本框 2" o:spid="_x0000_s1026" o:spt="202" type="#_x0000_t202" style="position:absolute;left:0pt;margin-left:101.55pt;margin-top:39.1pt;height:24.45pt;width:416pt;mso-position-horizontal-relative:page;mso-position-vertical-relative:page;z-index:-254358528;mso-width-relative:page;mso-height-relative:page;" filled="f" stroked="f" coordsize="21600,21600" o:gfxdata="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mX2XUtkAAAALAQAADwAAAAAAAAABACAAAAAiAAAAZHJzL2Rvd25yZXYueG1s&#10;UEsBAhQAFAAAAAgAh07iQJq+vNu+AQAAgQMAAA4AAAAAAAAAAQAgAAAAKAEAAGRycy9lMm9Eb2Mu&#10;eG1sUEsFBgAAAAAGAAYAWQEAAFgFAAAAAA==&#10;">
              <v:fill on="f" focussize="0,0"/>
              <v:stroke on="f"/>
              <v:imagedata o:title=""/>
              <o:lock v:ext="edit" aspectratio="f"/>
              <v:textbox inset="0mm,0mm,0mm,0mm">
                <w:txbxContent>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D606AA"/>
    <w:multiLevelType w:val="singleLevel"/>
    <w:tmpl w:val="8BD606AA"/>
    <w:lvl w:ilvl="0" w:tentative="0">
      <w:start w:val="1"/>
      <w:numFmt w:val="decimal"/>
      <w:suff w:val="nothing"/>
      <w:lvlText w:val="%1、"/>
      <w:lvlJc w:val="left"/>
    </w:lvl>
  </w:abstractNum>
  <w:abstractNum w:abstractNumId="1">
    <w:nsid w:val="F7E12F92"/>
    <w:multiLevelType w:val="singleLevel"/>
    <w:tmpl w:val="F7E12F92"/>
    <w:lvl w:ilvl="0" w:tentative="0">
      <w:start w:val="1"/>
      <w:numFmt w:val="chineseCounting"/>
      <w:suff w:val="nothing"/>
      <w:lvlText w:val="%1、"/>
      <w:lvlJc w:val="left"/>
      <w:rPr>
        <w:rFonts w:hint="eastAsia"/>
      </w:rPr>
    </w:lvl>
  </w:abstractNum>
  <w:abstractNum w:abstractNumId="2">
    <w:nsid w:val="1C785628"/>
    <w:multiLevelType w:val="singleLevel"/>
    <w:tmpl w:val="1C785628"/>
    <w:lvl w:ilvl="0" w:tentative="0">
      <w:start w:val="2"/>
      <w:numFmt w:val="decimal"/>
      <w:suff w:val="nothing"/>
      <w:lvlText w:val="%1、"/>
      <w:lvlJc w:val="left"/>
    </w:lvl>
  </w:abstractNum>
  <w:abstractNum w:abstractNumId="3">
    <w:nsid w:val="400628CE"/>
    <w:multiLevelType w:val="singleLevel"/>
    <w:tmpl w:val="400628CE"/>
    <w:lvl w:ilvl="0" w:tentative="0">
      <w:start w:val="1"/>
      <w:numFmt w:val="chineseCounting"/>
      <w:suff w:val="nothing"/>
      <w:lvlText w:val="%1、"/>
      <w:lvlJc w:val="left"/>
      <w:rPr>
        <w:rFonts w:hint="eastAsia"/>
      </w:rPr>
    </w:lvl>
  </w:abstractNum>
  <w:abstractNum w:abstractNumId="4">
    <w:nsid w:val="59FBE32D"/>
    <w:multiLevelType w:val="multilevel"/>
    <w:tmpl w:val="59FBE32D"/>
    <w:lvl w:ilvl="0" w:tentative="0">
      <w:start w:val="5"/>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63E8279F"/>
    <w:multiLevelType w:val="singleLevel"/>
    <w:tmpl w:val="63E8279F"/>
    <w:lvl w:ilvl="0" w:tentative="0">
      <w:start w:val="1"/>
      <w:numFmt w:val="decimal"/>
      <w:pStyle w:val="11"/>
      <w:lvlText w:val="%1."/>
      <w:lvlJc w:val="left"/>
      <w:pPr>
        <w:tabs>
          <w:tab w:val="left" w:pos="360"/>
        </w:tabs>
        <w:ind w:left="360" w:hanging="360"/>
      </w:pPr>
    </w:lvl>
  </w:abstractNum>
  <w:abstractNum w:abstractNumId="6">
    <w:nsid w:val="73DBB3BE"/>
    <w:multiLevelType w:val="singleLevel"/>
    <w:tmpl w:val="73DBB3BE"/>
    <w:lvl w:ilvl="0" w:tentative="0">
      <w:start w:val="2"/>
      <w:numFmt w:val="chineseCounting"/>
      <w:suff w:val="nothing"/>
      <w:lvlText w:val="%1、"/>
      <w:lvlJc w:val="left"/>
      <w:rPr>
        <w:rFonts w:hint="eastAsia"/>
      </w:rPr>
    </w:lvl>
  </w:abstractNum>
  <w:num w:numId="1">
    <w:abstractNumId w:val="5"/>
  </w:num>
  <w:num w:numId="2">
    <w:abstractNumId w:val="1"/>
  </w:num>
  <w:num w:numId="3">
    <w:abstractNumId w:val="2"/>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DC3CC7"/>
    <w:rsid w:val="00065C31"/>
    <w:rsid w:val="000D6343"/>
    <w:rsid w:val="001155FC"/>
    <w:rsid w:val="00116677"/>
    <w:rsid w:val="00141166"/>
    <w:rsid w:val="00152241"/>
    <w:rsid w:val="00161CFB"/>
    <w:rsid w:val="001A23BB"/>
    <w:rsid w:val="001C6937"/>
    <w:rsid w:val="001D66C8"/>
    <w:rsid w:val="00294BC6"/>
    <w:rsid w:val="0032537D"/>
    <w:rsid w:val="0040559A"/>
    <w:rsid w:val="004F1854"/>
    <w:rsid w:val="00501CFE"/>
    <w:rsid w:val="00550B99"/>
    <w:rsid w:val="005C020E"/>
    <w:rsid w:val="00623FA1"/>
    <w:rsid w:val="00636BCE"/>
    <w:rsid w:val="00737429"/>
    <w:rsid w:val="00783551"/>
    <w:rsid w:val="008B01BC"/>
    <w:rsid w:val="008C6DF4"/>
    <w:rsid w:val="00A5347C"/>
    <w:rsid w:val="00AE4FB1"/>
    <w:rsid w:val="00B9142B"/>
    <w:rsid w:val="00BE525B"/>
    <w:rsid w:val="00C1213E"/>
    <w:rsid w:val="00C231DB"/>
    <w:rsid w:val="00C455AA"/>
    <w:rsid w:val="00C4799A"/>
    <w:rsid w:val="00C56C55"/>
    <w:rsid w:val="00C60170"/>
    <w:rsid w:val="00C86AC8"/>
    <w:rsid w:val="00D629C8"/>
    <w:rsid w:val="00D77015"/>
    <w:rsid w:val="00DC0640"/>
    <w:rsid w:val="00E83376"/>
    <w:rsid w:val="00EA7FB0"/>
    <w:rsid w:val="00F66E16"/>
    <w:rsid w:val="00FA4454"/>
    <w:rsid w:val="01117530"/>
    <w:rsid w:val="04F06125"/>
    <w:rsid w:val="0592740A"/>
    <w:rsid w:val="07E11634"/>
    <w:rsid w:val="0A25578D"/>
    <w:rsid w:val="0A497AF4"/>
    <w:rsid w:val="0BF34E37"/>
    <w:rsid w:val="0D280AD7"/>
    <w:rsid w:val="0E611C78"/>
    <w:rsid w:val="0F107DC3"/>
    <w:rsid w:val="0F563B41"/>
    <w:rsid w:val="0FCF0B55"/>
    <w:rsid w:val="12AE4824"/>
    <w:rsid w:val="13A54E05"/>
    <w:rsid w:val="14EB502A"/>
    <w:rsid w:val="15265F53"/>
    <w:rsid w:val="156852ED"/>
    <w:rsid w:val="156E174D"/>
    <w:rsid w:val="16892B1B"/>
    <w:rsid w:val="185F6677"/>
    <w:rsid w:val="19593B8B"/>
    <w:rsid w:val="1A0C42C2"/>
    <w:rsid w:val="1AFC6664"/>
    <w:rsid w:val="1BC65253"/>
    <w:rsid w:val="1EC57B44"/>
    <w:rsid w:val="1FC46622"/>
    <w:rsid w:val="20191912"/>
    <w:rsid w:val="224F1A35"/>
    <w:rsid w:val="229D3817"/>
    <w:rsid w:val="238F4930"/>
    <w:rsid w:val="25F03E1C"/>
    <w:rsid w:val="2601124A"/>
    <w:rsid w:val="269B759E"/>
    <w:rsid w:val="26C9408E"/>
    <w:rsid w:val="2741599B"/>
    <w:rsid w:val="275D5663"/>
    <w:rsid w:val="277E00A1"/>
    <w:rsid w:val="2C6736B5"/>
    <w:rsid w:val="2CE03A79"/>
    <w:rsid w:val="2D2F0A56"/>
    <w:rsid w:val="2D9E6499"/>
    <w:rsid w:val="2E0416C7"/>
    <w:rsid w:val="30EE16FD"/>
    <w:rsid w:val="32251DC2"/>
    <w:rsid w:val="33FD34A7"/>
    <w:rsid w:val="34D04BD8"/>
    <w:rsid w:val="34D94E5D"/>
    <w:rsid w:val="36BE169B"/>
    <w:rsid w:val="38AD631E"/>
    <w:rsid w:val="38BE4E91"/>
    <w:rsid w:val="39057C39"/>
    <w:rsid w:val="3B576943"/>
    <w:rsid w:val="3B9C5B32"/>
    <w:rsid w:val="3BCE34A7"/>
    <w:rsid w:val="3C1932E9"/>
    <w:rsid w:val="3C7A0F3B"/>
    <w:rsid w:val="3E30236A"/>
    <w:rsid w:val="40F6785F"/>
    <w:rsid w:val="434A00EA"/>
    <w:rsid w:val="46533E0A"/>
    <w:rsid w:val="47FD3865"/>
    <w:rsid w:val="49306AD0"/>
    <w:rsid w:val="495F099A"/>
    <w:rsid w:val="49AA260D"/>
    <w:rsid w:val="4A356DD0"/>
    <w:rsid w:val="4A6F4293"/>
    <w:rsid w:val="4BC17BF7"/>
    <w:rsid w:val="4D555DEC"/>
    <w:rsid w:val="4E0D047D"/>
    <w:rsid w:val="4EFF1709"/>
    <w:rsid w:val="5285048F"/>
    <w:rsid w:val="529D6167"/>
    <w:rsid w:val="52DE6F30"/>
    <w:rsid w:val="535216FE"/>
    <w:rsid w:val="53BA3C9A"/>
    <w:rsid w:val="54953503"/>
    <w:rsid w:val="54E17FB0"/>
    <w:rsid w:val="56132E7E"/>
    <w:rsid w:val="56604C1D"/>
    <w:rsid w:val="566E0030"/>
    <w:rsid w:val="57016CB7"/>
    <w:rsid w:val="5B0013CF"/>
    <w:rsid w:val="5BD32873"/>
    <w:rsid w:val="5C513D0E"/>
    <w:rsid w:val="5CE1680D"/>
    <w:rsid w:val="5E6172F4"/>
    <w:rsid w:val="633B284D"/>
    <w:rsid w:val="63AF398A"/>
    <w:rsid w:val="63BA3B30"/>
    <w:rsid w:val="65007339"/>
    <w:rsid w:val="66472CDB"/>
    <w:rsid w:val="66A85AC0"/>
    <w:rsid w:val="6D9A358A"/>
    <w:rsid w:val="6DAF3B98"/>
    <w:rsid w:val="6EA10771"/>
    <w:rsid w:val="6EA6308B"/>
    <w:rsid w:val="6F0E6F6C"/>
    <w:rsid w:val="6F62706A"/>
    <w:rsid w:val="6F9E084C"/>
    <w:rsid w:val="6FFD0126"/>
    <w:rsid w:val="700D36FB"/>
    <w:rsid w:val="7182200F"/>
    <w:rsid w:val="73155B30"/>
    <w:rsid w:val="733D1037"/>
    <w:rsid w:val="736C1C50"/>
    <w:rsid w:val="73DC3CC7"/>
    <w:rsid w:val="74357CF2"/>
    <w:rsid w:val="74FD6FEF"/>
    <w:rsid w:val="750D267F"/>
    <w:rsid w:val="78ED2E26"/>
    <w:rsid w:val="79D7333C"/>
    <w:rsid w:val="7B3B13E9"/>
    <w:rsid w:val="7C5F4054"/>
    <w:rsid w:val="7F490B14"/>
    <w:rsid w:val="7FDA6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link w:val="44"/>
    <w:qFormat/>
    <w:uiPriority w:val="1"/>
    <w:pPr>
      <w:spacing w:before="61"/>
      <w:ind w:left="360" w:right="360"/>
      <w:jc w:val="center"/>
      <w:outlineLvl w:val="0"/>
    </w:pPr>
    <w:rPr>
      <w:b/>
      <w:bCs/>
      <w:sz w:val="28"/>
      <w:szCs w:val="28"/>
    </w:rPr>
  </w:style>
  <w:style w:type="paragraph" w:styleId="4">
    <w:name w:val="heading 2"/>
    <w:basedOn w:val="1"/>
    <w:next w:val="1"/>
    <w:qFormat/>
    <w:uiPriority w:val="1"/>
    <w:pPr>
      <w:spacing w:before="66"/>
      <w:ind w:left="360"/>
      <w:outlineLvl w:val="1"/>
    </w:pPr>
    <w:rPr>
      <w:b/>
      <w:bCs/>
      <w:sz w:val="24"/>
      <w:szCs w:val="24"/>
    </w:rPr>
  </w:style>
  <w:style w:type="paragraph" w:styleId="5">
    <w:name w:val="heading 3"/>
    <w:basedOn w:val="1"/>
    <w:next w:val="1"/>
    <w:qFormat/>
    <w:uiPriority w:val="1"/>
    <w:pPr>
      <w:ind w:left="720"/>
      <w:outlineLvl w:val="2"/>
    </w:pPr>
    <w:rPr>
      <w:sz w:val="24"/>
      <w:szCs w:val="24"/>
    </w:rPr>
  </w:style>
  <w:style w:type="paragraph" w:styleId="6">
    <w:name w:val="heading 4"/>
    <w:basedOn w:val="1"/>
    <w:next w:val="1"/>
    <w:qFormat/>
    <w:uiPriority w:val="1"/>
    <w:pPr>
      <w:spacing w:before="2"/>
      <w:ind w:left="360"/>
      <w:outlineLvl w:val="3"/>
    </w:pPr>
    <w:rPr>
      <w:b/>
      <w:bCs/>
    </w:rPr>
  </w:style>
  <w:style w:type="paragraph" w:styleId="7">
    <w:name w:val="heading 5"/>
    <w:basedOn w:val="1"/>
    <w:next w:val="1"/>
    <w:qFormat/>
    <w:uiPriority w:val="1"/>
    <w:pPr>
      <w:ind w:left="360"/>
      <w:outlineLvl w:val="4"/>
    </w:pPr>
  </w:style>
  <w:style w:type="paragraph" w:styleId="8">
    <w:name w:val="heading 6"/>
    <w:basedOn w:val="1"/>
    <w:next w:val="1"/>
    <w:qFormat/>
    <w:uiPriority w:val="1"/>
    <w:pPr>
      <w:ind w:left="360"/>
      <w:outlineLvl w:val="5"/>
    </w:pPr>
    <w:rPr>
      <w:b/>
      <w:bCs/>
      <w:sz w:val="21"/>
      <w:szCs w:val="21"/>
    </w:rPr>
  </w:style>
  <w:style w:type="paragraph" w:styleId="9">
    <w:name w:val="heading 7"/>
    <w:basedOn w:val="1"/>
    <w:next w:val="1"/>
    <w:qFormat/>
    <w:uiPriority w:val="1"/>
    <w:pPr>
      <w:ind w:left="405"/>
      <w:outlineLvl w:val="6"/>
    </w:pPr>
  </w:style>
  <w:style w:type="paragraph" w:styleId="10">
    <w:name w:val="heading 8"/>
    <w:basedOn w:val="1"/>
    <w:next w:val="1"/>
    <w:qFormat/>
    <w:uiPriority w:val="1"/>
    <w:pPr>
      <w:ind w:left="1478" w:hanging="526"/>
      <w:outlineLvl w:val="7"/>
    </w:pPr>
    <w:rPr>
      <w:b/>
      <w:bCs/>
      <w:sz w:val="21"/>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1"/>
      <w:szCs w:val="21"/>
    </w:rPr>
  </w:style>
  <w:style w:type="paragraph" w:styleId="11">
    <w:name w:val="List Number"/>
    <w:basedOn w:val="1"/>
    <w:qFormat/>
    <w:uiPriority w:val="0"/>
    <w:pPr>
      <w:numPr>
        <w:ilvl w:val="0"/>
        <w:numId w:val="1"/>
      </w:numPr>
    </w:pPr>
  </w:style>
  <w:style w:type="paragraph" w:styleId="12">
    <w:name w:val="Normal Indent"/>
    <w:basedOn w:val="1"/>
    <w:qFormat/>
    <w:uiPriority w:val="0"/>
    <w:pPr>
      <w:ind w:firstLine="420"/>
    </w:pPr>
    <w:rPr>
      <w:szCs w:val="20"/>
    </w:rPr>
  </w:style>
  <w:style w:type="paragraph" w:styleId="13">
    <w:name w:val="caption"/>
    <w:basedOn w:val="1"/>
    <w:next w:val="1"/>
    <w:unhideWhenUsed/>
    <w:qFormat/>
    <w:uiPriority w:val="0"/>
    <w:pPr>
      <w:spacing w:before="152" w:after="160"/>
    </w:pPr>
    <w:rPr>
      <w:rFonts w:ascii="Arial" w:hAnsi="Arial" w:eastAsia="黑体" w:cs="Arial"/>
      <w:sz w:val="20"/>
      <w:szCs w:val="20"/>
    </w:rPr>
  </w:style>
  <w:style w:type="paragraph" w:styleId="14">
    <w:name w:val="annotation text"/>
    <w:basedOn w:val="1"/>
    <w:qFormat/>
    <w:uiPriority w:val="0"/>
  </w:style>
  <w:style w:type="paragraph" w:styleId="15">
    <w:name w:val="Body Text Indent"/>
    <w:basedOn w:val="1"/>
    <w:qFormat/>
    <w:uiPriority w:val="0"/>
    <w:pPr>
      <w:spacing w:line="200" w:lineRule="exact"/>
      <w:ind w:firstLine="301"/>
    </w:pPr>
    <w:rPr>
      <w:rFonts w:hAnsi="Courier New"/>
      <w:spacing w:val="-4"/>
      <w:sz w:val="18"/>
      <w:szCs w:val="20"/>
    </w:rPr>
  </w:style>
  <w:style w:type="paragraph" w:styleId="16">
    <w:name w:val="Plain Text"/>
    <w:basedOn w:val="1"/>
    <w:qFormat/>
    <w:uiPriority w:val="0"/>
    <w:rPr>
      <w:rFonts w:hAnsi="Courier New"/>
      <w:szCs w:val="20"/>
    </w:rPr>
  </w:style>
  <w:style w:type="paragraph" w:styleId="17">
    <w:name w:val="Date"/>
    <w:basedOn w:val="1"/>
    <w:next w:val="1"/>
    <w:qFormat/>
    <w:uiPriority w:val="0"/>
    <w:pPr>
      <w:ind w:left="100" w:leftChars="2500"/>
    </w:pPr>
    <w:rPr>
      <w:rFonts w:hAnsi="Courier New" w:cs="Courier New"/>
      <w:szCs w:val="21"/>
    </w:rPr>
  </w:style>
  <w:style w:type="paragraph" w:styleId="18">
    <w:name w:val="Balloon Text"/>
    <w:basedOn w:val="1"/>
    <w:link w:val="59"/>
    <w:qFormat/>
    <w:uiPriority w:val="0"/>
    <w:rPr>
      <w:sz w:val="18"/>
      <w:szCs w:val="18"/>
    </w:rPr>
  </w:style>
  <w:style w:type="paragraph" w:styleId="19">
    <w:name w:val="footer"/>
    <w:basedOn w:val="1"/>
    <w:link w:val="60"/>
    <w:qFormat/>
    <w:uiPriority w:val="0"/>
    <w:pPr>
      <w:tabs>
        <w:tab w:val="center" w:pos="4153"/>
        <w:tab w:val="right" w:pos="8306"/>
      </w:tabs>
      <w:snapToGrid w:val="0"/>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1">
    <w:name w:val="toc 1"/>
    <w:basedOn w:val="1"/>
    <w:next w:val="1"/>
    <w:qFormat/>
    <w:uiPriority w:val="1"/>
    <w:pPr>
      <w:spacing w:before="333"/>
      <w:ind w:right="9"/>
      <w:jc w:val="center"/>
    </w:pPr>
    <w:rPr>
      <w:b/>
      <w:bCs/>
      <w:sz w:val="32"/>
      <w:szCs w:val="32"/>
    </w:rPr>
  </w:style>
  <w:style w:type="paragraph" w:styleId="22">
    <w:name w:val="Subtitle"/>
    <w:next w:val="1"/>
    <w:link w:val="48"/>
    <w:qFormat/>
    <w:uiPriority w:val="11"/>
    <w:pPr>
      <w:widowControl w:val="0"/>
      <w:spacing w:before="240" w:after="60" w:line="312" w:lineRule="auto"/>
      <w:jc w:val="center"/>
      <w:outlineLvl w:val="1"/>
    </w:pPr>
    <w:rPr>
      <w:rFonts w:ascii="Cambria" w:hAnsi="Cambria" w:eastAsia="宋体" w:cs="Times New Roman"/>
      <w:b/>
      <w:bCs/>
      <w:kern w:val="28"/>
      <w:sz w:val="32"/>
      <w:szCs w:val="32"/>
      <w:lang w:val="en-US" w:eastAsia="zh-CN" w:bidi="ar-SA"/>
    </w:rPr>
  </w:style>
  <w:style w:type="paragraph" w:styleId="23">
    <w:name w:val="List"/>
    <w:basedOn w:val="1"/>
    <w:qFormat/>
    <w:uiPriority w:val="0"/>
    <w:pPr>
      <w:ind w:left="200" w:hanging="200" w:hangingChars="200"/>
    </w:pPr>
    <w:rPr>
      <w:sz w:val="28"/>
    </w:rPr>
  </w:style>
  <w:style w:type="paragraph" w:styleId="24">
    <w:name w:val="Body Text Indent 3"/>
    <w:basedOn w:val="1"/>
    <w:qFormat/>
    <w:uiPriority w:val="0"/>
    <w:pPr>
      <w:ind w:left="420" w:leftChars="200"/>
    </w:pPr>
    <w:rPr>
      <w:sz w:val="16"/>
    </w:rPr>
  </w:style>
  <w:style w:type="paragraph" w:styleId="25">
    <w:name w:val="table of figures"/>
    <w:basedOn w:val="1"/>
    <w:next w:val="1"/>
    <w:qFormat/>
    <w:uiPriority w:val="0"/>
    <w:pPr>
      <w:ind w:left="200" w:leftChars="200" w:hanging="200" w:hangingChars="200"/>
    </w:pPr>
    <w:rPr>
      <w:rFonts w:ascii="Calibri" w:hAnsi="Calibri" w:cs="Times New Roman"/>
    </w:rPr>
  </w:style>
  <w:style w:type="paragraph" w:styleId="26">
    <w:name w:val="Normal (Web)"/>
    <w:basedOn w:val="1"/>
    <w:qFormat/>
    <w:uiPriority w:val="0"/>
    <w:pPr>
      <w:spacing w:beforeAutospacing="1" w:afterAutospacing="1"/>
    </w:pPr>
    <w:rPr>
      <w:rFonts w:cs="Times New Roman"/>
      <w:sz w:val="24"/>
      <w:lang w:val="en-US" w:bidi="ar-SA"/>
    </w:rPr>
  </w:style>
  <w:style w:type="paragraph" w:styleId="27">
    <w:name w:val="Title"/>
    <w:next w:val="1"/>
    <w:link w:val="47"/>
    <w:qFormat/>
    <w:uiPriority w:val="10"/>
    <w:pPr>
      <w:widowControl w:val="0"/>
      <w:spacing w:before="240" w:after="60"/>
      <w:jc w:val="center"/>
      <w:outlineLvl w:val="0"/>
    </w:pPr>
    <w:rPr>
      <w:rFonts w:ascii="Cambria" w:hAnsi="Cambria" w:eastAsia="宋体" w:cs="Times New Roman"/>
      <w:b/>
      <w:bCs/>
      <w:kern w:val="2"/>
      <w:sz w:val="32"/>
      <w:szCs w:val="32"/>
      <w:lang w:val="en-US" w:eastAsia="zh-CN" w:bidi="ar-SA"/>
    </w:rPr>
  </w:style>
  <w:style w:type="paragraph" w:styleId="28">
    <w:name w:val="Body Text First Indent"/>
    <w:basedOn w:val="2"/>
    <w:qFormat/>
    <w:uiPriority w:val="0"/>
    <w:pPr>
      <w:ind w:firstLine="420" w:firstLineChars="100"/>
    </w:p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0"/>
    <w:rPr>
      <w:b/>
    </w:rPr>
  </w:style>
  <w:style w:type="character" w:styleId="33">
    <w:name w:val="page number"/>
    <w:basedOn w:val="31"/>
    <w:qFormat/>
    <w:uiPriority w:val="0"/>
  </w:style>
  <w:style w:type="character" w:styleId="34">
    <w:name w:val="FollowedHyperlink"/>
    <w:basedOn w:val="31"/>
    <w:qFormat/>
    <w:uiPriority w:val="0"/>
    <w:rPr>
      <w:color w:val="000000"/>
      <w:u w:val="none"/>
    </w:rPr>
  </w:style>
  <w:style w:type="character" w:styleId="35">
    <w:name w:val="Emphasis"/>
    <w:basedOn w:val="31"/>
    <w:qFormat/>
    <w:uiPriority w:val="0"/>
  </w:style>
  <w:style w:type="character" w:styleId="36">
    <w:name w:val="HTML Definition"/>
    <w:basedOn w:val="31"/>
    <w:qFormat/>
    <w:uiPriority w:val="0"/>
  </w:style>
  <w:style w:type="character" w:styleId="37">
    <w:name w:val="HTML Acronym"/>
    <w:basedOn w:val="31"/>
    <w:qFormat/>
    <w:uiPriority w:val="0"/>
  </w:style>
  <w:style w:type="character" w:styleId="38">
    <w:name w:val="HTML Variable"/>
    <w:basedOn w:val="31"/>
    <w:qFormat/>
    <w:uiPriority w:val="0"/>
  </w:style>
  <w:style w:type="character" w:styleId="39">
    <w:name w:val="Hyperlink"/>
    <w:basedOn w:val="31"/>
    <w:qFormat/>
    <w:uiPriority w:val="0"/>
    <w:rPr>
      <w:color w:val="000000"/>
      <w:u w:val="none"/>
    </w:rPr>
  </w:style>
  <w:style w:type="character" w:styleId="40">
    <w:name w:val="HTML Code"/>
    <w:basedOn w:val="31"/>
    <w:qFormat/>
    <w:uiPriority w:val="0"/>
    <w:rPr>
      <w:rFonts w:ascii="Courier New" w:hAnsi="Courier New"/>
      <w:color w:val="505050"/>
      <w:sz w:val="24"/>
      <w:szCs w:val="24"/>
    </w:rPr>
  </w:style>
  <w:style w:type="character" w:styleId="41">
    <w:name w:val="HTML Cite"/>
    <w:basedOn w:val="31"/>
    <w:qFormat/>
    <w:uiPriority w:val="0"/>
  </w:style>
  <w:style w:type="paragraph" w:customStyle="1" w:styleId="42">
    <w:name w:val="Table Paragraph"/>
    <w:basedOn w:val="1"/>
    <w:qFormat/>
    <w:uiPriority w:val="1"/>
  </w:style>
  <w:style w:type="paragraph" w:styleId="43">
    <w:name w:val="List Paragraph"/>
    <w:basedOn w:val="1"/>
    <w:qFormat/>
    <w:uiPriority w:val="1"/>
    <w:pPr>
      <w:spacing w:before="91"/>
      <w:ind w:left="360" w:firstLine="420"/>
    </w:pPr>
  </w:style>
  <w:style w:type="character" w:customStyle="1" w:styleId="44">
    <w:name w:val="标题 1 Char"/>
    <w:link w:val="3"/>
    <w:qFormat/>
    <w:uiPriority w:val="0"/>
    <w:rPr>
      <w:rFonts w:ascii="宋体" w:hAnsi="宋体" w:eastAsia="宋体" w:cs="宋体"/>
      <w:b/>
      <w:bCs/>
      <w:sz w:val="28"/>
      <w:szCs w:val="28"/>
      <w:lang w:val="zh-CN" w:eastAsia="zh-CN" w:bidi="zh-CN"/>
    </w:rPr>
  </w:style>
  <w:style w:type="paragraph" w:customStyle="1" w:styleId="45">
    <w:name w:val="p0"/>
    <w:qFormat/>
    <w:uiPriority w:val="99"/>
    <w:pPr>
      <w:jc w:val="both"/>
    </w:pPr>
    <w:rPr>
      <w:rFonts w:ascii="Times New Roman" w:hAnsi="Times New Roman" w:eastAsia="宋体" w:cs="Times New Roman"/>
      <w:sz w:val="21"/>
      <w:szCs w:val="21"/>
      <w:lang w:val="en-US" w:eastAsia="zh-CN" w:bidi="ar-SA"/>
    </w:rPr>
  </w:style>
  <w:style w:type="paragraph" w:customStyle="1" w:styleId="46">
    <w:name w:val="Char Char2 Char1"/>
    <w:qFormat/>
    <w:uiPriority w:val="0"/>
    <w:pPr>
      <w:widowControl w:val="0"/>
      <w:jc w:val="both"/>
    </w:pPr>
    <w:rPr>
      <w:rFonts w:ascii="Calibri" w:hAnsi="Calibri" w:eastAsia="宋体" w:cs="Times New Roman"/>
      <w:kern w:val="2"/>
      <w:sz w:val="24"/>
      <w:szCs w:val="24"/>
      <w:lang w:val="en-US" w:eastAsia="zh-CN" w:bidi="ar-SA"/>
    </w:rPr>
  </w:style>
  <w:style w:type="character" w:customStyle="1" w:styleId="47">
    <w:name w:val="标题 Char"/>
    <w:link w:val="27"/>
    <w:qFormat/>
    <w:uiPriority w:val="10"/>
    <w:rPr>
      <w:rFonts w:ascii="Cambria" w:hAnsi="Cambria" w:eastAsia="宋体" w:cs="Times New Roman"/>
      <w:b/>
      <w:bCs/>
      <w:kern w:val="2"/>
      <w:sz w:val="32"/>
      <w:szCs w:val="32"/>
      <w:lang w:val="en-US" w:eastAsia="zh-CN" w:bidi="ar-SA"/>
    </w:rPr>
  </w:style>
  <w:style w:type="character" w:customStyle="1" w:styleId="48">
    <w:name w:val="副标题 Char"/>
    <w:link w:val="22"/>
    <w:qFormat/>
    <w:uiPriority w:val="11"/>
    <w:rPr>
      <w:rFonts w:ascii="Cambria" w:hAnsi="Cambria" w:eastAsia="宋体" w:cs="Times New Roman"/>
      <w:b/>
      <w:bCs/>
      <w:kern w:val="28"/>
      <w:sz w:val="32"/>
      <w:szCs w:val="32"/>
      <w:lang w:val="en-US" w:eastAsia="zh-CN" w:bidi="ar-SA"/>
    </w:rPr>
  </w:style>
  <w:style w:type="character" w:customStyle="1" w:styleId="49">
    <w:name w:val="bds_nopic"/>
    <w:basedOn w:val="31"/>
    <w:qFormat/>
    <w:uiPriority w:val="0"/>
  </w:style>
  <w:style w:type="character" w:customStyle="1" w:styleId="50">
    <w:name w:val="bds_nopic1"/>
    <w:basedOn w:val="31"/>
    <w:qFormat/>
    <w:uiPriority w:val="0"/>
  </w:style>
  <w:style w:type="character" w:customStyle="1" w:styleId="51">
    <w:name w:val="bds_nopic2"/>
    <w:basedOn w:val="31"/>
    <w:qFormat/>
    <w:uiPriority w:val="0"/>
  </w:style>
  <w:style w:type="character" w:customStyle="1" w:styleId="52">
    <w:name w:val="bds_more"/>
    <w:basedOn w:val="31"/>
    <w:qFormat/>
    <w:uiPriority w:val="0"/>
  </w:style>
  <w:style w:type="character" w:customStyle="1" w:styleId="53">
    <w:name w:val="bds_more1"/>
    <w:basedOn w:val="31"/>
    <w:qFormat/>
    <w:uiPriority w:val="0"/>
    <w:rPr>
      <w:rFonts w:hint="eastAsia" w:ascii="宋体" w:hAnsi="宋体" w:eastAsia="宋体" w:cs="宋体"/>
    </w:rPr>
  </w:style>
  <w:style w:type="character" w:customStyle="1" w:styleId="54">
    <w:name w:val="bds_more2"/>
    <w:basedOn w:val="31"/>
    <w:qFormat/>
    <w:uiPriority w:val="0"/>
  </w:style>
  <w:style w:type="character" w:customStyle="1" w:styleId="55">
    <w:name w:val="search"/>
    <w:basedOn w:val="31"/>
    <w:qFormat/>
    <w:uiPriority w:val="0"/>
    <w:rPr>
      <w:color w:val="CCCCCC"/>
    </w:rPr>
  </w:style>
  <w:style w:type="character" w:customStyle="1" w:styleId="56">
    <w:name w:val="first"/>
    <w:basedOn w:val="31"/>
    <w:qFormat/>
    <w:uiPriority w:val="0"/>
  </w:style>
  <w:style w:type="character" w:customStyle="1" w:styleId="57">
    <w:name w:val="last"/>
    <w:basedOn w:val="31"/>
    <w:qFormat/>
    <w:uiPriority w:val="0"/>
  </w:style>
  <w:style w:type="character" w:customStyle="1" w:styleId="58">
    <w:name w:val="bsharetext"/>
    <w:basedOn w:val="31"/>
    <w:qFormat/>
    <w:uiPriority w:val="0"/>
  </w:style>
  <w:style w:type="character" w:customStyle="1" w:styleId="59">
    <w:name w:val="批注框文本 Char"/>
    <w:basedOn w:val="31"/>
    <w:link w:val="18"/>
    <w:qFormat/>
    <w:uiPriority w:val="0"/>
    <w:rPr>
      <w:rFonts w:ascii="宋体" w:hAnsi="宋体" w:cs="宋体"/>
      <w:sz w:val="18"/>
      <w:szCs w:val="18"/>
      <w:lang w:val="zh-CN" w:bidi="zh-CN"/>
    </w:rPr>
  </w:style>
  <w:style w:type="character" w:customStyle="1" w:styleId="60">
    <w:name w:val="页脚 Char"/>
    <w:link w:val="19"/>
    <w:qFormat/>
    <w:uiPriority w:val="0"/>
    <w:rPr>
      <w:rFonts w:ascii="宋体" w:hAnsi="宋体" w:cs="宋体"/>
      <w:sz w:val="18"/>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39934</Words>
  <Characters>42461</Characters>
  <Lines>331</Lines>
  <Paragraphs>93</Paragraphs>
  <TotalTime>19</TotalTime>
  <ScaleCrop>false</ScaleCrop>
  <LinksUpToDate>false</LinksUpToDate>
  <CharactersWithSpaces>44384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2019-07-28T10:11:00Z</dcterms:created>
  <dc:creator>积石如玉</dc:creator>
  <cp:lastModifiedBy>▼</cp:lastModifiedBy>
  <cp:lastPrinted>2020-11-09T08:13:33Z</cp:lastPrinted>
  <dcterms:modified xsi:type="dcterms:W3CDTF">2020-11-09T08:34:20Z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