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jc w:val="center"/>
        <w:rPr>
          <w:rFonts w:ascii="宋体" w:hAnsi="宋体"/>
          <w:color w:val="auto"/>
          <w:highlight w:val="none"/>
        </w:rPr>
      </w:pPr>
      <w:r>
        <w:rPr>
          <w:rFonts w:hint="eastAsia"/>
          <w:color w:val="auto"/>
          <w:highlight w:val="none"/>
        </w:rPr>
        <w:t xml:space="preserve">  </w:t>
      </w:r>
      <w:r>
        <w:rPr>
          <w:color w:val="auto"/>
          <w:highlight w:val="none"/>
        </w:rPr>
        <w:drawing>
          <wp:inline distT="0" distB="0" distL="114300" distR="114300">
            <wp:extent cx="857250" cy="1028700"/>
            <wp:effectExtent l="0" t="0" r="0" b="0"/>
            <wp:docPr id="5" name="图片 1" descr="wps_clip_image-3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_clip_image-31599"/>
                    <pic:cNvPicPr>
                      <a:picLocks noChangeAspect="1"/>
                    </pic:cNvPicPr>
                  </pic:nvPicPr>
                  <pic:blipFill>
                    <a:blip r:embed="rId12"/>
                    <a:stretch>
                      <a:fillRect/>
                    </a:stretch>
                  </pic:blipFill>
                  <pic:spPr>
                    <a:xfrm>
                      <a:off x="0" y="0"/>
                      <a:ext cx="857250" cy="1028700"/>
                    </a:xfrm>
                    <a:prstGeom prst="rect">
                      <a:avLst/>
                    </a:prstGeom>
                    <a:noFill/>
                    <a:ln>
                      <a:noFill/>
                    </a:ln>
                  </pic:spPr>
                </pic:pic>
              </a:graphicData>
            </a:graphic>
          </wp:inline>
        </w:drawing>
      </w:r>
      <w:r>
        <w:rPr>
          <w:rFonts w:hint="eastAsia" w:ascii="宋体" w:hAnsi="宋体"/>
          <w:color w:val="auto"/>
          <w:highlight w:val="none"/>
        </w:rPr>
        <w:t xml:space="preserve"> </w:t>
      </w:r>
    </w:p>
    <w:p>
      <w:pPr>
        <w:pStyle w:val="22"/>
        <w:spacing w:line="360" w:lineRule="auto"/>
        <w:jc w:val="center"/>
        <w:rPr>
          <w:rFonts w:ascii="宋体" w:hAnsi="宋体"/>
          <w:color w:val="auto"/>
          <w:highlight w:val="none"/>
        </w:rPr>
      </w:pPr>
      <w:r>
        <w:rPr>
          <w:color w:val="auto"/>
          <w:highlight w:val="none"/>
        </w:rPr>
        <w:drawing>
          <wp:inline distT="0" distB="0" distL="114300" distR="114300">
            <wp:extent cx="5267325" cy="19050"/>
            <wp:effectExtent l="0" t="0" r="9525" b="0"/>
            <wp:docPr id="2" name="图片 2" descr="wps_clip_image-2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29606"/>
                    <pic:cNvPicPr>
                      <a:picLocks noChangeAspect="1"/>
                    </pic:cNvPicPr>
                  </pic:nvPicPr>
                  <pic:blipFill>
                    <a:blip r:embed="rId13"/>
                    <a:stretch>
                      <a:fillRect/>
                    </a:stretch>
                  </pic:blipFill>
                  <pic:spPr>
                    <a:xfrm>
                      <a:off x="0" y="0"/>
                      <a:ext cx="5267325" cy="19050"/>
                    </a:xfrm>
                    <a:prstGeom prst="rect">
                      <a:avLst/>
                    </a:prstGeom>
                    <a:noFill/>
                    <a:ln>
                      <a:noFill/>
                    </a:ln>
                  </pic:spPr>
                </pic:pic>
              </a:graphicData>
            </a:graphic>
          </wp:inline>
        </w:drawing>
      </w:r>
      <w:r>
        <w:rPr>
          <w:rFonts w:hint="eastAsia" w:ascii="宋体" w:hAnsi="宋体"/>
          <w:color w:val="auto"/>
          <w:highlight w:val="none"/>
        </w:rPr>
        <w:t xml:space="preserve"> </w:t>
      </w:r>
    </w:p>
    <w:p>
      <w:pPr>
        <w:pStyle w:val="22"/>
        <w:spacing w:line="360" w:lineRule="auto"/>
        <w:jc w:val="center"/>
        <w:rPr>
          <w:rFonts w:ascii="宋体" w:hAnsi="宋体"/>
          <w:color w:val="auto"/>
          <w:highlight w:val="none"/>
        </w:rPr>
      </w:pPr>
      <w:r>
        <w:rPr>
          <w:rFonts w:hint="eastAsia" w:ascii="宋体" w:hAnsi="宋体"/>
          <w:color w:val="auto"/>
          <w:spacing w:val="74"/>
          <w:sz w:val="48"/>
          <w:szCs w:val="48"/>
          <w:highlight w:val="none"/>
        </w:rPr>
        <w:t>广西鼎策工程顾问有限责任公</w:t>
      </w:r>
      <w:r>
        <w:rPr>
          <w:rFonts w:hint="eastAsia" w:ascii="宋体" w:hAnsi="宋体"/>
          <w:color w:val="auto"/>
          <w:spacing w:val="-1"/>
          <w:sz w:val="48"/>
          <w:szCs w:val="48"/>
          <w:highlight w:val="none"/>
        </w:rPr>
        <w:t>司</w:t>
      </w:r>
      <w:r>
        <w:rPr>
          <w:rFonts w:hint="eastAsia" w:ascii="华文新魏" w:eastAsia="华文新魏"/>
          <w:color w:val="auto"/>
          <w:sz w:val="84"/>
          <w:szCs w:val="84"/>
          <w:highlight w:val="none"/>
        </w:rPr>
        <w:tab/>
      </w:r>
    </w:p>
    <w:p>
      <w:pPr>
        <w:spacing w:line="720" w:lineRule="exact"/>
        <w:jc w:val="center"/>
        <w:rPr>
          <w:color w:val="auto"/>
          <w:highlight w:val="none"/>
        </w:rPr>
      </w:pPr>
      <w:r>
        <w:rPr>
          <w:rFonts w:ascii="文鼎中隶简" w:eastAsia="文鼎中隶简"/>
          <w:color w:val="auto"/>
          <w:sz w:val="52"/>
          <w:highlight w:val="none"/>
        </w:rPr>
        <w:cr/>
      </w:r>
    </w:p>
    <w:p>
      <w:pPr>
        <w:spacing w:line="1000" w:lineRule="exact"/>
        <w:jc w:val="center"/>
        <w:rPr>
          <w:rFonts w:ascii="宋体" w:hAnsi="宋体" w:cs="宋体"/>
          <w:b/>
          <w:color w:val="auto"/>
          <w:sz w:val="72"/>
          <w:szCs w:val="72"/>
          <w:highlight w:val="none"/>
        </w:rPr>
      </w:pPr>
      <w:r>
        <w:rPr>
          <w:rFonts w:hint="eastAsia"/>
          <w:color w:val="auto"/>
          <w:sz w:val="72"/>
          <w:highlight w:val="none"/>
        </w:rPr>
        <w:cr/>
      </w:r>
      <w:r>
        <w:rPr>
          <w:rFonts w:hAnsi="宋体"/>
          <w:b/>
          <w:color w:val="auto"/>
          <w:sz w:val="84"/>
          <w:highlight w:val="none"/>
        </w:rPr>
        <w:t>竞争性</w:t>
      </w:r>
      <w:r>
        <w:rPr>
          <w:rFonts w:hint="eastAsia" w:hAnsi="宋体"/>
          <w:b/>
          <w:color w:val="auto"/>
          <w:sz w:val="84"/>
          <w:highlight w:val="none"/>
        </w:rPr>
        <w:t>磋商</w:t>
      </w:r>
      <w:r>
        <w:rPr>
          <w:rFonts w:hAnsi="宋体"/>
          <w:b/>
          <w:color w:val="auto"/>
          <w:sz w:val="84"/>
          <w:highlight w:val="none"/>
        </w:rPr>
        <w:t>文件</w:t>
      </w:r>
      <w:r>
        <w:rPr>
          <w:rFonts w:hint="eastAsia" w:ascii="宋体" w:hAnsi="宋体" w:cs="宋体"/>
          <w:b/>
          <w:color w:val="auto"/>
          <w:szCs w:val="21"/>
          <w:highlight w:val="none"/>
        </w:rPr>
        <w:cr/>
      </w:r>
      <w:r>
        <w:rPr>
          <w:rFonts w:hint="eastAsia" w:ascii="宋体" w:hAnsi="宋体" w:cs="宋体"/>
          <w:b/>
          <w:color w:val="auto"/>
          <w:sz w:val="72"/>
          <w:szCs w:val="72"/>
          <w:highlight w:val="none"/>
        </w:rPr>
        <w:cr/>
      </w:r>
    </w:p>
    <w:p>
      <w:pPr>
        <w:pStyle w:val="2"/>
        <w:rPr>
          <w:color w:val="auto"/>
          <w:highlight w:val="none"/>
        </w:rPr>
      </w:pPr>
    </w:p>
    <w:p>
      <w:pPr>
        <w:ind w:firstLine="1212" w:firstLineChars="300"/>
        <w:rPr>
          <w:rFonts w:ascii="宋体" w:hAnsi="宋体"/>
          <w:b/>
          <w:bCs/>
          <w:color w:val="auto"/>
          <w:w w:val="90"/>
          <w:sz w:val="36"/>
          <w:szCs w:val="36"/>
          <w:highlight w:val="none"/>
        </w:rPr>
      </w:pPr>
      <w:r>
        <w:rPr>
          <w:rFonts w:hint="eastAsia" w:ascii="宋体" w:hAnsi="宋体"/>
          <w:b/>
          <w:bCs/>
          <w:color w:val="auto"/>
          <w:spacing w:val="40"/>
          <w:w w:val="90"/>
          <w:sz w:val="36"/>
          <w:szCs w:val="36"/>
          <w:highlight w:val="none"/>
        </w:rPr>
        <w:t>项目名称：</w:t>
      </w:r>
      <w:r>
        <w:rPr>
          <w:rFonts w:hint="eastAsia" w:ascii="宋体" w:hAnsi="宋体"/>
          <w:b/>
          <w:bCs/>
          <w:color w:val="auto"/>
          <w:spacing w:val="40"/>
          <w:w w:val="90"/>
          <w:sz w:val="36"/>
          <w:szCs w:val="36"/>
          <w:highlight w:val="none"/>
          <w:lang w:eastAsia="zh-CN"/>
        </w:rPr>
        <w:t>平乐县教育局2021年平乐县新任教师岗前培训项目</w:t>
      </w:r>
      <w:r>
        <w:rPr>
          <w:rFonts w:hint="eastAsia" w:ascii="宋体" w:hAnsi="宋体"/>
          <w:b/>
          <w:bCs/>
          <w:color w:val="auto"/>
          <w:spacing w:val="40"/>
          <w:w w:val="90"/>
          <w:sz w:val="36"/>
          <w:szCs w:val="36"/>
          <w:highlight w:val="none"/>
        </w:rPr>
        <w:t xml:space="preserve">   </w:t>
      </w:r>
    </w:p>
    <w:p>
      <w:pPr>
        <w:rPr>
          <w:color w:val="auto"/>
          <w:highlight w:val="none"/>
        </w:rPr>
      </w:pPr>
      <w:r>
        <w:rPr>
          <w:rFonts w:hint="eastAsia" w:ascii="宋体" w:hAnsi="宋体"/>
          <w:b/>
          <w:bCs/>
          <w:color w:val="auto"/>
          <w:spacing w:val="40"/>
          <w:w w:val="90"/>
          <w:sz w:val="36"/>
          <w:szCs w:val="36"/>
          <w:highlight w:val="none"/>
        </w:rPr>
        <w:t xml:space="preserve">     项目编号：GLZC2021-C3-300017-GXDC </w:t>
      </w:r>
    </w:p>
    <w:p>
      <w:pPr>
        <w:pStyle w:val="22"/>
        <w:spacing w:line="360" w:lineRule="auto"/>
        <w:rPr>
          <w:rFonts w:ascii="宋体" w:hAnsi="宋体"/>
          <w:color w:val="auto"/>
          <w:sz w:val="30"/>
          <w:szCs w:val="30"/>
          <w:highlight w:val="none"/>
        </w:rPr>
      </w:pPr>
    </w:p>
    <w:p>
      <w:pPr>
        <w:pStyle w:val="22"/>
        <w:spacing w:line="360" w:lineRule="auto"/>
        <w:rPr>
          <w:rFonts w:ascii="宋体" w:hAnsi="宋体"/>
          <w:color w:val="auto"/>
          <w:sz w:val="30"/>
          <w:szCs w:val="30"/>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325755</wp:posOffset>
                </wp:positionV>
                <wp:extent cx="5143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1435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25.65pt;height:0pt;width:405pt;z-index:251659264;mso-width-relative:page;mso-height-relative:page;" filled="f" stroked="t" coordsize="21600,21600" o:gfxdata="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2n&#10;IxfXAAAACAEAAA8AAAAAAAAAAQAgAAAAIgAAAGRycy9kb3ducmV2LnhtbFBLAQIUABQAAAAIAIdO&#10;4kD69XVL6wEAANkDAAAOAAAAAAAAAAEAIAAAACYBAABkcnMvZTJvRG9jLnhtbFBLBQYAAAAABgAG&#10;AFkBAACDBQAAAAA=&#10;">
                <v:fill on="f" focussize="0,0"/>
                <v:stroke weight="1pt" color="#000000" joinstyle="round"/>
                <v:imagedata o:title=""/>
                <o:lock v:ext="edit" aspectratio="f"/>
              </v:line>
            </w:pict>
          </mc:Fallback>
        </mc:AlternateContent>
      </w:r>
    </w:p>
    <w:p>
      <w:pPr>
        <w:pStyle w:val="22"/>
        <w:spacing w:line="360" w:lineRule="auto"/>
        <w:ind w:firstLine="444" w:firstLineChars="148"/>
        <w:jc w:val="center"/>
        <w:rPr>
          <w:rFonts w:ascii="宋体" w:hAnsi="宋体"/>
          <w:b/>
          <w:bCs/>
          <w:color w:val="auto"/>
          <w:sz w:val="30"/>
          <w:szCs w:val="30"/>
          <w:highlight w:val="none"/>
        </w:rPr>
      </w:pPr>
      <w:r>
        <w:rPr>
          <w:rFonts w:hint="eastAsia" w:ascii="宋体" w:hAnsi="宋体"/>
          <w:b/>
          <w:bCs/>
          <w:color w:val="auto"/>
          <w:sz w:val="30"/>
          <w:szCs w:val="30"/>
          <w:highlight w:val="none"/>
        </w:rPr>
        <w:t>采购代理机构：广西鼎策工程顾问有限责任公司</w:t>
      </w:r>
    </w:p>
    <w:p>
      <w:pPr>
        <w:pStyle w:val="13"/>
        <w:spacing w:line="420" w:lineRule="exact"/>
        <w:jc w:val="center"/>
        <w:rPr>
          <w:rFonts w:ascii="隶书" w:eastAsia="隶书"/>
          <w:color w:val="auto"/>
          <w:sz w:val="44"/>
          <w:highlight w:val="none"/>
        </w:rPr>
      </w:pPr>
      <w:r>
        <w:rPr>
          <w:rFonts w:hint="eastAsia" w:hAnsi="宋体" w:cs="宋体"/>
          <w:b/>
          <w:bCs/>
          <w:color w:val="auto"/>
          <w:sz w:val="30"/>
          <w:szCs w:val="30"/>
          <w:highlight w:val="none"/>
        </w:rPr>
        <w:t>2021年</w:t>
      </w:r>
      <w:r>
        <w:rPr>
          <w:rFonts w:hint="eastAsia" w:hAnsi="宋体" w:cs="宋体"/>
          <w:b/>
          <w:bCs/>
          <w:color w:val="auto"/>
          <w:sz w:val="30"/>
          <w:szCs w:val="30"/>
          <w:highlight w:val="none"/>
          <w:lang w:val="en-US" w:eastAsia="zh-CN"/>
        </w:rPr>
        <w:t>9</w:t>
      </w:r>
      <w:r>
        <w:rPr>
          <w:rFonts w:hint="eastAsia" w:hAnsi="宋体" w:cs="宋体"/>
          <w:b/>
          <w:bCs/>
          <w:color w:val="auto"/>
          <w:sz w:val="30"/>
          <w:szCs w:val="30"/>
          <w:highlight w:val="none"/>
        </w:rPr>
        <w:t>月</w:t>
      </w:r>
    </w:p>
    <w:p>
      <w:pPr>
        <w:pStyle w:val="13"/>
        <w:spacing w:line="360" w:lineRule="auto"/>
        <w:jc w:val="center"/>
        <w:rPr>
          <w:rFonts w:hAnsi="宋体" w:cs="宋体"/>
          <w:color w:val="auto"/>
          <w:sz w:val="44"/>
          <w:szCs w:val="44"/>
          <w:highlight w:val="none"/>
        </w:rPr>
      </w:pPr>
    </w:p>
    <w:p>
      <w:pPr>
        <w:pStyle w:val="13"/>
        <w:spacing w:line="360" w:lineRule="auto"/>
        <w:jc w:val="center"/>
        <w:rPr>
          <w:rFonts w:hAnsi="宋体" w:cs="宋体"/>
          <w:color w:val="auto"/>
          <w:sz w:val="44"/>
          <w:szCs w:val="44"/>
          <w:highlight w:val="none"/>
        </w:rPr>
      </w:pPr>
    </w:p>
    <w:p>
      <w:pPr>
        <w:pStyle w:val="13"/>
        <w:spacing w:line="360" w:lineRule="auto"/>
        <w:jc w:val="center"/>
        <w:rPr>
          <w:rFonts w:hAnsi="宋体" w:cs="宋体"/>
          <w:color w:val="auto"/>
          <w:sz w:val="44"/>
          <w:szCs w:val="44"/>
          <w:highlight w:val="none"/>
        </w:rPr>
      </w:pPr>
      <w:r>
        <w:rPr>
          <w:rFonts w:hint="eastAsia" w:hAnsi="宋体" w:cs="宋体"/>
          <w:color w:val="auto"/>
          <w:sz w:val="44"/>
          <w:szCs w:val="44"/>
          <w:highlight w:val="none"/>
        </w:rPr>
        <w:t>目 录</w:t>
      </w:r>
    </w:p>
    <w:p>
      <w:pPr>
        <w:pStyle w:val="16"/>
        <w:tabs>
          <w:tab w:val="right" w:leader="dot" w:pos="9736"/>
        </w:tabs>
        <w:spacing w:line="480" w:lineRule="auto"/>
        <w:rPr>
          <w:rFonts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"1-3" \h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"_Toc532901083" </w:instrText>
      </w:r>
      <w:r>
        <w:rPr>
          <w:color w:val="auto"/>
          <w:highlight w:val="none"/>
        </w:rPr>
        <w:fldChar w:fldCharType="separate"/>
      </w:r>
      <w:r>
        <w:rPr>
          <w:rStyle w:val="21"/>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_Toc532901083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36"/>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"_Toc532901084" </w:instrText>
      </w:r>
      <w:r>
        <w:rPr>
          <w:color w:val="auto"/>
          <w:highlight w:val="none"/>
        </w:rPr>
        <w:fldChar w:fldCharType="separate"/>
      </w:r>
      <w:r>
        <w:rPr>
          <w:rStyle w:val="21"/>
          <w:rFonts w:hint="eastAsia" w:ascii="宋体" w:hAnsi="宋体" w:cs="宋体"/>
          <w:color w:val="auto"/>
          <w:sz w:val="28"/>
          <w:szCs w:val="28"/>
          <w:highlight w:val="none"/>
        </w:rPr>
        <w:t>第二章  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_Toc532901084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36"/>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"_Toc532901125" </w:instrText>
      </w:r>
      <w:r>
        <w:rPr>
          <w:color w:val="auto"/>
          <w:highlight w:val="none"/>
        </w:rPr>
        <w:fldChar w:fldCharType="separate"/>
      </w:r>
      <w:r>
        <w:rPr>
          <w:rStyle w:val="21"/>
          <w:rFonts w:hint="eastAsia" w:ascii="宋体" w:hAnsi="宋体" w:cs="宋体"/>
          <w:color w:val="auto"/>
          <w:sz w:val="28"/>
          <w:szCs w:val="28"/>
          <w:highlight w:val="none"/>
        </w:rPr>
        <w:t>第三章  服务采购要求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_Toc532901125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36"/>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"_Toc532901126" </w:instrText>
      </w:r>
      <w:r>
        <w:rPr>
          <w:color w:val="auto"/>
          <w:highlight w:val="none"/>
        </w:rPr>
        <w:fldChar w:fldCharType="separate"/>
      </w:r>
      <w:r>
        <w:rPr>
          <w:rStyle w:val="21"/>
          <w:rFonts w:hint="eastAsia" w:ascii="宋体" w:hAnsi="宋体" w:cs="宋体"/>
          <w:color w:val="auto"/>
          <w:sz w:val="28"/>
          <w:szCs w:val="28"/>
          <w:highlight w:val="none"/>
        </w:rPr>
        <w:t>第四章  评审办法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_Toc532901126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36"/>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"_Toc532901136" </w:instrText>
      </w:r>
      <w:r>
        <w:rPr>
          <w:color w:val="auto"/>
          <w:highlight w:val="none"/>
        </w:rPr>
        <w:fldChar w:fldCharType="separate"/>
      </w:r>
      <w:r>
        <w:rPr>
          <w:rStyle w:val="21"/>
          <w:rFonts w:hint="eastAsia" w:ascii="宋体" w:hAnsi="宋体" w:cs="宋体"/>
          <w:color w:val="auto"/>
          <w:sz w:val="28"/>
          <w:szCs w:val="28"/>
          <w:highlight w:val="none"/>
        </w:rPr>
        <w:t>第五章  合同主要条款及格式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_Toc532901136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36"/>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"_Toc532901149" </w:instrText>
      </w:r>
      <w:r>
        <w:rPr>
          <w:color w:val="auto"/>
          <w:highlight w:val="none"/>
        </w:rPr>
        <w:fldChar w:fldCharType="separate"/>
      </w:r>
      <w:r>
        <w:rPr>
          <w:rStyle w:val="21"/>
          <w:rFonts w:hint="eastAsia" w:ascii="宋体" w:hAnsi="宋体" w:cs="宋体"/>
          <w:color w:val="auto"/>
          <w:sz w:val="28"/>
          <w:szCs w:val="28"/>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_Toc532901149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27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7"/>
        <w:tabs>
          <w:tab w:val="right" w:leader="dot" w:pos="9736"/>
        </w:tabs>
        <w:spacing w:line="480" w:lineRule="auto"/>
        <w:rPr>
          <w:rFonts w:ascii="宋体" w:hAnsi="宋体" w:cs="宋体"/>
          <w:color w:val="auto"/>
          <w:sz w:val="28"/>
          <w:szCs w:val="28"/>
          <w:highlight w:val="none"/>
        </w:rPr>
      </w:pPr>
    </w:p>
    <w:p>
      <w:pPr>
        <w:spacing w:line="480" w:lineRule="auto"/>
        <w:jc w:val="center"/>
        <w:outlineLvl w:val="0"/>
        <w:rPr>
          <w:rFonts w:ascii="宋体" w:hAnsi="宋体" w:cs="宋体"/>
          <w:b/>
          <w:color w:val="auto"/>
          <w:sz w:val="32"/>
          <w:szCs w:val="32"/>
          <w:highlight w:val="none"/>
        </w:rPr>
      </w:pPr>
      <w:r>
        <w:rPr>
          <w:rFonts w:hint="eastAsia" w:ascii="宋体" w:hAnsi="宋体" w:cs="宋体"/>
          <w:color w:val="auto"/>
          <w:sz w:val="28"/>
          <w:szCs w:val="28"/>
          <w:highlight w:val="none"/>
        </w:rPr>
        <w:fldChar w:fldCharType="end"/>
      </w:r>
    </w:p>
    <w:p>
      <w:pPr>
        <w:spacing w:line="480" w:lineRule="auto"/>
        <w:jc w:val="center"/>
        <w:outlineLvl w:val="0"/>
        <w:rPr>
          <w:rFonts w:ascii="宋体" w:hAnsi="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upperRoman" w:start="1"/>
          <w:cols w:space="720" w:num="1"/>
          <w:titlePg/>
          <w:docGrid w:type="linesAndChars" w:linePitch="312" w:charSpace="0"/>
        </w:sectPr>
      </w:pPr>
    </w:p>
    <w:p>
      <w:pPr>
        <w:spacing w:line="480" w:lineRule="exact"/>
        <w:jc w:val="center"/>
        <w:outlineLvl w:val="0"/>
        <w:rPr>
          <w:rFonts w:ascii="宋体" w:hAnsi="宋体" w:cs="宋体"/>
          <w:b/>
          <w:color w:val="auto"/>
          <w:sz w:val="32"/>
          <w:szCs w:val="32"/>
          <w:highlight w:val="none"/>
        </w:rPr>
      </w:pPr>
      <w:bookmarkStart w:id="0" w:name="_Toc532901083"/>
      <w:r>
        <w:rPr>
          <w:rFonts w:hint="eastAsia" w:ascii="宋体" w:hAnsi="宋体" w:cs="宋体"/>
          <w:b/>
          <w:color w:val="auto"/>
          <w:sz w:val="32"/>
          <w:szCs w:val="32"/>
          <w:highlight w:val="none"/>
        </w:rPr>
        <w:t>第一章  竞争性磋商公告</w:t>
      </w:r>
      <w:bookmarkEnd w:id="0"/>
    </w:p>
    <w:p>
      <w:pPr>
        <w:rPr>
          <w:color w:val="auto"/>
          <w:highlight w:val="none"/>
        </w:rPr>
      </w:pP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平乐县教育局2021年平乐县新任教师岗前培训项目</w:t>
      </w:r>
      <w:r>
        <w:rPr>
          <w:rFonts w:hint="eastAsia" w:ascii="宋体" w:hAnsi="宋体"/>
          <w:color w:val="auto"/>
          <w:szCs w:val="21"/>
          <w:highlight w:val="none"/>
        </w:rPr>
        <w:t>采购项目的潜在供应商应在</w:t>
      </w:r>
      <w:r>
        <w:rPr>
          <w:rFonts w:hint="eastAsia" w:ascii="宋体" w:hAnsi="宋体"/>
          <w:color w:val="auto"/>
          <w:szCs w:val="21"/>
          <w:highlight w:val="none"/>
          <w:u w:val="single"/>
        </w:rPr>
        <w:t>桂林市政府采购网（http://gl.zfcg.zcygov.cn）或桂林市公共资源交易中心网（http://www.glggzy.org.cn）</w:t>
      </w:r>
      <w:r>
        <w:rPr>
          <w:rFonts w:hint="eastAsia" w:ascii="宋体" w:hAnsi="宋体"/>
          <w:color w:val="auto"/>
          <w:szCs w:val="21"/>
          <w:highlight w:val="none"/>
        </w:rPr>
        <w:t>获取采购文件，并于</w:t>
      </w:r>
      <w:r>
        <w:rPr>
          <w:rFonts w:hint="eastAsia" w:ascii="宋体" w:hAnsi="宋体"/>
          <w:color w:val="auto"/>
          <w:szCs w:val="21"/>
          <w:highlight w:val="none"/>
          <w:u w:val="single"/>
        </w:rPr>
        <w:t>2021年</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时30分</w:t>
      </w:r>
      <w:r>
        <w:rPr>
          <w:rFonts w:hint="eastAsia" w:ascii="宋体" w:hAnsi="宋体"/>
          <w:bCs/>
          <w:color w:val="auto"/>
          <w:szCs w:val="21"/>
          <w:highlight w:val="none"/>
        </w:rPr>
        <w:t>（北京时间）前提交响应文件</w:t>
      </w:r>
      <w:r>
        <w:rPr>
          <w:rFonts w:hint="eastAsia" w:ascii="宋体" w:hAnsi="宋体"/>
          <w:color w:val="auto"/>
          <w:szCs w:val="21"/>
          <w:highlight w:val="none"/>
        </w:rPr>
        <w:t>。</w:t>
      </w:r>
    </w:p>
    <w:p>
      <w:pPr>
        <w:pStyle w:val="5"/>
        <w:pageBreakBefore w:val="0"/>
        <w:kinsoku/>
        <w:wordWrap/>
        <w:overflowPunct/>
        <w:topLinePunct w:val="0"/>
        <w:autoSpaceDE/>
        <w:autoSpaceDN/>
        <w:bidi w:val="0"/>
        <w:adjustRightInd/>
        <w:snapToGrid/>
        <w:spacing w:before="0" w:after="0" w:line="380" w:lineRule="exact"/>
        <w:textAlignment w:val="auto"/>
        <w:rPr>
          <w:rFonts w:ascii="宋体" w:hAnsi="宋体" w:cs="宋体"/>
          <w:b w:val="0"/>
          <w:color w:val="auto"/>
          <w:sz w:val="21"/>
          <w:szCs w:val="21"/>
          <w:highlight w:val="none"/>
        </w:rPr>
      </w:pPr>
      <w:bookmarkStart w:id="1" w:name="_Toc35393798"/>
      <w:bookmarkStart w:id="2" w:name="_Toc28359012"/>
      <w:bookmarkStart w:id="3" w:name="_Toc28359089"/>
      <w:bookmarkStart w:id="4" w:name="_Toc35393629"/>
      <w:r>
        <w:rPr>
          <w:rFonts w:hint="eastAsia" w:ascii="宋体" w:hAnsi="宋体" w:cs="宋体"/>
          <w:b w:val="0"/>
          <w:color w:val="auto"/>
          <w:sz w:val="21"/>
          <w:szCs w:val="21"/>
          <w:highlight w:val="none"/>
        </w:rPr>
        <w:t>一、项目基本情况</w:t>
      </w:r>
      <w:bookmarkEnd w:id="1"/>
      <w:bookmarkEnd w:id="2"/>
      <w:bookmarkEnd w:id="3"/>
      <w:bookmarkEnd w:id="4"/>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项目编号：GLZC2021-C3-300017-GXDC</w:t>
      </w:r>
      <w:r>
        <w:rPr>
          <w:rFonts w:hint="eastAsia" w:ascii="宋体" w:hAnsi="宋体" w:cs="宋体"/>
          <w:color w:val="auto"/>
          <w:szCs w:val="21"/>
          <w:highlight w:val="none"/>
        </w:rPr>
        <w:t xml:space="preserve"> </w:t>
      </w:r>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s="宋体"/>
          <w:color w:val="auto"/>
          <w:szCs w:val="21"/>
          <w:highlight w:val="none"/>
          <w:lang w:eastAsia="zh-CN"/>
        </w:rPr>
        <w:t>平乐县教育局2021年平乐县新任教师岗前培训项目</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采购方式：竞争性磋商</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s="宋体"/>
          <w:color w:val="auto"/>
          <w:szCs w:val="21"/>
          <w:highlight w:val="none"/>
        </w:rPr>
        <w:t xml:space="preserve">壹叁拾万元整（¥1300000.00） </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cs="宋体"/>
          <w:color w:val="auto"/>
          <w:szCs w:val="21"/>
          <w:highlight w:val="none"/>
        </w:rPr>
        <w:t>壹叁拾万元整（¥1300000.00）</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采购需求：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591"/>
        <w:gridCol w:w="668"/>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81" w:type="dxa"/>
            <w:shd w:val="clear" w:color="auto" w:fill="FFFFFF"/>
            <w:vAlign w:val="center"/>
          </w:tcPr>
          <w:p>
            <w:pPr>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项号</w:t>
            </w:r>
          </w:p>
        </w:tc>
        <w:tc>
          <w:tcPr>
            <w:tcW w:w="2591" w:type="dxa"/>
            <w:shd w:val="clear" w:color="auto" w:fill="FFFFFF"/>
            <w:vAlign w:val="center"/>
          </w:tcPr>
          <w:p>
            <w:pPr>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服务名称</w:t>
            </w:r>
          </w:p>
        </w:tc>
        <w:tc>
          <w:tcPr>
            <w:tcW w:w="668" w:type="dxa"/>
            <w:shd w:val="clear" w:color="auto" w:fill="FFFFFF"/>
            <w:vAlign w:val="center"/>
          </w:tcPr>
          <w:p>
            <w:pPr>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数量</w:t>
            </w:r>
          </w:p>
        </w:tc>
        <w:tc>
          <w:tcPr>
            <w:tcW w:w="5841" w:type="dxa"/>
            <w:shd w:val="clear" w:color="auto" w:fill="FFFFFF"/>
            <w:vAlign w:val="center"/>
          </w:tcPr>
          <w:p>
            <w:pPr>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简要服务要求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81" w:type="dxa"/>
            <w:vAlign w:val="center"/>
          </w:tcPr>
          <w:p>
            <w:pPr>
              <w:pageBreakBefore w:val="0"/>
              <w:kinsoku/>
              <w:wordWrap/>
              <w:overflowPunct/>
              <w:topLinePunct w:val="0"/>
              <w:autoSpaceDE/>
              <w:autoSpaceDN/>
              <w:bidi w:val="0"/>
              <w:adjustRightInd/>
              <w:snapToGrid/>
              <w:spacing w:line="380" w:lineRule="exact"/>
              <w:jc w:val="center"/>
              <w:textAlignment w:val="auto"/>
              <w:rPr>
                <w:color w:val="auto"/>
                <w:kern w:val="11"/>
                <w:highlight w:val="none"/>
              </w:rPr>
            </w:pPr>
            <w:r>
              <w:rPr>
                <w:rFonts w:hint="eastAsia" w:ascii="宋体" w:hAnsi="宋体"/>
                <w:color w:val="auto"/>
                <w:szCs w:val="21"/>
                <w:highlight w:val="none"/>
              </w:rPr>
              <w:t>1</w:t>
            </w:r>
          </w:p>
        </w:tc>
        <w:tc>
          <w:tcPr>
            <w:tcW w:w="2591" w:type="dxa"/>
            <w:vAlign w:val="center"/>
          </w:tcPr>
          <w:p>
            <w:pPr>
              <w:pageBreakBefore w:val="0"/>
              <w:kinsoku/>
              <w:wordWrap/>
              <w:overflowPunct/>
              <w:topLinePunct w:val="0"/>
              <w:autoSpaceDE/>
              <w:autoSpaceDN/>
              <w:bidi w:val="0"/>
              <w:adjustRightInd/>
              <w:snapToGrid/>
              <w:spacing w:line="380" w:lineRule="exact"/>
              <w:jc w:val="center"/>
              <w:textAlignment w:val="auto"/>
              <w:rPr>
                <w:rFonts w:hint="eastAsia" w:eastAsia="宋体"/>
                <w:color w:val="auto"/>
                <w:kern w:val="11"/>
                <w:highlight w:val="none"/>
                <w:lang w:eastAsia="zh-CN"/>
              </w:rPr>
            </w:pPr>
            <w:r>
              <w:rPr>
                <w:rFonts w:hint="eastAsia" w:ascii="宋体" w:hAnsi="宋体" w:cs="宋体"/>
                <w:color w:val="auto"/>
                <w:szCs w:val="21"/>
                <w:highlight w:val="none"/>
                <w:lang w:eastAsia="zh-CN"/>
              </w:rPr>
              <w:t>平乐县教育局2021年平乐县新任教师岗前培训项目</w:t>
            </w:r>
          </w:p>
        </w:tc>
        <w:tc>
          <w:tcPr>
            <w:tcW w:w="668" w:type="dxa"/>
            <w:vAlign w:val="center"/>
          </w:tcPr>
          <w:p>
            <w:pPr>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bCs/>
                <w:color w:val="auto"/>
                <w:szCs w:val="21"/>
                <w:highlight w:val="none"/>
                <w:shd w:val="clear" w:color="auto" w:fill="FFFFFF"/>
              </w:rPr>
            </w:pPr>
            <w:r>
              <w:rPr>
                <w:rFonts w:hint="eastAsia" w:ascii="宋体" w:hAnsi="宋体"/>
                <w:color w:val="auto"/>
                <w:szCs w:val="21"/>
                <w:highlight w:val="none"/>
              </w:rPr>
              <w:t>1项</w:t>
            </w:r>
          </w:p>
        </w:tc>
        <w:tc>
          <w:tcPr>
            <w:tcW w:w="5841" w:type="dxa"/>
            <w:vAlign w:val="center"/>
          </w:tcPr>
          <w:p>
            <w:pPr>
              <w:pageBreakBefore w:val="0"/>
              <w:kinsoku/>
              <w:wordWrap/>
              <w:overflowPunct/>
              <w:topLinePunct w:val="0"/>
              <w:autoSpaceDE/>
              <w:autoSpaceDN/>
              <w:bidi w:val="0"/>
              <w:adjustRightInd/>
              <w:snapToGrid/>
              <w:spacing w:line="380" w:lineRule="exact"/>
              <w:jc w:val="left"/>
              <w:textAlignment w:val="auto"/>
              <w:rPr>
                <w:rFonts w:ascii="宋体" w:hAnsi="宋体"/>
                <w:color w:val="auto"/>
                <w:szCs w:val="21"/>
                <w:highlight w:val="none"/>
              </w:rPr>
            </w:pPr>
            <w:r>
              <w:rPr>
                <w:rFonts w:hint="eastAsia" w:ascii="宋体" w:hAnsi="宋体"/>
                <w:color w:val="auto"/>
                <w:szCs w:val="21"/>
                <w:highlight w:val="none"/>
              </w:rPr>
              <w:t>培训方式：线上培训、线下培训、研讨交流、分组协作、模拟上课竞赛、现场考试相结合等形式。培训人数：320人。</w:t>
            </w:r>
          </w:p>
        </w:tc>
      </w:tr>
    </w:tbl>
    <w:p>
      <w:pPr>
        <w:pageBreakBefore w:val="0"/>
        <w:kinsoku/>
        <w:wordWrap/>
        <w:overflowPunct/>
        <w:topLinePunct w:val="0"/>
        <w:autoSpaceDE/>
        <w:autoSpaceDN/>
        <w:bidi w:val="0"/>
        <w:adjustRightInd/>
        <w:snapToGrid/>
        <w:spacing w:line="380" w:lineRule="exact"/>
        <w:ind w:firstLine="525" w:firstLineChars="250"/>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服务期限：</w:t>
      </w:r>
      <w:r>
        <w:rPr>
          <w:rFonts w:hint="eastAsia" w:ascii="宋体" w:hAnsi="宋体" w:cs="宋体"/>
          <w:color w:val="auto"/>
          <w:kern w:val="0"/>
          <w:szCs w:val="21"/>
          <w:highlight w:val="none"/>
          <w:lang w:val="en-US" w:eastAsia="zh-CN"/>
        </w:rPr>
        <w:t>合同签订后30天内</w:t>
      </w:r>
      <w:r>
        <w:rPr>
          <w:rFonts w:hint="eastAsia" w:ascii="宋体" w:hAnsi="宋体" w:cs="宋体"/>
          <w:color w:val="auto"/>
          <w:kern w:val="0"/>
          <w:szCs w:val="21"/>
          <w:highlight w:val="none"/>
        </w:rPr>
        <w:t>完成（如遇不可抗力造成延期，可与采购人协商解决）</w:t>
      </w:r>
      <w:r>
        <w:rPr>
          <w:rFonts w:hint="eastAsia" w:ascii="宋体" w:hAnsi="宋体" w:cs="宋体"/>
          <w:color w:val="auto"/>
          <w:kern w:val="0"/>
          <w:szCs w:val="21"/>
          <w:highlight w:val="none"/>
          <w:lang w:eastAsia="zh-CN"/>
        </w:rPr>
        <w:t>。</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u w:val="single"/>
        </w:rPr>
        <w:t>不</w:t>
      </w:r>
      <w:r>
        <w:rPr>
          <w:rFonts w:hint="eastAsia" w:ascii="宋体" w:hAnsi="宋体"/>
          <w:color w:val="auto"/>
          <w:szCs w:val="21"/>
          <w:highlight w:val="none"/>
        </w:rPr>
        <w:t>接受联合体。</w:t>
      </w:r>
    </w:p>
    <w:p>
      <w:pPr>
        <w:pStyle w:val="5"/>
        <w:pageBreakBefore w:val="0"/>
        <w:kinsoku/>
        <w:wordWrap/>
        <w:overflowPunct/>
        <w:topLinePunct w:val="0"/>
        <w:autoSpaceDE/>
        <w:autoSpaceDN/>
        <w:bidi w:val="0"/>
        <w:adjustRightInd/>
        <w:snapToGrid/>
        <w:spacing w:before="0" w:after="0" w:line="380" w:lineRule="exact"/>
        <w:ind w:firstLine="420" w:firstLineChars="200"/>
        <w:textAlignment w:val="auto"/>
        <w:rPr>
          <w:rFonts w:ascii="宋体" w:hAnsi="宋体" w:cs="宋体"/>
          <w:b w:val="0"/>
          <w:color w:val="auto"/>
          <w:sz w:val="21"/>
          <w:szCs w:val="21"/>
          <w:highlight w:val="none"/>
        </w:rPr>
      </w:pPr>
      <w:bookmarkStart w:id="5" w:name="_Toc35393799"/>
      <w:bookmarkStart w:id="6" w:name="_Toc28359013"/>
      <w:bookmarkStart w:id="7" w:name="_Toc28359090"/>
      <w:bookmarkStart w:id="8" w:name="_Toc35393630"/>
      <w:r>
        <w:rPr>
          <w:rFonts w:hint="eastAsia" w:ascii="宋体" w:hAnsi="宋体" w:cs="宋体"/>
          <w:b w:val="0"/>
          <w:color w:val="auto"/>
          <w:sz w:val="21"/>
          <w:szCs w:val="21"/>
          <w:highlight w:val="none"/>
        </w:rPr>
        <w:t>二、申请人的资格要求：</w:t>
      </w:r>
      <w:bookmarkEnd w:id="5"/>
      <w:bookmarkEnd w:id="6"/>
      <w:bookmarkEnd w:id="7"/>
      <w:bookmarkEnd w:id="8"/>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pStyle w:val="2"/>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none"/>
        </w:rPr>
      </w:pPr>
      <w:bookmarkStart w:id="9" w:name="_Toc28359091"/>
      <w:bookmarkStart w:id="10" w:name="_Toc28359014"/>
      <w:r>
        <w:rPr>
          <w:rFonts w:hint="eastAsia" w:ascii="宋体" w:hAnsi="宋体" w:cs="宋体"/>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bookmarkStart w:id="11" w:name="_Toc35393800"/>
      <w:bookmarkStart w:id="12" w:name="_Toc35393631"/>
    </w:p>
    <w:p>
      <w:pPr>
        <w:pStyle w:val="2"/>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3.落实政府采购政策需满足的资格要求：无。</w:t>
      </w:r>
    </w:p>
    <w:p>
      <w:pPr>
        <w:pStyle w:val="2"/>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4.本项目的特定资格要求：无。</w:t>
      </w:r>
    </w:p>
    <w:p>
      <w:pPr>
        <w:pStyle w:val="2"/>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三、获取采购文件</w:t>
      </w:r>
      <w:bookmarkEnd w:id="9"/>
      <w:bookmarkEnd w:id="10"/>
      <w:bookmarkEnd w:id="11"/>
      <w:bookmarkEnd w:id="12"/>
    </w:p>
    <w:p>
      <w:pPr>
        <w:pageBreakBefore w:val="0"/>
        <w:kinsoku/>
        <w:wordWrap/>
        <w:overflowPunct/>
        <w:topLinePunct w:val="0"/>
        <w:autoSpaceDE/>
        <w:autoSpaceDN/>
        <w:bidi w:val="0"/>
        <w:adjustRightInd/>
        <w:snapToGrid/>
        <w:spacing w:line="380" w:lineRule="exact"/>
        <w:ind w:firstLine="540"/>
        <w:textAlignment w:val="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olor w:val="auto"/>
          <w:szCs w:val="21"/>
          <w:highlight w:val="none"/>
        </w:rPr>
        <w:t>2021年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13</w:t>
      </w:r>
      <w:r>
        <w:rPr>
          <w:rFonts w:hint="eastAsia" w:ascii="宋体" w:hAnsi="宋体"/>
          <w:color w:val="auto"/>
          <w:szCs w:val="21"/>
          <w:highlight w:val="none"/>
        </w:rPr>
        <w:t>日起至响应文件递交截止时间止</w:t>
      </w:r>
    </w:p>
    <w:p>
      <w:pPr>
        <w:pageBreakBefore w:val="0"/>
        <w:kinsoku/>
        <w:wordWrap/>
        <w:overflowPunct/>
        <w:topLinePunct w:val="0"/>
        <w:autoSpaceDE/>
        <w:autoSpaceDN/>
        <w:bidi w:val="0"/>
        <w:adjustRightInd/>
        <w:snapToGrid/>
        <w:spacing w:line="380" w:lineRule="exact"/>
        <w:ind w:firstLine="540"/>
        <w:textAlignment w:val="auto"/>
        <w:rPr>
          <w:rFonts w:ascii="宋体" w:hAnsi="宋体"/>
          <w:color w:val="auto"/>
          <w:szCs w:val="21"/>
          <w:highlight w:val="none"/>
        </w:rPr>
      </w:pPr>
      <w:r>
        <w:rPr>
          <w:rFonts w:hint="eastAsia" w:ascii="宋体" w:hAnsi="宋体" w:cs="宋体"/>
          <w:color w:val="auto"/>
          <w:szCs w:val="21"/>
          <w:highlight w:val="none"/>
        </w:rPr>
        <w:t xml:space="preserve">地点及方式： </w:t>
      </w:r>
      <w:r>
        <w:rPr>
          <w:rFonts w:hint="eastAsia" w:ascii="宋体" w:hAnsi="宋体"/>
          <w:color w:val="auto"/>
          <w:szCs w:val="21"/>
          <w:highlight w:val="none"/>
        </w:rPr>
        <w:t>潜 在 供 应 商 登 陆 www.glggzy.org.cn （ 桂 林 市 公 共 资 源 交 易 中 心 网 ） 或http://zfcg.czj.guilin.gov.cn（桂林市政府采购网），从网上下载竞争性磋商文件电子版， 并根据竞争性磋商文件规定的响应文件提交截止时间和地点直接提交响应文件参与磋商。</w:t>
      </w:r>
    </w:p>
    <w:p>
      <w:pPr>
        <w:pageBreakBefore w:val="0"/>
        <w:kinsoku/>
        <w:wordWrap/>
        <w:overflowPunct/>
        <w:topLinePunct w:val="0"/>
        <w:autoSpaceDE/>
        <w:autoSpaceDN/>
        <w:bidi w:val="0"/>
        <w:adjustRightInd/>
        <w:snapToGrid/>
        <w:spacing w:line="380" w:lineRule="exact"/>
        <w:ind w:firstLine="540"/>
        <w:textAlignment w:val="auto"/>
        <w:rPr>
          <w:rFonts w:ascii="宋体" w:hAnsi="宋体" w:cs="宋体"/>
          <w:color w:val="auto"/>
          <w:szCs w:val="21"/>
          <w:highlight w:val="none"/>
        </w:rPr>
      </w:pPr>
      <w:r>
        <w:rPr>
          <w:rFonts w:hint="eastAsia" w:ascii="宋体" w:hAnsi="宋体" w:cs="宋体"/>
          <w:color w:val="auto"/>
          <w:szCs w:val="21"/>
          <w:highlight w:val="none"/>
        </w:rPr>
        <w:t>售价：免费</w:t>
      </w:r>
    </w:p>
    <w:p>
      <w:pPr>
        <w:pStyle w:val="5"/>
        <w:pageBreakBefore w:val="0"/>
        <w:kinsoku/>
        <w:wordWrap/>
        <w:overflowPunct/>
        <w:topLinePunct w:val="0"/>
        <w:autoSpaceDE/>
        <w:autoSpaceDN/>
        <w:bidi w:val="0"/>
        <w:adjustRightInd/>
        <w:snapToGrid/>
        <w:spacing w:before="0" w:after="0" w:line="380" w:lineRule="exact"/>
        <w:textAlignment w:val="auto"/>
        <w:rPr>
          <w:rFonts w:ascii="宋体" w:hAnsi="宋体" w:cs="宋体"/>
          <w:b w:val="0"/>
          <w:color w:val="auto"/>
          <w:sz w:val="21"/>
          <w:szCs w:val="21"/>
          <w:highlight w:val="none"/>
        </w:rPr>
      </w:pPr>
      <w:bookmarkStart w:id="13" w:name="_Toc28359015"/>
      <w:bookmarkStart w:id="14" w:name="_Toc35393632"/>
      <w:bookmarkStart w:id="15" w:name="_Toc28359092"/>
      <w:bookmarkStart w:id="16" w:name="_Toc35393801"/>
      <w:r>
        <w:rPr>
          <w:rFonts w:hint="eastAsia" w:ascii="宋体" w:hAnsi="宋体" w:cs="宋体"/>
          <w:b w:val="0"/>
          <w:color w:val="auto"/>
          <w:sz w:val="21"/>
          <w:szCs w:val="21"/>
          <w:highlight w:val="none"/>
        </w:rPr>
        <w:t>四、响应文件提交</w:t>
      </w:r>
      <w:bookmarkEnd w:id="13"/>
      <w:bookmarkEnd w:id="14"/>
      <w:bookmarkEnd w:id="15"/>
      <w:bookmarkEnd w:id="16"/>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iCs/>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u w:val="single"/>
        </w:rPr>
        <w:t>2021年</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时30分止</w:t>
      </w:r>
      <w:r>
        <w:rPr>
          <w:rFonts w:hint="eastAsia" w:ascii="宋体" w:hAnsi="宋体"/>
          <w:bCs/>
          <w:color w:val="auto"/>
          <w:szCs w:val="21"/>
          <w:highlight w:val="none"/>
        </w:rPr>
        <w:t>（北京时间）</w:t>
      </w:r>
    </w:p>
    <w:p>
      <w:pPr>
        <w:pStyle w:val="2"/>
        <w:pageBreakBefore w:val="0"/>
        <w:kinsoku/>
        <w:wordWrap/>
        <w:overflowPunct/>
        <w:topLinePunct w:val="0"/>
        <w:autoSpaceDE/>
        <w:autoSpaceDN/>
        <w:bidi w:val="0"/>
        <w:adjustRightInd/>
        <w:snapToGrid/>
        <w:spacing w:line="380" w:lineRule="exact"/>
        <w:ind w:firstLine="420" w:firstLineChars="200"/>
        <w:textAlignment w:val="auto"/>
        <w:rPr>
          <w:color w:val="auto"/>
          <w:highlight w:val="none"/>
        </w:rPr>
      </w:pPr>
      <w:r>
        <w:rPr>
          <w:rFonts w:hint="eastAsia" w:ascii="宋体" w:hAnsi="宋体" w:cs="宋体"/>
          <w:color w:val="auto"/>
          <w:szCs w:val="21"/>
          <w:highlight w:val="none"/>
        </w:rPr>
        <w:t>响应文件递交起止时间：</w:t>
      </w:r>
      <w:r>
        <w:rPr>
          <w:rFonts w:hint="eastAsia"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时00分至</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时30分</w:t>
      </w:r>
      <w:r>
        <w:rPr>
          <w:rFonts w:hint="eastAsia" w:ascii="宋体" w:hAnsi="宋体"/>
          <w:bCs/>
          <w:color w:val="auto"/>
          <w:szCs w:val="21"/>
          <w:highlight w:val="none"/>
        </w:rPr>
        <w:t>（北京时间）</w:t>
      </w:r>
      <w:r>
        <w:rPr>
          <w:rFonts w:hint="eastAsia" w:ascii="宋体" w:hAnsi="宋体" w:cs="宋体"/>
          <w:color w:val="auto"/>
          <w:szCs w:val="21"/>
          <w:highlight w:val="none"/>
        </w:rPr>
        <w:t>。</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地点：</w:t>
      </w:r>
      <w:r>
        <w:rPr>
          <w:rFonts w:hint="eastAsia" w:ascii="宋体" w:hAnsi="宋体" w:cs="宋体"/>
          <w:color w:val="auto"/>
          <w:szCs w:val="21"/>
          <w:highlight w:val="none"/>
        </w:rPr>
        <w:t>桂林市公共资源交易中心</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rPr>
        <w:t>号开标室（</w:t>
      </w:r>
      <w:r>
        <w:rPr>
          <w:rFonts w:hint="eastAsia"/>
          <w:color w:val="auto"/>
          <w:szCs w:val="21"/>
          <w:highlight w:val="none"/>
        </w:rPr>
        <w:t>广西桂林市临桂区西城中路69号创业大厦西辅楼4楼</w:t>
      </w:r>
      <w:r>
        <w:rPr>
          <w:rFonts w:hint="eastAsia" w:ascii="宋体" w:hAnsi="宋体" w:cs="宋体"/>
          <w:color w:val="auto"/>
          <w:szCs w:val="21"/>
          <w:highlight w:val="none"/>
        </w:rPr>
        <w:t>）</w:t>
      </w:r>
    </w:p>
    <w:p>
      <w:pPr>
        <w:pStyle w:val="2"/>
        <w:pageBreakBefore w:val="0"/>
        <w:kinsoku/>
        <w:wordWrap/>
        <w:overflowPunct/>
        <w:topLinePunct w:val="0"/>
        <w:autoSpaceDE/>
        <w:autoSpaceDN/>
        <w:bidi w:val="0"/>
        <w:adjustRightInd/>
        <w:snapToGrid/>
        <w:spacing w:line="380" w:lineRule="exact"/>
        <w:ind w:firstLine="420" w:firstLineChars="200"/>
        <w:textAlignment w:val="auto"/>
        <w:rPr>
          <w:color w:val="auto"/>
          <w:highlight w:val="none"/>
        </w:rPr>
      </w:pPr>
      <w:r>
        <w:rPr>
          <w:rFonts w:hint="eastAsia" w:ascii="宋体" w:hAnsi="宋体" w:cs="宋体"/>
          <w:color w:val="auto"/>
          <w:szCs w:val="21"/>
          <w:highlight w:val="none"/>
        </w:rPr>
        <w:t>逾期送达的响应文件将予以拒收。</w:t>
      </w:r>
    </w:p>
    <w:p>
      <w:pPr>
        <w:pStyle w:val="5"/>
        <w:pageBreakBefore w:val="0"/>
        <w:kinsoku/>
        <w:wordWrap/>
        <w:overflowPunct/>
        <w:topLinePunct w:val="0"/>
        <w:autoSpaceDE/>
        <w:autoSpaceDN/>
        <w:bidi w:val="0"/>
        <w:adjustRightInd/>
        <w:snapToGrid/>
        <w:spacing w:before="0" w:after="0" w:line="380" w:lineRule="exact"/>
        <w:textAlignment w:val="auto"/>
        <w:rPr>
          <w:rFonts w:ascii="宋体" w:hAnsi="宋体" w:cs="宋体"/>
          <w:b w:val="0"/>
          <w:color w:val="auto"/>
          <w:sz w:val="21"/>
          <w:szCs w:val="21"/>
          <w:highlight w:val="none"/>
        </w:rPr>
      </w:pPr>
      <w:bookmarkStart w:id="17" w:name="_Toc35393633"/>
      <w:bookmarkStart w:id="18" w:name="_Toc28359093"/>
      <w:bookmarkStart w:id="19" w:name="_Toc35393802"/>
      <w:bookmarkStart w:id="20" w:name="_Toc28359016"/>
      <w:r>
        <w:rPr>
          <w:rFonts w:hint="eastAsia" w:ascii="宋体" w:hAnsi="宋体" w:cs="宋体"/>
          <w:b w:val="0"/>
          <w:color w:val="auto"/>
          <w:sz w:val="21"/>
          <w:szCs w:val="21"/>
          <w:highlight w:val="none"/>
        </w:rPr>
        <w:t>五、开启</w:t>
      </w:r>
      <w:bookmarkEnd w:id="17"/>
      <w:bookmarkEnd w:id="18"/>
      <w:bookmarkEnd w:id="19"/>
      <w:bookmarkEnd w:id="20"/>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时间：</w:t>
      </w:r>
      <w:r>
        <w:rPr>
          <w:rFonts w:hint="eastAsia"/>
          <w:color w:val="auto"/>
          <w:szCs w:val="21"/>
          <w:highlight w:val="none"/>
          <w:u w:val="single"/>
        </w:rPr>
        <w:t>响应文件提交截止时间后</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地点：</w:t>
      </w:r>
      <w:r>
        <w:rPr>
          <w:rFonts w:hint="eastAsia"/>
          <w:color w:val="auto"/>
          <w:szCs w:val="21"/>
          <w:highlight w:val="none"/>
        </w:rPr>
        <w:t>桂林市公共资源交易中心评标室（广西桂林市临桂区西城中路69号创业大厦西辅楼4楼）</w:t>
      </w:r>
    </w:p>
    <w:p>
      <w:pPr>
        <w:pStyle w:val="5"/>
        <w:pageBreakBefore w:val="0"/>
        <w:kinsoku/>
        <w:wordWrap/>
        <w:overflowPunct/>
        <w:topLinePunct w:val="0"/>
        <w:autoSpaceDE/>
        <w:autoSpaceDN/>
        <w:bidi w:val="0"/>
        <w:adjustRightInd/>
        <w:snapToGrid/>
        <w:spacing w:before="0" w:after="0" w:line="380" w:lineRule="exact"/>
        <w:textAlignment w:val="auto"/>
        <w:rPr>
          <w:rFonts w:ascii="宋体" w:hAnsi="宋体" w:cs="宋体"/>
          <w:b w:val="0"/>
          <w:color w:val="auto"/>
          <w:sz w:val="21"/>
          <w:szCs w:val="21"/>
          <w:highlight w:val="none"/>
        </w:rPr>
      </w:pPr>
      <w:bookmarkStart w:id="21" w:name="_Toc35393634"/>
      <w:bookmarkStart w:id="22" w:name="_Toc35393803"/>
      <w:bookmarkStart w:id="23" w:name="_Toc28359017"/>
      <w:bookmarkStart w:id="24" w:name="_Toc28359094"/>
      <w:r>
        <w:rPr>
          <w:rFonts w:hint="eastAsia" w:ascii="宋体" w:hAnsi="宋体" w:cs="宋体"/>
          <w:b w:val="0"/>
          <w:color w:val="auto"/>
          <w:sz w:val="21"/>
          <w:szCs w:val="21"/>
          <w:highlight w:val="none"/>
        </w:rPr>
        <w:t>六、公告期限</w:t>
      </w:r>
      <w:bookmarkEnd w:id="21"/>
      <w:bookmarkEnd w:id="22"/>
      <w:bookmarkEnd w:id="23"/>
      <w:bookmarkEnd w:id="24"/>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w:t>
      </w:r>
    </w:p>
    <w:p>
      <w:pPr>
        <w:pStyle w:val="5"/>
        <w:pageBreakBefore w:val="0"/>
        <w:kinsoku/>
        <w:wordWrap/>
        <w:overflowPunct/>
        <w:topLinePunct w:val="0"/>
        <w:autoSpaceDE/>
        <w:autoSpaceDN/>
        <w:bidi w:val="0"/>
        <w:adjustRightInd/>
        <w:snapToGrid/>
        <w:spacing w:before="0" w:after="0" w:line="380" w:lineRule="exact"/>
        <w:textAlignment w:val="auto"/>
        <w:rPr>
          <w:rFonts w:ascii="宋体" w:hAnsi="宋体" w:cs="宋体"/>
          <w:b w:val="0"/>
          <w:color w:val="auto"/>
          <w:kern w:val="2"/>
          <w:sz w:val="21"/>
          <w:szCs w:val="21"/>
          <w:highlight w:val="none"/>
        </w:rPr>
      </w:pPr>
      <w:bookmarkStart w:id="25" w:name="_Toc35393804"/>
      <w:bookmarkStart w:id="26" w:name="_Toc35393635"/>
      <w:r>
        <w:rPr>
          <w:rFonts w:hint="eastAsia" w:ascii="宋体" w:hAnsi="宋体" w:cs="宋体"/>
          <w:b w:val="0"/>
          <w:color w:val="auto"/>
          <w:sz w:val="21"/>
          <w:szCs w:val="21"/>
          <w:highlight w:val="none"/>
        </w:rPr>
        <w:t>七、其他补充事宜</w:t>
      </w:r>
      <w:bookmarkEnd w:id="25"/>
      <w:bookmarkEnd w:id="26"/>
    </w:p>
    <w:p>
      <w:pPr>
        <w:pageBreakBefore w:val="0"/>
        <w:kinsoku/>
        <w:wordWrap/>
        <w:overflowPunct/>
        <w:topLinePunct w:val="0"/>
        <w:autoSpaceDE/>
        <w:autoSpaceDN/>
        <w:bidi w:val="0"/>
        <w:adjustRightInd/>
        <w:snapToGrid/>
        <w:spacing w:line="380" w:lineRule="exact"/>
        <w:ind w:firstLine="630" w:firstLineChars="300"/>
        <w:textAlignment w:val="auto"/>
        <w:rPr>
          <w:rFonts w:ascii="宋体" w:hAnsi="宋体" w:cs="宋体"/>
          <w:bCs/>
          <w:color w:val="auto"/>
          <w:szCs w:val="21"/>
          <w:highlight w:val="none"/>
        </w:rPr>
      </w:pPr>
      <w:r>
        <w:rPr>
          <w:rFonts w:hint="eastAsia" w:ascii="宋体" w:hAnsi="宋体" w:cs="宋体"/>
          <w:bCs/>
          <w:color w:val="auto"/>
          <w:szCs w:val="21"/>
          <w:highlight w:val="none"/>
        </w:rPr>
        <w:t>1、本项目需要落实的政府采购政策：</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（1）、《政府采购促进中小企业发展暂行办法》（财库[2011]181号）。</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（2）、《关于政府采购支持监狱企业发展有关问题的通知》（财库[2014]68号）。</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（3）、《关于促进残疾人就业政府采购政策的通知》（财库[2017]141号）。</w:t>
      </w:r>
    </w:p>
    <w:p>
      <w:pPr>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（4）、本项目非专门面向中小微企业采购。</w:t>
      </w:r>
    </w:p>
    <w:p>
      <w:pPr>
        <w:pageBreakBefore w:val="0"/>
        <w:kinsoku/>
        <w:wordWrap/>
        <w:overflowPunct/>
        <w:topLinePunct w:val="0"/>
        <w:autoSpaceDE/>
        <w:autoSpaceDN/>
        <w:bidi w:val="0"/>
        <w:adjustRightInd/>
        <w:snapToGrid/>
        <w:spacing w:line="380" w:lineRule="exact"/>
        <w:ind w:firstLine="630" w:firstLineChars="300"/>
        <w:textAlignment w:val="auto"/>
        <w:rPr>
          <w:rFonts w:ascii="宋体" w:hAnsi="宋体" w:cs="宋体"/>
          <w:bCs/>
          <w:color w:val="auto"/>
          <w:szCs w:val="21"/>
          <w:highlight w:val="none"/>
        </w:rPr>
      </w:pPr>
      <w:r>
        <w:rPr>
          <w:rFonts w:hint="eastAsia" w:ascii="宋体" w:hAnsi="宋体" w:cs="宋体"/>
          <w:bCs/>
          <w:color w:val="auto"/>
          <w:szCs w:val="21"/>
          <w:highlight w:val="none"/>
        </w:rPr>
        <w:t>2、信息公告发布媒体：</w:t>
      </w:r>
    </w:p>
    <w:p>
      <w:pPr>
        <w:pStyle w:val="2"/>
        <w:pageBreakBefore w:val="0"/>
        <w:kinsoku/>
        <w:wordWrap/>
        <w:overflowPunct/>
        <w:topLinePunct w:val="0"/>
        <w:autoSpaceDE/>
        <w:autoSpaceDN/>
        <w:bidi w:val="0"/>
        <w:adjustRightInd/>
        <w:snapToGrid/>
        <w:spacing w:line="380" w:lineRule="exact"/>
        <w:ind w:firstLine="735" w:firstLineChars="350"/>
        <w:textAlignment w:val="auto"/>
        <w:rPr>
          <w:rFonts w:ascii="宋体" w:hAnsi="宋体" w:cs="宋体"/>
          <w:color w:val="auto"/>
          <w:szCs w:val="21"/>
          <w:highlight w:val="none"/>
        </w:rPr>
      </w:pP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cs="宋体"/>
          <w:color w:val="auto"/>
          <w:szCs w:val="21"/>
          <w:highlight w:val="none"/>
        </w:rPr>
        <w:t>http://www.ccgp.gov.cn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"http://zfcg.gxzf.gov.cn/" \h </w:instrText>
      </w:r>
      <w:r>
        <w:rPr>
          <w:color w:val="auto"/>
          <w:highlight w:val="none"/>
        </w:rPr>
        <w:fldChar w:fldCharType="separate"/>
      </w:r>
      <w:r>
        <w:rPr>
          <w:rFonts w:hint="eastAsia" w:ascii="宋体" w:hAnsi="宋体" w:cs="宋体"/>
          <w:color w:val="auto"/>
          <w:szCs w:val="21"/>
          <w:highlight w:val="none"/>
        </w:rPr>
        <w:t>http://zfcg.gxzf.gov.cn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（广西壮族自治区政府采购网）、</w:t>
      </w:r>
      <w:r>
        <w:rPr>
          <w:color w:val="auto"/>
          <w:highlight w:val="none"/>
        </w:rPr>
        <w:fldChar w:fldCharType="begin"/>
      </w:r>
      <w:r>
        <w:rPr>
          <w:color w:val="auto"/>
          <w:highlight w:val="none"/>
        </w:rPr>
        <w:instrText xml:space="preserve"> HYPERLINK "http://zfcg.czj.guilin.gov.cn/" \h </w:instrText>
      </w:r>
      <w:r>
        <w:rPr>
          <w:color w:val="auto"/>
          <w:highlight w:val="none"/>
        </w:rPr>
        <w:fldChar w:fldCharType="separate"/>
      </w:r>
      <w:r>
        <w:rPr>
          <w:rFonts w:hint="eastAsia" w:ascii="宋体" w:hAnsi="宋体" w:cs="宋体"/>
          <w:color w:val="auto"/>
          <w:szCs w:val="21"/>
          <w:highlight w:val="none"/>
        </w:rPr>
        <w:t>http://zfcg.czj.guilin.gov.cn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（桂林市政府采购网）、</w:t>
      </w:r>
      <w:r>
        <w:rPr>
          <w:color w:val="auto"/>
          <w:highlight w:val="none"/>
        </w:rPr>
        <w:fldChar w:fldCharType="begin"/>
      </w:r>
      <w:r>
        <w:rPr>
          <w:color w:val="auto"/>
          <w:highlight w:val="none"/>
        </w:rPr>
        <w:instrText xml:space="preserve"> HYPERLINK "http://www.glggzy.org.cn/" \h </w:instrText>
      </w:r>
      <w:r>
        <w:rPr>
          <w:color w:val="auto"/>
          <w:highlight w:val="none"/>
        </w:rPr>
        <w:fldChar w:fldCharType="separate"/>
      </w:r>
      <w:r>
        <w:rPr>
          <w:rFonts w:hint="eastAsia" w:ascii="宋体" w:hAnsi="宋体" w:cs="宋体"/>
          <w:color w:val="auto"/>
          <w:szCs w:val="21"/>
          <w:highlight w:val="none"/>
        </w:rPr>
        <w:t>www.glggzy.org.cn</w:t>
      </w:r>
      <w:r>
        <w:rPr>
          <w:rFonts w:hint="eastAsia" w:ascii="宋体" w:hAnsi="宋体" w:cs="宋体"/>
          <w:color w:val="auto"/>
          <w:szCs w:val="21"/>
          <w:highlight w:val="none"/>
        </w:rPr>
        <w:fldChar w:fldCharType="end"/>
      </w:r>
      <w:r>
        <w:rPr>
          <w:rFonts w:hint="eastAsia" w:ascii="宋体" w:hAnsi="宋体" w:cs="宋体"/>
          <w:color w:val="auto"/>
          <w:szCs w:val="21"/>
          <w:highlight w:val="none"/>
        </w:rPr>
        <w:t>（桂林市公共资源交易中心）。</w:t>
      </w:r>
    </w:p>
    <w:p>
      <w:pPr>
        <w:pStyle w:val="2"/>
        <w:pageBreakBefore w:val="0"/>
        <w:kinsoku/>
        <w:wordWrap/>
        <w:overflowPunct/>
        <w:topLinePunct w:val="0"/>
        <w:autoSpaceDE/>
        <w:autoSpaceDN/>
        <w:bidi w:val="0"/>
        <w:adjustRightInd/>
        <w:snapToGrid/>
        <w:spacing w:line="380" w:lineRule="exact"/>
        <w:ind w:firstLine="630" w:firstLineChars="300"/>
        <w:textAlignment w:val="auto"/>
        <w:rPr>
          <w:b/>
          <w:bCs/>
          <w:color w:val="auto"/>
          <w:highlight w:val="none"/>
        </w:rPr>
      </w:pPr>
      <w:r>
        <w:rPr>
          <w:rFonts w:hint="eastAsia" w:ascii="宋体" w:hAnsi="宋体" w:eastAsia="Calibri" w:cs="宋体"/>
          <w:b/>
          <w:bCs/>
          <w:color w:val="auto"/>
          <w:szCs w:val="21"/>
          <w:highlight w:val="none"/>
        </w:rPr>
        <w:t>3、为配合采购人进行政府采购项目执行和备案，未在政采云注册的供应商可在获取招标文件后登录政采云进行注册成为正式供应商，如在操作过程中遇到问题或者需要技术支持，请致电政采云客服热线： 400-881-7190。</w:t>
      </w:r>
    </w:p>
    <w:p>
      <w:pPr>
        <w:pStyle w:val="5"/>
        <w:pageBreakBefore w:val="0"/>
        <w:kinsoku/>
        <w:wordWrap/>
        <w:overflowPunct/>
        <w:topLinePunct w:val="0"/>
        <w:autoSpaceDE/>
        <w:autoSpaceDN/>
        <w:bidi w:val="0"/>
        <w:adjustRightInd/>
        <w:snapToGrid/>
        <w:spacing w:before="0" w:after="0" w:line="380" w:lineRule="exact"/>
        <w:textAlignment w:val="auto"/>
        <w:rPr>
          <w:rFonts w:ascii="宋体" w:hAnsi="宋体" w:cs="宋体"/>
          <w:b w:val="0"/>
          <w:color w:val="auto"/>
          <w:sz w:val="21"/>
          <w:szCs w:val="21"/>
          <w:highlight w:val="none"/>
        </w:rPr>
      </w:pPr>
      <w:bookmarkStart w:id="27" w:name="_Toc28359095"/>
      <w:bookmarkStart w:id="28" w:name="_Toc35393636"/>
      <w:bookmarkStart w:id="29" w:name="_Toc28359018"/>
      <w:bookmarkStart w:id="30" w:name="_Toc35393805"/>
      <w:r>
        <w:rPr>
          <w:rFonts w:hint="eastAsia" w:ascii="宋体" w:hAnsi="宋体" w:cs="宋体"/>
          <w:b w:val="0"/>
          <w:color w:val="auto"/>
          <w:sz w:val="21"/>
          <w:szCs w:val="21"/>
          <w:highlight w:val="none"/>
        </w:rPr>
        <w:t>八、凡对本次采购提出询问，请按以下方式联系。</w:t>
      </w:r>
      <w:bookmarkEnd w:id="27"/>
      <w:bookmarkEnd w:id="28"/>
      <w:bookmarkEnd w:id="29"/>
      <w:bookmarkEnd w:id="30"/>
    </w:p>
    <w:p>
      <w:pPr>
        <w:pStyle w:val="5"/>
        <w:pageBreakBefore w:val="0"/>
        <w:kinsoku/>
        <w:wordWrap/>
        <w:overflowPunct/>
        <w:topLinePunct w:val="0"/>
        <w:autoSpaceDE/>
        <w:autoSpaceDN/>
        <w:bidi w:val="0"/>
        <w:adjustRightInd/>
        <w:snapToGrid/>
        <w:spacing w:before="0" w:after="0" w:line="380" w:lineRule="exact"/>
        <w:ind w:firstLine="630" w:firstLineChars="300"/>
        <w:textAlignment w:val="auto"/>
        <w:rPr>
          <w:rFonts w:ascii="宋体" w:hAnsi="宋体" w:cs="宋体"/>
          <w:b w:val="0"/>
          <w:color w:val="auto"/>
          <w:sz w:val="21"/>
          <w:szCs w:val="21"/>
          <w:highlight w:val="none"/>
        </w:rPr>
      </w:pPr>
      <w:bookmarkStart w:id="31" w:name="_Toc28359019"/>
      <w:bookmarkStart w:id="32" w:name="_Toc35393637"/>
      <w:bookmarkStart w:id="33" w:name="_Toc35393806"/>
      <w:bookmarkStart w:id="34" w:name="_Toc28359096"/>
      <w:r>
        <w:rPr>
          <w:rFonts w:hint="eastAsia" w:ascii="宋体" w:hAnsi="宋体" w:cs="宋体"/>
          <w:b w:val="0"/>
          <w:color w:val="auto"/>
          <w:sz w:val="21"/>
          <w:szCs w:val="21"/>
          <w:highlight w:val="none"/>
        </w:rPr>
        <w:t>1.采购人信息</w:t>
      </w:r>
      <w:bookmarkEnd w:id="31"/>
      <w:bookmarkEnd w:id="32"/>
      <w:bookmarkEnd w:id="33"/>
      <w:bookmarkEnd w:id="34"/>
    </w:p>
    <w:p>
      <w:pPr>
        <w:pageBreakBefore w:val="0"/>
        <w:kinsoku/>
        <w:wordWrap/>
        <w:overflowPunct/>
        <w:topLinePunct w:val="0"/>
        <w:autoSpaceDE/>
        <w:autoSpaceDN/>
        <w:bidi w:val="0"/>
        <w:adjustRightInd/>
        <w:snapToGrid/>
        <w:spacing w:line="380" w:lineRule="exact"/>
        <w:ind w:left="1041" w:leftChars="371" w:hanging="262" w:hangingChars="125"/>
        <w:jc w:val="left"/>
        <w:textAlignment w:val="auto"/>
        <w:rPr>
          <w:rFonts w:ascii="宋体" w:hAnsi="宋体"/>
          <w:color w:val="auto"/>
          <w:szCs w:val="21"/>
          <w:highlight w:val="none"/>
          <w:u w:val="none"/>
        </w:rPr>
      </w:pPr>
      <w:bookmarkStart w:id="35" w:name="_Toc35393638"/>
      <w:bookmarkStart w:id="36" w:name="_Toc28359020"/>
      <w:bookmarkStart w:id="37" w:name="_Toc35393807"/>
      <w:bookmarkStart w:id="38" w:name="_Toc28359097"/>
      <w:r>
        <w:rPr>
          <w:rFonts w:hint="eastAsia" w:ascii="宋体" w:hAnsi="宋体"/>
          <w:color w:val="auto"/>
          <w:szCs w:val="21"/>
          <w:highlight w:val="none"/>
        </w:rPr>
        <w:t>名    称：</w:t>
      </w:r>
      <w:r>
        <w:rPr>
          <w:rFonts w:hint="eastAsia" w:ascii="宋体" w:hAnsi="宋体"/>
          <w:color w:val="auto"/>
          <w:szCs w:val="21"/>
          <w:highlight w:val="none"/>
          <w:u w:val="none"/>
        </w:rPr>
        <w:t>平乐县教育局</w:t>
      </w:r>
    </w:p>
    <w:p>
      <w:pPr>
        <w:pageBreakBefore w:val="0"/>
        <w:kinsoku/>
        <w:wordWrap/>
        <w:overflowPunct/>
        <w:topLinePunct w:val="0"/>
        <w:autoSpaceDE/>
        <w:autoSpaceDN/>
        <w:bidi w:val="0"/>
        <w:adjustRightInd/>
        <w:snapToGrid/>
        <w:spacing w:line="380" w:lineRule="exact"/>
        <w:ind w:left="1041" w:leftChars="371" w:hanging="262" w:hangingChars="125"/>
        <w:jc w:val="left"/>
        <w:textAlignment w:val="auto"/>
        <w:rPr>
          <w:rFonts w:ascii="宋体" w:hAnsi="宋体"/>
          <w:color w:val="auto"/>
          <w:szCs w:val="21"/>
          <w:highlight w:val="none"/>
          <w:u w:val="none"/>
        </w:rPr>
      </w:pPr>
      <w:r>
        <w:rPr>
          <w:rFonts w:hint="eastAsia" w:ascii="宋体" w:hAnsi="宋体"/>
          <w:color w:val="auto"/>
          <w:szCs w:val="21"/>
          <w:highlight w:val="none"/>
          <w:u w:val="none"/>
        </w:rPr>
        <w:t>地    址：平乐县行政学校5楼</w:t>
      </w:r>
    </w:p>
    <w:p>
      <w:pPr>
        <w:pageBreakBefore w:val="0"/>
        <w:kinsoku/>
        <w:wordWrap/>
        <w:overflowPunct/>
        <w:topLinePunct w:val="0"/>
        <w:autoSpaceDE/>
        <w:autoSpaceDN/>
        <w:bidi w:val="0"/>
        <w:adjustRightInd/>
        <w:snapToGrid/>
        <w:spacing w:line="380" w:lineRule="exact"/>
        <w:ind w:firstLine="735" w:firstLineChars="350"/>
        <w:textAlignment w:val="auto"/>
        <w:rPr>
          <w:rFonts w:hint="eastAsia" w:ascii="微软雅黑" w:hAnsi="微软雅黑" w:eastAsia="微软雅黑" w:cs="微软雅黑"/>
          <w:i w:val="0"/>
          <w:caps w:val="0"/>
          <w:color w:val="333333"/>
          <w:spacing w:val="0"/>
          <w:sz w:val="21"/>
          <w:szCs w:val="21"/>
          <w:u w:val="none"/>
          <w:shd w:val="clear" w:fill="FFFFFF"/>
          <w:lang w:val="en-US" w:eastAsia="zh-CN"/>
        </w:rPr>
      </w:pPr>
      <w:r>
        <w:rPr>
          <w:rFonts w:hint="eastAsia" w:ascii="宋体" w:hAnsi="宋体"/>
          <w:color w:val="auto"/>
          <w:szCs w:val="21"/>
          <w:highlight w:val="none"/>
          <w:u w:val="none"/>
          <w:lang w:eastAsia="zh-CN"/>
        </w:rPr>
        <w:t>联</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lang w:eastAsia="zh-CN"/>
        </w:rPr>
        <w:t>系</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lang w:eastAsia="zh-CN"/>
        </w:rPr>
        <w:t>人：</w:t>
      </w:r>
      <w:r>
        <w:rPr>
          <w:rFonts w:hint="eastAsia" w:ascii="宋体" w:hAnsi="宋体"/>
          <w:color w:val="auto"/>
          <w:szCs w:val="21"/>
          <w:highlight w:val="none"/>
          <w:u w:val="none"/>
        </w:rPr>
        <w:t>杜云剑</w:t>
      </w:r>
      <w:r>
        <w:rPr>
          <w:rFonts w:hint="eastAsia" w:ascii="宋体" w:hAnsi="宋体"/>
          <w:color w:val="auto"/>
          <w:szCs w:val="21"/>
          <w:highlight w:val="none"/>
          <w:u w:val="none"/>
          <w:lang w:val="en-US" w:eastAsia="zh-CN"/>
        </w:rPr>
        <w:t xml:space="preserve">  </w:t>
      </w:r>
    </w:p>
    <w:p>
      <w:pPr>
        <w:pageBreakBefore w:val="0"/>
        <w:kinsoku/>
        <w:wordWrap/>
        <w:overflowPunct/>
        <w:topLinePunct w:val="0"/>
        <w:autoSpaceDE/>
        <w:autoSpaceDN/>
        <w:bidi w:val="0"/>
        <w:adjustRightInd/>
        <w:snapToGrid/>
        <w:spacing w:line="380" w:lineRule="exact"/>
        <w:ind w:firstLine="735" w:firstLineChars="350"/>
        <w:textAlignment w:val="auto"/>
        <w:rPr>
          <w:rFonts w:ascii="宋体" w:hAnsi="宋体"/>
          <w:color w:val="auto"/>
          <w:szCs w:val="21"/>
          <w:highlight w:val="none"/>
          <w:u w:val="none"/>
        </w:rPr>
      </w:pPr>
      <w:r>
        <w:rPr>
          <w:rFonts w:hint="eastAsia" w:ascii="宋体" w:hAnsi="宋体"/>
          <w:color w:val="auto"/>
          <w:szCs w:val="21"/>
          <w:highlight w:val="none"/>
          <w:u w:val="none"/>
        </w:rPr>
        <w:t>联系方式：0773-7884174</w:t>
      </w:r>
    </w:p>
    <w:p>
      <w:pPr>
        <w:pStyle w:val="5"/>
        <w:pageBreakBefore w:val="0"/>
        <w:kinsoku/>
        <w:wordWrap/>
        <w:overflowPunct/>
        <w:topLinePunct w:val="0"/>
        <w:autoSpaceDE/>
        <w:autoSpaceDN/>
        <w:bidi w:val="0"/>
        <w:adjustRightInd/>
        <w:snapToGrid/>
        <w:spacing w:before="0" w:after="0" w:line="380" w:lineRule="exact"/>
        <w:ind w:firstLine="630" w:firstLineChars="300"/>
        <w:textAlignment w:val="auto"/>
        <w:rPr>
          <w:rFonts w:ascii="宋体" w:hAnsi="宋体" w:cs="宋体"/>
          <w:b w:val="0"/>
          <w:color w:val="auto"/>
          <w:sz w:val="21"/>
          <w:szCs w:val="21"/>
          <w:highlight w:val="none"/>
        </w:rPr>
      </w:pPr>
      <w:r>
        <w:rPr>
          <w:rFonts w:hint="eastAsia" w:ascii="宋体" w:hAnsi="宋体" w:cs="宋体"/>
          <w:b w:val="0"/>
          <w:color w:val="auto"/>
          <w:sz w:val="21"/>
          <w:szCs w:val="21"/>
          <w:highlight w:val="none"/>
        </w:rPr>
        <w:t>2.采购代理机构信息</w:t>
      </w:r>
      <w:bookmarkEnd w:id="35"/>
      <w:bookmarkEnd w:id="36"/>
      <w:bookmarkEnd w:id="37"/>
      <w:bookmarkEnd w:id="38"/>
    </w:p>
    <w:p>
      <w:pPr>
        <w:pageBreakBefore w:val="0"/>
        <w:kinsoku/>
        <w:wordWrap/>
        <w:overflowPunct/>
        <w:topLinePunct w:val="0"/>
        <w:autoSpaceDE/>
        <w:autoSpaceDN/>
        <w:bidi w:val="0"/>
        <w:adjustRightInd/>
        <w:snapToGrid/>
        <w:spacing w:line="380" w:lineRule="exact"/>
        <w:ind w:firstLine="840" w:firstLineChars="400"/>
        <w:textAlignment w:val="auto"/>
        <w:rPr>
          <w:rFonts w:ascii="宋体" w:hAnsi="宋体"/>
          <w:color w:val="auto"/>
          <w:szCs w:val="21"/>
          <w:highlight w:val="none"/>
        </w:rPr>
      </w:pPr>
      <w:r>
        <w:rPr>
          <w:rFonts w:hint="eastAsia" w:ascii="宋体" w:hAnsi="宋体"/>
          <w:color w:val="auto"/>
          <w:szCs w:val="21"/>
          <w:highlight w:val="none"/>
        </w:rPr>
        <w:t xml:space="preserve">名   称：广西鼎策工程顾问有限责任公司  </w:t>
      </w:r>
    </w:p>
    <w:p>
      <w:pPr>
        <w:pageBreakBefore w:val="0"/>
        <w:kinsoku/>
        <w:wordWrap/>
        <w:overflowPunct/>
        <w:topLinePunct w:val="0"/>
        <w:autoSpaceDE/>
        <w:autoSpaceDN/>
        <w:bidi w:val="0"/>
        <w:adjustRightInd/>
        <w:snapToGrid/>
        <w:spacing w:line="380" w:lineRule="exact"/>
        <w:ind w:firstLine="840" w:firstLineChars="400"/>
        <w:textAlignment w:val="auto"/>
        <w:rPr>
          <w:color w:val="auto"/>
          <w:highlight w:val="none"/>
        </w:rPr>
      </w:pPr>
      <w:r>
        <w:rPr>
          <w:rFonts w:hint="eastAsia" w:ascii="宋体" w:hAnsi="宋体"/>
          <w:color w:val="auto"/>
          <w:szCs w:val="21"/>
          <w:highlight w:val="none"/>
        </w:rPr>
        <w:t>地   址：桂林市七星区信息产业园软件大厦2号梯6楼</w:t>
      </w:r>
    </w:p>
    <w:p>
      <w:pPr>
        <w:pageBreakBefore w:val="0"/>
        <w:kinsoku/>
        <w:wordWrap/>
        <w:overflowPunct/>
        <w:topLinePunct w:val="0"/>
        <w:autoSpaceDE/>
        <w:autoSpaceDN/>
        <w:bidi w:val="0"/>
        <w:adjustRightInd/>
        <w:snapToGrid/>
        <w:spacing w:line="380" w:lineRule="exact"/>
        <w:ind w:firstLine="840" w:firstLineChars="400"/>
        <w:textAlignment w:val="auto"/>
        <w:rPr>
          <w:rFonts w:ascii="宋体" w:hAnsi="宋体"/>
          <w:color w:val="auto"/>
          <w:szCs w:val="21"/>
          <w:highlight w:val="none"/>
        </w:rPr>
      </w:pPr>
      <w:r>
        <w:rPr>
          <w:rFonts w:hint="eastAsia" w:ascii="宋体" w:hAnsi="宋体" w:cs="宋体"/>
          <w:color w:val="auto"/>
          <w:highlight w:val="none"/>
        </w:rPr>
        <w:t>项目联系人：蒋丽英    联系电话:</w:t>
      </w:r>
      <w:bookmarkStart w:id="39" w:name="_Toc35393639"/>
      <w:bookmarkStart w:id="40" w:name="_Toc28359021"/>
      <w:bookmarkStart w:id="41" w:name="_Toc28359098"/>
      <w:bookmarkStart w:id="42" w:name="_Toc35393808"/>
      <w:r>
        <w:rPr>
          <w:rFonts w:hint="eastAsia" w:ascii="宋体" w:hAnsi="宋体"/>
          <w:color w:val="auto"/>
          <w:szCs w:val="21"/>
          <w:highlight w:val="none"/>
        </w:rPr>
        <w:t>13978385713</w:t>
      </w:r>
    </w:p>
    <w:bookmarkEnd w:id="39"/>
    <w:bookmarkEnd w:id="40"/>
    <w:bookmarkEnd w:id="41"/>
    <w:bookmarkEnd w:id="42"/>
    <w:p>
      <w:pPr>
        <w:pStyle w:val="5"/>
        <w:pageBreakBefore w:val="0"/>
        <w:numPr>
          <w:ilvl w:val="0"/>
          <w:numId w:val="1"/>
        </w:numPr>
        <w:kinsoku/>
        <w:wordWrap/>
        <w:overflowPunct/>
        <w:topLinePunct w:val="0"/>
        <w:autoSpaceDE/>
        <w:autoSpaceDN/>
        <w:bidi w:val="0"/>
        <w:adjustRightInd/>
        <w:snapToGrid/>
        <w:spacing w:before="0" w:after="0" w:line="380" w:lineRule="exact"/>
        <w:ind w:firstLine="630" w:firstLineChars="300"/>
        <w:textAlignment w:val="auto"/>
        <w:rPr>
          <w:rFonts w:ascii="宋体" w:hAnsi="宋体" w:cs="宋体"/>
          <w:b w:val="0"/>
          <w:color w:val="auto"/>
          <w:sz w:val="21"/>
          <w:szCs w:val="21"/>
          <w:highlight w:val="none"/>
        </w:rPr>
      </w:pPr>
      <w:r>
        <w:rPr>
          <w:rFonts w:hint="eastAsia" w:ascii="宋体" w:hAnsi="宋体" w:cs="宋体"/>
          <w:b w:val="0"/>
          <w:color w:val="auto"/>
          <w:sz w:val="21"/>
          <w:szCs w:val="21"/>
          <w:highlight w:val="none"/>
        </w:rPr>
        <w:t>监督部门：平乐县政府采购办公室          联系方式：0773-7882157</w:t>
      </w:r>
    </w:p>
    <w:p>
      <w:pPr>
        <w:pageBreakBefore w:val="0"/>
        <w:kinsoku/>
        <w:wordWrap/>
        <w:overflowPunct/>
        <w:topLinePunct w:val="0"/>
        <w:autoSpaceDE/>
        <w:autoSpaceDN/>
        <w:bidi w:val="0"/>
        <w:adjustRightInd/>
        <w:snapToGrid/>
        <w:spacing w:line="380" w:lineRule="exact"/>
        <w:textAlignment w:val="auto"/>
        <w:rPr>
          <w:color w:val="auto"/>
          <w:highlight w:val="none"/>
        </w:rPr>
      </w:pPr>
    </w:p>
    <w:p>
      <w:pPr>
        <w:spacing w:line="360" w:lineRule="auto"/>
        <w:ind w:firstLine="5290" w:firstLineChars="2300"/>
        <w:rPr>
          <w:rFonts w:ascii="宋体" w:hAnsi="宋体" w:cs="宋体"/>
          <w:bCs/>
          <w:color w:val="auto"/>
          <w:spacing w:val="10"/>
          <w:szCs w:val="21"/>
          <w:highlight w:val="none"/>
        </w:rPr>
      </w:pPr>
      <w:r>
        <w:rPr>
          <w:rFonts w:hint="eastAsia" w:ascii="宋体" w:hAnsi="宋体" w:cs="宋体"/>
          <w:bCs/>
          <w:color w:val="auto"/>
          <w:spacing w:val="10"/>
          <w:szCs w:val="21"/>
          <w:highlight w:val="none"/>
        </w:rPr>
        <w:t xml:space="preserve"> 广西鼎策工程顾问有限责任公司     </w:t>
      </w:r>
    </w:p>
    <w:p>
      <w:pPr>
        <w:spacing w:line="440" w:lineRule="atLeast"/>
        <w:jc w:val="center"/>
        <w:outlineLvl w:val="0"/>
        <w:rPr>
          <w:rFonts w:ascii="宋体" w:hAnsi="宋体" w:cs="宋体"/>
          <w:b/>
          <w:color w:val="auto"/>
          <w:sz w:val="32"/>
          <w:szCs w:val="32"/>
          <w:highlight w:val="none"/>
        </w:rPr>
      </w:pPr>
      <w:r>
        <w:rPr>
          <w:rFonts w:hint="eastAsia" w:ascii="宋体" w:hAnsi="宋体" w:cs="宋体"/>
          <w:bCs/>
          <w:color w:val="auto"/>
          <w:spacing w:val="10"/>
          <w:szCs w:val="21"/>
          <w:highlight w:val="none"/>
        </w:rPr>
        <w:t xml:space="preserve">                                             2021年</w:t>
      </w:r>
      <w:r>
        <w:rPr>
          <w:rFonts w:hint="eastAsia" w:ascii="宋体" w:hAnsi="宋体" w:cs="宋体"/>
          <w:bCs/>
          <w:color w:val="auto"/>
          <w:spacing w:val="10"/>
          <w:szCs w:val="21"/>
          <w:highlight w:val="none"/>
          <w:lang w:val="en-US" w:eastAsia="zh-CN"/>
        </w:rPr>
        <w:t>9</w:t>
      </w:r>
      <w:r>
        <w:rPr>
          <w:rFonts w:hint="eastAsia" w:ascii="宋体" w:hAnsi="宋体" w:cs="宋体"/>
          <w:bCs/>
          <w:color w:val="auto"/>
          <w:spacing w:val="10"/>
          <w:szCs w:val="21"/>
          <w:highlight w:val="none"/>
        </w:rPr>
        <w:t>月</w:t>
      </w:r>
      <w:r>
        <w:rPr>
          <w:rFonts w:hint="eastAsia" w:ascii="宋体" w:hAnsi="宋体" w:cs="宋体"/>
          <w:bCs/>
          <w:color w:val="auto"/>
          <w:spacing w:val="10"/>
          <w:szCs w:val="21"/>
          <w:highlight w:val="none"/>
          <w:lang w:val="en-US" w:eastAsia="zh-CN"/>
        </w:rPr>
        <w:t>28</w:t>
      </w:r>
      <w:r>
        <w:rPr>
          <w:rFonts w:hint="eastAsia" w:ascii="宋体" w:hAnsi="宋体" w:cs="宋体"/>
          <w:bCs/>
          <w:color w:val="auto"/>
          <w:spacing w:val="10"/>
          <w:szCs w:val="21"/>
          <w:highlight w:val="none"/>
        </w:rPr>
        <w:t>日</w:t>
      </w:r>
      <w:r>
        <w:rPr>
          <w:rFonts w:hint="eastAsia" w:ascii="宋体" w:hAnsi="宋体" w:cs="宋体"/>
          <w:b/>
          <w:color w:val="auto"/>
          <w:sz w:val="32"/>
          <w:szCs w:val="32"/>
          <w:highlight w:val="none"/>
        </w:rPr>
        <w:br w:type="page"/>
      </w:r>
      <w:bookmarkStart w:id="43" w:name="_Toc532901084"/>
      <w:r>
        <w:rPr>
          <w:rFonts w:hint="eastAsia" w:ascii="宋体" w:hAnsi="宋体" w:cs="宋体"/>
          <w:b/>
          <w:color w:val="auto"/>
          <w:sz w:val="32"/>
          <w:szCs w:val="32"/>
          <w:highlight w:val="none"/>
        </w:rPr>
        <w:t>第二章  磋商供应商须知</w:t>
      </w:r>
      <w:bookmarkEnd w:id="43"/>
    </w:p>
    <w:p>
      <w:pPr>
        <w:spacing w:line="400" w:lineRule="exact"/>
        <w:jc w:val="center"/>
        <w:rPr>
          <w:rFonts w:ascii="宋体" w:hAnsi="宋体" w:cs="宋体"/>
          <w:b/>
          <w:bCs/>
          <w:color w:val="auto"/>
          <w:szCs w:val="21"/>
          <w:highlight w:val="none"/>
        </w:rPr>
      </w:pPr>
      <w:bookmarkStart w:id="44" w:name="_Toc532901085"/>
      <w:bookmarkStart w:id="45" w:name="_Toc14996"/>
      <w:r>
        <w:rPr>
          <w:rFonts w:hint="eastAsia" w:ascii="宋体" w:hAnsi="宋体" w:cs="宋体"/>
          <w:b/>
          <w:bCs/>
          <w:color w:val="auto"/>
          <w:szCs w:val="21"/>
          <w:highlight w:val="none"/>
        </w:rPr>
        <w:t>磋商供应商须知前附表</w:t>
      </w:r>
      <w:bookmarkEnd w:id="44"/>
      <w:bookmarkEnd w:id="45"/>
    </w:p>
    <w:tbl>
      <w:tblPr>
        <w:tblStyle w:val="19"/>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1"/>
        <w:gridCol w:w="2130"/>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696" w:type="dxa"/>
            <w:shd w:val="clear" w:color="auto" w:fill="FFFFFF"/>
            <w:vAlign w:val="center"/>
          </w:tcPr>
          <w:p>
            <w:pPr>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991" w:type="dxa"/>
            <w:shd w:val="clear" w:color="auto" w:fill="FFFFFF"/>
            <w:vAlign w:val="center"/>
          </w:tcPr>
          <w:p>
            <w:pPr>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2130" w:type="dxa"/>
            <w:shd w:val="clear" w:color="auto" w:fill="FFFFFF"/>
            <w:vAlign w:val="center"/>
          </w:tcPr>
          <w:p>
            <w:pPr>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6038" w:type="dxa"/>
            <w:shd w:val="clear" w:color="auto" w:fill="FFFFFF"/>
            <w:vAlign w:val="center"/>
          </w:tcPr>
          <w:p>
            <w:pPr>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30"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6038" w:type="dxa"/>
          </w:tcPr>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平乐县教育局2021年平乐县新任教师岗前培训项目</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项目编号： </w:t>
            </w:r>
            <w:r>
              <w:rPr>
                <w:rFonts w:hint="eastAsia" w:ascii="宋体" w:hAnsi="宋体"/>
                <w:color w:val="auto"/>
                <w:szCs w:val="21"/>
                <w:highlight w:val="none"/>
              </w:rPr>
              <w:t>GLZC2021-C3-300017-GXDC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30" w:type="dxa"/>
            <w:vAlign w:val="center"/>
          </w:tcPr>
          <w:p>
            <w:pPr>
              <w:spacing w:line="340" w:lineRule="exact"/>
              <w:ind w:firstLine="420" w:firstLineChars="200"/>
              <w:rPr>
                <w:color w:val="auto"/>
                <w:highlight w:val="none"/>
              </w:rPr>
            </w:pPr>
            <w:r>
              <w:rPr>
                <w:rFonts w:hint="eastAsia"/>
                <w:color w:val="auto"/>
                <w:highlight w:val="none"/>
              </w:rPr>
              <w:t>供应商资格</w:t>
            </w:r>
          </w:p>
        </w:tc>
        <w:tc>
          <w:tcPr>
            <w:tcW w:w="6038" w:type="dxa"/>
            <w:vAlign w:val="center"/>
          </w:tcPr>
          <w:p>
            <w:pPr>
              <w:spacing w:line="340" w:lineRule="exact"/>
              <w:rPr>
                <w:color w:val="auto"/>
                <w:highlight w:val="none"/>
              </w:rPr>
            </w:pPr>
            <w:r>
              <w:rPr>
                <w:rFonts w:hint="eastAsia"/>
                <w:color w:val="auto"/>
                <w:highlight w:val="none"/>
              </w:rPr>
              <w:t>3.1、满足《中华人民共和国政府采购法》第二十二条规定；</w:t>
            </w:r>
          </w:p>
          <w:p>
            <w:pPr>
              <w:spacing w:line="340" w:lineRule="exact"/>
              <w:rPr>
                <w:color w:val="auto"/>
                <w:highlight w:val="none"/>
              </w:rPr>
            </w:pPr>
            <w:r>
              <w:rPr>
                <w:rFonts w:hint="eastAsia"/>
                <w:color w:val="auto"/>
                <w:highlight w:val="none"/>
              </w:rPr>
              <w:t>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40" w:lineRule="exact"/>
              <w:rPr>
                <w:color w:val="auto"/>
                <w:highlight w:val="none"/>
              </w:rPr>
            </w:pPr>
            <w:r>
              <w:rPr>
                <w:rFonts w:hint="eastAsia"/>
                <w:color w:val="auto"/>
                <w:highlight w:val="none"/>
              </w:rPr>
              <w:t>3.3、落实政府采购政策需满足的资格要求：无。</w:t>
            </w:r>
          </w:p>
          <w:p>
            <w:pPr>
              <w:spacing w:line="340" w:lineRule="exact"/>
              <w:rPr>
                <w:color w:val="auto"/>
                <w:highlight w:val="none"/>
              </w:rPr>
            </w:pPr>
            <w:r>
              <w:rPr>
                <w:rFonts w:hint="eastAsia"/>
                <w:color w:val="auto"/>
                <w:highlight w:val="none"/>
              </w:rPr>
              <w:t>3.4、本项目的特定资格要求：无。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磋商费用</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991"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13</w:t>
            </w:r>
          </w:p>
        </w:tc>
        <w:tc>
          <w:tcPr>
            <w:tcW w:w="2130"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szCs w:val="21"/>
                <w:highlight w:val="none"/>
              </w:rPr>
              <w:t>磋商报价及</w:t>
            </w:r>
            <w:r>
              <w:rPr>
                <w:rFonts w:hint="eastAsia" w:ascii="宋体" w:hAnsi="宋体" w:cs="宋体"/>
                <w:color w:val="auto"/>
                <w:position w:val="-2"/>
                <w:szCs w:val="21"/>
                <w:highlight w:val="none"/>
              </w:rPr>
              <w:t>采购预算总金额</w:t>
            </w:r>
          </w:p>
        </w:tc>
        <w:tc>
          <w:tcPr>
            <w:tcW w:w="6038" w:type="dxa"/>
            <w:vAlign w:val="center"/>
          </w:tcPr>
          <w:p>
            <w:pPr>
              <w:spacing w:line="340" w:lineRule="exact"/>
              <w:rPr>
                <w:rFonts w:ascii="宋体" w:hAnsi="宋体" w:cs="宋体"/>
                <w:color w:val="auto"/>
                <w:kern w:val="0"/>
                <w:szCs w:val="21"/>
                <w:highlight w:val="none"/>
              </w:rPr>
            </w:pPr>
            <w:r>
              <w:rPr>
                <w:rFonts w:hint="eastAsia" w:ascii="宋体" w:hAnsi="宋体" w:cs="宋体"/>
                <w:color w:val="auto"/>
                <w:highlight w:val="none"/>
              </w:rPr>
              <w:t>13.1</w:t>
            </w:r>
            <w:r>
              <w:rPr>
                <w:rFonts w:hint="eastAsia" w:ascii="宋体" w:hAnsi="宋体" w:cs="宋体"/>
                <w:color w:val="auto"/>
                <w:szCs w:val="21"/>
                <w:highlight w:val="none"/>
              </w:rPr>
              <w:t>采购项目预算金额（人民币）：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1300000.00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元,报价</w:t>
            </w:r>
            <w:r>
              <w:rPr>
                <w:rFonts w:hint="eastAsia" w:ascii="宋体" w:hAnsi="宋体" w:cs="宋体"/>
                <w:color w:val="auto"/>
                <w:kern w:val="0"/>
                <w:szCs w:val="21"/>
                <w:highlight w:val="none"/>
              </w:rPr>
              <w:t>超过采购预算金额的，响应文件按无效处理。</w:t>
            </w:r>
          </w:p>
          <w:p>
            <w:pPr>
              <w:spacing w:line="340" w:lineRule="exact"/>
              <w:rPr>
                <w:color w:val="auto"/>
                <w:highlight w:val="none"/>
              </w:rPr>
            </w:pPr>
            <w:r>
              <w:rPr>
                <w:rFonts w:hint="eastAsia" w:ascii="宋体" w:hAnsi="宋体" w:cs="宋体"/>
                <w:color w:val="auto"/>
                <w:szCs w:val="21"/>
                <w:highlight w:val="none"/>
              </w:rPr>
              <w:t>13.2供应商必须就“服务采购要求”中的所有服务内容作完整唯一报价，否则，其响应文件无效。响应文件只允许有一个报价，有选择的或有条件的报价将不予接受。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991"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14.1</w:t>
            </w:r>
          </w:p>
        </w:tc>
        <w:tc>
          <w:tcPr>
            <w:tcW w:w="2130"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响应文件有效期</w:t>
            </w:r>
          </w:p>
        </w:tc>
        <w:tc>
          <w:tcPr>
            <w:tcW w:w="6038" w:type="dxa"/>
          </w:tcPr>
          <w:p>
            <w:pPr>
              <w:tabs>
                <w:tab w:val="left" w:pos="1305"/>
              </w:tabs>
              <w:spacing w:line="340" w:lineRule="exact"/>
              <w:rPr>
                <w:rFonts w:ascii="宋体" w:hAnsi="宋体" w:cs="宋体"/>
                <w:color w:val="auto"/>
                <w:szCs w:val="21"/>
                <w:highlight w:val="none"/>
              </w:rPr>
            </w:pPr>
            <w:r>
              <w:rPr>
                <w:rFonts w:hint="eastAsia" w:ascii="宋体" w:hAnsi="宋体" w:cs="宋体"/>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991"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2130"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保证金</w:t>
            </w:r>
          </w:p>
        </w:tc>
        <w:tc>
          <w:tcPr>
            <w:tcW w:w="6038" w:type="dxa"/>
          </w:tcPr>
          <w:p>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本项目不要求缴纳磋商保证金。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16.1</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正本壹册，副本肆册，须完整提交（A4纸装订）。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991" w:type="dxa"/>
            <w:vAlign w:val="center"/>
          </w:tcPr>
          <w:p>
            <w:pPr>
              <w:spacing w:line="340" w:lineRule="exact"/>
              <w:jc w:val="center"/>
              <w:rPr>
                <w:rFonts w:ascii="宋体" w:hAnsi="宋体" w:cs="宋体"/>
                <w:color w:val="auto"/>
                <w:position w:val="10"/>
                <w:szCs w:val="21"/>
                <w:highlight w:val="none"/>
              </w:rPr>
            </w:pPr>
            <w:r>
              <w:rPr>
                <w:rFonts w:hint="eastAsia" w:ascii="宋体" w:hAnsi="宋体" w:cs="宋体"/>
                <w:color w:val="auto"/>
                <w:position w:val="10"/>
                <w:szCs w:val="21"/>
                <w:highlight w:val="none"/>
              </w:rPr>
              <w:t>16.2</w:t>
            </w:r>
          </w:p>
        </w:tc>
        <w:tc>
          <w:tcPr>
            <w:tcW w:w="2130" w:type="dxa"/>
            <w:vAlign w:val="center"/>
          </w:tcPr>
          <w:p>
            <w:pPr>
              <w:spacing w:line="340" w:lineRule="exact"/>
              <w:jc w:val="center"/>
              <w:rPr>
                <w:rFonts w:ascii="宋体" w:hAnsi="宋体" w:cs="宋体"/>
                <w:color w:val="auto"/>
                <w:position w:val="10"/>
                <w:szCs w:val="21"/>
                <w:highlight w:val="none"/>
              </w:rPr>
            </w:pPr>
            <w:r>
              <w:rPr>
                <w:rFonts w:hint="eastAsia" w:ascii="宋体" w:hAnsi="宋体" w:cs="宋体"/>
                <w:color w:val="auto"/>
                <w:szCs w:val="21"/>
                <w:highlight w:val="none"/>
              </w:rPr>
              <w:t>响应文件装订要求</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696"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991"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16.6</w:t>
            </w:r>
          </w:p>
        </w:tc>
        <w:tc>
          <w:tcPr>
            <w:tcW w:w="2130"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响应文件包装、密封、标记</w:t>
            </w:r>
          </w:p>
        </w:tc>
        <w:tc>
          <w:tcPr>
            <w:tcW w:w="6038" w:type="dxa"/>
            <w:vAlign w:val="center"/>
          </w:tcPr>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16.6.1响应文件包装、密封：供应商须将响应文件“正本”、“副本”一并装入一个响应文件袋（盒、箱）中密封，并在密封处密封签章【公章、密封章、法定代表人、负责人、自然人或相应的授权委托代理人签字均可】。</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16.6.2响应文件袋（盒、箱）标记：</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采购代理机构：</w:t>
            </w:r>
            <w:r>
              <w:rPr>
                <w:rFonts w:hint="eastAsia" w:ascii="宋体" w:hAnsi="宋体" w:cs="宋体"/>
                <w:color w:val="auto"/>
                <w:szCs w:val="21"/>
                <w:highlight w:val="none"/>
                <w:u w:val="single"/>
              </w:rPr>
              <w:t xml:space="preserve">                         </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供应商单位名称：</w:t>
            </w:r>
            <w:r>
              <w:rPr>
                <w:rFonts w:hint="eastAsia" w:ascii="宋体" w:hAnsi="宋体" w:cs="宋体"/>
                <w:color w:val="auto"/>
                <w:szCs w:val="21"/>
                <w:highlight w:val="none"/>
                <w:u w:val="single"/>
              </w:rPr>
              <w:t xml:space="preserve">                       </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在2021年 月  日  时 分前不得开启（此处供应商填写响应文件递交截止时间）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16.7</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供应商公章</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18.1</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响应文件递交起止时间</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b/>
                <w:color w:val="auto"/>
                <w:szCs w:val="21"/>
                <w:highlight w:val="none"/>
              </w:rPr>
              <w:t>响应文件递交起止时间：</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时00分至</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6"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12</w:t>
            </w:r>
          </w:p>
        </w:tc>
        <w:tc>
          <w:tcPr>
            <w:tcW w:w="991"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18.2</w:t>
            </w:r>
          </w:p>
        </w:tc>
        <w:tc>
          <w:tcPr>
            <w:tcW w:w="2130"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响应文件递交地点</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桂林市公共资源交易中心</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rPr>
              <w:t>号开标室（</w:t>
            </w:r>
            <w:r>
              <w:rPr>
                <w:rFonts w:hint="eastAsia"/>
                <w:color w:val="auto"/>
                <w:szCs w:val="21"/>
                <w:highlight w:val="none"/>
              </w:rPr>
              <w:t>广西桂林市临桂区西城中路69号创业大厦西辅楼4楼</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991" w:type="dxa"/>
            <w:vAlign w:val="center"/>
          </w:tcPr>
          <w:p>
            <w:pPr>
              <w:spacing w:line="34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19.1</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磋商小组组成</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磋商小组由采购人代表和有关方面的专家组成，共</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19.2</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磋商时间、地点、人员</w:t>
            </w:r>
          </w:p>
        </w:tc>
        <w:tc>
          <w:tcPr>
            <w:tcW w:w="6038" w:type="dxa"/>
          </w:tcPr>
          <w:p>
            <w:pPr>
              <w:spacing w:line="34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19.2.1磋商时间：响应文件递交截止时间后。</w:t>
            </w:r>
          </w:p>
          <w:p>
            <w:pPr>
              <w:spacing w:line="34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19.2.2磋商地点：桂林市公共资源交易中心评标室（</w:t>
            </w:r>
            <w:r>
              <w:rPr>
                <w:rFonts w:hint="eastAsia"/>
                <w:color w:val="auto"/>
                <w:szCs w:val="21"/>
                <w:highlight w:val="none"/>
              </w:rPr>
              <w:t>广西桂林市临桂区西城中路69号创业大厦西辅楼4楼</w:t>
            </w:r>
            <w:r>
              <w:rPr>
                <w:rFonts w:hint="eastAsia" w:ascii="宋体" w:hAnsi="宋体" w:cs="宋体"/>
                <w:color w:val="auto"/>
                <w:szCs w:val="21"/>
                <w:highlight w:val="none"/>
              </w:rPr>
              <w:t>）。</w:t>
            </w:r>
          </w:p>
          <w:p>
            <w:pPr>
              <w:spacing w:line="340" w:lineRule="exact"/>
              <w:ind w:left="15" w:hanging="14" w:hangingChars="7"/>
              <w:rPr>
                <w:rFonts w:ascii="宋体" w:hAnsi="宋体" w:cs="宋体"/>
                <w:color w:val="auto"/>
                <w:szCs w:val="21"/>
                <w:highlight w:val="none"/>
              </w:rPr>
            </w:pPr>
            <w:r>
              <w:rPr>
                <w:rFonts w:hint="eastAsia" w:ascii="宋体" w:hAnsi="宋体" w:cs="宋体"/>
                <w:color w:val="auto"/>
                <w:szCs w:val="21"/>
                <w:highlight w:val="none"/>
              </w:rPr>
              <w:t>19.2.3磋商参加人员：供应商法定代表人、负责人、自然人或相应的委托代理人持有效身份证原件参加磋商。请供应商按时到达指定地点等候当面磋商。</w:t>
            </w:r>
          </w:p>
          <w:p>
            <w:pPr>
              <w:tabs>
                <w:tab w:val="left" w:pos="1140"/>
              </w:tabs>
              <w:spacing w:line="340" w:lineRule="exact"/>
              <w:rPr>
                <w:rFonts w:ascii="宋体" w:hAnsi="宋体" w:cs="宋体"/>
                <w:b/>
                <w:color w:val="auto"/>
                <w:szCs w:val="21"/>
                <w:highlight w:val="none"/>
              </w:rPr>
            </w:pPr>
            <w:r>
              <w:rPr>
                <w:rFonts w:hint="eastAsia" w:ascii="宋体" w:hAnsi="宋体" w:cs="宋体"/>
                <w:color w:val="auto"/>
                <w:position w:val="-2"/>
                <w:szCs w:val="21"/>
                <w:highlight w:val="none"/>
              </w:rPr>
              <w:t>19.2.4响应文件递交</w:t>
            </w:r>
            <w:r>
              <w:rPr>
                <w:rFonts w:hint="eastAsia" w:ascii="宋体" w:hAnsi="宋体" w:cs="宋体"/>
                <w:color w:val="auto"/>
                <w:szCs w:val="21"/>
                <w:highlight w:val="none"/>
              </w:rPr>
              <w:t>截止时间后，由磋商小组在评标室内开启响应文件。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2130" w:type="dxa"/>
            <w:vAlign w:val="center"/>
          </w:tcPr>
          <w:p>
            <w:pPr>
              <w:spacing w:line="3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评审办法</w:t>
            </w:r>
          </w:p>
        </w:tc>
        <w:tc>
          <w:tcPr>
            <w:tcW w:w="6038" w:type="dxa"/>
            <w:vAlign w:val="center"/>
          </w:tcPr>
          <w:p>
            <w:pPr>
              <w:tabs>
                <w:tab w:val="left" w:pos="1140"/>
              </w:tabs>
              <w:spacing w:line="340" w:lineRule="exact"/>
              <w:rPr>
                <w:rFonts w:ascii="宋体" w:hAnsi="宋体" w:cs="宋体"/>
                <w:color w:val="auto"/>
                <w:szCs w:val="21"/>
                <w:highlight w:val="none"/>
              </w:rPr>
            </w:pPr>
            <w:r>
              <w:rPr>
                <w:rFonts w:hint="eastAsia" w:ascii="宋体" w:hAnsi="宋体" w:cs="宋体"/>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成交公告</w:t>
            </w:r>
          </w:p>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及成交通知书</w:t>
            </w:r>
          </w:p>
        </w:tc>
        <w:tc>
          <w:tcPr>
            <w:tcW w:w="6038" w:type="dxa"/>
          </w:tcPr>
          <w:p>
            <w:pPr>
              <w:tabs>
                <w:tab w:val="left" w:pos="455"/>
              </w:tabs>
              <w:spacing w:line="340" w:lineRule="exact"/>
              <w:rPr>
                <w:rFonts w:ascii="宋体" w:hAnsi="宋体" w:cs="宋体"/>
                <w:color w:val="auto"/>
                <w:szCs w:val="21"/>
                <w:highlight w:val="none"/>
              </w:rPr>
            </w:pPr>
            <w:r>
              <w:rPr>
                <w:rFonts w:hint="eastAsia" w:ascii="宋体" w:hAnsi="宋体" w:cs="宋体"/>
                <w:color w:val="auto"/>
                <w:szCs w:val="21"/>
                <w:highlight w:val="none"/>
              </w:rPr>
              <w:t>26.1采购代理机构于评标结束后两个工作日内将评标报告送交采购人，采购人应当自收到评标报告五个工作日内在评标报告推荐的成交候选供应商中按顺序确定成交供应商，采购代理机构在成交供应商确定之日起两个工作日内在指定媒体上公告成交结果，成交公告期限为1个工作日。</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26.2成交公告同时采购代理机构向成交供应商发出成交通知书，成交供应商应自接到通知之日起七个工作日内，办理成交通知书领取手续。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6038" w:type="dxa"/>
            <w:vAlign w:val="center"/>
          </w:tcPr>
          <w:p>
            <w:pPr>
              <w:autoSpaceDE w:val="0"/>
              <w:autoSpaceDN w:val="0"/>
              <w:snapToGrid w:val="0"/>
              <w:spacing w:line="34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4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pPr>
              <w:autoSpaceDE w:val="0"/>
              <w:autoSpaceDN w:val="0"/>
              <w:snapToGrid w:val="0"/>
              <w:spacing w:line="34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（2）查询截止时点：成交通知书发出前；</w:t>
            </w:r>
          </w:p>
          <w:p>
            <w:pPr>
              <w:autoSpaceDE w:val="0"/>
              <w:autoSpaceDN w:val="0"/>
              <w:snapToGrid w:val="0"/>
              <w:spacing w:line="34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pPr>
              <w:pStyle w:val="23"/>
              <w:spacing w:line="340" w:lineRule="exact"/>
              <w:jc w:val="left"/>
              <w:rPr>
                <w:rFonts w:hAnsi="宋体" w:cs="宋体"/>
                <w:color w:val="auto"/>
                <w:szCs w:val="21"/>
                <w:highlight w:val="none"/>
              </w:rPr>
            </w:pPr>
            <w:r>
              <w:rPr>
                <w:rFonts w:hint="eastAsia" w:hAnsi="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038" w:type="dxa"/>
            <w:vAlign w:val="center"/>
          </w:tcPr>
          <w:p>
            <w:pPr>
              <w:spacing w:line="340" w:lineRule="exact"/>
              <w:rPr>
                <w:rFonts w:ascii="宋体" w:hAnsi="宋体" w:cs="宋体"/>
                <w:color w:val="auto"/>
                <w:szCs w:val="21"/>
                <w:highlight w:val="none"/>
              </w:rPr>
            </w:pPr>
            <w:r>
              <w:rPr>
                <w:rFonts w:hint="eastAsia" w:ascii="宋体" w:hAnsi="宋体"/>
                <w:color w:val="auto"/>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highlight w:val="none"/>
              </w:rPr>
              <w:t>成交</w:t>
            </w:r>
            <w:r>
              <w:rPr>
                <w:rFonts w:hint="eastAsia" w:hAnsi="宋体"/>
                <w:color w:val="auto"/>
                <w:szCs w:val="21"/>
                <w:highlight w:val="none"/>
              </w:rPr>
              <w:t>通知书发出之日起二十五内</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平乐县政府采购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038"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本项目的采购代理服务收费标准参照计价格[2002]1980号《招标代理服务收费管理暂行办法》服务类收费标准由成交供应商领取成交通知书前向广西鼎策工程顾问有限责任公司一次性付清采购代理服务费。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038" w:type="dxa"/>
          </w:tcPr>
          <w:p>
            <w:pPr>
              <w:spacing w:line="340" w:lineRule="exact"/>
              <w:rPr>
                <w:rFonts w:ascii="宋体" w:hAnsi="宋体" w:cs="宋体"/>
                <w:color w:val="auto"/>
                <w:szCs w:val="21"/>
                <w:highlight w:val="none"/>
              </w:rPr>
            </w:pPr>
            <w:r>
              <w:rPr>
                <w:rFonts w:hint="eastAsia" w:ascii="宋体" w:hAnsi="宋体" w:cs="宋体"/>
                <w:color w:val="auto"/>
                <w:spacing w:val="-6"/>
                <w:szCs w:val="21"/>
                <w:highlight w:val="none"/>
              </w:rPr>
              <w:t>本竞争性磋商文件是根据《中华人民共和国政府采购法》、《中华人民共和国政府采购法实施条例》 、《政府采购竞争性磋商采购方式管理暂行办法》等相关规定编制，本竞争性磋商文件的解释权属于采购代理机构。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9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2130"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6038"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平乐县政府采购办公室   电话：</w:t>
            </w:r>
            <w:r>
              <w:rPr>
                <w:rFonts w:hint="eastAsia" w:ascii="宋体" w:hAnsi="宋体" w:cs="宋体"/>
                <w:color w:val="auto"/>
                <w:kern w:val="0"/>
                <w:szCs w:val="21"/>
                <w:highlight w:val="none"/>
                <w:shd w:val="clear" w:color="auto" w:fill="FFFFFF"/>
              </w:rPr>
              <w:t>0773-7882157</w:t>
            </w:r>
            <w:r>
              <w:rPr>
                <w:rFonts w:hint="eastAsia" w:ascii="宋体" w:hAnsi="宋体" w:cs="宋体"/>
                <w:color w:val="auto"/>
                <w:szCs w:val="21"/>
                <w:highlight w:val="none"/>
              </w:rPr>
              <w:t xml:space="preserve"> </w:t>
            </w:r>
          </w:p>
        </w:tc>
      </w:tr>
    </w:tbl>
    <w:p>
      <w:pPr>
        <w:spacing w:line="440" w:lineRule="atLeast"/>
        <w:jc w:val="center"/>
        <w:outlineLvl w:val="1"/>
        <w:rPr>
          <w:rFonts w:ascii="宋体" w:hAnsi="宋体" w:cs="宋体"/>
          <w:b/>
          <w:color w:val="auto"/>
          <w:sz w:val="28"/>
          <w:szCs w:val="28"/>
          <w:highlight w:val="none"/>
        </w:rPr>
      </w:pPr>
      <w:r>
        <w:rPr>
          <w:rFonts w:hint="eastAsia" w:ascii="宋体" w:hAnsi="宋体" w:cs="宋体"/>
          <w:b/>
          <w:color w:val="auto"/>
          <w:sz w:val="32"/>
          <w:szCs w:val="32"/>
          <w:highlight w:val="none"/>
        </w:rPr>
        <w:br w:type="page"/>
      </w:r>
      <w:bookmarkStart w:id="46" w:name="_Toc30552"/>
      <w:bookmarkStart w:id="47" w:name="_Toc532901086"/>
      <w:r>
        <w:rPr>
          <w:rFonts w:hint="eastAsia" w:ascii="宋体" w:hAnsi="宋体" w:cs="宋体"/>
          <w:b/>
          <w:color w:val="auto"/>
          <w:sz w:val="28"/>
          <w:szCs w:val="28"/>
          <w:highlight w:val="none"/>
        </w:rPr>
        <w:t>一、总则</w:t>
      </w:r>
      <w:bookmarkEnd w:id="46"/>
      <w:bookmarkEnd w:id="47"/>
    </w:p>
    <w:p>
      <w:pPr>
        <w:spacing w:line="390" w:lineRule="exact"/>
        <w:ind w:firstLine="411" w:firstLineChars="196"/>
        <w:outlineLvl w:val="2"/>
        <w:rPr>
          <w:rFonts w:ascii="宋体" w:hAnsi="宋体" w:cs="宋体"/>
          <w:b/>
          <w:color w:val="auto"/>
          <w:szCs w:val="21"/>
          <w:highlight w:val="none"/>
        </w:rPr>
      </w:pPr>
      <w:bookmarkStart w:id="48" w:name="_Toc10966"/>
      <w:bookmarkStart w:id="49" w:name="_Toc532901087"/>
      <w:r>
        <w:rPr>
          <w:rFonts w:hint="eastAsia" w:ascii="宋体" w:hAnsi="宋体" w:cs="宋体"/>
          <w:b/>
          <w:color w:val="auto"/>
          <w:szCs w:val="21"/>
          <w:highlight w:val="none"/>
        </w:rPr>
        <w:t>1、适应范围</w:t>
      </w:r>
      <w:bookmarkEnd w:id="48"/>
      <w:bookmarkEnd w:id="49"/>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1.1项目名称及项目编号</w:t>
      </w:r>
    </w:p>
    <w:p>
      <w:pPr>
        <w:spacing w:line="400" w:lineRule="exact"/>
        <w:ind w:firstLine="852" w:firstLineChars="406"/>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平乐县教育局2021年平乐县新任教师岗前培训项目</w:t>
      </w:r>
    </w:p>
    <w:p>
      <w:pPr>
        <w:spacing w:line="400" w:lineRule="exact"/>
        <w:ind w:firstLine="852" w:firstLineChars="406"/>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olor w:val="auto"/>
          <w:szCs w:val="21"/>
          <w:highlight w:val="none"/>
        </w:rPr>
        <w:t>GLZC2021-C3-300017-GXDC</w:t>
      </w:r>
    </w:p>
    <w:p>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1.2本竞争性磋商文件（以下简称磋商文件）适用于本磋商项目的磋商、评审、合同履约、验收、付款等行为（法律、法规另有规定的，从其规定）。</w:t>
      </w:r>
    </w:p>
    <w:p>
      <w:pPr>
        <w:spacing w:line="390" w:lineRule="exact"/>
        <w:ind w:firstLine="411" w:firstLineChars="196"/>
        <w:outlineLvl w:val="2"/>
        <w:rPr>
          <w:rFonts w:ascii="宋体" w:hAnsi="宋体" w:cs="宋体"/>
          <w:b/>
          <w:color w:val="auto"/>
          <w:szCs w:val="21"/>
          <w:highlight w:val="none"/>
        </w:rPr>
      </w:pPr>
      <w:bookmarkStart w:id="50" w:name="_Toc24811"/>
      <w:bookmarkStart w:id="51" w:name="_Toc532901088"/>
      <w:r>
        <w:rPr>
          <w:rFonts w:hint="eastAsia" w:ascii="宋体" w:hAnsi="宋体" w:cs="宋体"/>
          <w:b/>
          <w:color w:val="auto"/>
          <w:szCs w:val="21"/>
          <w:highlight w:val="none"/>
        </w:rPr>
        <w:t>2、定义</w:t>
      </w:r>
      <w:bookmarkEnd w:id="50"/>
      <w:bookmarkEnd w:id="51"/>
    </w:p>
    <w:p>
      <w:pPr>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2.1、“招标采购单位”是指组织本次采购的采购人和采购代理机构。</w:t>
      </w:r>
    </w:p>
    <w:p>
      <w:pPr>
        <w:spacing w:line="390" w:lineRule="exact"/>
        <w:ind w:firstLine="435"/>
        <w:rPr>
          <w:rFonts w:ascii="宋体" w:hAnsi="宋体" w:cs="宋体"/>
          <w:color w:val="auto"/>
          <w:szCs w:val="21"/>
          <w:highlight w:val="none"/>
        </w:rPr>
      </w:pPr>
      <w:r>
        <w:rPr>
          <w:rFonts w:hint="eastAsia" w:ascii="宋体" w:hAnsi="宋体" w:cs="宋体"/>
          <w:color w:val="auto"/>
          <w:szCs w:val="21"/>
          <w:highlight w:val="none"/>
        </w:rPr>
        <w:t>2.2、“磋商供应商”是指符合本次采购项目的磋商供应商资格并提交响应文件、参加磋商的供应商。如果该供应商在本次磋商中成交，即成为“成交供应商”。</w:t>
      </w:r>
    </w:p>
    <w:p>
      <w:pPr>
        <w:spacing w:line="390" w:lineRule="exact"/>
        <w:ind w:firstLine="435"/>
        <w:rPr>
          <w:rFonts w:ascii="宋体" w:hAnsi="宋体" w:cs="宋体"/>
          <w:color w:val="auto"/>
          <w:szCs w:val="21"/>
          <w:highlight w:val="none"/>
        </w:rPr>
      </w:pPr>
      <w:r>
        <w:rPr>
          <w:rFonts w:hint="eastAsia" w:ascii="宋体" w:hAnsi="宋体" w:cs="宋体"/>
          <w:color w:val="auto"/>
          <w:szCs w:val="21"/>
          <w:highlight w:val="none"/>
        </w:rPr>
        <w:t>2.3、“服务”系指按磋商文件规定，磋商供应商须承担的安装、调试、技术协助、校准、培训、技术指导以及其他类似的义务。</w:t>
      </w:r>
    </w:p>
    <w:p>
      <w:pPr>
        <w:spacing w:line="390" w:lineRule="exact"/>
        <w:ind w:firstLine="435"/>
        <w:rPr>
          <w:rFonts w:ascii="宋体" w:hAnsi="宋体" w:cs="宋体"/>
          <w:color w:val="auto"/>
          <w:szCs w:val="21"/>
          <w:highlight w:val="none"/>
        </w:rPr>
      </w:pPr>
      <w:r>
        <w:rPr>
          <w:rFonts w:hint="eastAsia" w:ascii="宋体" w:hAnsi="宋体" w:cs="宋体"/>
          <w:color w:val="auto"/>
          <w:szCs w:val="21"/>
          <w:highlight w:val="none"/>
        </w:rPr>
        <w:t>2.4、“项目”系指磋商供应商按磋商文件规定向采购人提供的货物和服务。</w:t>
      </w:r>
    </w:p>
    <w:p>
      <w:pPr>
        <w:spacing w:line="390" w:lineRule="exact"/>
        <w:ind w:firstLine="435"/>
        <w:rPr>
          <w:rFonts w:ascii="宋体" w:hAnsi="宋体" w:cs="宋体"/>
          <w:color w:val="auto"/>
          <w:highlight w:val="none"/>
        </w:rPr>
      </w:pPr>
      <w:r>
        <w:rPr>
          <w:rFonts w:hint="eastAsia" w:ascii="宋体" w:hAnsi="宋体" w:cs="宋体"/>
          <w:color w:val="auto"/>
          <w:szCs w:val="21"/>
          <w:highlight w:val="none"/>
        </w:rPr>
        <w:t>2.5、“书面形式”包括信函、传真、电报等。</w:t>
      </w:r>
    </w:p>
    <w:p>
      <w:pPr>
        <w:spacing w:line="400" w:lineRule="exact"/>
        <w:ind w:firstLine="435"/>
        <w:rPr>
          <w:rFonts w:ascii="宋体" w:hAnsi="宋体" w:cs="宋体"/>
          <w:color w:val="auto"/>
          <w:szCs w:val="21"/>
          <w:highlight w:val="none"/>
        </w:rPr>
      </w:pPr>
      <w:r>
        <w:rPr>
          <w:rFonts w:hint="eastAsia" w:ascii="宋体" w:hAnsi="宋体" w:cs="宋体"/>
          <w:b/>
          <w:color w:val="auto"/>
          <w:szCs w:val="21"/>
          <w:highlight w:val="none"/>
        </w:rPr>
        <w:t>2.6实质性要求：标注★号项的要求为实质性要求，不允许负偏离，否则投标无效。</w:t>
      </w:r>
    </w:p>
    <w:p>
      <w:pPr>
        <w:spacing w:line="390" w:lineRule="exact"/>
        <w:ind w:firstLine="411" w:firstLineChars="196"/>
        <w:outlineLvl w:val="2"/>
        <w:rPr>
          <w:rFonts w:ascii="宋体" w:hAnsi="宋体" w:cs="宋体"/>
          <w:b/>
          <w:color w:val="auto"/>
          <w:szCs w:val="21"/>
          <w:highlight w:val="none"/>
        </w:rPr>
      </w:pPr>
      <w:bookmarkStart w:id="52" w:name="_Toc532901089"/>
      <w:bookmarkStart w:id="53" w:name="_Toc25390"/>
      <w:r>
        <w:rPr>
          <w:rFonts w:hint="eastAsia" w:ascii="宋体" w:hAnsi="宋体" w:cs="宋体"/>
          <w:b/>
          <w:color w:val="auto"/>
          <w:szCs w:val="21"/>
          <w:highlight w:val="none"/>
        </w:rPr>
        <w:t>3、磋商供应商资格</w:t>
      </w:r>
      <w:bookmarkEnd w:id="52"/>
      <w:bookmarkEnd w:id="53"/>
    </w:p>
    <w:p>
      <w:pPr>
        <w:spacing w:line="400" w:lineRule="exact"/>
        <w:ind w:firstLine="420" w:firstLineChars="200"/>
        <w:rPr>
          <w:rFonts w:ascii="宋体" w:hAnsi="宋体"/>
          <w:color w:val="auto"/>
          <w:szCs w:val="21"/>
          <w:highlight w:val="none"/>
        </w:rPr>
      </w:pPr>
      <w:bookmarkStart w:id="54" w:name="_Toc27731"/>
      <w:bookmarkStart w:id="55" w:name="_Toc532901090"/>
      <w:r>
        <w:rPr>
          <w:rFonts w:hint="eastAsia" w:ascii="宋体" w:hAnsi="宋体" w:cs="宋体"/>
          <w:color w:val="auto"/>
          <w:highlight w:val="none"/>
        </w:rPr>
        <w:t>3.1、</w:t>
      </w:r>
      <w:r>
        <w:rPr>
          <w:rFonts w:hint="eastAsia" w:ascii="宋体" w:hAnsi="宋体"/>
          <w:color w:val="auto"/>
          <w:szCs w:val="21"/>
          <w:highlight w:val="none"/>
        </w:rPr>
        <w:t>满足《中华人民共和国政府采购法》第二十二条规定；</w:t>
      </w:r>
    </w:p>
    <w:p>
      <w:pPr>
        <w:spacing w:line="390" w:lineRule="exact"/>
        <w:ind w:firstLine="435"/>
        <w:rPr>
          <w:rFonts w:ascii="宋体" w:hAnsi="宋体" w:cs="宋体"/>
          <w:color w:val="auto"/>
          <w:szCs w:val="21"/>
          <w:highlight w:val="none"/>
        </w:rPr>
      </w:pPr>
      <w:r>
        <w:rPr>
          <w:rFonts w:hint="eastAsia" w:ascii="宋体" w:hAnsi="宋体" w:cs="宋体"/>
          <w:color w:val="auto"/>
          <w:szCs w:val="21"/>
          <w:highlight w:val="none"/>
        </w:rPr>
        <w:t>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autoSpaceDE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3.3、落实政府采购政策需满足的资格要求：无。</w:t>
      </w:r>
    </w:p>
    <w:p>
      <w:pPr>
        <w:pStyle w:val="2"/>
        <w:ind w:firstLine="420" w:firstLineChars="200"/>
        <w:rPr>
          <w:color w:val="auto"/>
          <w:highlight w:val="none"/>
        </w:rPr>
      </w:pPr>
      <w:r>
        <w:rPr>
          <w:rFonts w:hint="eastAsia" w:ascii="宋体" w:hAnsi="宋体" w:cs="宋体"/>
          <w:color w:val="auto"/>
          <w:szCs w:val="21"/>
          <w:highlight w:val="none"/>
          <w:lang w:bidi="ar"/>
        </w:rPr>
        <w:t>3.4、本项目的特定资格要求：无</w:t>
      </w:r>
    </w:p>
    <w:p>
      <w:pPr>
        <w:spacing w:line="390" w:lineRule="exact"/>
        <w:ind w:firstLine="411" w:firstLineChars="196"/>
        <w:outlineLvl w:val="2"/>
        <w:rPr>
          <w:rFonts w:ascii="宋体" w:hAnsi="宋体" w:cs="宋体"/>
          <w:b/>
          <w:color w:val="auto"/>
          <w:szCs w:val="21"/>
          <w:highlight w:val="none"/>
        </w:rPr>
      </w:pPr>
      <w:bookmarkStart w:id="207" w:name="_GoBack"/>
      <w:bookmarkEnd w:id="207"/>
      <w:r>
        <w:rPr>
          <w:rFonts w:hint="eastAsia" w:ascii="宋体" w:hAnsi="宋体" w:cs="宋体"/>
          <w:b/>
          <w:color w:val="auto"/>
          <w:szCs w:val="21"/>
          <w:highlight w:val="none"/>
        </w:rPr>
        <w:t>4、磋商费用</w:t>
      </w:r>
      <w:bookmarkEnd w:id="54"/>
      <w:bookmarkEnd w:id="55"/>
    </w:p>
    <w:p>
      <w:pPr>
        <w:spacing w:line="390" w:lineRule="exact"/>
        <w:ind w:firstLine="435"/>
        <w:rPr>
          <w:rFonts w:ascii="宋体" w:hAnsi="宋体" w:cs="宋体"/>
          <w:color w:val="auto"/>
          <w:szCs w:val="21"/>
          <w:highlight w:val="none"/>
        </w:rPr>
      </w:pPr>
      <w:r>
        <w:rPr>
          <w:rFonts w:hint="eastAsia" w:ascii="宋体" w:hAnsi="宋体" w:cs="宋体"/>
          <w:color w:val="auto"/>
          <w:szCs w:val="21"/>
          <w:highlight w:val="none"/>
        </w:rPr>
        <w:t>见磋商供应商须知前附表。</w:t>
      </w:r>
    </w:p>
    <w:p>
      <w:pPr>
        <w:spacing w:line="390" w:lineRule="exact"/>
        <w:ind w:firstLine="411" w:firstLineChars="196"/>
        <w:outlineLvl w:val="2"/>
        <w:rPr>
          <w:rFonts w:ascii="宋体" w:hAnsi="宋体" w:cs="宋体"/>
          <w:b/>
          <w:color w:val="auto"/>
          <w:szCs w:val="21"/>
          <w:highlight w:val="none"/>
        </w:rPr>
      </w:pPr>
      <w:bookmarkStart w:id="56" w:name="_Toc532901091"/>
      <w:bookmarkStart w:id="57" w:name="_Toc26824"/>
      <w:r>
        <w:rPr>
          <w:rFonts w:hint="eastAsia" w:ascii="宋体" w:hAnsi="宋体" w:cs="宋体"/>
          <w:b/>
          <w:color w:val="auto"/>
          <w:szCs w:val="21"/>
          <w:highlight w:val="none"/>
        </w:rPr>
        <w:t>5、联合体磋商要求</w:t>
      </w:r>
      <w:bookmarkEnd w:id="56"/>
      <w:bookmarkEnd w:id="57"/>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本项目不接受联合体磋商。</w:t>
      </w:r>
    </w:p>
    <w:p>
      <w:pPr>
        <w:spacing w:line="390" w:lineRule="exact"/>
        <w:ind w:firstLine="411" w:firstLineChars="196"/>
        <w:outlineLvl w:val="2"/>
        <w:rPr>
          <w:rFonts w:ascii="宋体" w:hAnsi="宋体" w:cs="宋体"/>
          <w:b/>
          <w:color w:val="auto"/>
          <w:szCs w:val="21"/>
          <w:highlight w:val="none"/>
        </w:rPr>
      </w:pPr>
      <w:bookmarkStart w:id="58" w:name="_Toc532901092"/>
      <w:bookmarkStart w:id="59" w:name="_Toc5288"/>
      <w:r>
        <w:rPr>
          <w:rFonts w:hint="eastAsia" w:ascii="宋体" w:hAnsi="宋体" w:cs="宋体"/>
          <w:b/>
          <w:color w:val="auto"/>
          <w:szCs w:val="21"/>
          <w:highlight w:val="none"/>
        </w:rPr>
        <w:t>6、质疑和投诉</w:t>
      </w:r>
      <w:bookmarkEnd w:id="58"/>
      <w:bookmarkEnd w:id="59"/>
    </w:p>
    <w:p>
      <w:pPr>
        <w:tabs>
          <w:tab w:val="left" w:pos="2190"/>
        </w:tabs>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6.1、磋商供应商认为磋商文件、磋商过程或成交结果使自己的合法权益受到损害的，应当在</w:t>
      </w:r>
      <w:r>
        <w:rPr>
          <w:rFonts w:hint="eastAsia" w:ascii="宋体" w:hAnsi="宋体" w:cs="宋体"/>
          <w:color w:val="auto"/>
          <w:highlight w:val="none"/>
        </w:rPr>
        <w:t>公告期限界满之日起</w:t>
      </w:r>
      <w:r>
        <w:rPr>
          <w:rFonts w:hint="eastAsia" w:ascii="宋体" w:hAnsi="宋体" w:cs="宋体"/>
          <w:color w:val="auto"/>
          <w:szCs w:val="21"/>
          <w:highlight w:val="none"/>
        </w:rPr>
        <w:t>七个工作日内，以书面形式向采购代理机构提出质疑，采购代理机构应认真做好质疑处理工作。</w:t>
      </w:r>
    </w:p>
    <w:p>
      <w:pPr>
        <w:tabs>
          <w:tab w:val="left" w:pos="2190"/>
        </w:tabs>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6.2、磋商供应商对采购代理机构的质疑答复不满意或者采购代理机构未在规定的时间内作出答复的，可以在答复期满后十五个工作日内向平乐县政府采购监督管理机构投诉。</w:t>
      </w:r>
    </w:p>
    <w:p>
      <w:pPr>
        <w:tabs>
          <w:tab w:val="left" w:pos="2190"/>
        </w:tabs>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6.3、质疑、投诉应当采用书面形式，质疑书、投诉书实行实名制，均应明确阐述磋商文件、磋商过程或成交结果中使自己合法权益受到损害的实质性内容，并提供必要的证明材料。</w:t>
      </w:r>
    </w:p>
    <w:p>
      <w:pPr>
        <w:snapToGrid w:val="0"/>
        <w:spacing w:line="370" w:lineRule="exact"/>
        <w:ind w:firstLine="420"/>
        <w:rPr>
          <w:rFonts w:ascii="宋体" w:hAnsi="宋体" w:cs="宋体"/>
          <w:b/>
          <w:color w:val="auto"/>
          <w:szCs w:val="21"/>
          <w:highlight w:val="none"/>
        </w:rPr>
      </w:pPr>
      <w:r>
        <w:rPr>
          <w:rFonts w:hint="eastAsia" w:ascii="宋体" w:hAnsi="宋体"/>
          <w:color w:val="auto"/>
          <w:szCs w:val="21"/>
          <w:highlight w:val="none"/>
        </w:rPr>
        <w:t>6.4</w:t>
      </w:r>
      <w:r>
        <w:rPr>
          <w:rFonts w:hint="eastAsia" w:ascii="宋体" w:hAnsi="宋体" w:cs="宋体"/>
          <w:bCs/>
          <w:color w:val="auto"/>
          <w:highlight w:val="none"/>
        </w:rPr>
        <w:t>递交质疑函的</w:t>
      </w:r>
      <w:r>
        <w:rPr>
          <w:rFonts w:hint="eastAsia" w:ascii="宋体" w:hAnsi="宋体" w:cs="宋体"/>
          <w:bCs/>
          <w:color w:val="auto"/>
          <w:szCs w:val="21"/>
          <w:highlight w:val="none"/>
        </w:rPr>
        <w:t>联系事项：</w:t>
      </w:r>
    </w:p>
    <w:p>
      <w:pPr>
        <w:snapToGrid w:val="0"/>
        <w:spacing w:line="370" w:lineRule="exact"/>
        <w:ind w:firstLine="630" w:firstLineChars="300"/>
        <w:rPr>
          <w:rFonts w:ascii="宋体" w:hAnsi="宋体" w:cs="宋体"/>
          <w:color w:val="auto"/>
          <w:szCs w:val="21"/>
          <w:highlight w:val="none"/>
        </w:rPr>
      </w:pPr>
      <w:r>
        <w:rPr>
          <w:rFonts w:hint="eastAsia" w:ascii="宋体" w:hAnsi="宋体" w:cs="宋体"/>
          <w:color w:val="auto"/>
          <w:highlight w:val="none"/>
        </w:rPr>
        <w:t>广西鼎策工程顾问有限责任公司</w:t>
      </w:r>
    </w:p>
    <w:p>
      <w:pPr>
        <w:snapToGrid w:val="0"/>
        <w:spacing w:line="370" w:lineRule="exact"/>
        <w:rPr>
          <w:rFonts w:ascii="宋体" w:hAnsi="宋体" w:cs="宋体"/>
          <w:color w:val="auto"/>
          <w:szCs w:val="21"/>
          <w:highlight w:val="none"/>
        </w:rPr>
      </w:pPr>
      <w:r>
        <w:rPr>
          <w:rFonts w:hint="eastAsia" w:ascii="宋体" w:hAnsi="宋体" w:cs="宋体"/>
          <w:color w:val="auto"/>
          <w:szCs w:val="21"/>
          <w:highlight w:val="none"/>
        </w:rPr>
        <w:t xml:space="preserve">      联系电话：13978385713 </w:t>
      </w:r>
    </w:p>
    <w:p>
      <w:pPr>
        <w:snapToGrid w:val="0"/>
        <w:spacing w:line="370" w:lineRule="exact"/>
        <w:ind w:firstLine="630" w:firstLineChars="300"/>
        <w:rPr>
          <w:color w:val="auto"/>
          <w:highlight w:val="none"/>
        </w:rPr>
      </w:pPr>
      <w:r>
        <w:rPr>
          <w:rFonts w:hint="eastAsia" w:ascii="宋体" w:hAnsi="宋体" w:cs="宋体"/>
          <w:color w:val="auto"/>
          <w:szCs w:val="21"/>
          <w:highlight w:val="none"/>
        </w:rPr>
        <w:t>地址：</w:t>
      </w:r>
      <w:r>
        <w:rPr>
          <w:rFonts w:hint="eastAsia" w:ascii="宋体" w:hAnsi="宋体"/>
          <w:color w:val="auto"/>
          <w:szCs w:val="21"/>
          <w:highlight w:val="none"/>
        </w:rPr>
        <w:t>桂林市七星区信息产业园软件大厦2号梯6楼</w:t>
      </w:r>
    </w:p>
    <w:p>
      <w:pPr>
        <w:spacing w:line="390" w:lineRule="exact"/>
        <w:ind w:firstLine="411" w:firstLineChars="196"/>
        <w:outlineLvl w:val="2"/>
        <w:rPr>
          <w:rFonts w:ascii="宋体" w:hAnsi="宋体" w:cs="宋体"/>
          <w:b/>
          <w:color w:val="auto"/>
          <w:szCs w:val="21"/>
          <w:highlight w:val="none"/>
        </w:rPr>
      </w:pPr>
      <w:bookmarkStart w:id="60" w:name="_Toc532901093"/>
      <w:bookmarkStart w:id="61" w:name="_Toc12923"/>
      <w:r>
        <w:rPr>
          <w:rFonts w:hint="eastAsia" w:ascii="宋体" w:hAnsi="宋体" w:cs="宋体"/>
          <w:b/>
          <w:color w:val="auto"/>
          <w:szCs w:val="21"/>
          <w:highlight w:val="none"/>
        </w:rPr>
        <w:t>7、转包与分包</w:t>
      </w:r>
      <w:bookmarkEnd w:id="60"/>
      <w:bookmarkEnd w:id="61"/>
    </w:p>
    <w:p>
      <w:pPr>
        <w:tabs>
          <w:tab w:val="left" w:pos="2190"/>
        </w:tabs>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7.1、本项目不允许转包。</w:t>
      </w:r>
    </w:p>
    <w:p>
      <w:pPr>
        <w:tabs>
          <w:tab w:val="left" w:pos="2190"/>
        </w:tabs>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7.2、本项目不可以分包。</w:t>
      </w:r>
    </w:p>
    <w:p>
      <w:pPr>
        <w:spacing w:line="390" w:lineRule="exact"/>
        <w:ind w:firstLine="411" w:firstLineChars="196"/>
        <w:outlineLvl w:val="2"/>
        <w:rPr>
          <w:rFonts w:ascii="宋体" w:hAnsi="宋体" w:cs="宋体"/>
          <w:b/>
          <w:color w:val="auto"/>
          <w:szCs w:val="21"/>
          <w:highlight w:val="none"/>
        </w:rPr>
      </w:pPr>
      <w:bookmarkStart w:id="62" w:name="_Toc9503"/>
      <w:bookmarkStart w:id="63" w:name="_Toc532901094"/>
      <w:r>
        <w:rPr>
          <w:rFonts w:hint="eastAsia" w:ascii="宋体" w:hAnsi="宋体" w:cs="宋体"/>
          <w:b/>
          <w:color w:val="auto"/>
          <w:szCs w:val="21"/>
          <w:highlight w:val="none"/>
        </w:rPr>
        <w:t>8、特别说明</w:t>
      </w:r>
      <w:bookmarkEnd w:id="62"/>
      <w:bookmarkEnd w:id="63"/>
    </w:p>
    <w:p>
      <w:pPr>
        <w:tabs>
          <w:tab w:val="left" w:pos="163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8.1、单位负责人为同一人或者存在直接控股、管理关系的，不得参加同一合同项下的政府采购活动。</w:t>
      </w:r>
    </w:p>
    <w:p>
      <w:pPr>
        <w:tabs>
          <w:tab w:val="left" w:pos="1635"/>
        </w:tabs>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8.2、为本采购项目提供整体设计、规范编制或者项目管理、监理、检测等服务的供应商，不得再参加本次采购活动。</w:t>
      </w:r>
    </w:p>
    <w:p>
      <w:pPr>
        <w:spacing w:line="440" w:lineRule="atLeast"/>
        <w:jc w:val="center"/>
        <w:outlineLvl w:val="1"/>
        <w:rPr>
          <w:rFonts w:ascii="宋体" w:hAnsi="宋体" w:cs="宋体"/>
          <w:b/>
          <w:color w:val="auto"/>
          <w:sz w:val="28"/>
          <w:szCs w:val="28"/>
          <w:highlight w:val="none"/>
        </w:rPr>
      </w:pPr>
      <w:bookmarkStart w:id="64" w:name="_Toc6031"/>
      <w:bookmarkStart w:id="65" w:name="_Toc532901095"/>
      <w:r>
        <w:rPr>
          <w:rFonts w:hint="eastAsia" w:ascii="宋体" w:hAnsi="宋体" w:cs="宋体"/>
          <w:b/>
          <w:color w:val="auto"/>
          <w:sz w:val="28"/>
          <w:szCs w:val="28"/>
          <w:highlight w:val="none"/>
        </w:rPr>
        <w:t>二、磋商文件</w:t>
      </w:r>
      <w:bookmarkEnd w:id="64"/>
      <w:bookmarkEnd w:id="65"/>
    </w:p>
    <w:p>
      <w:pPr>
        <w:spacing w:line="390" w:lineRule="exact"/>
        <w:ind w:firstLine="411" w:firstLineChars="196"/>
        <w:outlineLvl w:val="2"/>
        <w:rPr>
          <w:rFonts w:ascii="宋体" w:hAnsi="宋体" w:cs="宋体"/>
          <w:b/>
          <w:color w:val="auto"/>
          <w:szCs w:val="21"/>
          <w:highlight w:val="none"/>
        </w:rPr>
      </w:pPr>
      <w:bookmarkStart w:id="66" w:name="_Toc5402"/>
      <w:bookmarkStart w:id="67" w:name="_Toc532901096"/>
      <w:r>
        <w:rPr>
          <w:rFonts w:hint="eastAsia" w:ascii="宋体" w:hAnsi="宋体" w:cs="宋体"/>
          <w:b/>
          <w:color w:val="auto"/>
          <w:szCs w:val="21"/>
          <w:highlight w:val="none"/>
        </w:rPr>
        <w:t>9、磋商文件的构成</w:t>
      </w:r>
      <w:bookmarkEnd w:id="66"/>
      <w:bookmarkEnd w:id="67"/>
    </w:p>
    <w:p>
      <w:pPr>
        <w:tabs>
          <w:tab w:val="left" w:pos="2190"/>
        </w:tabs>
        <w:spacing w:line="390" w:lineRule="exact"/>
        <w:ind w:firstLine="437"/>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竞争性磋商公告</w:t>
      </w:r>
      <w:r>
        <w:rPr>
          <w:rFonts w:hint="eastAsia" w:ascii="宋体" w:hAnsi="宋体" w:cs="宋体"/>
          <w:color w:val="auto"/>
          <w:szCs w:val="21"/>
          <w:highlight w:val="none"/>
        </w:rPr>
        <w:t>；</w:t>
      </w:r>
    </w:p>
    <w:p>
      <w:pPr>
        <w:tabs>
          <w:tab w:val="left" w:pos="2190"/>
        </w:tabs>
        <w:spacing w:line="390" w:lineRule="exact"/>
        <w:ind w:firstLine="437"/>
        <w:rPr>
          <w:rFonts w:ascii="宋体" w:hAnsi="宋体" w:cs="宋体"/>
          <w:color w:val="auto"/>
          <w:szCs w:val="21"/>
          <w:highlight w:val="none"/>
        </w:rPr>
      </w:pPr>
      <w:r>
        <w:rPr>
          <w:rFonts w:hint="eastAsia" w:ascii="宋体" w:hAnsi="宋体" w:cs="宋体"/>
          <w:color w:val="auto"/>
          <w:szCs w:val="21"/>
          <w:highlight w:val="none"/>
        </w:rPr>
        <w:t>（2）磋商供应商须知；</w:t>
      </w:r>
    </w:p>
    <w:p>
      <w:pPr>
        <w:tabs>
          <w:tab w:val="left" w:pos="2190"/>
        </w:tabs>
        <w:spacing w:line="390" w:lineRule="exact"/>
        <w:ind w:firstLine="437"/>
        <w:rPr>
          <w:rFonts w:ascii="宋体" w:hAnsi="宋体" w:cs="宋体"/>
          <w:color w:val="auto"/>
          <w:szCs w:val="21"/>
          <w:highlight w:val="none"/>
        </w:rPr>
      </w:pPr>
      <w:r>
        <w:rPr>
          <w:rFonts w:hint="eastAsia" w:ascii="宋体" w:hAnsi="宋体" w:cs="宋体"/>
          <w:color w:val="auto"/>
          <w:szCs w:val="21"/>
          <w:highlight w:val="none"/>
        </w:rPr>
        <w:t>（3）服务采购要求；</w:t>
      </w:r>
    </w:p>
    <w:p>
      <w:pPr>
        <w:tabs>
          <w:tab w:val="left" w:pos="2190"/>
        </w:tabs>
        <w:spacing w:line="390" w:lineRule="exact"/>
        <w:ind w:firstLine="437"/>
        <w:rPr>
          <w:rFonts w:ascii="宋体" w:hAnsi="宋体" w:cs="宋体"/>
          <w:color w:val="auto"/>
          <w:szCs w:val="21"/>
          <w:highlight w:val="none"/>
        </w:rPr>
      </w:pPr>
      <w:r>
        <w:rPr>
          <w:rFonts w:hint="eastAsia" w:ascii="宋体" w:hAnsi="宋体" w:cs="宋体"/>
          <w:color w:val="auto"/>
          <w:szCs w:val="21"/>
          <w:highlight w:val="none"/>
        </w:rPr>
        <w:t>（4）评审办法；</w:t>
      </w:r>
    </w:p>
    <w:p>
      <w:pPr>
        <w:tabs>
          <w:tab w:val="left" w:pos="2190"/>
        </w:tabs>
        <w:spacing w:line="390" w:lineRule="exact"/>
        <w:ind w:firstLine="437"/>
        <w:rPr>
          <w:rFonts w:ascii="宋体" w:hAnsi="宋体" w:cs="宋体"/>
          <w:color w:val="auto"/>
          <w:szCs w:val="21"/>
          <w:highlight w:val="none"/>
        </w:rPr>
      </w:pPr>
      <w:r>
        <w:rPr>
          <w:rFonts w:hint="eastAsia" w:ascii="宋体" w:hAnsi="宋体" w:cs="宋体"/>
          <w:color w:val="auto"/>
          <w:szCs w:val="21"/>
          <w:highlight w:val="none"/>
        </w:rPr>
        <w:t>（5）合同主要条款及格式；</w:t>
      </w:r>
    </w:p>
    <w:p>
      <w:pPr>
        <w:tabs>
          <w:tab w:val="left" w:pos="2190"/>
        </w:tabs>
        <w:spacing w:line="390" w:lineRule="exact"/>
        <w:ind w:firstLine="437"/>
        <w:rPr>
          <w:rFonts w:ascii="宋体" w:hAnsi="宋体" w:cs="宋体"/>
          <w:color w:val="auto"/>
          <w:szCs w:val="21"/>
          <w:highlight w:val="none"/>
        </w:rPr>
      </w:pPr>
      <w:r>
        <w:rPr>
          <w:rFonts w:hint="eastAsia" w:ascii="宋体" w:hAnsi="宋体" w:cs="宋体"/>
          <w:color w:val="auto"/>
          <w:szCs w:val="21"/>
          <w:highlight w:val="none"/>
        </w:rPr>
        <w:t>（6）响应文件格式。</w:t>
      </w:r>
    </w:p>
    <w:p>
      <w:pPr>
        <w:spacing w:line="390" w:lineRule="exact"/>
        <w:ind w:firstLine="411" w:firstLineChars="196"/>
        <w:outlineLvl w:val="2"/>
        <w:rPr>
          <w:rFonts w:ascii="宋体" w:hAnsi="宋体" w:cs="宋体"/>
          <w:b/>
          <w:color w:val="auto"/>
          <w:szCs w:val="21"/>
          <w:highlight w:val="none"/>
        </w:rPr>
      </w:pPr>
      <w:bookmarkStart w:id="68" w:name="_Toc16918"/>
      <w:bookmarkStart w:id="69" w:name="_Toc532901097"/>
      <w:r>
        <w:rPr>
          <w:rFonts w:hint="eastAsia" w:ascii="宋体" w:hAnsi="宋体" w:cs="宋体"/>
          <w:b/>
          <w:color w:val="auto"/>
          <w:szCs w:val="21"/>
          <w:highlight w:val="none"/>
        </w:rPr>
        <w:t>10、磋商文件的澄清与修改</w:t>
      </w:r>
      <w:bookmarkEnd w:id="68"/>
      <w:bookmarkEnd w:id="69"/>
    </w:p>
    <w:p>
      <w:pPr>
        <w:tabs>
          <w:tab w:val="left" w:pos="2190"/>
        </w:tabs>
        <w:spacing w:line="380" w:lineRule="exact"/>
        <w:ind w:firstLine="437"/>
        <w:rPr>
          <w:rFonts w:ascii="宋体" w:hAnsi="宋体" w:cs="宋体"/>
          <w:color w:val="auto"/>
          <w:szCs w:val="21"/>
          <w:highlight w:val="none"/>
        </w:rPr>
      </w:pPr>
      <w:r>
        <w:rPr>
          <w:rFonts w:hint="eastAsia" w:ascii="宋体" w:hAnsi="宋体" w:cs="宋体"/>
          <w:color w:val="auto"/>
          <w:szCs w:val="21"/>
          <w:highlight w:val="none"/>
        </w:rPr>
        <w:t>10.1、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并以书面形式通知所有接收响应文件的供应商，不足5日的，应当顺延首次响应文件递交截止时间。</w:t>
      </w:r>
    </w:p>
    <w:p>
      <w:pPr>
        <w:tabs>
          <w:tab w:val="left" w:pos="2190"/>
        </w:tabs>
        <w:spacing w:line="380" w:lineRule="exact"/>
        <w:ind w:firstLine="437"/>
        <w:rPr>
          <w:rFonts w:ascii="宋体" w:hAnsi="宋体" w:cs="宋体"/>
          <w:color w:val="auto"/>
          <w:szCs w:val="21"/>
          <w:highlight w:val="none"/>
        </w:rPr>
      </w:pPr>
      <w:r>
        <w:rPr>
          <w:rFonts w:hint="eastAsia" w:ascii="宋体" w:hAnsi="宋体" w:cs="宋体"/>
          <w:color w:val="auto"/>
          <w:szCs w:val="21"/>
          <w:highlight w:val="none"/>
        </w:rPr>
        <w:t>10.2、</w:t>
      </w:r>
      <w:r>
        <w:rPr>
          <w:rFonts w:hint="eastAsia" w:ascii="宋体" w:hAnsi="宋体" w:cs="宋体"/>
          <w:b/>
          <w:color w:val="auto"/>
          <w:szCs w:val="21"/>
          <w:highlight w:val="none"/>
        </w:rPr>
        <w:t>供应商购买竞争性磋商文件后应实时关注相关网站了解澄清、修改等与项目有关的内容，如因供应商未及时登录相关网站了解澄清、修改等与项目有关的内容，从而导致磋商无效的，由供应商自行承担责任。</w:t>
      </w:r>
    </w:p>
    <w:p>
      <w:pPr>
        <w:tabs>
          <w:tab w:val="left" w:pos="2190"/>
        </w:tabs>
        <w:spacing w:line="380" w:lineRule="exact"/>
        <w:ind w:firstLine="437"/>
        <w:rPr>
          <w:rFonts w:ascii="宋体" w:hAnsi="宋体" w:cs="宋体"/>
          <w:color w:val="auto"/>
          <w:szCs w:val="21"/>
          <w:highlight w:val="none"/>
        </w:rPr>
      </w:pPr>
      <w:r>
        <w:rPr>
          <w:rFonts w:hint="eastAsia" w:ascii="宋体" w:hAnsi="宋体" w:cs="宋体"/>
          <w:color w:val="auto"/>
          <w:szCs w:val="21"/>
          <w:highlight w:val="none"/>
        </w:rPr>
        <w:t>10.3、澄清或者修改的内容为竞争性磋商文件的组成部分。当澄清或者修改通知就同一内容的表述不一致时，以最后发出的文件为准。</w:t>
      </w:r>
    </w:p>
    <w:p>
      <w:pPr>
        <w:tabs>
          <w:tab w:val="left" w:pos="2190"/>
        </w:tabs>
        <w:spacing w:line="380" w:lineRule="exact"/>
        <w:ind w:firstLine="437"/>
        <w:rPr>
          <w:rFonts w:ascii="宋体" w:hAnsi="宋体" w:cs="宋体"/>
          <w:color w:val="auto"/>
          <w:szCs w:val="21"/>
          <w:highlight w:val="none"/>
        </w:rPr>
      </w:pPr>
      <w:r>
        <w:rPr>
          <w:rFonts w:hint="eastAsia" w:ascii="宋体" w:hAnsi="宋体" w:cs="宋体"/>
          <w:color w:val="auto"/>
          <w:szCs w:val="21"/>
          <w:highlight w:val="none"/>
        </w:rPr>
        <w:t>10.4、竞争性磋商文件的澄清或者修改都应该通过本项目采购代理机构以法定形式发布，采购人非通过本机构，不得擅自澄清或者修改谈判文件。</w:t>
      </w:r>
    </w:p>
    <w:p>
      <w:pPr>
        <w:tabs>
          <w:tab w:val="left" w:pos="2190"/>
        </w:tabs>
        <w:spacing w:line="380" w:lineRule="exact"/>
        <w:ind w:firstLine="437"/>
        <w:rPr>
          <w:rFonts w:ascii="宋体" w:hAnsi="宋体" w:cs="宋体"/>
          <w:color w:val="auto"/>
          <w:szCs w:val="21"/>
          <w:highlight w:val="none"/>
        </w:rPr>
      </w:pPr>
      <w:r>
        <w:rPr>
          <w:rFonts w:hint="eastAsia" w:ascii="宋体" w:hAnsi="宋体" w:cs="宋体"/>
          <w:color w:val="auto"/>
          <w:szCs w:val="21"/>
          <w:highlight w:val="none"/>
        </w:rPr>
        <w:t>10.5、招标采购单位可以视采购具体情况，延长响应文件截止时间和磋商时间，在本项目竞争性磋商公告发布的同一媒体上发布变更公告。</w:t>
      </w:r>
    </w:p>
    <w:p>
      <w:pPr>
        <w:spacing w:line="440" w:lineRule="atLeast"/>
        <w:jc w:val="center"/>
        <w:outlineLvl w:val="1"/>
        <w:rPr>
          <w:rFonts w:ascii="宋体" w:hAnsi="宋体" w:cs="宋体"/>
          <w:b/>
          <w:color w:val="auto"/>
          <w:sz w:val="28"/>
          <w:szCs w:val="28"/>
          <w:highlight w:val="none"/>
        </w:rPr>
      </w:pPr>
      <w:bookmarkStart w:id="70" w:name="_Toc7607"/>
      <w:bookmarkStart w:id="71" w:name="_Toc532901098"/>
      <w:r>
        <w:rPr>
          <w:rFonts w:hint="eastAsia" w:ascii="宋体" w:hAnsi="宋体" w:cs="宋体"/>
          <w:b/>
          <w:color w:val="auto"/>
          <w:sz w:val="28"/>
          <w:szCs w:val="28"/>
          <w:highlight w:val="none"/>
        </w:rPr>
        <w:t>三、竞争性磋商响应文件的编制</w:t>
      </w:r>
      <w:bookmarkEnd w:id="70"/>
      <w:bookmarkEnd w:id="71"/>
    </w:p>
    <w:p>
      <w:pPr>
        <w:spacing w:line="390" w:lineRule="exact"/>
        <w:ind w:firstLine="411" w:firstLineChars="196"/>
        <w:outlineLvl w:val="2"/>
        <w:rPr>
          <w:rFonts w:ascii="宋体" w:hAnsi="宋体" w:cs="宋体"/>
          <w:b/>
          <w:color w:val="auto"/>
          <w:szCs w:val="21"/>
          <w:highlight w:val="none"/>
        </w:rPr>
      </w:pPr>
      <w:bookmarkStart w:id="72" w:name="_Toc532901099"/>
      <w:bookmarkStart w:id="73" w:name="_Toc10437"/>
      <w:r>
        <w:rPr>
          <w:rFonts w:hint="eastAsia" w:ascii="宋体" w:hAnsi="宋体" w:cs="宋体"/>
          <w:b/>
          <w:color w:val="auto"/>
          <w:szCs w:val="21"/>
          <w:highlight w:val="none"/>
        </w:rPr>
        <w:t>11、竞争性磋商响应文件（以下简称响应文件）的组成及要求</w:t>
      </w:r>
      <w:bookmarkEnd w:id="72"/>
      <w:bookmarkEnd w:id="73"/>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b/>
          <w:color w:val="auto"/>
          <w:szCs w:val="21"/>
          <w:highlight w:val="none"/>
        </w:rPr>
        <w:t>11.1、响应文件组成（格式见第六章响应文件格式）</w:t>
      </w:r>
    </w:p>
    <w:p>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w:t>
      </w:r>
    </w:p>
    <w:p>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（2）供应商相应的法定代表人负责人自然人身份证正反两面复印件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（3）供应商的授权委托书原件、委托代理人身份证正反面复印件</w:t>
      </w:r>
      <w:r>
        <w:rPr>
          <w:rFonts w:hint="eastAsia" w:ascii="宋体" w:hAnsi="宋体" w:cs="宋体"/>
          <w:b/>
          <w:color w:val="auto"/>
          <w:szCs w:val="21"/>
          <w:highlight w:val="none"/>
        </w:rPr>
        <w:t>（委托代理时必须提供）</w:t>
      </w:r>
      <w:r>
        <w:rPr>
          <w:rFonts w:hint="eastAsia" w:ascii="宋体" w:hAnsi="宋体" w:cs="宋体"/>
          <w:color w:val="auto"/>
          <w:szCs w:val="21"/>
          <w:highlight w:val="none"/>
        </w:rPr>
        <w:t>；</w:t>
      </w:r>
    </w:p>
    <w:p>
      <w:pPr>
        <w:tabs>
          <w:tab w:val="left" w:pos="1305"/>
        </w:tabs>
        <w:spacing w:line="400" w:lineRule="exact"/>
        <w:ind w:firstLine="420" w:firstLineChars="200"/>
        <w:rPr>
          <w:rFonts w:ascii="宋体" w:hAnsi="宋体" w:cs="宋体"/>
          <w:color w:val="auto"/>
          <w:szCs w:val="21"/>
          <w:highlight w:val="none"/>
        </w:rPr>
      </w:pPr>
      <w:r>
        <w:rPr>
          <w:rFonts w:hint="eastAsia"/>
          <w:color w:val="auto"/>
          <w:highlight w:val="none"/>
        </w:rPr>
        <w:t>（4）</w:t>
      </w:r>
      <w:r>
        <w:rPr>
          <w:rFonts w:hint="eastAsia" w:ascii="宋体" w:hAnsi="宋体" w:cs="宋体"/>
          <w:color w:val="auto"/>
          <w:szCs w:val="21"/>
          <w:highlight w:val="none"/>
        </w:rPr>
        <w:t>依法缴纳税收的相关材料（在投标截止前近半年内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w:t>
      </w:r>
    </w:p>
    <w:p>
      <w:pPr>
        <w:pStyle w:val="2"/>
        <w:spacing w:after="0"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5）依法缴纳社会保障资金的相关材料[在投标截止前近半年内连续3个月的依法缴纳社会保障资金的缴费凭证（专用收据或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w:t>
      </w:r>
    </w:p>
    <w:p>
      <w:pPr>
        <w:tabs>
          <w:tab w:val="left" w:pos="1305"/>
        </w:tabs>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）供应商参加政府采购活动前3年内在经营活动中没有重大违法记录的书面声明</w:t>
      </w:r>
      <w:r>
        <w:rPr>
          <w:rFonts w:hint="eastAsia" w:ascii="宋体" w:hAnsi="宋体" w:cs="宋体"/>
          <w:b/>
          <w:color w:val="auto"/>
          <w:szCs w:val="21"/>
          <w:highlight w:val="none"/>
        </w:rPr>
        <w:t>（必须提供）；</w:t>
      </w:r>
    </w:p>
    <w:p>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）供应商的法人或者其他组织营业执照等证明文件复印件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（8）磋商报价表（格式见附件）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（9）项目实施方案（格式见附件）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tabs>
          <w:tab w:val="left" w:pos="1305"/>
        </w:tabs>
        <w:spacing w:line="380" w:lineRule="exact"/>
        <w:ind w:firstLine="420" w:firstLineChars="200"/>
        <w:rPr>
          <w:rFonts w:hAnsi="宋体" w:cs="宋体"/>
          <w:b/>
          <w:color w:val="auto"/>
          <w:szCs w:val="21"/>
          <w:highlight w:val="none"/>
        </w:rPr>
      </w:pPr>
      <w:r>
        <w:rPr>
          <w:rFonts w:hint="eastAsia" w:hAnsi="宋体" w:cs="宋体"/>
          <w:color w:val="auto"/>
          <w:szCs w:val="21"/>
          <w:highlight w:val="none"/>
        </w:rPr>
        <w:t>（10）项目培训团队一览表</w:t>
      </w:r>
      <w:r>
        <w:rPr>
          <w:rFonts w:hint="eastAsia" w:ascii="宋体" w:hAnsi="宋体" w:cs="宋体"/>
          <w:b/>
          <w:color w:val="auto"/>
          <w:szCs w:val="21"/>
          <w:highlight w:val="none"/>
        </w:rPr>
        <w:t>（必须提供）</w:t>
      </w:r>
      <w:r>
        <w:rPr>
          <w:rFonts w:hint="eastAsia" w:hAnsi="宋体" w:cs="宋体"/>
          <w:b/>
          <w:color w:val="auto"/>
          <w:szCs w:val="21"/>
          <w:highlight w:val="none"/>
        </w:rPr>
        <w:t>；</w:t>
      </w:r>
    </w:p>
    <w:p>
      <w:pPr>
        <w:tabs>
          <w:tab w:val="left" w:pos="1305"/>
        </w:tabs>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（11）“</w:t>
      </w:r>
      <w:r>
        <w:rPr>
          <w:rFonts w:hint="eastAsia" w:ascii="宋体" w:hAnsi="宋体" w:cs="宋体"/>
          <w:color w:val="auto"/>
          <w:highlight w:val="none"/>
        </w:rPr>
        <w:t>服务采购要求”需提供的有效证明文件</w:t>
      </w:r>
      <w:r>
        <w:rPr>
          <w:rFonts w:hint="eastAsia" w:ascii="宋体" w:hAnsi="宋体" w:cs="宋体"/>
          <w:b/>
          <w:color w:val="auto"/>
          <w:highlight w:val="none"/>
        </w:rPr>
        <w:t>（如有，请提供）</w:t>
      </w:r>
      <w:r>
        <w:rPr>
          <w:rFonts w:hint="eastAsia" w:ascii="宋体" w:hAnsi="宋体" w:cs="宋体"/>
          <w:color w:val="auto"/>
          <w:highlight w:val="none"/>
        </w:rPr>
        <w:t>；</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（12）</w:t>
      </w:r>
      <w:r>
        <w:rPr>
          <w:rFonts w:hint="eastAsia" w:ascii="宋体" w:hAnsi="宋体" w:cs="宋体"/>
          <w:color w:val="auto"/>
          <w:highlight w:val="none"/>
        </w:rPr>
        <w:t>供应商完成类似服务项目业绩的相关证明材料</w:t>
      </w:r>
      <w:r>
        <w:rPr>
          <w:rFonts w:hint="eastAsia" w:ascii="宋体" w:hAnsi="宋体" w:cs="宋体"/>
          <w:color w:val="auto"/>
          <w:spacing w:val="-12"/>
          <w:szCs w:val="21"/>
          <w:highlight w:val="none"/>
        </w:rPr>
        <w:t>[无不良记录，以签订的合同为准，并能清晰反映所完成项目的名称、金额（或规模）等相关内容</w:t>
      </w:r>
      <w:r>
        <w:rPr>
          <w:rFonts w:hint="eastAsia" w:ascii="宋体" w:hAnsi="宋体" w:cs="宋体"/>
          <w:color w:val="auto"/>
          <w:highlight w:val="none"/>
        </w:rPr>
        <w:t>]</w:t>
      </w:r>
      <w:r>
        <w:rPr>
          <w:rFonts w:hint="eastAsia" w:ascii="宋体" w:hAnsi="宋体" w:cs="宋体"/>
          <w:b/>
          <w:bCs/>
          <w:color w:val="auto"/>
          <w:highlight w:val="none"/>
        </w:rPr>
        <w:t>（如有，请提供）</w:t>
      </w:r>
      <w:r>
        <w:rPr>
          <w:rFonts w:hint="eastAsia" w:ascii="宋体" w:hAnsi="宋体" w:cs="宋体"/>
          <w:color w:val="auto"/>
          <w:highlight w:val="none"/>
        </w:rPr>
        <w:t>；</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（13）如产品或服务属于小型、微型企业的，应提供《中小企业声明函》（格式见附件），并对其声明函真实性负责</w:t>
      </w:r>
      <w:r>
        <w:rPr>
          <w:rFonts w:hint="eastAsia" w:ascii="宋体" w:hAnsi="宋体" w:cs="宋体"/>
          <w:b/>
          <w:color w:val="auto"/>
          <w:highlight w:val="none"/>
        </w:rPr>
        <w:t>（如有，请提供）</w:t>
      </w:r>
      <w:r>
        <w:rPr>
          <w:rFonts w:hint="eastAsia" w:ascii="宋体" w:hAnsi="宋体" w:cs="宋体"/>
          <w:color w:val="auto"/>
          <w:highlight w:val="none"/>
        </w:rPr>
        <w:t>；</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（14）如产品或服务属于监狱企业的，以提供由省级以上监狱管理局、戒毒管理局（含新疆生产建设兵团）出具的属于监狱企业的证明文件为准</w:t>
      </w:r>
      <w:r>
        <w:rPr>
          <w:rFonts w:hint="eastAsia" w:ascii="宋体" w:hAnsi="宋体" w:cs="宋体"/>
          <w:b/>
          <w:color w:val="auto"/>
          <w:highlight w:val="none"/>
        </w:rPr>
        <w:t>（如有，请提供）；</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（15）符合条件的残疾人福利性单位在参加政府采购活动时，应当提供《残疾人福利性单位声明函》（见附件），并对声明的真实性负责</w:t>
      </w:r>
      <w:r>
        <w:rPr>
          <w:rFonts w:hint="eastAsia" w:ascii="宋体" w:hAnsi="宋体" w:cs="宋体"/>
          <w:b/>
          <w:color w:val="auto"/>
          <w:highlight w:val="none"/>
        </w:rPr>
        <w:t>（如有，请提供）；</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（16）供应商可结合本项目自身情况自行提交其它相关证明材料。</w:t>
      </w:r>
    </w:p>
    <w:p>
      <w:pPr>
        <w:snapToGrid w:val="0"/>
        <w:spacing w:line="400" w:lineRule="exact"/>
        <w:ind w:firstLine="420" w:firstLineChars="200"/>
        <w:rPr>
          <w:rFonts w:ascii="宋体" w:hAnsi="宋体" w:cs="宋体"/>
          <w:b/>
          <w:bCs/>
          <w:color w:val="auto"/>
          <w:highlight w:val="none"/>
        </w:rPr>
      </w:pPr>
      <w:r>
        <w:rPr>
          <w:rFonts w:hint="eastAsia" w:ascii="宋体" w:hAnsi="宋体" w:cs="宋体"/>
          <w:b/>
          <w:color w:val="auto"/>
          <w:szCs w:val="21"/>
          <w:highlight w:val="none"/>
        </w:rPr>
        <w:t>11.2、</w:t>
      </w:r>
      <w:r>
        <w:rPr>
          <w:rFonts w:hint="eastAsia" w:ascii="宋体" w:hAnsi="宋体" w:cs="宋体"/>
          <w:b/>
          <w:bCs/>
          <w:color w:val="auto"/>
          <w:highlight w:val="none"/>
        </w:rPr>
        <w:t>以上有关材料应真实有效，并加盖磋商供应商公章（扫描公章无效），属于“必须提供”的文件均必须于规定时间前提交，并加盖磋商供应商公章（扫描公章无效）。</w:t>
      </w:r>
    </w:p>
    <w:p>
      <w:pPr>
        <w:pStyle w:val="13"/>
        <w:spacing w:line="400" w:lineRule="exact"/>
        <w:ind w:firstLine="420" w:firstLineChars="200"/>
        <w:rPr>
          <w:rFonts w:hAnsi="宋体" w:cs="宋体"/>
          <w:color w:val="auto"/>
          <w:highlight w:val="none"/>
        </w:rPr>
      </w:pPr>
      <w:r>
        <w:rPr>
          <w:rFonts w:hint="eastAsia" w:hAnsi="宋体" w:cs="宋体"/>
          <w:b/>
          <w:color w:val="auto"/>
          <w:szCs w:val="21"/>
          <w:highlight w:val="none"/>
        </w:rPr>
        <w:t>11.3、</w:t>
      </w:r>
      <w:r>
        <w:rPr>
          <w:rFonts w:hint="eastAsia" w:hAnsi="宋体" w:cs="宋体"/>
          <w:color w:val="auto"/>
          <w:highlight w:val="none"/>
        </w:rPr>
        <w:t>磋商供应商应按磋商文件第六章响应文件格式编制响应文件。</w:t>
      </w:r>
    </w:p>
    <w:p>
      <w:pPr>
        <w:spacing w:line="390" w:lineRule="exact"/>
        <w:ind w:firstLine="411" w:firstLineChars="196"/>
        <w:outlineLvl w:val="2"/>
        <w:rPr>
          <w:rFonts w:ascii="宋体" w:hAnsi="宋体" w:cs="宋体"/>
          <w:b/>
          <w:color w:val="auto"/>
          <w:szCs w:val="21"/>
          <w:highlight w:val="none"/>
        </w:rPr>
      </w:pPr>
      <w:bookmarkStart w:id="74" w:name="_Toc532901100"/>
      <w:bookmarkStart w:id="75" w:name="_Toc7358"/>
      <w:r>
        <w:rPr>
          <w:rFonts w:hint="eastAsia" w:ascii="宋体" w:hAnsi="宋体" w:cs="宋体"/>
          <w:b/>
          <w:color w:val="auto"/>
          <w:szCs w:val="21"/>
          <w:highlight w:val="none"/>
        </w:rPr>
        <w:t>12、响应文件的语言及计量</w:t>
      </w:r>
      <w:bookmarkEnd w:id="74"/>
      <w:bookmarkEnd w:id="75"/>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12.2、磋商计量单位，磋商文件已有明确规定的，使用磋商文件规定的计量单位；磋商文件没有规定的，应采用中华人民共和国法定计量单位（货币单位：人民币元），否则视同未响应。</w:t>
      </w:r>
    </w:p>
    <w:p>
      <w:pPr>
        <w:spacing w:line="390" w:lineRule="exact"/>
        <w:ind w:firstLine="411" w:firstLineChars="196"/>
        <w:outlineLvl w:val="2"/>
        <w:rPr>
          <w:rFonts w:ascii="宋体" w:hAnsi="宋体" w:cs="宋体"/>
          <w:b/>
          <w:color w:val="auto"/>
          <w:szCs w:val="21"/>
          <w:highlight w:val="none"/>
        </w:rPr>
      </w:pPr>
      <w:bookmarkStart w:id="76" w:name="_Toc29849"/>
      <w:bookmarkStart w:id="77" w:name="_Toc532901101"/>
      <w:r>
        <w:rPr>
          <w:rFonts w:hint="eastAsia" w:ascii="宋体" w:hAnsi="宋体" w:cs="宋体"/>
          <w:b/>
          <w:color w:val="auto"/>
          <w:szCs w:val="21"/>
          <w:highlight w:val="none"/>
        </w:rPr>
        <w:t>13、磋商报价</w:t>
      </w:r>
      <w:bookmarkEnd w:id="76"/>
      <w:bookmarkEnd w:id="77"/>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13.1、磋商报价应按磋商文件中相关附表格式填写。</w:t>
      </w:r>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13.2、供应商必须就“服务采购要求”中的所有服务内容作完整唯一报价，否则，其响应文件无效。响应文件只允许有一个报价，有选择的或有条件的报价将不予接受。</w:t>
      </w:r>
    </w:p>
    <w:p>
      <w:pPr>
        <w:tabs>
          <w:tab w:val="left" w:pos="1305"/>
        </w:tabs>
        <w:spacing w:line="380" w:lineRule="exact"/>
        <w:ind w:firstLine="420" w:firstLineChars="200"/>
        <w:rPr>
          <w:color w:val="auto"/>
          <w:highlight w:val="none"/>
        </w:rPr>
      </w:pPr>
      <w:r>
        <w:rPr>
          <w:rFonts w:hint="eastAsia" w:ascii="宋体" w:hAnsi="宋体" w:cs="宋体"/>
          <w:color w:val="auto"/>
          <w:szCs w:val="21"/>
          <w:highlight w:val="none"/>
        </w:rPr>
        <w:t>13.3、磋商报价</w:t>
      </w:r>
      <w:r>
        <w:rPr>
          <w:rFonts w:hint="eastAsia" w:ascii="宋体" w:hAnsi="宋体"/>
          <w:color w:val="auto"/>
          <w:szCs w:val="21"/>
          <w:highlight w:val="none"/>
        </w:rPr>
        <w:t>应包括本次采购范围内的服务价款，服务所用耗材、人工费、场地费、管理费用、专用工具、必要保险和各项税费、验收、维护，参训学员与培训专家全部的住宿费及餐饮费、基地研修费（入校轮训）、方案设计现场勘察费、调查费、设计费、成果印刷费和成果评审费等全部费用。</w:t>
      </w:r>
      <w:r>
        <w:rPr>
          <w:rFonts w:hint="eastAsia" w:ascii="宋体" w:hAnsi="宋体" w:cs="宋体"/>
          <w:color w:val="auto"/>
          <w:szCs w:val="21"/>
          <w:highlight w:val="none"/>
        </w:rPr>
        <w:t>磋商供应商综合考虑在报价中。</w:t>
      </w:r>
    </w:p>
    <w:p>
      <w:pPr>
        <w:spacing w:line="390" w:lineRule="exact"/>
        <w:ind w:firstLine="411" w:firstLineChars="196"/>
        <w:outlineLvl w:val="2"/>
        <w:rPr>
          <w:rFonts w:ascii="宋体" w:hAnsi="宋体" w:cs="宋体"/>
          <w:b/>
          <w:color w:val="auto"/>
          <w:szCs w:val="21"/>
          <w:highlight w:val="none"/>
        </w:rPr>
      </w:pPr>
      <w:bookmarkStart w:id="78" w:name="_Toc14371"/>
      <w:bookmarkStart w:id="79" w:name="_Toc532901102"/>
      <w:r>
        <w:rPr>
          <w:rFonts w:hint="eastAsia" w:ascii="宋体" w:hAnsi="宋体" w:cs="宋体"/>
          <w:b/>
          <w:color w:val="auto"/>
          <w:szCs w:val="21"/>
          <w:highlight w:val="none"/>
        </w:rPr>
        <w:t>14、响应文件有效期</w:t>
      </w:r>
      <w:bookmarkEnd w:id="78"/>
      <w:bookmarkEnd w:id="79"/>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14.1、按磋商供应商须知前附表规定的响应文件有效期，有效期不足的响应文件将被拒绝。</w:t>
      </w:r>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14.2、出现特殊情况下，需要延长磋商有效期的，一并通知所有磋商供应商延长磋商有效期。磋商供应商同意延长的，但不能修改响应文件。磋商供应商拒绝延长的，其磋商无效。</w:t>
      </w:r>
    </w:p>
    <w:p>
      <w:pPr>
        <w:spacing w:line="390" w:lineRule="exact"/>
        <w:ind w:firstLine="411" w:firstLineChars="196"/>
        <w:outlineLvl w:val="2"/>
        <w:rPr>
          <w:rFonts w:ascii="宋体" w:hAnsi="宋体" w:cs="宋体"/>
          <w:color w:val="auto"/>
          <w:szCs w:val="21"/>
          <w:highlight w:val="none"/>
        </w:rPr>
      </w:pPr>
      <w:bookmarkStart w:id="80" w:name="_Toc6372"/>
      <w:bookmarkStart w:id="81" w:name="_Toc532901103"/>
      <w:r>
        <w:rPr>
          <w:rFonts w:hint="eastAsia" w:ascii="宋体" w:hAnsi="宋体" w:cs="宋体"/>
          <w:b/>
          <w:color w:val="auto"/>
          <w:szCs w:val="21"/>
          <w:highlight w:val="none"/>
        </w:rPr>
        <w:t>15、磋商保证金</w:t>
      </w:r>
      <w:bookmarkEnd w:id="80"/>
      <w:bookmarkEnd w:id="81"/>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15.1本项目不要求缴纳磋商保证金。</w:t>
      </w:r>
    </w:p>
    <w:p>
      <w:pPr>
        <w:spacing w:line="390" w:lineRule="exact"/>
        <w:ind w:firstLine="411" w:firstLineChars="196"/>
        <w:outlineLvl w:val="2"/>
        <w:rPr>
          <w:rFonts w:ascii="宋体" w:hAnsi="宋体" w:cs="宋体"/>
          <w:b/>
          <w:color w:val="auto"/>
          <w:szCs w:val="21"/>
          <w:highlight w:val="none"/>
        </w:rPr>
      </w:pPr>
      <w:bookmarkStart w:id="82" w:name="_Toc3702"/>
      <w:bookmarkStart w:id="83" w:name="_Toc532901104"/>
      <w:r>
        <w:rPr>
          <w:rFonts w:hint="eastAsia" w:ascii="宋体" w:hAnsi="宋体" w:cs="宋体"/>
          <w:b/>
          <w:color w:val="auto"/>
          <w:szCs w:val="21"/>
          <w:highlight w:val="none"/>
        </w:rPr>
        <w:t>16、响应文件的份数、装订、签署和包装、密封</w:t>
      </w:r>
      <w:bookmarkEnd w:id="82"/>
      <w:bookmarkEnd w:id="83"/>
    </w:p>
    <w:p>
      <w:pPr>
        <w:tabs>
          <w:tab w:val="left" w:pos="1305"/>
        </w:tabs>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16.1 响应文件份数：正本壹册、副本肆册（A4纸装订），须完整提交。</w:t>
      </w:r>
    </w:p>
    <w:p>
      <w:pPr>
        <w:tabs>
          <w:tab w:val="left" w:pos="1305"/>
        </w:tabs>
        <w:spacing w:line="400" w:lineRule="exact"/>
        <w:ind w:firstLine="420"/>
        <w:rPr>
          <w:rFonts w:ascii="宋体" w:hAnsi="宋体" w:cs="宋体"/>
          <w:b/>
          <w:color w:val="auto"/>
          <w:szCs w:val="21"/>
          <w:highlight w:val="none"/>
        </w:rPr>
      </w:pPr>
      <w:r>
        <w:rPr>
          <w:rFonts w:hint="eastAsia" w:ascii="宋体" w:hAnsi="宋体" w:cs="宋体"/>
          <w:color w:val="auto"/>
          <w:szCs w:val="21"/>
          <w:highlight w:val="none"/>
        </w:rPr>
        <w:t>16.2 响应文件装订要求：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tabs>
          <w:tab w:val="left" w:pos="1305"/>
        </w:tabs>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16.3 响应文件的正本需打印或用不褪色的墨水填写，响应文件正本除本磋商文件中规定的可提供复印件外均须提供原件。</w:t>
      </w:r>
    </w:p>
    <w:p>
      <w:pPr>
        <w:tabs>
          <w:tab w:val="left" w:pos="1305"/>
        </w:tabs>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16.4 响应文件须由供应商在规定位置加盖供应商公章（扫描公章无效，自然人除外）并由法定代表人、负责人、自然人或相应的授权委托代理人签字，供应商应写全称，响应文件副本可以是加盖公章（自然人除外）的正本的复印件，当正本与副本不一致时，以正本为准。</w:t>
      </w:r>
    </w:p>
    <w:p>
      <w:pPr>
        <w:spacing w:line="400" w:lineRule="exact"/>
        <w:ind w:left="315" w:leftChars="150" w:firstLine="105" w:firstLineChars="50"/>
        <w:rPr>
          <w:rFonts w:ascii="宋体" w:hAnsi="宋体" w:cs="宋体"/>
          <w:color w:val="auto"/>
          <w:szCs w:val="21"/>
          <w:highlight w:val="none"/>
        </w:rPr>
      </w:pPr>
      <w:r>
        <w:rPr>
          <w:rFonts w:hint="eastAsia" w:ascii="宋体" w:hAnsi="宋体" w:cs="宋体"/>
          <w:color w:val="auto"/>
          <w:szCs w:val="21"/>
          <w:highlight w:val="none"/>
        </w:rPr>
        <w:t>16.5 响应文件不得涂改，若有修改错漏处，须加盖供应商公章（自然人除外）及法定代表人、负责人、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自然人或相应的授权委托代理人签字。响应文件因字迹潦草或表达不清所引起的后果由供应商负责。</w:t>
      </w:r>
    </w:p>
    <w:p>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16.6 响应文件包装、密封、标记：</w:t>
      </w:r>
    </w:p>
    <w:p>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16.6.1 响应文件包装、密封：供应商须将响应文件“正本”、“副本”一并装入一个响应文件袋（盒、箱）中密封，并在密封处密封签章【公章、密封章、法定代表人、负责人、自然人或相应的授权委托代理人签字均可】。</w:t>
      </w:r>
    </w:p>
    <w:p>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16.6.2 响应文件袋（盒、箱）标记：</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项目名称：</w:t>
      </w:r>
      <w:r>
        <w:rPr>
          <w:rFonts w:hint="eastAsia" w:ascii="宋体" w:hAnsi="宋体" w:cs="宋体"/>
          <w:color w:val="auto"/>
          <w:szCs w:val="21"/>
          <w:highlight w:val="none"/>
          <w:u w:val="single"/>
        </w:rPr>
        <w:t xml:space="preserve">                          </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采购代理机构：</w:t>
      </w:r>
      <w:r>
        <w:rPr>
          <w:rFonts w:hint="eastAsia" w:ascii="宋体" w:hAnsi="宋体" w:cs="宋体"/>
          <w:color w:val="auto"/>
          <w:szCs w:val="21"/>
          <w:highlight w:val="none"/>
          <w:u w:val="single"/>
        </w:rPr>
        <w:t xml:space="preserve">                      </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供应商单位名称：</w:t>
      </w:r>
      <w:r>
        <w:rPr>
          <w:rFonts w:hint="eastAsia" w:ascii="宋体" w:hAnsi="宋体" w:cs="宋体"/>
          <w:color w:val="auto"/>
          <w:szCs w:val="21"/>
          <w:highlight w:val="none"/>
          <w:u w:val="single"/>
        </w:rPr>
        <w:t xml:space="preserve">                    </w:t>
      </w:r>
    </w:p>
    <w:p>
      <w:pPr>
        <w:snapToGrid w:val="0"/>
        <w:spacing w:line="400" w:lineRule="exact"/>
        <w:ind w:firstLine="1155" w:firstLineChars="550"/>
        <w:jc w:val="left"/>
        <w:rPr>
          <w:rFonts w:ascii="宋体" w:hAnsi="宋体" w:cs="宋体"/>
          <w:color w:val="auto"/>
          <w:szCs w:val="21"/>
          <w:highlight w:val="none"/>
        </w:rPr>
      </w:pPr>
      <w:r>
        <w:rPr>
          <w:rFonts w:hint="eastAsia" w:ascii="宋体" w:hAnsi="宋体" w:cs="宋体"/>
          <w:color w:val="auto"/>
          <w:szCs w:val="21"/>
          <w:highlight w:val="none"/>
        </w:rPr>
        <w:t>在2021年 月   日   时 分前不得开启(此处供应商填写响应文件递交截止时间)</w:t>
      </w:r>
    </w:p>
    <w:p>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16.7 供应商公章：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p>
      <w:pPr>
        <w:spacing w:line="390" w:lineRule="exact"/>
        <w:ind w:firstLine="411" w:firstLineChars="196"/>
        <w:outlineLvl w:val="2"/>
        <w:rPr>
          <w:rFonts w:ascii="宋体" w:hAnsi="宋体" w:cs="宋体"/>
          <w:b/>
          <w:color w:val="auto"/>
          <w:szCs w:val="21"/>
          <w:highlight w:val="none"/>
        </w:rPr>
      </w:pPr>
      <w:bookmarkStart w:id="84" w:name="_Toc532901105"/>
      <w:bookmarkStart w:id="85" w:name="_Toc22636"/>
      <w:r>
        <w:rPr>
          <w:rFonts w:hint="eastAsia" w:ascii="宋体" w:hAnsi="宋体" w:cs="宋体"/>
          <w:b/>
          <w:color w:val="auto"/>
          <w:szCs w:val="21"/>
          <w:highlight w:val="none"/>
        </w:rPr>
        <w:t>17、响应文件的修改和撤回</w:t>
      </w:r>
      <w:bookmarkEnd w:id="84"/>
      <w:bookmarkEnd w:id="85"/>
    </w:p>
    <w:p>
      <w:pPr>
        <w:tabs>
          <w:tab w:val="left" w:pos="1305"/>
        </w:tabs>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17.1磋商供应商在响应文件截止时间之前，可以对已递交的响应文件进行修改或撤回，并书面通知采购代理机构。</w:t>
      </w:r>
    </w:p>
    <w:p>
      <w:pPr>
        <w:tabs>
          <w:tab w:val="left" w:pos="1305"/>
        </w:tabs>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17.2在响应文件截止时间后的磋商有效期内，磋商供应商不得撤回其响应文件。</w:t>
      </w:r>
    </w:p>
    <w:p>
      <w:pPr>
        <w:spacing w:line="390" w:lineRule="exact"/>
        <w:ind w:firstLine="411" w:firstLineChars="196"/>
        <w:outlineLvl w:val="2"/>
        <w:rPr>
          <w:rFonts w:ascii="宋体" w:hAnsi="宋体" w:cs="宋体"/>
          <w:b/>
          <w:color w:val="auto"/>
          <w:szCs w:val="21"/>
          <w:highlight w:val="none"/>
        </w:rPr>
      </w:pPr>
      <w:bookmarkStart w:id="86" w:name="_Toc25593"/>
      <w:bookmarkStart w:id="87" w:name="_Toc532901106"/>
      <w:r>
        <w:rPr>
          <w:rFonts w:hint="eastAsia" w:ascii="宋体" w:hAnsi="宋体" w:cs="宋体"/>
          <w:b/>
          <w:color w:val="auto"/>
          <w:szCs w:val="21"/>
          <w:highlight w:val="none"/>
        </w:rPr>
        <w:t>18、响应文件的递交</w:t>
      </w:r>
      <w:bookmarkEnd w:id="86"/>
      <w:bookmarkEnd w:id="87"/>
    </w:p>
    <w:p>
      <w:pPr>
        <w:tabs>
          <w:tab w:val="left" w:pos="1305"/>
        </w:tabs>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18.1磋商供应商应按磋商供应商须知前附表规定的响应文件截止时间前递交响应文件。</w:t>
      </w:r>
    </w:p>
    <w:p>
      <w:pPr>
        <w:tabs>
          <w:tab w:val="left" w:pos="1305"/>
        </w:tabs>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18.2磋商供应商递交响应文件的地点：见磋商供应商须知前附表。</w:t>
      </w:r>
    </w:p>
    <w:p>
      <w:pPr>
        <w:tabs>
          <w:tab w:val="left" w:pos="1305"/>
        </w:tabs>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18.3除磋商供应商须知前附表另有规定外，磋商供应商所递交的响应文件不予退还。</w:t>
      </w:r>
    </w:p>
    <w:p>
      <w:pPr>
        <w:tabs>
          <w:tab w:val="left" w:pos="1305"/>
        </w:tabs>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18.4逾期送达的或者未送达指定地点的响应文件，采购代理机构不予受理。</w:t>
      </w:r>
    </w:p>
    <w:p>
      <w:pPr>
        <w:spacing w:line="440" w:lineRule="atLeast"/>
        <w:jc w:val="center"/>
        <w:outlineLvl w:val="1"/>
        <w:rPr>
          <w:rFonts w:ascii="宋体" w:hAnsi="宋体" w:cs="宋体"/>
          <w:b/>
          <w:color w:val="auto"/>
          <w:sz w:val="28"/>
          <w:szCs w:val="28"/>
          <w:highlight w:val="none"/>
        </w:rPr>
      </w:pPr>
      <w:bookmarkStart w:id="88" w:name="_Toc2233"/>
      <w:bookmarkStart w:id="89" w:name="_Toc532901107"/>
      <w:r>
        <w:rPr>
          <w:rFonts w:hint="eastAsia" w:ascii="宋体" w:hAnsi="宋体" w:cs="宋体"/>
          <w:b/>
          <w:color w:val="auto"/>
          <w:sz w:val="28"/>
          <w:szCs w:val="28"/>
          <w:highlight w:val="none"/>
        </w:rPr>
        <w:t>四、竞争性磋商（简称磋商）与评审</w:t>
      </w:r>
      <w:bookmarkEnd w:id="88"/>
      <w:bookmarkEnd w:id="89"/>
    </w:p>
    <w:p>
      <w:pPr>
        <w:spacing w:line="390" w:lineRule="exact"/>
        <w:ind w:firstLine="411" w:firstLineChars="196"/>
        <w:outlineLvl w:val="2"/>
        <w:rPr>
          <w:rFonts w:ascii="宋体" w:hAnsi="宋体" w:cs="宋体"/>
          <w:b/>
          <w:color w:val="auto"/>
          <w:szCs w:val="21"/>
          <w:highlight w:val="none"/>
        </w:rPr>
      </w:pPr>
      <w:bookmarkStart w:id="90" w:name="_Toc31023"/>
      <w:bookmarkStart w:id="91" w:name="_Toc532901108"/>
      <w:r>
        <w:rPr>
          <w:rFonts w:hint="eastAsia" w:ascii="宋体" w:hAnsi="宋体" w:cs="宋体"/>
          <w:b/>
          <w:color w:val="auto"/>
          <w:szCs w:val="21"/>
          <w:highlight w:val="none"/>
        </w:rPr>
        <w:t>19、磋商小组组成</w:t>
      </w:r>
      <w:bookmarkEnd w:id="90"/>
      <w:bookmarkEnd w:id="91"/>
    </w:p>
    <w:p>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19.1 磋商小组组成：</w:t>
      </w:r>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3人，其中采购人代表1人，专家2人。专家确定方式：专家库随机抽取。</w:t>
      </w:r>
    </w:p>
    <w:p>
      <w:pPr>
        <w:tabs>
          <w:tab w:val="left" w:pos="1140"/>
        </w:tabs>
        <w:spacing w:line="400" w:lineRule="exact"/>
        <w:ind w:left="419" w:leftChars="172" w:hanging="58" w:hangingChars="28"/>
        <w:rPr>
          <w:rFonts w:ascii="宋体" w:hAnsi="宋体" w:cs="宋体"/>
          <w:b/>
          <w:color w:val="auto"/>
          <w:szCs w:val="21"/>
          <w:highlight w:val="none"/>
        </w:rPr>
      </w:pPr>
      <w:r>
        <w:rPr>
          <w:rFonts w:hint="eastAsia" w:ascii="宋体" w:hAnsi="宋体" w:cs="宋体"/>
          <w:b/>
          <w:color w:val="auto"/>
          <w:szCs w:val="21"/>
          <w:highlight w:val="none"/>
        </w:rPr>
        <w:t>19.2 磋商时间、地点、人员：</w:t>
      </w:r>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19.2.1 磋商时间：</w:t>
      </w:r>
      <w:r>
        <w:rPr>
          <w:rFonts w:hint="eastAsia" w:ascii="宋体" w:hAnsi="宋体" w:cs="宋体"/>
          <w:color w:val="auto"/>
          <w:position w:val="-2"/>
          <w:szCs w:val="21"/>
          <w:highlight w:val="none"/>
        </w:rPr>
        <w:t>响应文件递交</w:t>
      </w:r>
      <w:r>
        <w:rPr>
          <w:rFonts w:hint="eastAsia" w:ascii="宋体" w:hAnsi="宋体" w:cs="宋体"/>
          <w:color w:val="auto"/>
          <w:szCs w:val="21"/>
          <w:highlight w:val="none"/>
        </w:rPr>
        <w:t>截止时间后。</w:t>
      </w:r>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19.2.2 磋商地点：桂林市公共资源交易中心评标室（</w:t>
      </w:r>
      <w:r>
        <w:rPr>
          <w:rFonts w:hint="eastAsia"/>
          <w:color w:val="auto"/>
          <w:szCs w:val="21"/>
          <w:highlight w:val="none"/>
        </w:rPr>
        <w:t>广西桂林市临桂区西城中路69号创业大厦西辅楼4楼</w:t>
      </w:r>
      <w:r>
        <w:rPr>
          <w:rFonts w:hint="eastAsia" w:ascii="宋体" w:hAnsi="宋体" w:cs="宋体"/>
          <w:color w:val="auto"/>
          <w:szCs w:val="21"/>
          <w:highlight w:val="none"/>
        </w:rPr>
        <w:t>）</w:t>
      </w:r>
      <w:r>
        <w:rPr>
          <w:rFonts w:hint="eastAsia" w:ascii="宋体" w:hAnsi="宋体" w:cs="宋体"/>
          <w:color w:val="auto"/>
          <w:highlight w:val="none"/>
        </w:rPr>
        <w:t xml:space="preserve"> </w:t>
      </w:r>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19.2.3 磋商参加人员：供应商法定代表人、负责人、自然人或相应的委托代理人持有效身份证原件参加磋商。请供应商按时到达指定地点等候当面磋商。</w:t>
      </w:r>
    </w:p>
    <w:p>
      <w:pPr>
        <w:spacing w:line="400" w:lineRule="exact"/>
        <w:ind w:firstLine="435"/>
        <w:rPr>
          <w:rFonts w:ascii="宋体" w:hAnsi="宋体" w:cs="宋体"/>
          <w:color w:val="auto"/>
          <w:szCs w:val="21"/>
          <w:highlight w:val="none"/>
        </w:rPr>
      </w:pPr>
      <w:r>
        <w:rPr>
          <w:rFonts w:hint="eastAsia" w:ascii="宋体" w:hAnsi="宋体" w:cs="宋体"/>
          <w:color w:val="auto"/>
          <w:position w:val="-2"/>
          <w:szCs w:val="21"/>
          <w:highlight w:val="none"/>
        </w:rPr>
        <w:t>19.2.4 响应文件递交</w:t>
      </w:r>
      <w:r>
        <w:rPr>
          <w:rFonts w:hint="eastAsia" w:ascii="宋体" w:hAnsi="宋体" w:cs="宋体"/>
          <w:color w:val="auto"/>
          <w:szCs w:val="21"/>
          <w:highlight w:val="none"/>
        </w:rPr>
        <w:t xml:space="preserve">截止时间后，由磋商小组在评标室内开启响应文件。  </w:t>
      </w:r>
    </w:p>
    <w:p>
      <w:pPr>
        <w:spacing w:line="390" w:lineRule="exact"/>
        <w:ind w:firstLine="411" w:firstLineChars="196"/>
        <w:outlineLvl w:val="2"/>
        <w:rPr>
          <w:rFonts w:ascii="宋体" w:hAnsi="宋体" w:cs="宋体"/>
          <w:b/>
          <w:color w:val="auto"/>
          <w:szCs w:val="21"/>
          <w:highlight w:val="none"/>
        </w:rPr>
      </w:pPr>
      <w:bookmarkStart w:id="92" w:name="_Toc11482"/>
      <w:bookmarkStart w:id="93" w:name="_Toc532901109"/>
      <w:r>
        <w:rPr>
          <w:rFonts w:hint="eastAsia" w:ascii="宋体" w:hAnsi="宋体" w:cs="宋体"/>
          <w:b/>
          <w:color w:val="auto"/>
          <w:szCs w:val="21"/>
          <w:highlight w:val="none"/>
        </w:rPr>
        <w:t>20、评审原则和评审办法</w:t>
      </w:r>
      <w:bookmarkEnd w:id="92"/>
      <w:bookmarkEnd w:id="93"/>
    </w:p>
    <w:p>
      <w:pPr>
        <w:spacing w:line="400" w:lineRule="exact"/>
        <w:ind w:firstLine="435"/>
        <w:rPr>
          <w:rFonts w:ascii="宋体" w:hAnsi="宋体" w:cs="宋体"/>
          <w:color w:val="auto"/>
          <w:szCs w:val="21"/>
          <w:highlight w:val="none"/>
        </w:rPr>
      </w:pPr>
      <w:r>
        <w:rPr>
          <w:rFonts w:hint="eastAsia" w:ascii="宋体" w:hAnsi="宋体" w:cs="宋体"/>
          <w:color w:val="auto"/>
          <w:szCs w:val="20"/>
          <w:highlight w:val="none"/>
        </w:rPr>
        <w:t xml:space="preserve">20.1 </w:t>
      </w:r>
      <w:r>
        <w:rPr>
          <w:rFonts w:hint="eastAsia" w:ascii="宋体" w:hAnsi="宋体" w:cs="宋体"/>
          <w:color w:val="auto"/>
          <w:szCs w:val="21"/>
          <w:highlight w:val="none"/>
        </w:rPr>
        <w:t>磋商小组必须坚持公平、公正、科学和择优的原则。</w:t>
      </w:r>
    </w:p>
    <w:p>
      <w:pPr>
        <w:spacing w:line="400" w:lineRule="exact"/>
        <w:ind w:firstLine="435"/>
        <w:rPr>
          <w:rFonts w:ascii="宋体" w:hAnsi="宋体" w:cs="宋体"/>
          <w:color w:val="auto"/>
          <w:szCs w:val="21"/>
          <w:highlight w:val="none"/>
        </w:rPr>
      </w:pPr>
      <w:r>
        <w:rPr>
          <w:rFonts w:hint="eastAsia" w:ascii="宋体" w:hAnsi="宋体" w:cs="宋体"/>
          <w:color w:val="auto"/>
          <w:szCs w:val="20"/>
          <w:highlight w:val="none"/>
        </w:rPr>
        <w:t xml:space="preserve">20.2 </w:t>
      </w:r>
      <w:r>
        <w:rPr>
          <w:rFonts w:hint="eastAsia" w:ascii="宋体" w:hAnsi="宋体" w:cs="宋体"/>
          <w:color w:val="auto"/>
          <w:szCs w:val="21"/>
          <w:highlight w:val="none"/>
        </w:rPr>
        <w:t>评审办法：具体详见第四章评审办法。</w:t>
      </w:r>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20.3 磋商小组应按磋商文件进行评审，不得擅自更改评审办法。</w:t>
      </w:r>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20.4 在评审过程中，磋商小组任何人不得对某个供应商发表任何倾向性意见，不得向其他磋商小组成员明示或者暗示自己的评审意见。</w:t>
      </w:r>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spacing w:line="390" w:lineRule="exact"/>
        <w:ind w:firstLine="411" w:firstLineChars="196"/>
        <w:outlineLvl w:val="2"/>
        <w:rPr>
          <w:rFonts w:ascii="宋体" w:hAnsi="宋体" w:cs="宋体"/>
          <w:b/>
          <w:color w:val="auto"/>
          <w:szCs w:val="21"/>
          <w:highlight w:val="none"/>
        </w:rPr>
      </w:pPr>
      <w:bookmarkStart w:id="94" w:name="_Toc24356"/>
      <w:bookmarkStart w:id="95" w:name="_Toc532901110"/>
      <w:r>
        <w:rPr>
          <w:rFonts w:hint="eastAsia" w:ascii="宋体" w:hAnsi="宋体" w:cs="宋体"/>
          <w:b/>
          <w:color w:val="auto"/>
          <w:szCs w:val="21"/>
          <w:highlight w:val="none"/>
        </w:rPr>
        <w:t>21、评审程序及磋商要求</w:t>
      </w:r>
      <w:bookmarkEnd w:id="94"/>
      <w:bookmarkEnd w:id="95"/>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21.1 采购代理机构核实磋商小组成员身份，告知回避要求，宣布评审工作纪律和程序，统一保管通讯工具或相关电子设备，推选磋商小组组长。</w:t>
      </w:r>
    </w:p>
    <w:p>
      <w:pPr>
        <w:spacing w:line="400" w:lineRule="exact"/>
        <w:ind w:firstLine="435"/>
        <w:rPr>
          <w:rFonts w:ascii="宋体" w:hAnsi="宋体" w:cs="宋体"/>
          <w:color w:val="auto"/>
          <w:kern w:val="0"/>
          <w:szCs w:val="21"/>
          <w:highlight w:val="none"/>
        </w:rPr>
      </w:pPr>
      <w:r>
        <w:rPr>
          <w:rFonts w:hint="eastAsia" w:ascii="宋体" w:hAnsi="宋体" w:cs="宋体"/>
          <w:color w:val="auto"/>
          <w:szCs w:val="21"/>
          <w:highlight w:val="none"/>
        </w:rPr>
        <w:t>21.2 磋商小组应当对发布公告的竞争性磋商文件（简称磋商文件）进行确认，</w:t>
      </w:r>
      <w:r>
        <w:rPr>
          <w:rFonts w:hint="eastAsia" w:ascii="宋体" w:hAnsi="宋体" w:cs="宋体"/>
          <w:color w:val="auto"/>
          <w:kern w:val="0"/>
          <w:szCs w:val="21"/>
          <w:highlight w:val="none"/>
        </w:rPr>
        <w:t>审查供应商的响应文件并作出评价；要求供应商解释或者澄清其响应文件；编写评审报告；告知采购人、采购代理机构在评审过程中</w:t>
      </w:r>
      <w:r>
        <w:rPr>
          <w:rFonts w:hint="eastAsia" w:ascii="宋体" w:hAnsi="宋体" w:cs="宋体"/>
          <w:color w:val="auto"/>
          <w:szCs w:val="21"/>
          <w:highlight w:val="none"/>
        </w:rPr>
        <w:t>发现</w:t>
      </w:r>
      <w:r>
        <w:rPr>
          <w:rFonts w:hint="eastAsia" w:ascii="宋体" w:hAnsi="宋体" w:cs="宋体"/>
          <w:color w:val="auto"/>
          <w:kern w:val="0"/>
          <w:szCs w:val="21"/>
          <w:highlight w:val="none"/>
        </w:rPr>
        <w:t>的供应商的违法违规行为。</w:t>
      </w:r>
    </w:p>
    <w:p>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21.3</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40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21.4磋商小组</w:t>
      </w:r>
      <w:r>
        <w:rPr>
          <w:rFonts w:hint="eastAsia" w:ascii="宋体" w:hAnsi="宋体" w:cs="宋体"/>
          <w:color w:val="auto"/>
          <w:szCs w:val="21"/>
          <w:highlight w:val="none"/>
        </w:rPr>
        <w:t>如发现供应商提供的证明文件不齐全或不符合规定格式的，应一次性告知供应商，供应商应在规定的时间内当场补正或更正。</w:t>
      </w:r>
    </w:p>
    <w:p>
      <w:pPr>
        <w:spacing w:line="40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21.5磋商小组在对响应文件的有效性、完整性和响应程度进行审查时，可以要求供应商对</w:t>
      </w:r>
      <w:r>
        <w:rPr>
          <w:rFonts w:hint="eastAsia" w:ascii="宋体" w:hAnsi="宋体" w:cs="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或者加盖供应商公章（自然人除外）。由授权委托代表签字的，应当附授权委托书。供应商为自然人的，应当由本人签字并附身份证明。</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根据磋商文件规定的程序、评审办法等事项与实质性响应竞争性磋商文件要求的供应商进行磋商。未实质性响应磋商文件的响应文件按无效处理，磋商小组应当告知有关供应商。</w:t>
      </w:r>
    </w:p>
    <w:p>
      <w:pPr>
        <w:spacing w:line="400" w:lineRule="exact"/>
        <w:ind w:firstLine="420"/>
        <w:rPr>
          <w:rFonts w:ascii="宋体" w:hAnsi="宋体" w:cs="宋体"/>
          <w:color w:val="auto"/>
          <w:szCs w:val="21"/>
          <w:highlight w:val="none"/>
        </w:rPr>
      </w:pPr>
      <w:r>
        <w:rPr>
          <w:rFonts w:hint="eastAsia" w:ascii="宋体" w:hAnsi="宋体" w:cs="宋体"/>
          <w:color w:val="auto"/>
          <w:kern w:val="0"/>
          <w:szCs w:val="21"/>
          <w:highlight w:val="none"/>
        </w:rPr>
        <w:t>磋商小组</w:t>
      </w:r>
      <w:r>
        <w:rPr>
          <w:rFonts w:hint="eastAsia" w:ascii="宋体" w:hAnsi="宋体" w:cs="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s="宋体"/>
          <w:color w:val="auto"/>
          <w:szCs w:val="21"/>
          <w:highlight w:val="none"/>
        </w:rPr>
        <w:t>磋商顺序集中与单一供应商分别进行磋商，并给予所有实质性响应竞争性磋商文件要求的供应商平等的磋商机会。</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磋商中，磋商小组不得透露与磋商有关的其他供应商的技术资料、价格和其他信息。</w:t>
      </w:r>
    </w:p>
    <w:p>
      <w:pPr>
        <w:widowControl/>
        <w:tabs>
          <w:tab w:val="left" w:pos="540"/>
        </w:tabs>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采购代理机构对磋商过程和重要磋商内容进行记录，磋商双方在记录上签字确认。</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21.6 在磋商过程中，磋商小组可以根据磋商文件和磋商情况实质性变动项目需求中的技术、服务采购要求以及合同草案条款，但不得变动磋商文件中的其他内容。实质性变动的内容，须经采购人代表确认。</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对磋商文件作出的实质性变动是磋商文件的有效组成部分，磋商小组应当及时以书面形式同时通知所有参加磋商的供应商。</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供应商应当按照磋商文件的变动情况和磋商小组的要求重新提交响应文件，并由其法定代表人、负责人、自然人或相应的授权委托代表签字或者加盖供应商公章（自然人除外）。逾时不交的，视同放弃磋商。</w:t>
      </w:r>
    </w:p>
    <w:p>
      <w:pPr>
        <w:widowControl/>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21.7在采购过程中符合竞争要求的供应商或者报价未超过采购预算的供应商不足3家的，采购人或者采购代理机构应当终止竞争性磋商采购活动。</w:t>
      </w:r>
    </w:p>
    <w:p>
      <w:pPr>
        <w:widowControl/>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21.8最后报价</w:t>
      </w:r>
    </w:p>
    <w:p>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21.8.1磋商文件能够详细列明采购标的的技术、服务要求的，</w:t>
      </w:r>
      <w:r>
        <w:rPr>
          <w:rFonts w:hint="eastAsia" w:ascii="宋体" w:hAnsi="宋体" w:cs="宋体"/>
          <w:color w:val="auto"/>
          <w:szCs w:val="21"/>
          <w:highlight w:val="none"/>
        </w:rPr>
        <w:t>磋商</w:t>
      </w:r>
      <w:r>
        <w:rPr>
          <w:rFonts w:hint="eastAsia" w:ascii="宋体" w:hAnsi="宋体" w:cs="宋体"/>
          <w:color w:val="auto"/>
          <w:kern w:val="0"/>
          <w:szCs w:val="21"/>
          <w:highlight w:val="none"/>
        </w:rPr>
        <w:t>结束后，磋商小组应当要求所有继续参加</w:t>
      </w:r>
      <w:r>
        <w:rPr>
          <w:rFonts w:hint="eastAsia" w:ascii="宋体" w:hAnsi="宋体" w:cs="宋体"/>
          <w:color w:val="auto"/>
          <w:szCs w:val="21"/>
          <w:highlight w:val="none"/>
        </w:rPr>
        <w:t>磋商</w:t>
      </w:r>
      <w:r>
        <w:rPr>
          <w:rFonts w:hint="eastAsia" w:ascii="宋体" w:hAnsi="宋体" w:cs="宋体"/>
          <w:color w:val="auto"/>
          <w:kern w:val="0"/>
          <w:szCs w:val="21"/>
          <w:highlight w:val="none"/>
        </w:rPr>
        <w:t>的供应商在规定时间内密封提交最后报价，提交最后报价的供应商不得少于3家。</w:t>
      </w:r>
    </w:p>
    <w:p>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21.8.2磋商文件不能详细列明采购标的的技术、服务要求的，需由磋商供应商提供最终设计方案或解决方案的，</w:t>
      </w:r>
      <w:r>
        <w:rPr>
          <w:rFonts w:hint="eastAsia" w:ascii="宋体" w:hAnsi="宋体" w:cs="宋体"/>
          <w:color w:val="auto"/>
          <w:szCs w:val="21"/>
          <w:highlight w:val="none"/>
        </w:rPr>
        <w:t>磋商</w:t>
      </w:r>
      <w:r>
        <w:rPr>
          <w:rFonts w:hint="eastAsia" w:ascii="宋体" w:hAnsi="宋体" w:cs="宋体"/>
          <w:color w:val="auto"/>
          <w:kern w:val="0"/>
          <w:szCs w:val="21"/>
          <w:highlight w:val="none"/>
        </w:rPr>
        <w:t>结束后，磋商小组应当按照少数服从多数的原则投票推荐3家以上（含3家）供应商的设计方案或者解决方案，并要求其在规定时间内密封提交最后报价。</w:t>
      </w:r>
    </w:p>
    <w:p>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21.8.3最后报价是供应商响应文件的有效组成部分。</w:t>
      </w:r>
    </w:p>
    <w:p>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21.9已提交响应文件的供应商，在提交最后报价之前，可以根据</w:t>
      </w:r>
      <w:r>
        <w:rPr>
          <w:rFonts w:hint="eastAsia" w:ascii="宋体" w:hAnsi="宋体" w:cs="宋体"/>
          <w:color w:val="auto"/>
          <w:szCs w:val="21"/>
          <w:highlight w:val="none"/>
        </w:rPr>
        <w:t>磋商</w:t>
      </w:r>
      <w:r>
        <w:rPr>
          <w:rFonts w:hint="eastAsia" w:ascii="宋体" w:hAnsi="宋体" w:cs="宋体"/>
          <w:color w:val="auto"/>
          <w:kern w:val="0"/>
          <w:szCs w:val="21"/>
          <w:highlight w:val="none"/>
        </w:rPr>
        <w:t>情况书面退出</w:t>
      </w:r>
      <w:r>
        <w:rPr>
          <w:rFonts w:hint="eastAsia" w:ascii="宋体" w:hAnsi="宋体" w:cs="宋体"/>
          <w:color w:val="auto"/>
          <w:szCs w:val="21"/>
          <w:highlight w:val="none"/>
        </w:rPr>
        <w:t>磋商</w:t>
      </w:r>
      <w:r>
        <w:rPr>
          <w:rFonts w:hint="eastAsia" w:ascii="宋体" w:hAnsi="宋体" w:cs="宋体"/>
          <w:color w:val="auto"/>
          <w:kern w:val="0"/>
          <w:szCs w:val="21"/>
          <w:highlight w:val="none"/>
        </w:rPr>
        <w:t>。</w:t>
      </w:r>
    </w:p>
    <w:p>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未书面退出</w:t>
      </w:r>
      <w:r>
        <w:rPr>
          <w:rFonts w:hint="eastAsia" w:ascii="宋体" w:hAnsi="宋体" w:cs="宋体"/>
          <w:color w:val="auto"/>
          <w:szCs w:val="21"/>
          <w:highlight w:val="none"/>
        </w:rPr>
        <w:t>磋商</w:t>
      </w:r>
      <w:r>
        <w:rPr>
          <w:rFonts w:hint="eastAsia" w:ascii="宋体" w:hAnsi="宋体" w:cs="宋体"/>
          <w:color w:val="auto"/>
          <w:kern w:val="0"/>
          <w:szCs w:val="21"/>
          <w:highlight w:val="none"/>
        </w:rPr>
        <w:t>的供应商在规定时间内密封提交最后报价，其最后报价超出采购预算导致已通过评审的响应文件无效的，按供应商在提交响应文件截止时间后撤回响应文件处理。</w:t>
      </w:r>
    </w:p>
    <w:p>
      <w:pPr>
        <w:widowControl/>
        <w:tabs>
          <w:tab w:val="left" w:pos="540"/>
        </w:tabs>
        <w:spacing w:line="4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21.10 评审报告</w:t>
      </w:r>
    </w:p>
    <w:p>
      <w:pPr>
        <w:spacing w:line="400" w:lineRule="exact"/>
        <w:ind w:firstLine="420"/>
        <w:rPr>
          <w:color w:val="auto"/>
          <w:highlight w:val="none"/>
        </w:rPr>
      </w:pPr>
      <w:r>
        <w:rPr>
          <w:rFonts w:hint="eastAsia" w:hAnsi="宋体" w:cs="宋体"/>
          <w:color w:val="auto"/>
          <w:szCs w:val="21"/>
          <w:highlight w:val="none"/>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按培训方案由高到低顺序排列并推荐成交候选供应商。</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21.11采购代理机构发现磋商小组有明显的违规倾向或歧视现象，或不按评审办法进行，或其他不正常行为的，应当及时制止。如制止无效，应及时向平乐县政府采购监督管理机构报告。</w:t>
      </w:r>
    </w:p>
    <w:p>
      <w:pPr>
        <w:spacing w:line="390" w:lineRule="exact"/>
        <w:ind w:firstLine="411" w:firstLineChars="196"/>
        <w:outlineLvl w:val="2"/>
        <w:rPr>
          <w:rFonts w:ascii="宋体" w:hAnsi="宋体" w:cs="宋体"/>
          <w:b/>
          <w:color w:val="auto"/>
          <w:szCs w:val="21"/>
          <w:highlight w:val="none"/>
        </w:rPr>
      </w:pPr>
      <w:bookmarkStart w:id="96" w:name="_Toc532901111"/>
      <w:bookmarkStart w:id="97" w:name="_Toc2838"/>
      <w:r>
        <w:rPr>
          <w:rFonts w:hint="eastAsia" w:ascii="宋体" w:hAnsi="宋体" w:cs="宋体"/>
          <w:b/>
          <w:color w:val="auto"/>
          <w:szCs w:val="21"/>
          <w:highlight w:val="none"/>
        </w:rPr>
        <w:t>22、确定成交供应商</w:t>
      </w:r>
      <w:bookmarkEnd w:id="96"/>
      <w:bookmarkEnd w:id="97"/>
    </w:p>
    <w:p>
      <w:pPr>
        <w:pStyle w:val="13"/>
        <w:tabs>
          <w:tab w:val="left" w:pos="4214"/>
        </w:tabs>
        <w:spacing w:line="380" w:lineRule="exact"/>
        <w:ind w:firstLine="420" w:firstLineChars="200"/>
        <w:rPr>
          <w:rFonts w:hAnsi="宋体" w:cs="宋体"/>
          <w:color w:val="auto"/>
          <w:szCs w:val="21"/>
          <w:highlight w:val="none"/>
        </w:rPr>
      </w:pPr>
      <w:r>
        <w:rPr>
          <w:rFonts w:hint="eastAsia" w:hAnsi="宋体" w:cs="宋体"/>
          <w:color w:val="auto"/>
          <w:szCs w:val="21"/>
          <w:highlight w:val="none"/>
        </w:rPr>
        <w:t>（1）招标采购单位应当确定磋商小组推荐排名第一的磋商供应商为成交供应商。</w:t>
      </w:r>
    </w:p>
    <w:p>
      <w:pPr>
        <w:pStyle w:val="13"/>
        <w:spacing w:line="380" w:lineRule="exact"/>
        <w:ind w:firstLine="447" w:firstLineChars="213"/>
        <w:rPr>
          <w:rFonts w:hAnsi="宋体" w:cs="宋体"/>
          <w:color w:val="auto"/>
          <w:szCs w:val="21"/>
          <w:highlight w:val="none"/>
        </w:rPr>
      </w:pPr>
      <w:r>
        <w:rPr>
          <w:rFonts w:hint="eastAsia" w:hAnsi="宋体" w:cs="宋体"/>
          <w:color w:val="auto"/>
          <w:szCs w:val="21"/>
          <w:highlight w:val="none"/>
        </w:rPr>
        <w:t>（2）排名第一的成交候选人放弃成交、因不可抗力提出不能履行合同，招标采购单位可以确定排名第二的成交候选人为成交供应商。</w:t>
      </w:r>
    </w:p>
    <w:p>
      <w:pPr>
        <w:pStyle w:val="13"/>
        <w:spacing w:line="380" w:lineRule="exact"/>
        <w:ind w:firstLine="420" w:firstLineChars="200"/>
        <w:rPr>
          <w:rFonts w:hAnsi="宋体" w:cs="宋体"/>
          <w:color w:val="auto"/>
          <w:szCs w:val="21"/>
          <w:highlight w:val="none"/>
        </w:rPr>
      </w:pPr>
      <w:r>
        <w:rPr>
          <w:rFonts w:hint="eastAsia" w:hAnsi="宋体" w:cs="宋体"/>
          <w:color w:val="auto"/>
          <w:szCs w:val="21"/>
          <w:highlight w:val="none"/>
        </w:rPr>
        <w:t>（3）第二成交候选人因前款规定的同样原因不能签订合同的，招标采购单位可以确定排名第三的成交候选人为成交供应商。</w:t>
      </w:r>
    </w:p>
    <w:p>
      <w:pPr>
        <w:spacing w:line="390" w:lineRule="exact"/>
        <w:ind w:firstLine="411" w:firstLineChars="196"/>
        <w:outlineLvl w:val="2"/>
        <w:rPr>
          <w:rFonts w:ascii="宋体" w:hAnsi="宋体" w:cs="宋体"/>
          <w:b/>
          <w:color w:val="auto"/>
          <w:szCs w:val="21"/>
          <w:highlight w:val="none"/>
        </w:rPr>
      </w:pPr>
      <w:bookmarkStart w:id="98" w:name="_Toc532901112"/>
      <w:bookmarkStart w:id="99" w:name="_Toc32449"/>
      <w:r>
        <w:rPr>
          <w:rFonts w:hint="eastAsia" w:ascii="宋体" w:hAnsi="宋体" w:cs="宋体"/>
          <w:b/>
          <w:color w:val="auto"/>
          <w:szCs w:val="21"/>
          <w:highlight w:val="none"/>
        </w:rPr>
        <w:t>23、属于下列情况之一者，磋商无效：</w:t>
      </w:r>
      <w:bookmarkEnd w:id="98"/>
      <w:bookmarkEnd w:id="99"/>
    </w:p>
    <w:p>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（1）未按磋商文件规定完整提交响应文件或未按规定要求</w:t>
      </w:r>
      <w:r>
        <w:rPr>
          <w:rFonts w:hint="eastAsia" w:ascii="宋体" w:hAnsi="宋体"/>
          <w:color w:val="auto"/>
          <w:szCs w:val="21"/>
          <w:highlight w:val="none"/>
        </w:rPr>
        <w:t>签字</w:t>
      </w:r>
      <w:r>
        <w:rPr>
          <w:rFonts w:hint="eastAsia" w:ascii="宋体" w:hAnsi="宋体" w:cs="宋体"/>
          <w:color w:val="auto"/>
          <w:szCs w:val="21"/>
          <w:highlight w:val="none"/>
        </w:rPr>
        <w:t>、盖章的，或未提供法人授权委托书（委托代理的）；</w:t>
      </w:r>
    </w:p>
    <w:p>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（2）超越了按照法律法规规定必须获得行政许可或者行政审批的经营范围的；</w:t>
      </w:r>
    </w:p>
    <w:p>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（3）不具备磋商文件规定的资格要求的；</w:t>
      </w:r>
    </w:p>
    <w:p>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（4）响应文件未按磋商文件的内容和要求编写，或提供虚假材料的；</w:t>
      </w:r>
    </w:p>
    <w:p>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（5）磋商有效期、服务期限、交付时间、服务承诺等不能满足磋商文件要求的；</w:t>
      </w:r>
    </w:p>
    <w:p>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（6）磋商供应商未就“服务采购要求”中的所有服务内容作完整唯一报价的；</w:t>
      </w:r>
    </w:p>
    <w:p>
      <w:pPr>
        <w:pStyle w:val="13"/>
        <w:spacing w:line="380" w:lineRule="exact"/>
        <w:ind w:firstLine="420" w:firstLineChars="200"/>
        <w:rPr>
          <w:rFonts w:hAnsi="宋体" w:cs="宋体"/>
          <w:color w:val="auto"/>
          <w:szCs w:val="24"/>
          <w:highlight w:val="none"/>
        </w:rPr>
      </w:pPr>
      <w:r>
        <w:rPr>
          <w:rFonts w:hint="eastAsia" w:hAnsi="宋体" w:cs="宋体"/>
          <w:color w:val="auto"/>
          <w:szCs w:val="24"/>
          <w:highlight w:val="none"/>
        </w:rPr>
        <w:t>（7）未实质性响应磋商文件要求的；或者响应文件有采购人不能接受的附加条件的；</w:t>
      </w:r>
    </w:p>
    <w:p>
      <w:pPr>
        <w:spacing w:line="380" w:lineRule="exact"/>
        <w:ind w:firstLine="420" w:firstLineChars="200"/>
        <w:rPr>
          <w:rFonts w:ascii="宋体" w:hAnsi="宋体" w:cs="宋体"/>
          <w:color w:val="auto"/>
          <w:highlight w:val="none"/>
        </w:rPr>
      </w:pPr>
      <w:r>
        <w:rPr>
          <w:rFonts w:hint="eastAsia" w:ascii="宋体" w:hAnsi="宋体" w:cs="宋体"/>
          <w:color w:val="auto"/>
          <w:szCs w:val="20"/>
          <w:highlight w:val="none"/>
        </w:rPr>
        <w:t>（8）</w:t>
      </w:r>
      <w:r>
        <w:rPr>
          <w:rFonts w:hint="eastAsia" w:ascii="宋体" w:hAnsi="宋体" w:cs="宋体"/>
          <w:color w:val="auto"/>
          <w:highlight w:val="none"/>
        </w:rPr>
        <w:t>磋商供应商未在磋商小组规定的时间内提交响应文件（包括最后报价）的 ；</w:t>
      </w:r>
    </w:p>
    <w:p>
      <w:pPr>
        <w:snapToGrid w:val="0"/>
        <w:spacing w:line="380" w:lineRule="exact"/>
        <w:ind w:firstLine="411" w:firstLineChars="196"/>
        <w:rPr>
          <w:rFonts w:ascii="宋体" w:hAnsi="宋体" w:cs="宋体"/>
          <w:color w:val="auto"/>
          <w:szCs w:val="21"/>
          <w:highlight w:val="none"/>
        </w:rPr>
      </w:pPr>
      <w:r>
        <w:rPr>
          <w:rFonts w:hint="eastAsia" w:ascii="宋体" w:hAnsi="宋体" w:cs="宋体"/>
          <w:color w:val="auto"/>
          <w:szCs w:val="20"/>
          <w:highlight w:val="none"/>
        </w:rPr>
        <w:t>（9</w:t>
      </w:r>
      <w:r>
        <w:rPr>
          <w:rFonts w:hint="eastAsia" w:ascii="宋体" w:hAnsi="宋体" w:cs="宋体"/>
          <w:color w:val="auto"/>
          <w:szCs w:val="21"/>
          <w:highlight w:val="none"/>
        </w:rPr>
        <w:t>）不符合法律、法规和磋商文件规定的其他实质性要求和条件的。</w:t>
      </w:r>
    </w:p>
    <w:p>
      <w:pPr>
        <w:snapToGrid w:val="0"/>
        <w:spacing w:line="380" w:lineRule="exact"/>
        <w:ind w:left="354" w:leftChars="169" w:firstLine="102" w:firstLineChars="49"/>
        <w:rPr>
          <w:rFonts w:ascii="宋体" w:hAnsi="宋体" w:cs="宋体"/>
          <w:b/>
          <w:color w:val="auto"/>
          <w:szCs w:val="21"/>
          <w:highlight w:val="none"/>
        </w:rPr>
      </w:pPr>
      <w:r>
        <w:rPr>
          <w:rFonts w:hint="eastAsia" w:ascii="宋体" w:hAnsi="宋体" w:cs="宋体"/>
          <w:b/>
          <w:color w:val="auto"/>
          <w:szCs w:val="21"/>
          <w:highlight w:val="none"/>
        </w:rPr>
        <w:t>供应商有下列情形之一的，视为串通参与磋商，响应文件将被视为无效：</w:t>
      </w:r>
    </w:p>
    <w:p>
      <w:pPr>
        <w:snapToGrid w:val="0"/>
        <w:spacing w:line="380" w:lineRule="exact"/>
        <w:ind w:left="354" w:leftChars="169" w:firstLine="102" w:firstLineChars="49"/>
        <w:rPr>
          <w:rFonts w:ascii="宋体" w:hAnsi="宋体" w:cs="宋体"/>
          <w:color w:val="auto"/>
          <w:highlight w:val="none"/>
        </w:rPr>
      </w:pPr>
      <w:r>
        <w:rPr>
          <w:rFonts w:hint="eastAsia" w:ascii="宋体" w:hAnsi="宋体" w:cs="宋体"/>
          <w:color w:val="auto"/>
          <w:highlight w:val="none"/>
        </w:rPr>
        <w:t>（1）不同供应商的响应文件由同一单位或者个人编制；或不同供应商报名的IP地址一致的；</w:t>
      </w:r>
    </w:p>
    <w:p>
      <w:pPr>
        <w:snapToGrid w:val="0"/>
        <w:spacing w:line="380" w:lineRule="exact"/>
        <w:ind w:left="354" w:leftChars="169" w:firstLine="102" w:firstLineChars="49"/>
        <w:rPr>
          <w:rFonts w:ascii="宋体" w:hAnsi="宋体" w:cs="宋体"/>
          <w:color w:val="auto"/>
          <w:highlight w:val="none"/>
        </w:rPr>
      </w:pPr>
      <w:r>
        <w:rPr>
          <w:rFonts w:hint="eastAsia" w:ascii="宋体" w:hAnsi="宋体" w:cs="宋体"/>
          <w:color w:val="auto"/>
          <w:highlight w:val="none"/>
        </w:rPr>
        <w:t>（2）不同供应商委托同一单位或者个人办理磋商事宜；</w:t>
      </w:r>
    </w:p>
    <w:p>
      <w:pPr>
        <w:snapToGrid w:val="0"/>
        <w:spacing w:line="380" w:lineRule="exact"/>
        <w:ind w:left="354" w:leftChars="169" w:firstLine="102" w:firstLineChars="49"/>
        <w:rPr>
          <w:rFonts w:ascii="宋体" w:hAnsi="宋体" w:cs="宋体"/>
          <w:color w:val="auto"/>
          <w:highlight w:val="none"/>
        </w:rPr>
      </w:pPr>
      <w:r>
        <w:rPr>
          <w:rFonts w:hint="eastAsia" w:ascii="宋体" w:hAnsi="宋体" w:cs="宋体"/>
          <w:color w:val="auto"/>
          <w:highlight w:val="none"/>
        </w:rPr>
        <w:t>（3）不同的供应商的响应文件载明的项目管理员为同一个人；</w:t>
      </w:r>
    </w:p>
    <w:p>
      <w:pPr>
        <w:snapToGrid w:val="0"/>
        <w:spacing w:line="380" w:lineRule="exact"/>
        <w:ind w:left="354" w:leftChars="169" w:firstLine="102" w:firstLineChars="49"/>
        <w:rPr>
          <w:rFonts w:ascii="宋体" w:hAnsi="宋体" w:cs="宋体"/>
          <w:color w:val="auto"/>
          <w:highlight w:val="none"/>
        </w:rPr>
      </w:pPr>
      <w:r>
        <w:rPr>
          <w:rFonts w:hint="eastAsia" w:ascii="宋体" w:hAnsi="宋体" w:cs="宋体"/>
          <w:color w:val="auto"/>
          <w:highlight w:val="none"/>
        </w:rPr>
        <w:t xml:space="preserve">（4）不同供应商的响应文件异常一致或最后报价呈规律性差异； </w:t>
      </w:r>
    </w:p>
    <w:p>
      <w:pPr>
        <w:snapToGrid w:val="0"/>
        <w:spacing w:line="380" w:lineRule="exact"/>
        <w:ind w:left="354" w:leftChars="169" w:firstLine="102" w:firstLineChars="49"/>
        <w:rPr>
          <w:rFonts w:ascii="宋体" w:hAnsi="宋体" w:cs="宋体"/>
          <w:color w:val="auto"/>
          <w:highlight w:val="none"/>
        </w:rPr>
      </w:pPr>
      <w:r>
        <w:rPr>
          <w:rFonts w:hint="eastAsia" w:ascii="宋体" w:hAnsi="宋体" w:cs="宋体"/>
          <w:color w:val="auto"/>
          <w:highlight w:val="none"/>
        </w:rPr>
        <w:t>（5）不同供应商的响应文件相互混装；</w:t>
      </w:r>
    </w:p>
    <w:p>
      <w:pPr>
        <w:spacing w:line="390" w:lineRule="exact"/>
        <w:ind w:firstLine="411" w:firstLineChars="196"/>
        <w:outlineLvl w:val="2"/>
        <w:rPr>
          <w:rFonts w:ascii="宋体" w:hAnsi="宋体" w:cs="宋体"/>
          <w:b/>
          <w:color w:val="auto"/>
          <w:szCs w:val="21"/>
          <w:highlight w:val="none"/>
        </w:rPr>
      </w:pPr>
      <w:bookmarkStart w:id="100" w:name="_Toc15722"/>
      <w:bookmarkStart w:id="101" w:name="_Toc532901113"/>
      <w:r>
        <w:rPr>
          <w:rFonts w:hint="eastAsia" w:ascii="宋体" w:hAnsi="宋体" w:cs="宋体"/>
          <w:b/>
          <w:color w:val="auto"/>
          <w:szCs w:val="21"/>
          <w:highlight w:val="none"/>
        </w:rPr>
        <w:t>24、出现下列情形之一的，采购人或者采购代理机构应当终止竞争性磋商采购活动，发布项目终止公告并说明原因，重新开展采购活动：</w:t>
      </w:r>
      <w:bookmarkEnd w:id="100"/>
      <w:bookmarkEnd w:id="101"/>
    </w:p>
    <w:p>
      <w:pPr>
        <w:snapToGrid w:val="0"/>
        <w:spacing w:line="39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pPr>
        <w:snapToGrid w:val="0"/>
        <w:spacing w:line="39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pPr>
        <w:snapToGrid w:val="0"/>
        <w:spacing w:line="39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 xml:space="preserve">（3）在采购过程中符合竞争要求的供应商或者磋商报价未超过采购预算的供应商不足3家的。 </w:t>
      </w:r>
    </w:p>
    <w:p>
      <w:pPr>
        <w:spacing w:line="390" w:lineRule="exact"/>
        <w:ind w:firstLine="411" w:firstLineChars="196"/>
        <w:outlineLvl w:val="2"/>
        <w:rPr>
          <w:rFonts w:ascii="宋体" w:hAnsi="宋体" w:cs="宋体"/>
          <w:b/>
          <w:color w:val="auto"/>
          <w:szCs w:val="21"/>
          <w:highlight w:val="none"/>
        </w:rPr>
      </w:pPr>
      <w:bookmarkStart w:id="102" w:name="_Toc532901114"/>
      <w:bookmarkStart w:id="103" w:name="_Toc29668"/>
      <w:r>
        <w:rPr>
          <w:rFonts w:hint="eastAsia" w:ascii="宋体" w:hAnsi="宋体" w:cs="宋体"/>
          <w:b/>
          <w:color w:val="auto"/>
          <w:szCs w:val="21"/>
          <w:highlight w:val="none"/>
        </w:rPr>
        <w:t>25、磋商过程的监控</w:t>
      </w:r>
      <w:bookmarkEnd w:id="102"/>
      <w:bookmarkEnd w:id="103"/>
    </w:p>
    <w:p>
      <w:pPr>
        <w:pStyle w:val="13"/>
        <w:spacing w:line="390" w:lineRule="exact"/>
        <w:ind w:firstLine="411" w:firstLineChars="196"/>
        <w:rPr>
          <w:rFonts w:hAnsi="宋体" w:cs="宋体"/>
          <w:color w:val="auto"/>
          <w:highlight w:val="none"/>
        </w:rPr>
      </w:pPr>
      <w:r>
        <w:rPr>
          <w:rFonts w:hint="eastAsia" w:hAnsi="宋体" w:cs="宋体"/>
          <w:color w:val="auto"/>
          <w:highlight w:val="none"/>
        </w:rPr>
        <w:t>本项目磋商过程实行全程录音、录像监控，磋商供应商在磋商过程中所进行的试图影响磋商结果的不公正活动，可能导致其磋商被拒绝。</w:t>
      </w:r>
    </w:p>
    <w:p>
      <w:pPr>
        <w:spacing w:line="390" w:lineRule="exact"/>
        <w:ind w:firstLine="411" w:firstLineChars="196"/>
        <w:outlineLvl w:val="2"/>
        <w:rPr>
          <w:rFonts w:ascii="宋体" w:hAnsi="宋体" w:cs="宋体"/>
          <w:b/>
          <w:color w:val="auto"/>
          <w:highlight w:val="none"/>
        </w:rPr>
      </w:pPr>
      <w:bookmarkStart w:id="104" w:name="_Toc532901115"/>
      <w:bookmarkStart w:id="105" w:name="_Toc31432"/>
      <w:r>
        <w:rPr>
          <w:rFonts w:hint="eastAsia" w:ascii="宋体" w:hAnsi="宋体" w:cs="宋体"/>
          <w:b/>
          <w:color w:val="auto"/>
          <w:highlight w:val="none"/>
        </w:rPr>
        <w:t>26、成交公告及成交通知</w:t>
      </w:r>
      <w:bookmarkEnd w:id="104"/>
      <w:bookmarkEnd w:id="105"/>
    </w:p>
    <w:p>
      <w:pPr>
        <w:spacing w:line="380" w:lineRule="exact"/>
        <w:ind w:firstLine="420" w:firstLineChars="200"/>
        <w:rPr>
          <w:rFonts w:ascii="宋体" w:hAnsi="宋体" w:cs="宋体"/>
          <w:color w:val="auto"/>
          <w:szCs w:val="21"/>
          <w:highlight w:val="none"/>
        </w:rPr>
      </w:pPr>
      <w:r>
        <w:rPr>
          <w:rFonts w:hint="eastAsia" w:ascii="宋体" w:hAnsi="宋体" w:cs="宋体"/>
          <w:color w:val="auto"/>
          <w:highlight w:val="none"/>
        </w:rPr>
        <w:t>26.1、</w:t>
      </w:r>
      <w:r>
        <w:rPr>
          <w:rFonts w:hint="eastAsia" w:ascii="宋体" w:hAnsi="宋体" w:cs="宋体"/>
          <w:color w:val="auto"/>
          <w:szCs w:val="21"/>
          <w:highlight w:val="none"/>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26.2、在发布成交公告的同时，采购代理机构向成交供应商发出成交通知书。如成交供应商自接到通知之日起七个工作日内，不办理成交通知书领取手续的，按违约处理。招标采购单位将取消其成交资格，从磋商小组推荐的成交候选供应商中按顺序重新确定成交供应商，组织供需双方签订合同。</w:t>
      </w:r>
    </w:p>
    <w:p>
      <w:pPr>
        <w:pStyle w:val="13"/>
        <w:spacing w:line="380" w:lineRule="exact"/>
        <w:ind w:firstLine="420" w:firstLineChars="200"/>
        <w:rPr>
          <w:rFonts w:hAnsi="宋体" w:cs="宋体"/>
          <w:color w:val="auto"/>
          <w:highlight w:val="none"/>
        </w:rPr>
      </w:pPr>
      <w:r>
        <w:rPr>
          <w:rFonts w:hint="eastAsia" w:hAnsi="宋体" w:cs="宋体"/>
          <w:color w:val="auto"/>
          <w:highlight w:val="none"/>
        </w:rPr>
        <w:t>26.3、采购代理机构无义务向未成交的磋商供应商解释未成交原因和退还响应文件。</w:t>
      </w:r>
    </w:p>
    <w:p>
      <w:pPr>
        <w:spacing w:line="390" w:lineRule="exact"/>
        <w:ind w:firstLine="411" w:firstLineChars="196"/>
        <w:outlineLvl w:val="2"/>
        <w:rPr>
          <w:rFonts w:ascii="宋体" w:hAnsi="宋体" w:cs="宋体"/>
          <w:b/>
          <w:color w:val="auto"/>
          <w:szCs w:val="20"/>
          <w:highlight w:val="none"/>
        </w:rPr>
      </w:pPr>
      <w:bookmarkStart w:id="106" w:name="_Toc8726"/>
      <w:bookmarkStart w:id="107" w:name="_Toc532901116"/>
      <w:r>
        <w:rPr>
          <w:rFonts w:hint="eastAsia" w:ascii="宋体" w:hAnsi="宋体" w:cs="宋体"/>
          <w:b/>
          <w:color w:val="auto"/>
          <w:szCs w:val="20"/>
          <w:highlight w:val="none"/>
        </w:rPr>
        <w:t>27、</w:t>
      </w:r>
      <w:r>
        <w:rPr>
          <w:rFonts w:hint="eastAsia" w:ascii="宋体" w:hAnsi="宋体" w:cs="宋体"/>
          <w:b/>
          <w:color w:val="auto"/>
          <w:szCs w:val="21"/>
          <w:highlight w:val="none"/>
        </w:rPr>
        <w:t>信用</w:t>
      </w:r>
      <w:r>
        <w:rPr>
          <w:rFonts w:hint="eastAsia" w:ascii="宋体" w:hAnsi="宋体" w:cs="宋体"/>
          <w:b/>
          <w:color w:val="auto"/>
          <w:szCs w:val="20"/>
          <w:highlight w:val="none"/>
        </w:rPr>
        <w:t>查询</w:t>
      </w:r>
      <w:bookmarkEnd w:id="106"/>
      <w:bookmarkEnd w:id="107"/>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（2）查询截止时点：成交通知书发出前；</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pPr>
        <w:spacing w:line="400" w:lineRule="exact"/>
        <w:ind w:firstLine="420"/>
        <w:rPr>
          <w:rFonts w:ascii="宋体" w:hAnsi="宋体" w:cs="宋体"/>
          <w:b/>
          <w:color w:val="auto"/>
          <w:sz w:val="28"/>
          <w:szCs w:val="28"/>
          <w:highlight w:val="none"/>
        </w:rPr>
      </w:pPr>
      <w:r>
        <w:rPr>
          <w:rFonts w:hint="eastAsia" w:ascii="宋体" w:hAnsi="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bookmarkStart w:id="108" w:name="_Toc532901117"/>
      <w:bookmarkStart w:id="109" w:name="_Toc1900"/>
    </w:p>
    <w:p>
      <w:pPr>
        <w:spacing w:line="340" w:lineRule="exact"/>
        <w:jc w:val="center"/>
        <w:outlineLvl w:val="1"/>
        <w:rPr>
          <w:rFonts w:hint="eastAsia" w:ascii="宋体" w:hAnsi="宋体" w:cs="宋体"/>
          <w:b/>
          <w:color w:val="auto"/>
          <w:sz w:val="28"/>
          <w:szCs w:val="28"/>
          <w:highlight w:val="none"/>
        </w:rPr>
      </w:pPr>
    </w:p>
    <w:p>
      <w:pPr>
        <w:spacing w:line="340" w:lineRule="exact"/>
        <w:jc w:val="center"/>
        <w:outlineLvl w:val="1"/>
        <w:rPr>
          <w:rFonts w:hint="eastAsia" w:ascii="宋体" w:hAnsi="宋体" w:cs="宋体"/>
          <w:b/>
          <w:color w:val="auto"/>
          <w:sz w:val="28"/>
          <w:szCs w:val="28"/>
          <w:highlight w:val="none"/>
        </w:rPr>
      </w:pPr>
    </w:p>
    <w:p>
      <w:pPr>
        <w:spacing w:line="340" w:lineRule="exact"/>
        <w:jc w:val="center"/>
        <w:outlineLvl w:val="1"/>
        <w:rPr>
          <w:rFonts w:hint="eastAsia" w:ascii="宋体" w:hAnsi="宋体" w:cs="宋体"/>
          <w:b/>
          <w:color w:val="auto"/>
          <w:sz w:val="28"/>
          <w:szCs w:val="28"/>
          <w:highlight w:val="none"/>
        </w:rPr>
      </w:pPr>
    </w:p>
    <w:p>
      <w:pPr>
        <w:spacing w:line="3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五、签订合同</w:t>
      </w:r>
      <w:bookmarkEnd w:id="108"/>
      <w:bookmarkEnd w:id="109"/>
    </w:p>
    <w:p>
      <w:pPr>
        <w:spacing w:line="340" w:lineRule="exact"/>
        <w:ind w:firstLine="411" w:firstLineChars="196"/>
        <w:outlineLvl w:val="2"/>
        <w:rPr>
          <w:rFonts w:ascii="宋体" w:hAnsi="宋体" w:cs="宋体"/>
          <w:b/>
          <w:color w:val="auto"/>
          <w:szCs w:val="21"/>
          <w:highlight w:val="none"/>
        </w:rPr>
      </w:pPr>
      <w:bookmarkStart w:id="110" w:name="_Toc22550"/>
      <w:bookmarkStart w:id="111" w:name="_Toc532901118"/>
      <w:r>
        <w:rPr>
          <w:rFonts w:hint="eastAsia" w:ascii="宋体" w:hAnsi="宋体" w:cs="宋体"/>
          <w:b/>
          <w:color w:val="auto"/>
          <w:highlight w:val="none"/>
        </w:rPr>
        <w:t>28</w:t>
      </w:r>
      <w:r>
        <w:rPr>
          <w:rFonts w:hint="eastAsia" w:ascii="宋体" w:hAnsi="宋体" w:cs="宋体"/>
          <w:b/>
          <w:color w:val="auto"/>
          <w:szCs w:val="21"/>
          <w:highlight w:val="none"/>
        </w:rPr>
        <w:t>、履约保证金</w:t>
      </w:r>
      <w:bookmarkEnd w:id="110"/>
      <w:bookmarkEnd w:id="111"/>
    </w:p>
    <w:p>
      <w:pPr>
        <w:pStyle w:val="2"/>
        <w:spacing w:line="340" w:lineRule="exact"/>
        <w:ind w:firstLine="420" w:firstLineChars="200"/>
        <w:rPr>
          <w:rFonts w:ascii="宋体" w:hAnsi="宋体" w:cs="宋体"/>
          <w:color w:val="auto"/>
          <w:highlight w:val="none"/>
        </w:rPr>
      </w:pPr>
      <w:r>
        <w:rPr>
          <w:rFonts w:hint="eastAsia" w:hAnsi="宋体"/>
          <w:color w:val="auto"/>
          <w:szCs w:val="21"/>
          <w:highlight w:val="none"/>
        </w:rPr>
        <w:t>本项目不收取履约保证金。</w:t>
      </w:r>
    </w:p>
    <w:p>
      <w:pPr>
        <w:spacing w:line="340" w:lineRule="exact"/>
        <w:ind w:firstLine="411" w:firstLineChars="196"/>
        <w:outlineLvl w:val="2"/>
        <w:rPr>
          <w:rFonts w:ascii="宋体" w:hAnsi="宋体" w:cs="宋体"/>
          <w:b/>
          <w:color w:val="auto"/>
          <w:szCs w:val="21"/>
          <w:highlight w:val="none"/>
        </w:rPr>
      </w:pPr>
      <w:bookmarkStart w:id="112" w:name="_Toc27848"/>
      <w:bookmarkStart w:id="113" w:name="_Toc532901119"/>
      <w:r>
        <w:rPr>
          <w:rFonts w:hint="eastAsia" w:ascii="宋体" w:hAnsi="宋体" w:cs="宋体"/>
          <w:b/>
          <w:color w:val="auto"/>
          <w:szCs w:val="21"/>
          <w:highlight w:val="none"/>
        </w:rPr>
        <w:t>29、签订合同</w:t>
      </w:r>
      <w:bookmarkEnd w:id="112"/>
      <w:bookmarkEnd w:id="113"/>
    </w:p>
    <w:p>
      <w:pPr>
        <w:pStyle w:val="11"/>
        <w:spacing w:line="340" w:lineRule="exact"/>
        <w:ind w:firstLine="420" w:firstLineChars="200"/>
        <w:rPr>
          <w:rFonts w:ascii="宋体" w:hAnsi="宋体" w:cs="宋体"/>
          <w:color w:val="auto"/>
          <w:highlight w:val="none"/>
        </w:rPr>
      </w:pPr>
      <w:r>
        <w:rPr>
          <w:rFonts w:hint="eastAsia" w:ascii="宋体" w:hAnsi="宋体" w:cs="宋体"/>
          <w:color w:val="auto"/>
          <w:highlight w:val="none"/>
        </w:rPr>
        <w:t>29.1、签订合同时间：成交</w:t>
      </w:r>
      <w:r>
        <w:rPr>
          <w:rFonts w:hint="eastAsia" w:hAnsi="宋体"/>
          <w:color w:val="auto"/>
          <w:szCs w:val="21"/>
          <w:highlight w:val="none"/>
        </w:rPr>
        <w:t>通知书发出之日起25日内</w:t>
      </w:r>
      <w:r>
        <w:rPr>
          <w:rFonts w:hint="eastAsia" w:ascii="宋体" w:hAnsi="宋体" w:cs="宋体"/>
          <w:color w:val="auto"/>
          <w:highlight w:val="none"/>
        </w:rPr>
        <w:t>。成交供应商领取成交通知书后，应按规定与采购人签订合同。</w:t>
      </w:r>
    </w:p>
    <w:p>
      <w:pPr>
        <w:pStyle w:val="13"/>
        <w:spacing w:line="340" w:lineRule="exact"/>
        <w:ind w:left="3" w:firstLine="420" w:firstLineChars="200"/>
        <w:rPr>
          <w:rFonts w:hAnsi="宋体" w:cs="宋体"/>
          <w:color w:val="auto"/>
          <w:highlight w:val="none"/>
        </w:rPr>
      </w:pPr>
      <w:r>
        <w:rPr>
          <w:rFonts w:hint="eastAsia" w:hAnsi="宋体" w:cs="宋体"/>
          <w:color w:val="auto"/>
          <w:highlight w:val="none"/>
        </w:rPr>
        <w:t>29.2、如成交供应商有下列情形之一的，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pStyle w:val="13"/>
        <w:spacing w:line="340" w:lineRule="exact"/>
        <w:ind w:left="3" w:firstLine="420" w:firstLineChars="200"/>
        <w:rPr>
          <w:rFonts w:hAnsi="宋体" w:cs="宋体"/>
          <w:color w:val="auto"/>
          <w:highlight w:val="none"/>
        </w:rPr>
      </w:pPr>
      <w:r>
        <w:rPr>
          <w:rFonts w:hint="eastAsia" w:hAnsi="宋体" w:cs="宋体"/>
          <w:color w:val="auto"/>
          <w:highlight w:val="none"/>
        </w:rPr>
        <w:t>（1）成交后不与采购人签订合同的（不可抗力除外）；</w:t>
      </w:r>
    </w:p>
    <w:p>
      <w:pPr>
        <w:pStyle w:val="13"/>
        <w:spacing w:line="340" w:lineRule="exact"/>
        <w:ind w:left="3" w:firstLine="420" w:firstLineChars="200"/>
        <w:rPr>
          <w:rFonts w:hAnsi="宋体" w:cs="宋体"/>
          <w:color w:val="auto"/>
          <w:highlight w:val="none"/>
        </w:rPr>
      </w:pPr>
      <w:r>
        <w:rPr>
          <w:rFonts w:hint="eastAsia" w:hAnsi="宋体" w:cs="宋体"/>
          <w:color w:val="auto"/>
          <w:highlight w:val="none"/>
        </w:rPr>
        <w:t>（2）将成交项目转让给他人，或者在响应文件中未说明，且未经采购人同意，将成交项目分包给他人的；</w:t>
      </w:r>
    </w:p>
    <w:p>
      <w:pPr>
        <w:pStyle w:val="13"/>
        <w:spacing w:line="340" w:lineRule="exact"/>
        <w:ind w:left="3" w:firstLine="420" w:firstLineChars="200"/>
        <w:rPr>
          <w:rFonts w:hAnsi="宋体" w:cs="宋体"/>
          <w:color w:val="auto"/>
          <w:highlight w:val="none"/>
        </w:rPr>
      </w:pPr>
      <w:r>
        <w:rPr>
          <w:rFonts w:hint="eastAsia" w:hAnsi="宋体" w:cs="宋体"/>
          <w:color w:val="auto"/>
          <w:highlight w:val="none"/>
        </w:rPr>
        <w:t>（3）拒绝履行合同义务的。</w:t>
      </w:r>
    </w:p>
    <w:p>
      <w:pPr>
        <w:spacing w:line="340" w:lineRule="exact"/>
        <w:ind w:firstLine="420" w:firstLineChars="200"/>
        <w:rPr>
          <w:rFonts w:ascii="宋体" w:hAnsi="宋体" w:cs="宋体"/>
          <w:b/>
          <w:color w:val="auto"/>
          <w:sz w:val="28"/>
          <w:szCs w:val="28"/>
          <w:highlight w:val="none"/>
        </w:rPr>
      </w:pPr>
      <w:r>
        <w:rPr>
          <w:rFonts w:hint="eastAsia" w:ascii="宋体" w:hAnsi="宋体" w:cs="宋体"/>
          <w:color w:val="auto"/>
          <w:highlight w:val="none"/>
        </w:rPr>
        <w:t>29.3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平乐县政府采购办公室备案，一份由采购代理机构存档。</w:t>
      </w:r>
      <w:bookmarkStart w:id="114" w:name="_Toc16527"/>
      <w:bookmarkStart w:id="115" w:name="_Toc532901120"/>
    </w:p>
    <w:p>
      <w:pPr>
        <w:spacing w:line="440" w:lineRule="atLeas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六、其他事项</w:t>
      </w:r>
      <w:bookmarkEnd w:id="114"/>
      <w:bookmarkEnd w:id="115"/>
    </w:p>
    <w:p>
      <w:pPr>
        <w:spacing w:line="340" w:lineRule="exact"/>
        <w:ind w:firstLine="411" w:firstLineChars="196"/>
        <w:outlineLvl w:val="2"/>
        <w:rPr>
          <w:rFonts w:ascii="宋体" w:hAnsi="宋体" w:cs="宋体"/>
          <w:b/>
          <w:color w:val="auto"/>
          <w:highlight w:val="none"/>
        </w:rPr>
      </w:pPr>
      <w:bookmarkStart w:id="116" w:name="_Toc532901121"/>
      <w:bookmarkStart w:id="117" w:name="_Toc24018"/>
      <w:r>
        <w:rPr>
          <w:rFonts w:hint="eastAsia" w:ascii="宋体" w:hAnsi="宋体" w:cs="宋体"/>
          <w:b/>
          <w:color w:val="auto"/>
          <w:highlight w:val="none"/>
        </w:rPr>
        <w:t>30</w:t>
      </w:r>
      <w:r>
        <w:rPr>
          <w:rFonts w:hint="eastAsia" w:ascii="宋体" w:hAnsi="宋体" w:cs="宋体"/>
          <w:b/>
          <w:color w:val="auto"/>
          <w:szCs w:val="21"/>
          <w:highlight w:val="none"/>
        </w:rPr>
        <w:t>、</w:t>
      </w:r>
      <w:r>
        <w:rPr>
          <w:rFonts w:hint="eastAsia" w:ascii="宋体" w:hAnsi="宋体" w:cs="宋体"/>
          <w:b/>
          <w:color w:val="auto"/>
          <w:highlight w:val="none"/>
        </w:rPr>
        <w:t>采购代理服务费</w:t>
      </w:r>
      <w:bookmarkEnd w:id="116"/>
      <w:bookmarkEnd w:id="117"/>
    </w:p>
    <w:p>
      <w:pPr>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成交供应商在签订合同前，参照计价格[2002]1980号《招标代理服务收费管理暂行办法》服务类收费标准向广西鼎策工程顾问有限责任公司一次性付清代理服务费。</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2214"/>
        <w:gridCol w:w="2202"/>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9" w:type="pct"/>
          </w:tcPr>
          <w:p>
            <w:pPr>
              <w:pStyle w:val="13"/>
              <w:ind w:left="25"/>
              <w:rPr>
                <w:rFonts w:hAnsi="宋体" w:cs="宋体"/>
                <w:color w:val="auto"/>
                <w:szCs w:val="21"/>
                <w:highlight w:val="none"/>
              </w:rPr>
            </w:pPr>
            <w:r>
              <w:rPr>
                <w:rFonts w:hint="eastAsia"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10795</wp:posOffset>
                      </wp:positionV>
                      <wp:extent cx="1637665" cy="584200"/>
                      <wp:effectExtent l="1905" t="4445" r="17780" b="20955"/>
                      <wp:wrapNone/>
                      <wp:docPr id="10" name="直接连接符 10"/>
                      <wp:cNvGraphicFramePr/>
                      <a:graphic xmlns:a="http://schemas.openxmlformats.org/drawingml/2006/main">
                        <a:graphicData uri="http://schemas.microsoft.com/office/word/2010/wordprocessingShape">
                          <wps:wsp>
                            <wps:cNvCnPr/>
                            <wps:spPr>
                              <a:xfrm>
                                <a:off x="0" y="0"/>
                                <a:ext cx="1637665" cy="5842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35pt;margin-top:0.85pt;height:46pt;width:128.95pt;z-index:251660288;mso-width-relative:page;mso-height-relative:page;" filled="f" stroked="t" coordsize="21600,21600" o:gfxdata="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7WBMfWAAAABwEAAA8AAAAAAAAAAQAgAAAAIgAAAGRycy9kb3ducmV2LnhtbFBLAQIUABQAAAAI&#10;AIdO4kAMHPCg7wEAAN8DAAAOAAAAAAAAAAEAIAAAACUBAABkcnMvZTJvRG9jLnhtbFBLBQYAAAAA&#10;BgAGAFkBAACGBQAAAAA=&#10;">
                      <v:fill on="f" focussize="0,0"/>
                      <v:stroke color="#000000" joinstyle="round"/>
                      <v:imagedata o:title=""/>
                      <o:lock v:ext="edit" aspectratio="f"/>
                    </v:line>
                  </w:pict>
                </mc:Fallback>
              </mc:AlternateContent>
            </w:r>
            <w:r>
              <w:rPr>
                <w:rFonts w:hint="eastAsia" w:hAnsi="宋体" w:cs="宋体"/>
                <w:color w:val="auto"/>
                <w:szCs w:val="21"/>
                <w:highlight w:val="none"/>
              </w:rPr>
              <w:t>费率           服务类型</w:t>
            </w:r>
          </w:p>
          <w:p>
            <w:pPr>
              <w:pStyle w:val="13"/>
              <w:ind w:left="25"/>
              <w:rPr>
                <w:rFonts w:hAnsi="宋体" w:cs="宋体"/>
                <w:color w:val="auto"/>
                <w:szCs w:val="21"/>
                <w:highlight w:val="none"/>
              </w:rPr>
            </w:pPr>
            <w:r>
              <w:rPr>
                <w:rFonts w:hint="eastAsia"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45085</wp:posOffset>
                      </wp:positionV>
                      <wp:extent cx="1923415" cy="377190"/>
                      <wp:effectExtent l="635" t="4445" r="19050" b="18415"/>
                      <wp:wrapNone/>
                      <wp:docPr id="9" name="直接连接符 9"/>
                      <wp:cNvGraphicFramePr/>
                      <a:graphic xmlns:a="http://schemas.openxmlformats.org/drawingml/2006/main">
                        <a:graphicData uri="http://schemas.microsoft.com/office/word/2010/wordprocessingShape">
                          <wps:wsp>
                            <wps:cNvCnPr/>
                            <wps:spPr>
                              <a:xfrm>
                                <a:off x="0" y="0"/>
                                <a:ext cx="1923415" cy="377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1pt;margin-top:3.55pt;height:29.7pt;width:151.45pt;z-index:251661312;mso-width-relative:page;mso-height-relative:page;" filled="f" stroked="t" coordsize="21600,21600" o:gfxdata="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GROh1wAAAAgBAAAPAAAAAAAAAAEAIAAAACIAAABkcnMvZG93bnJldi54bWxQSwECFAAU&#10;AAAACACHTuJAeMBLQfIBAADdAwAADgAAAAAAAAABACAAAAAmAQAAZHJzL2Uyb0RvYy54bWxQSwUG&#10;AAAAAAYABgBZAQAAigUAAAAA&#10;">
                      <v:fill on="f" focussize="0,0"/>
                      <v:stroke color="#000000" joinstyle="round"/>
                      <v:imagedata o:title=""/>
                      <o:lock v:ext="edit" aspectratio="f"/>
                    </v:line>
                  </w:pict>
                </mc:Fallback>
              </mc:AlternateContent>
            </w:r>
          </w:p>
          <w:p>
            <w:pPr>
              <w:pStyle w:val="13"/>
              <w:ind w:left="25"/>
              <w:rPr>
                <w:rFonts w:hAnsi="宋体" w:cs="宋体"/>
                <w:color w:val="auto"/>
                <w:szCs w:val="21"/>
                <w:highlight w:val="none"/>
              </w:rPr>
            </w:pPr>
            <w:r>
              <w:rPr>
                <w:rFonts w:hint="eastAsia" w:hAnsi="宋体" w:cs="宋体"/>
                <w:color w:val="auto"/>
                <w:szCs w:val="21"/>
                <w:highlight w:val="none"/>
              </w:rPr>
              <w:t>中标金额（万元）</w:t>
            </w:r>
          </w:p>
        </w:tc>
        <w:tc>
          <w:tcPr>
            <w:tcW w:w="1111" w:type="pct"/>
            <w:vAlign w:val="center"/>
          </w:tcPr>
          <w:p>
            <w:pPr>
              <w:pStyle w:val="13"/>
              <w:ind w:left="25"/>
              <w:jc w:val="center"/>
              <w:rPr>
                <w:rFonts w:hAnsi="宋体" w:cs="宋体"/>
                <w:color w:val="auto"/>
                <w:szCs w:val="21"/>
                <w:highlight w:val="none"/>
              </w:rPr>
            </w:pPr>
            <w:r>
              <w:rPr>
                <w:rFonts w:hint="eastAsia" w:hAnsi="宋体" w:cs="宋体"/>
                <w:color w:val="auto"/>
                <w:szCs w:val="21"/>
                <w:highlight w:val="none"/>
              </w:rPr>
              <w:t>货物招标</w:t>
            </w:r>
          </w:p>
        </w:tc>
        <w:tc>
          <w:tcPr>
            <w:tcW w:w="1105" w:type="pct"/>
            <w:vAlign w:val="center"/>
          </w:tcPr>
          <w:p>
            <w:pPr>
              <w:pStyle w:val="13"/>
              <w:ind w:left="25"/>
              <w:jc w:val="center"/>
              <w:rPr>
                <w:rFonts w:hAnsi="宋体" w:cs="宋体"/>
                <w:color w:val="auto"/>
                <w:szCs w:val="21"/>
                <w:highlight w:val="none"/>
              </w:rPr>
            </w:pPr>
            <w:r>
              <w:rPr>
                <w:rFonts w:hint="eastAsia" w:hAnsi="宋体" w:cs="宋体"/>
                <w:color w:val="auto"/>
                <w:szCs w:val="21"/>
                <w:highlight w:val="none"/>
              </w:rPr>
              <w:t>服务招标</w:t>
            </w:r>
          </w:p>
        </w:tc>
        <w:tc>
          <w:tcPr>
            <w:tcW w:w="1273" w:type="pct"/>
            <w:vAlign w:val="center"/>
          </w:tcPr>
          <w:p>
            <w:pPr>
              <w:pStyle w:val="13"/>
              <w:ind w:left="25"/>
              <w:jc w:val="center"/>
              <w:rPr>
                <w:rFonts w:hAnsi="宋体" w:cs="宋体"/>
                <w:color w:val="auto"/>
                <w:szCs w:val="21"/>
                <w:highlight w:val="none"/>
              </w:rPr>
            </w:pPr>
            <w:r>
              <w:rPr>
                <w:rFonts w:hint="eastAsia"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09" w:type="pct"/>
          </w:tcPr>
          <w:p>
            <w:pPr>
              <w:pStyle w:val="13"/>
              <w:ind w:left="25"/>
              <w:rPr>
                <w:rFonts w:hAnsi="宋体" w:cs="宋体"/>
                <w:color w:val="auto"/>
                <w:szCs w:val="21"/>
                <w:highlight w:val="none"/>
              </w:rPr>
            </w:pPr>
            <w:r>
              <w:rPr>
                <w:rFonts w:hint="eastAsia" w:hAnsi="宋体" w:cs="宋体"/>
                <w:color w:val="auto"/>
                <w:szCs w:val="21"/>
                <w:highlight w:val="none"/>
              </w:rPr>
              <w:t>100以下</w:t>
            </w:r>
          </w:p>
        </w:tc>
        <w:tc>
          <w:tcPr>
            <w:tcW w:w="1111" w:type="pct"/>
          </w:tcPr>
          <w:p>
            <w:pPr>
              <w:pStyle w:val="13"/>
              <w:ind w:left="25"/>
              <w:jc w:val="center"/>
              <w:rPr>
                <w:rFonts w:hAnsi="宋体" w:cs="宋体"/>
                <w:color w:val="auto"/>
                <w:szCs w:val="21"/>
                <w:highlight w:val="none"/>
              </w:rPr>
            </w:pPr>
            <w:r>
              <w:rPr>
                <w:rFonts w:hint="eastAsia" w:hAnsi="宋体" w:cs="宋体"/>
                <w:color w:val="auto"/>
                <w:szCs w:val="21"/>
                <w:highlight w:val="none"/>
              </w:rPr>
              <w:t>1.5%</w:t>
            </w:r>
          </w:p>
        </w:tc>
        <w:tc>
          <w:tcPr>
            <w:tcW w:w="1105" w:type="pct"/>
          </w:tcPr>
          <w:p>
            <w:pPr>
              <w:pStyle w:val="13"/>
              <w:ind w:left="25"/>
              <w:jc w:val="center"/>
              <w:rPr>
                <w:rFonts w:hAnsi="宋体" w:cs="宋体"/>
                <w:color w:val="auto"/>
                <w:szCs w:val="21"/>
                <w:highlight w:val="none"/>
              </w:rPr>
            </w:pPr>
            <w:r>
              <w:rPr>
                <w:rFonts w:hint="eastAsia" w:hAnsi="宋体" w:cs="宋体"/>
                <w:color w:val="auto"/>
                <w:szCs w:val="21"/>
                <w:highlight w:val="none"/>
              </w:rPr>
              <w:t>1.5%</w:t>
            </w:r>
          </w:p>
        </w:tc>
        <w:tc>
          <w:tcPr>
            <w:tcW w:w="1273" w:type="pct"/>
          </w:tcPr>
          <w:p>
            <w:pPr>
              <w:pStyle w:val="13"/>
              <w:ind w:left="25"/>
              <w:jc w:val="center"/>
              <w:rPr>
                <w:rFonts w:hAnsi="宋体" w:cs="宋体"/>
                <w:color w:val="auto"/>
                <w:szCs w:val="21"/>
                <w:highlight w:val="none"/>
              </w:rPr>
            </w:pPr>
            <w:r>
              <w:rPr>
                <w:rFonts w:hint="eastAsia"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1509" w:type="pct"/>
          </w:tcPr>
          <w:p>
            <w:pPr>
              <w:pStyle w:val="13"/>
              <w:ind w:left="25"/>
              <w:rPr>
                <w:rFonts w:hAnsi="宋体" w:cs="宋体"/>
                <w:color w:val="auto"/>
                <w:szCs w:val="21"/>
                <w:highlight w:val="none"/>
              </w:rPr>
            </w:pPr>
            <w:r>
              <w:rPr>
                <w:rFonts w:hint="eastAsia" w:hAnsi="宋体" w:cs="宋体"/>
                <w:color w:val="auto"/>
                <w:szCs w:val="21"/>
                <w:highlight w:val="none"/>
              </w:rPr>
              <w:t>100-500</w:t>
            </w:r>
          </w:p>
        </w:tc>
        <w:tc>
          <w:tcPr>
            <w:tcW w:w="1111" w:type="pct"/>
          </w:tcPr>
          <w:p>
            <w:pPr>
              <w:pStyle w:val="13"/>
              <w:ind w:left="25"/>
              <w:jc w:val="center"/>
              <w:rPr>
                <w:rFonts w:hAnsi="宋体" w:cs="宋体"/>
                <w:color w:val="auto"/>
                <w:szCs w:val="21"/>
                <w:highlight w:val="none"/>
              </w:rPr>
            </w:pPr>
            <w:r>
              <w:rPr>
                <w:rFonts w:hint="eastAsia" w:hAnsi="宋体" w:cs="宋体"/>
                <w:color w:val="auto"/>
                <w:szCs w:val="21"/>
                <w:highlight w:val="none"/>
              </w:rPr>
              <w:t>1.1%</w:t>
            </w:r>
          </w:p>
        </w:tc>
        <w:tc>
          <w:tcPr>
            <w:tcW w:w="1105" w:type="pct"/>
          </w:tcPr>
          <w:p>
            <w:pPr>
              <w:pStyle w:val="13"/>
              <w:ind w:left="25"/>
              <w:jc w:val="center"/>
              <w:rPr>
                <w:rFonts w:hAnsi="宋体" w:cs="宋体"/>
                <w:color w:val="auto"/>
                <w:szCs w:val="21"/>
                <w:highlight w:val="none"/>
              </w:rPr>
            </w:pPr>
            <w:r>
              <w:rPr>
                <w:rFonts w:hint="eastAsia" w:hAnsi="宋体" w:cs="宋体"/>
                <w:color w:val="auto"/>
                <w:szCs w:val="21"/>
                <w:highlight w:val="none"/>
              </w:rPr>
              <w:t>0.8%</w:t>
            </w:r>
          </w:p>
        </w:tc>
        <w:tc>
          <w:tcPr>
            <w:tcW w:w="1273" w:type="pct"/>
          </w:tcPr>
          <w:p>
            <w:pPr>
              <w:pStyle w:val="13"/>
              <w:ind w:left="25"/>
              <w:jc w:val="center"/>
              <w:rPr>
                <w:rFonts w:hAnsi="宋体" w:cs="宋体"/>
                <w:color w:val="auto"/>
                <w:szCs w:val="21"/>
                <w:highlight w:val="none"/>
              </w:rPr>
            </w:pPr>
            <w:r>
              <w:rPr>
                <w:rFonts w:hint="eastAsia" w:hAnsi="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509" w:type="pct"/>
          </w:tcPr>
          <w:p>
            <w:pPr>
              <w:pStyle w:val="13"/>
              <w:ind w:left="25"/>
              <w:rPr>
                <w:rFonts w:hAnsi="宋体" w:cs="宋体"/>
                <w:color w:val="auto"/>
                <w:szCs w:val="21"/>
                <w:highlight w:val="none"/>
              </w:rPr>
            </w:pPr>
            <w:r>
              <w:rPr>
                <w:rFonts w:hint="eastAsia" w:hAnsi="宋体" w:cs="宋体"/>
                <w:color w:val="auto"/>
                <w:szCs w:val="21"/>
                <w:highlight w:val="none"/>
              </w:rPr>
              <w:t>500-1000</w:t>
            </w:r>
          </w:p>
        </w:tc>
        <w:tc>
          <w:tcPr>
            <w:tcW w:w="1111" w:type="pct"/>
          </w:tcPr>
          <w:p>
            <w:pPr>
              <w:pStyle w:val="13"/>
              <w:ind w:left="25"/>
              <w:jc w:val="center"/>
              <w:rPr>
                <w:rFonts w:hAnsi="宋体" w:cs="宋体"/>
                <w:color w:val="auto"/>
                <w:szCs w:val="21"/>
                <w:highlight w:val="none"/>
              </w:rPr>
            </w:pPr>
            <w:r>
              <w:rPr>
                <w:rFonts w:hint="eastAsia" w:hAnsi="宋体" w:cs="宋体"/>
                <w:color w:val="auto"/>
                <w:szCs w:val="21"/>
                <w:highlight w:val="none"/>
              </w:rPr>
              <w:t>0.8%</w:t>
            </w:r>
          </w:p>
        </w:tc>
        <w:tc>
          <w:tcPr>
            <w:tcW w:w="1105" w:type="pct"/>
          </w:tcPr>
          <w:p>
            <w:pPr>
              <w:pStyle w:val="13"/>
              <w:ind w:left="25"/>
              <w:jc w:val="center"/>
              <w:rPr>
                <w:rFonts w:hAnsi="宋体" w:cs="宋体"/>
                <w:color w:val="auto"/>
                <w:szCs w:val="21"/>
                <w:highlight w:val="none"/>
              </w:rPr>
            </w:pPr>
            <w:r>
              <w:rPr>
                <w:rFonts w:hint="eastAsia" w:hAnsi="宋体" w:cs="宋体"/>
                <w:color w:val="auto"/>
                <w:szCs w:val="21"/>
                <w:highlight w:val="none"/>
              </w:rPr>
              <w:t>0.45%</w:t>
            </w:r>
          </w:p>
        </w:tc>
        <w:tc>
          <w:tcPr>
            <w:tcW w:w="1273" w:type="pct"/>
          </w:tcPr>
          <w:p>
            <w:pPr>
              <w:pStyle w:val="13"/>
              <w:ind w:left="25"/>
              <w:jc w:val="center"/>
              <w:rPr>
                <w:rFonts w:hAnsi="宋体" w:cs="宋体"/>
                <w:color w:val="auto"/>
                <w:szCs w:val="21"/>
                <w:highlight w:val="none"/>
              </w:rPr>
            </w:pPr>
            <w:r>
              <w:rPr>
                <w:rFonts w:hint="eastAsia" w:hAnsi="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509" w:type="pct"/>
          </w:tcPr>
          <w:p>
            <w:pPr>
              <w:pStyle w:val="13"/>
              <w:ind w:left="25"/>
              <w:rPr>
                <w:rFonts w:hAnsi="宋体" w:cs="宋体"/>
                <w:color w:val="auto"/>
                <w:szCs w:val="21"/>
                <w:highlight w:val="none"/>
              </w:rPr>
            </w:pPr>
            <w:r>
              <w:rPr>
                <w:rFonts w:hint="eastAsia" w:hAnsi="宋体" w:cs="宋体"/>
                <w:color w:val="auto"/>
                <w:szCs w:val="21"/>
                <w:highlight w:val="none"/>
              </w:rPr>
              <w:t>1000-5000</w:t>
            </w:r>
          </w:p>
        </w:tc>
        <w:tc>
          <w:tcPr>
            <w:tcW w:w="1111" w:type="pct"/>
          </w:tcPr>
          <w:p>
            <w:pPr>
              <w:pStyle w:val="13"/>
              <w:ind w:left="25"/>
              <w:jc w:val="center"/>
              <w:rPr>
                <w:rFonts w:hAnsi="宋体" w:cs="宋体"/>
                <w:color w:val="auto"/>
                <w:szCs w:val="21"/>
                <w:highlight w:val="none"/>
              </w:rPr>
            </w:pPr>
            <w:r>
              <w:rPr>
                <w:rFonts w:hint="eastAsia" w:hAnsi="宋体" w:cs="宋体"/>
                <w:color w:val="auto"/>
                <w:szCs w:val="21"/>
                <w:highlight w:val="none"/>
              </w:rPr>
              <w:t>0.5%</w:t>
            </w:r>
          </w:p>
        </w:tc>
        <w:tc>
          <w:tcPr>
            <w:tcW w:w="1105" w:type="pct"/>
          </w:tcPr>
          <w:p>
            <w:pPr>
              <w:pStyle w:val="13"/>
              <w:ind w:left="25"/>
              <w:jc w:val="center"/>
              <w:rPr>
                <w:rFonts w:hAnsi="宋体" w:cs="宋体"/>
                <w:color w:val="auto"/>
                <w:szCs w:val="21"/>
                <w:highlight w:val="none"/>
              </w:rPr>
            </w:pPr>
            <w:r>
              <w:rPr>
                <w:rFonts w:hint="eastAsia" w:hAnsi="宋体" w:cs="宋体"/>
                <w:color w:val="auto"/>
                <w:szCs w:val="21"/>
                <w:highlight w:val="none"/>
              </w:rPr>
              <w:t>0.25%</w:t>
            </w:r>
          </w:p>
        </w:tc>
        <w:tc>
          <w:tcPr>
            <w:tcW w:w="1273" w:type="pct"/>
          </w:tcPr>
          <w:p>
            <w:pPr>
              <w:pStyle w:val="13"/>
              <w:ind w:left="25"/>
              <w:jc w:val="center"/>
              <w:rPr>
                <w:rFonts w:hAnsi="宋体" w:cs="宋体"/>
                <w:color w:val="auto"/>
                <w:szCs w:val="21"/>
                <w:highlight w:val="none"/>
              </w:rPr>
            </w:pPr>
            <w:r>
              <w:rPr>
                <w:rFonts w:hint="eastAsia" w:hAnsi="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509" w:type="pct"/>
          </w:tcPr>
          <w:p>
            <w:pPr>
              <w:pStyle w:val="13"/>
              <w:ind w:left="25"/>
              <w:rPr>
                <w:rFonts w:hAnsi="宋体" w:cs="宋体"/>
                <w:color w:val="auto"/>
                <w:szCs w:val="21"/>
                <w:highlight w:val="none"/>
              </w:rPr>
            </w:pPr>
            <w:r>
              <w:rPr>
                <w:rFonts w:hint="eastAsia" w:hAnsi="宋体" w:cs="宋体"/>
                <w:color w:val="auto"/>
                <w:szCs w:val="21"/>
                <w:highlight w:val="none"/>
              </w:rPr>
              <w:t>5000-10000</w:t>
            </w:r>
          </w:p>
        </w:tc>
        <w:tc>
          <w:tcPr>
            <w:tcW w:w="1111" w:type="pct"/>
          </w:tcPr>
          <w:p>
            <w:pPr>
              <w:pStyle w:val="13"/>
              <w:ind w:left="25"/>
              <w:jc w:val="center"/>
              <w:rPr>
                <w:rFonts w:hAnsi="宋体" w:cs="宋体"/>
                <w:color w:val="auto"/>
                <w:szCs w:val="21"/>
                <w:highlight w:val="none"/>
              </w:rPr>
            </w:pPr>
            <w:r>
              <w:rPr>
                <w:rFonts w:hint="eastAsia" w:hAnsi="宋体" w:cs="宋体"/>
                <w:color w:val="auto"/>
                <w:szCs w:val="21"/>
                <w:highlight w:val="none"/>
              </w:rPr>
              <w:t>0.25%</w:t>
            </w:r>
          </w:p>
        </w:tc>
        <w:tc>
          <w:tcPr>
            <w:tcW w:w="1105" w:type="pct"/>
          </w:tcPr>
          <w:p>
            <w:pPr>
              <w:pStyle w:val="13"/>
              <w:ind w:left="25"/>
              <w:jc w:val="center"/>
              <w:rPr>
                <w:rFonts w:hAnsi="宋体" w:cs="宋体"/>
                <w:color w:val="auto"/>
                <w:szCs w:val="21"/>
                <w:highlight w:val="none"/>
              </w:rPr>
            </w:pPr>
            <w:r>
              <w:rPr>
                <w:rFonts w:hint="eastAsia" w:hAnsi="宋体" w:cs="宋体"/>
                <w:color w:val="auto"/>
                <w:szCs w:val="21"/>
                <w:highlight w:val="none"/>
              </w:rPr>
              <w:t>0.1%</w:t>
            </w:r>
          </w:p>
        </w:tc>
        <w:tc>
          <w:tcPr>
            <w:tcW w:w="1273" w:type="pct"/>
          </w:tcPr>
          <w:p>
            <w:pPr>
              <w:pStyle w:val="13"/>
              <w:ind w:left="25"/>
              <w:jc w:val="center"/>
              <w:rPr>
                <w:rFonts w:hAnsi="宋体" w:cs="宋体"/>
                <w:color w:val="auto"/>
                <w:szCs w:val="21"/>
                <w:highlight w:val="none"/>
              </w:rPr>
            </w:pPr>
            <w:r>
              <w:rPr>
                <w:rFonts w:hint="eastAsia" w:hAnsi="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09" w:type="pct"/>
          </w:tcPr>
          <w:p>
            <w:pPr>
              <w:pStyle w:val="13"/>
              <w:ind w:left="25"/>
              <w:rPr>
                <w:rFonts w:hAnsi="宋体" w:cs="宋体"/>
                <w:color w:val="auto"/>
                <w:szCs w:val="21"/>
                <w:highlight w:val="none"/>
              </w:rPr>
            </w:pPr>
            <w:r>
              <w:rPr>
                <w:rFonts w:hint="eastAsia" w:hAnsi="宋体" w:cs="宋体"/>
                <w:color w:val="auto"/>
                <w:szCs w:val="21"/>
                <w:highlight w:val="none"/>
              </w:rPr>
              <w:t>10000-100000</w:t>
            </w:r>
          </w:p>
        </w:tc>
        <w:tc>
          <w:tcPr>
            <w:tcW w:w="1111" w:type="pct"/>
          </w:tcPr>
          <w:p>
            <w:pPr>
              <w:pStyle w:val="13"/>
              <w:ind w:left="25"/>
              <w:jc w:val="center"/>
              <w:rPr>
                <w:rFonts w:hAnsi="宋体" w:cs="宋体"/>
                <w:color w:val="auto"/>
                <w:szCs w:val="21"/>
                <w:highlight w:val="none"/>
              </w:rPr>
            </w:pPr>
            <w:r>
              <w:rPr>
                <w:rFonts w:hint="eastAsia" w:hAnsi="宋体" w:cs="宋体"/>
                <w:color w:val="auto"/>
                <w:szCs w:val="21"/>
                <w:highlight w:val="none"/>
              </w:rPr>
              <w:t>0.05%</w:t>
            </w:r>
          </w:p>
        </w:tc>
        <w:tc>
          <w:tcPr>
            <w:tcW w:w="1105" w:type="pct"/>
          </w:tcPr>
          <w:p>
            <w:pPr>
              <w:pStyle w:val="13"/>
              <w:ind w:left="25"/>
              <w:jc w:val="center"/>
              <w:rPr>
                <w:rFonts w:hAnsi="宋体" w:cs="宋体"/>
                <w:color w:val="auto"/>
                <w:szCs w:val="21"/>
                <w:highlight w:val="none"/>
              </w:rPr>
            </w:pPr>
            <w:r>
              <w:rPr>
                <w:rFonts w:hint="eastAsia" w:hAnsi="宋体" w:cs="宋体"/>
                <w:color w:val="auto"/>
                <w:szCs w:val="21"/>
                <w:highlight w:val="none"/>
              </w:rPr>
              <w:t>0.05%</w:t>
            </w:r>
          </w:p>
        </w:tc>
        <w:tc>
          <w:tcPr>
            <w:tcW w:w="1273" w:type="pct"/>
          </w:tcPr>
          <w:p>
            <w:pPr>
              <w:pStyle w:val="13"/>
              <w:ind w:left="25"/>
              <w:jc w:val="center"/>
              <w:rPr>
                <w:rFonts w:hAnsi="宋体" w:cs="宋体"/>
                <w:color w:val="auto"/>
                <w:szCs w:val="21"/>
                <w:highlight w:val="none"/>
              </w:rPr>
            </w:pPr>
            <w:r>
              <w:rPr>
                <w:rFonts w:hint="eastAsia" w:hAnsi="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09" w:type="pct"/>
          </w:tcPr>
          <w:p>
            <w:pPr>
              <w:pStyle w:val="13"/>
              <w:ind w:left="25"/>
              <w:rPr>
                <w:rFonts w:hAnsi="宋体" w:cs="宋体"/>
                <w:color w:val="auto"/>
                <w:szCs w:val="21"/>
                <w:highlight w:val="none"/>
              </w:rPr>
            </w:pPr>
            <w:r>
              <w:rPr>
                <w:rFonts w:hint="eastAsia" w:hAnsi="宋体" w:cs="宋体"/>
                <w:color w:val="auto"/>
                <w:szCs w:val="21"/>
                <w:highlight w:val="none"/>
              </w:rPr>
              <w:t>100000以上</w:t>
            </w:r>
          </w:p>
        </w:tc>
        <w:tc>
          <w:tcPr>
            <w:tcW w:w="1111" w:type="pct"/>
          </w:tcPr>
          <w:p>
            <w:pPr>
              <w:pStyle w:val="13"/>
              <w:ind w:left="25"/>
              <w:jc w:val="center"/>
              <w:rPr>
                <w:rFonts w:hAnsi="宋体" w:cs="宋体"/>
                <w:color w:val="auto"/>
                <w:szCs w:val="21"/>
                <w:highlight w:val="none"/>
              </w:rPr>
            </w:pPr>
            <w:r>
              <w:rPr>
                <w:rFonts w:hint="eastAsia" w:hAnsi="宋体" w:cs="宋体"/>
                <w:color w:val="auto"/>
                <w:szCs w:val="21"/>
                <w:highlight w:val="none"/>
              </w:rPr>
              <w:t>0.01%</w:t>
            </w:r>
          </w:p>
        </w:tc>
        <w:tc>
          <w:tcPr>
            <w:tcW w:w="1105" w:type="pct"/>
          </w:tcPr>
          <w:p>
            <w:pPr>
              <w:pStyle w:val="13"/>
              <w:ind w:left="25"/>
              <w:jc w:val="center"/>
              <w:rPr>
                <w:rFonts w:hAnsi="宋体" w:cs="宋体"/>
                <w:color w:val="auto"/>
                <w:szCs w:val="21"/>
                <w:highlight w:val="none"/>
              </w:rPr>
            </w:pPr>
            <w:r>
              <w:rPr>
                <w:rFonts w:hint="eastAsia" w:hAnsi="宋体" w:cs="宋体"/>
                <w:color w:val="auto"/>
                <w:szCs w:val="21"/>
                <w:highlight w:val="none"/>
              </w:rPr>
              <w:t>0.01%</w:t>
            </w:r>
          </w:p>
        </w:tc>
        <w:tc>
          <w:tcPr>
            <w:tcW w:w="1273" w:type="pct"/>
          </w:tcPr>
          <w:p>
            <w:pPr>
              <w:pStyle w:val="13"/>
              <w:ind w:left="25"/>
              <w:jc w:val="center"/>
              <w:rPr>
                <w:rFonts w:hAnsi="宋体" w:cs="宋体"/>
                <w:color w:val="auto"/>
                <w:szCs w:val="21"/>
                <w:highlight w:val="none"/>
              </w:rPr>
            </w:pPr>
            <w:r>
              <w:rPr>
                <w:rFonts w:hint="eastAsia" w:hAnsi="宋体" w:cs="宋体"/>
                <w:color w:val="auto"/>
                <w:szCs w:val="21"/>
                <w:highlight w:val="none"/>
              </w:rPr>
              <w:t>0.01%</w:t>
            </w:r>
          </w:p>
        </w:tc>
      </w:tr>
    </w:tbl>
    <w:p>
      <w:pPr>
        <w:spacing w:line="340" w:lineRule="exact"/>
        <w:ind w:firstLine="420" w:firstLineChars="200"/>
        <w:outlineLvl w:val="2"/>
        <w:rPr>
          <w:rFonts w:ascii="宋体" w:hAnsi="宋体" w:cs="宋体"/>
          <w:b/>
          <w:color w:val="auto"/>
          <w:highlight w:val="none"/>
        </w:rPr>
      </w:pPr>
      <w:bookmarkStart w:id="118" w:name="_Toc532901122"/>
      <w:bookmarkStart w:id="119" w:name="_Toc4534"/>
      <w:r>
        <w:rPr>
          <w:rFonts w:hint="eastAsia" w:ascii="宋体" w:hAnsi="宋体" w:cs="宋体"/>
          <w:b/>
          <w:color w:val="auto"/>
          <w:highlight w:val="none"/>
        </w:rPr>
        <w:t>31、采购代理机构</w:t>
      </w:r>
      <w:r>
        <w:rPr>
          <w:rFonts w:hint="eastAsia" w:ascii="宋体" w:hAnsi="宋体" w:cs="宋体"/>
          <w:b/>
          <w:color w:val="auto"/>
          <w:szCs w:val="21"/>
          <w:highlight w:val="none"/>
        </w:rPr>
        <w:t>银行</w:t>
      </w:r>
      <w:r>
        <w:rPr>
          <w:rFonts w:hint="eastAsia" w:ascii="宋体" w:hAnsi="宋体" w:cs="宋体"/>
          <w:b/>
          <w:color w:val="auto"/>
          <w:highlight w:val="none"/>
        </w:rPr>
        <w:t>账户：</w:t>
      </w:r>
      <w:bookmarkEnd w:id="118"/>
      <w:bookmarkEnd w:id="119"/>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账户名称：广西鼎策工程顾问有限责任公司桂炘分公司</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开户银行：交通银行桂林分行营业部</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开户账号：453060801013000053201</w:t>
      </w:r>
    </w:p>
    <w:p>
      <w:pPr>
        <w:spacing w:line="340" w:lineRule="exact"/>
        <w:ind w:firstLine="411" w:firstLineChars="196"/>
        <w:outlineLvl w:val="2"/>
        <w:rPr>
          <w:rFonts w:ascii="宋体" w:hAnsi="宋体" w:cs="宋体"/>
          <w:color w:val="auto"/>
          <w:highlight w:val="none"/>
        </w:rPr>
      </w:pPr>
      <w:bookmarkStart w:id="120" w:name="_Toc532901123"/>
      <w:bookmarkStart w:id="121" w:name="_Toc32577"/>
      <w:r>
        <w:rPr>
          <w:rFonts w:hint="eastAsia" w:ascii="宋体" w:hAnsi="宋体" w:cs="宋体"/>
          <w:b/>
          <w:color w:val="auto"/>
          <w:highlight w:val="none"/>
        </w:rPr>
        <w:t>32、</w:t>
      </w:r>
      <w:r>
        <w:rPr>
          <w:rFonts w:hint="eastAsia" w:ascii="宋体" w:hAnsi="宋体" w:cs="宋体"/>
          <w:b/>
          <w:color w:val="auto"/>
          <w:szCs w:val="21"/>
          <w:highlight w:val="none"/>
        </w:rPr>
        <w:t>解释权</w:t>
      </w:r>
      <w:r>
        <w:rPr>
          <w:rFonts w:hint="eastAsia" w:ascii="宋体" w:hAnsi="宋体" w:cs="宋体"/>
          <w:b/>
          <w:color w:val="auto"/>
          <w:highlight w:val="none"/>
        </w:rPr>
        <w:t>：</w:t>
      </w:r>
      <w:bookmarkEnd w:id="120"/>
      <w:bookmarkEnd w:id="121"/>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本竞争性磋商文件是根据《中华人民共和国政府采购法》 、 《中华人民共和国政府采购法实施条例》、《政府采购竞争性磋商采购方式管理暂行办法》等相关规定编制，本竞争性磋商文件的解释权属于采购代理机构。</w:t>
      </w:r>
    </w:p>
    <w:p>
      <w:pPr>
        <w:spacing w:line="340" w:lineRule="exact"/>
        <w:ind w:firstLine="411" w:firstLineChars="196"/>
        <w:outlineLvl w:val="2"/>
        <w:rPr>
          <w:rFonts w:ascii="宋体" w:hAnsi="宋体" w:cs="宋体"/>
          <w:color w:val="auto"/>
          <w:highlight w:val="none"/>
        </w:rPr>
      </w:pPr>
      <w:bookmarkStart w:id="122" w:name="_Toc1186"/>
      <w:bookmarkStart w:id="123" w:name="_Toc532901124"/>
      <w:r>
        <w:rPr>
          <w:rFonts w:hint="eastAsia" w:ascii="宋体" w:hAnsi="宋体" w:cs="宋体"/>
          <w:b/>
          <w:color w:val="auto"/>
          <w:highlight w:val="none"/>
        </w:rPr>
        <w:t>33、监督管理机构：</w:t>
      </w:r>
      <w:bookmarkEnd w:id="122"/>
      <w:bookmarkEnd w:id="123"/>
      <w:r>
        <w:rPr>
          <w:rFonts w:hint="eastAsia" w:ascii="宋体" w:hAnsi="宋体" w:cs="宋体"/>
          <w:color w:val="auto"/>
          <w:szCs w:val="20"/>
          <w:highlight w:val="none"/>
        </w:rPr>
        <w:t>平乐县政府采购办公室</w:t>
      </w:r>
      <w:r>
        <w:rPr>
          <w:rFonts w:hint="eastAsia" w:ascii="宋体" w:hAnsi="宋体" w:cs="宋体"/>
          <w:color w:val="auto"/>
          <w:highlight w:val="none"/>
        </w:rPr>
        <w:t xml:space="preserve">      电话：0773-7882157。</w:t>
      </w:r>
    </w:p>
    <w:p>
      <w:pPr>
        <w:spacing w:line="440" w:lineRule="atLeast"/>
        <w:jc w:val="center"/>
        <w:outlineLvl w:val="0"/>
        <w:rPr>
          <w:rFonts w:ascii="宋体" w:hAnsi="宋体" w:cs="宋体"/>
          <w:b/>
          <w:color w:val="auto"/>
          <w:sz w:val="32"/>
          <w:szCs w:val="32"/>
          <w:highlight w:val="none"/>
        </w:rPr>
      </w:pPr>
      <w:r>
        <w:rPr>
          <w:rFonts w:hint="eastAsia" w:ascii="宋体" w:hAnsi="宋体" w:cs="宋体"/>
          <w:b/>
          <w:bCs/>
          <w:color w:val="auto"/>
          <w:sz w:val="28"/>
          <w:szCs w:val="28"/>
          <w:highlight w:val="none"/>
        </w:rPr>
        <w:br w:type="page"/>
      </w:r>
      <w:bookmarkStart w:id="124" w:name="_Toc532901125"/>
      <w:r>
        <w:rPr>
          <w:rFonts w:hint="eastAsia" w:ascii="宋体" w:hAnsi="宋体" w:cs="宋体"/>
          <w:b/>
          <w:color w:val="auto"/>
          <w:sz w:val="32"/>
          <w:szCs w:val="32"/>
          <w:highlight w:val="none"/>
        </w:rPr>
        <w:t>第三章  服务采购要求</w:t>
      </w:r>
      <w:bookmarkEnd w:id="12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889"/>
        <w:gridCol w:w="635"/>
        <w:gridCol w:w="635"/>
        <w:gridCol w:w="5534"/>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服务名称</w:t>
            </w:r>
          </w:p>
        </w:tc>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服务内容及要求</w:t>
            </w:r>
          </w:p>
        </w:tc>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0" w:type="auto"/>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平乐县教育局2021年平乐县新任教师岗前培训项目</w:t>
            </w:r>
          </w:p>
        </w:tc>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0" w:type="auto"/>
            <w:shd w:val="clear" w:color="auto" w:fill="auto"/>
          </w:tcPr>
          <w:p>
            <w:pPr>
              <w:widowControl/>
              <w:numPr>
                <w:ilvl w:val="0"/>
                <w:numId w:val="2"/>
              </w:num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培训目标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通过培训，提升教师队伍的思想政治素质和职业道德修养水平；使新教师学习教育理念和教学方法，提升教师教育教学能力，掌握备课上课技能；加强其对教师日常工作流程的认识与学习，提升班主任带班技能，加强班主任思想辅导和班级管理的能力；提高教师对基础教育理念和教育文化的认同，缩短新教师的角色转换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二、培训对象、人数、时长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1.培训对象：全县高中、初中、小学、特教学校、学前等新招聘教师。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2.培训人数：320人</w:t>
            </w:r>
            <w:r>
              <w:rPr>
                <w:rFonts w:hint="eastAsia" w:ascii="宋体" w:hAnsi="宋体" w:cs="宋体"/>
                <w:color w:val="auto"/>
                <w:kern w:val="0"/>
                <w:szCs w:val="21"/>
                <w:highlight w:val="none"/>
              </w:rPr>
              <w:br w:type="textWrapping"/>
            </w:r>
            <w:r>
              <w:rPr>
                <w:rFonts w:hint="eastAsia" w:ascii="宋体" w:hAnsi="宋体"/>
                <w:color w:val="auto"/>
                <w:szCs w:val="21"/>
                <w:highlight w:val="none"/>
              </w:rPr>
              <w:t>★</w:t>
            </w:r>
            <w:r>
              <w:rPr>
                <w:rFonts w:hint="eastAsia" w:ascii="宋体" w:hAnsi="宋体" w:cs="宋体"/>
                <w:color w:val="auto"/>
                <w:kern w:val="0"/>
                <w:szCs w:val="21"/>
                <w:highlight w:val="none"/>
              </w:rPr>
              <w:t>3.培训时间：本次项目分两期进行培训，每期160人，每期11天。</w:t>
            </w:r>
            <w:r>
              <w:rPr>
                <w:rFonts w:hint="eastAsia" w:ascii="宋体" w:hAnsi="宋体" w:cs="宋体"/>
                <w:color w:val="auto"/>
                <w:kern w:val="0"/>
                <w:szCs w:val="21"/>
                <w:highlight w:val="none"/>
                <w:lang w:val="en-US" w:eastAsia="zh-CN"/>
              </w:rPr>
              <w:t>合同签订后</w:t>
            </w:r>
            <w:r>
              <w:rPr>
                <w:rFonts w:hint="eastAsia" w:ascii="宋体" w:hAnsi="宋体" w:cs="宋体"/>
                <w:color w:val="auto"/>
                <w:kern w:val="0"/>
                <w:szCs w:val="21"/>
                <w:highlight w:val="none"/>
              </w:rPr>
              <w:t>后3</w:t>
            </w:r>
            <w:r>
              <w:rPr>
                <w:rFonts w:hint="eastAsia" w:ascii="宋体" w:hAnsi="宋体" w:cs="宋体"/>
                <w:color w:val="auto"/>
                <w:kern w:val="0"/>
                <w:szCs w:val="21"/>
                <w:highlight w:val="none"/>
                <w:lang w:val="en-US" w:eastAsia="zh-CN"/>
              </w:rPr>
              <w:t>日</w:t>
            </w:r>
            <w:r>
              <w:rPr>
                <w:rFonts w:hint="eastAsia" w:ascii="宋体" w:hAnsi="宋体" w:cs="宋体"/>
                <w:color w:val="auto"/>
                <w:kern w:val="0"/>
                <w:szCs w:val="21"/>
                <w:highlight w:val="none"/>
              </w:rPr>
              <w:t>内开始培训</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30日内完成培训工作。</w:t>
            </w:r>
            <w:r>
              <w:rPr>
                <w:rFonts w:hint="eastAsia" w:ascii="宋体" w:hAnsi="宋体" w:cs="宋体"/>
                <w:color w:val="auto"/>
                <w:kern w:val="0"/>
                <w:szCs w:val="21"/>
                <w:highlight w:val="none"/>
              </w:rPr>
              <w:br w:type="textWrapping"/>
            </w:r>
            <w:r>
              <w:rPr>
                <w:rFonts w:hint="eastAsia" w:ascii="宋体" w:hAnsi="宋体"/>
                <w:color w:val="auto"/>
                <w:szCs w:val="21"/>
                <w:highlight w:val="none"/>
              </w:rPr>
              <w:t>★</w:t>
            </w:r>
            <w:r>
              <w:rPr>
                <w:rFonts w:hint="eastAsia" w:ascii="宋体" w:hAnsi="宋体" w:cs="宋体"/>
                <w:color w:val="auto"/>
                <w:kern w:val="0"/>
                <w:szCs w:val="21"/>
                <w:highlight w:val="none"/>
              </w:rPr>
              <w:t>三、培训场地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平乐县（场地容量能满足培训需求）</w:t>
            </w:r>
          </w:p>
          <w:p>
            <w:pPr>
              <w:widowControl/>
              <w:numPr>
                <w:ilvl w:val="0"/>
                <w:numId w:val="0"/>
              </w:num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四、培训方式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线上培训、线下培训、研讨交流、分组协作、模拟上课竞赛、现场考试相结合等形式。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五、项目实施方案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方案设计要在充分调研的基础上，根据培训对象特点、培训目标需求精心研制，科学设计培训内容及课程。要目标明确、突出重点，细化措施，操作性强，体现区域特色。</w:t>
            </w:r>
          </w:p>
          <w:p>
            <w:pPr>
              <w:widowControl/>
              <w:numPr>
                <w:ilvl w:val="0"/>
                <w:numId w:val="3"/>
              </w:num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、培训方式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线上培训、线下培训、研讨交流、分组协作、模拟上课竞赛、现场考试相结合等形式。（围绕培训目标生成性成果和学员的教学设计、微视频、课件等结业成果进行提炼，生成优秀典型案例，促进优质资源共建共享。定期编辑《培训简报》及阶段性总结。同时，建立与地方教育行政部门和教师培训机构的协同机制，充分发挥当地教育行政部门和教师培训机构的作用，促进项目有效落地）</w:t>
            </w:r>
            <w:r>
              <w:rPr>
                <w:rFonts w:hint="eastAsia" w:ascii="宋体" w:hAnsi="宋体" w:cs="宋体"/>
                <w:color w:val="auto"/>
                <w:kern w:val="0"/>
                <w:szCs w:val="21"/>
                <w:highlight w:val="none"/>
              </w:rPr>
              <w:br w:type="textWrapping"/>
            </w:r>
            <w:r>
              <w:rPr>
                <w:rFonts w:hint="eastAsia" w:ascii="宋体" w:hAnsi="宋体"/>
                <w:color w:val="auto"/>
                <w:szCs w:val="21"/>
                <w:highlight w:val="none"/>
              </w:rPr>
              <w:t>（2）</w:t>
            </w:r>
            <w:r>
              <w:rPr>
                <w:rFonts w:hint="eastAsia" w:ascii="宋体" w:hAnsi="宋体" w:cs="宋体"/>
                <w:color w:val="auto"/>
                <w:kern w:val="0"/>
                <w:szCs w:val="21"/>
                <w:highlight w:val="none"/>
              </w:rPr>
              <w:t>、培训内容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1.教师政治思想教育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提升教师思想政治素质，团结引领新任教师听党话、跟党走，激励新教师进一步坚定理想信念、积极开拓创新；明确提出要全面贯彻党的教育方针，坚持社会主义办学方向，全面提高理论素养和工作能力。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2.师德师风建设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教师思想政治素质和职业道德修养培训：加强教师政治思想教育、了解教育政策法规、教师职业道德规范、教师基本礼仪，增强初任教师的专业意识，确立敬业爱岗，为教育事业奉献聪明才智的正确思想。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3.教学技能培养</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初步掌握各专业教学方式、技能、手段，形成综合的教育教学能力，引导新教师在工作中加强本学科前沿知识和相关拓展学科基础知识，向综合全面发展。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4.班级管理技能培养</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初步掌握主题班会课程的的设置和开展、常用学生心理辅导技巧和德育工作的核心能力等，全面提升班主任带班能力。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5.上课技法训练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对参训学员进行听课、评课、备课、导课、说课、上课等教学环节的训练，为参训学员积累教学工作经验，以期能够更快的融入学校的工作和生活当中。</w:t>
            </w:r>
            <w:r>
              <w:rPr>
                <w:rFonts w:hint="eastAsia" w:ascii="宋体" w:hAnsi="宋体" w:cs="宋体"/>
                <w:color w:val="auto"/>
                <w:kern w:val="0"/>
                <w:szCs w:val="21"/>
                <w:highlight w:val="none"/>
              </w:rPr>
              <w:br w:type="textWrapping"/>
            </w:r>
            <w:r>
              <w:rPr>
                <w:rFonts w:hint="eastAsia" w:ascii="宋体" w:hAnsi="宋体"/>
                <w:color w:val="auto"/>
                <w:szCs w:val="21"/>
                <w:highlight w:val="none"/>
              </w:rPr>
              <w:t>★</w:t>
            </w:r>
            <w:r>
              <w:rPr>
                <w:rFonts w:hint="eastAsia" w:ascii="宋体" w:hAnsi="宋体" w:cs="宋体"/>
                <w:color w:val="auto"/>
                <w:kern w:val="0"/>
                <w:szCs w:val="21"/>
                <w:highlight w:val="none"/>
              </w:rPr>
              <w:t>（3）、培训队伍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培训专家团队由县内外具有丰富培训经验的一线优秀教研员，骨干教师和熟悉中小学常规管理工作实际的高效专家组成。培训专家团队中一线优秀教研员、骨干教师比例不少于50%，高级职称教师比例不少于60%。</w:t>
            </w:r>
            <w:r>
              <w:rPr>
                <w:rFonts w:hint="eastAsia" w:ascii="宋体" w:hAnsi="宋体" w:cs="宋体"/>
                <w:color w:val="auto"/>
                <w:kern w:val="0"/>
                <w:szCs w:val="21"/>
                <w:highlight w:val="none"/>
              </w:rPr>
              <w:br w:type="textWrapping"/>
            </w:r>
            <w:r>
              <w:rPr>
                <w:rFonts w:hint="eastAsia" w:ascii="宋体" w:hAnsi="宋体"/>
                <w:color w:val="auto"/>
                <w:szCs w:val="21"/>
                <w:highlight w:val="none"/>
              </w:rPr>
              <w:t>（4）</w:t>
            </w:r>
            <w:r>
              <w:rPr>
                <w:rFonts w:hint="eastAsia" w:ascii="宋体" w:hAnsi="宋体" w:cs="宋体"/>
                <w:color w:val="auto"/>
                <w:kern w:val="0"/>
                <w:szCs w:val="21"/>
                <w:highlight w:val="none"/>
              </w:rPr>
              <w:t>、培训管理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组建培训管理团队，责任分工明确，培训管理人员不少于2人，培训管理团队总人数不少于 5人。制定完善的培训管理制度，严格考勤管理，严格培训考核评价，对按要求完成培训学习并经考核合格的参训学员颁发继续教育学分证明。</w:t>
            </w:r>
          </w:p>
          <w:p>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（5）、后勤保障</w:t>
            </w:r>
          </w:p>
          <w:p>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有培训场地、食宿、安全手册等保障条件和基本能力的。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六、培训成果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培训结束后10个工作日内向采购人提交完整的培训过程材料，（培训过程材料包含：培训项目总结报告、参训学员名单信息和考核结果、培训签到表、培训课件、学员个人培训总结、学员培训满意度测评问卷及问卷分析报告、培训的过程性照片及视频等）由中标单位收集编辑成册，作为培训成果提交采购单位存档。</w:t>
            </w:r>
          </w:p>
        </w:tc>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gridSpan w:val="6"/>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0" w:type="auto"/>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服务期限</w:t>
            </w:r>
          </w:p>
        </w:tc>
        <w:tc>
          <w:tcPr>
            <w:tcW w:w="0" w:type="auto"/>
            <w:gridSpan w:val="4"/>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lang w:val="en-US" w:eastAsia="zh-CN"/>
              </w:rPr>
              <w:t>合同签订后30天内</w:t>
            </w:r>
            <w:r>
              <w:rPr>
                <w:rFonts w:hint="eastAsia" w:ascii="宋体" w:hAnsi="宋体" w:cs="宋体"/>
                <w:color w:val="auto"/>
                <w:kern w:val="0"/>
                <w:szCs w:val="21"/>
                <w:highlight w:val="none"/>
              </w:rPr>
              <w:t>完成（如遇不可抗力造成延期，可与采购人协商解决）。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0" w:type="auto"/>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提交服务成果时间</w:t>
            </w:r>
          </w:p>
        </w:tc>
        <w:tc>
          <w:tcPr>
            <w:tcW w:w="0" w:type="auto"/>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lang w:val="en-US" w:eastAsia="zh-CN"/>
              </w:rPr>
              <w:t>签订合同</w:t>
            </w:r>
            <w:r>
              <w:rPr>
                <w:rFonts w:hint="eastAsia" w:ascii="宋体" w:hAnsi="宋体" w:cs="宋体"/>
                <w:color w:val="auto"/>
                <w:kern w:val="0"/>
                <w:szCs w:val="21"/>
                <w:highlight w:val="none"/>
              </w:rPr>
              <w:t>后3</w:t>
            </w:r>
            <w:r>
              <w:rPr>
                <w:rFonts w:hint="eastAsia" w:ascii="宋体" w:hAnsi="宋体" w:cs="宋体"/>
                <w:color w:val="auto"/>
                <w:kern w:val="0"/>
                <w:szCs w:val="21"/>
                <w:highlight w:val="none"/>
                <w:lang w:val="en-US" w:eastAsia="zh-CN"/>
              </w:rPr>
              <w:t>日</w:t>
            </w:r>
            <w:r>
              <w:rPr>
                <w:rFonts w:hint="eastAsia" w:ascii="宋体" w:hAnsi="宋体" w:cs="宋体"/>
                <w:color w:val="auto"/>
                <w:kern w:val="0"/>
                <w:szCs w:val="21"/>
                <w:highlight w:val="none"/>
              </w:rPr>
              <w:t>内开始培训。培训成果于每个培训服务项目培训结束后10日内提交。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0" w:type="auto"/>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0" w:type="auto"/>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本项目无预付款，项目培训结束并验收合格，成交供应商向采购人提交所有培训材料后，采购人向成交供应商支付项目全部款项。成交供应商必须在收到款项后10个工作日内向采购人开具正式发票。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0" w:type="auto"/>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0" w:type="auto"/>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1、处理问题响应时间：投标人确保培训期间提供全天24小时的电话支持服务，通过电话、短信、即时通讯工具、电子邮件等及时解决培训中的各种问题，一旦出现电话解决不了的问题，2小时内到达指定地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2"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80" w:type="dxa"/>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合同签订期</w:t>
            </w:r>
          </w:p>
        </w:tc>
        <w:tc>
          <w:tcPr>
            <w:tcW w:w="745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b/>
                <w:bCs/>
                <w:color w:val="auto"/>
                <w:kern w:val="0"/>
                <w:szCs w:val="21"/>
                <w:highlight w:val="none"/>
              </w:rPr>
            </w:pPr>
            <w:r>
              <w:rPr>
                <w:rFonts w:hint="eastAsia" w:ascii="宋体" w:hAnsi="宋体" w:cs="宋体"/>
                <w:color w:val="auto"/>
                <w:kern w:val="0"/>
                <w:szCs w:val="21"/>
                <w:highlight w:val="none"/>
              </w:rPr>
              <w:t>1.按成交通知书规定的时间、地点与采购人签订合同，成交人必须向采购人提供项目实施方案（根据培训对象实际情况对培训项目训前、训中、训后各阶段在时间节点、进度控制、组织管理、质量要求等方面提出明确具体的安排），经采购人同意后组织实施。如果成交人不能按照采购时间要求签订政府采购合同以及提供培训实施方案，影响项目的开展实施，由此造成的影响和损失，全部责任由成交人负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2.签订合同后，采购人根据实际情况制定具体培训开始的时间及培训期限（含跟踪服务指导期限），成交人接到采购人通知后按竞争性磋商文件和采购人要求及响应文件承诺提供培训服务。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2"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80" w:type="dxa"/>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745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知识产权：采购人在中华人民共和国境内使用培训项目承担机构提供的服务时免受第三方提出的侵犯其专利权或其它知识产权的起诉。如果第三方提出侵权指控，中标人应承担由此而引起的一切法律责任和费用。</w:t>
            </w:r>
          </w:p>
          <w:p>
            <w:pPr>
              <w:keepNext w:val="0"/>
              <w:keepLines w:val="0"/>
              <w:pageBreakBefore w:val="0"/>
              <w:suppressAutoHyphens/>
              <w:kinsoku/>
              <w:wordWrap/>
              <w:overflowPunct/>
              <w:topLinePunct w:val="0"/>
              <w:autoSpaceDE/>
              <w:autoSpaceDN/>
              <w:bidi w:val="0"/>
              <w:adjustRightInd/>
              <w:snapToGrid/>
              <w:spacing w:line="360" w:lineRule="auto"/>
              <w:jc w:val="left"/>
              <w:textAlignment w:val="auto"/>
              <w:rPr>
                <w:color w:val="auto"/>
                <w:highlight w:val="none"/>
              </w:rPr>
            </w:pPr>
            <w:r>
              <w:rPr>
                <w:rFonts w:hint="eastAsia"/>
                <w:color w:val="auto"/>
                <w:highlight w:val="none"/>
              </w:rPr>
              <w:t>2、本项目采购预算总金额为</w:t>
            </w:r>
            <w:r>
              <w:rPr>
                <w:rFonts w:hint="eastAsia" w:ascii="宋体" w:hAnsi="宋体" w:cs="宋体"/>
                <w:color w:val="auto"/>
                <w:szCs w:val="21"/>
                <w:highlight w:val="none"/>
                <w:u w:val="single"/>
                <w:lang w:val="en-US" w:eastAsia="zh-CN"/>
              </w:rPr>
              <w:t>1300000.00</w:t>
            </w:r>
            <w:r>
              <w:rPr>
                <w:rFonts w:hint="eastAsia" w:ascii="宋体" w:hAnsi="宋体" w:cs="宋体"/>
                <w:color w:val="auto"/>
                <w:szCs w:val="21"/>
                <w:highlight w:val="none"/>
              </w:rPr>
              <w:t>元</w:t>
            </w:r>
            <w:r>
              <w:rPr>
                <w:rFonts w:hint="eastAsia"/>
                <w:color w:val="auto"/>
                <w:highlight w:val="none"/>
              </w:rPr>
              <w:t>，</w:t>
            </w:r>
            <w:r>
              <w:rPr>
                <w:rFonts w:hint="eastAsia" w:ascii="宋体" w:hAnsi="宋体" w:cs="宋体"/>
                <w:color w:val="auto"/>
                <w:szCs w:val="21"/>
                <w:highlight w:val="none"/>
              </w:rPr>
              <w:t>最高限价为</w:t>
            </w:r>
            <w:r>
              <w:rPr>
                <w:rFonts w:hint="eastAsia" w:ascii="宋体" w:hAnsi="宋体" w:cs="宋体"/>
                <w:color w:val="auto"/>
                <w:szCs w:val="21"/>
                <w:highlight w:val="none"/>
                <w:u w:val="single"/>
                <w:lang w:val="en-US" w:eastAsia="zh-CN"/>
              </w:rPr>
              <w:t>1300000.00元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磋商报价超出最高限价金额的投标无效。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b/>
                <w:bCs/>
                <w:color w:val="auto"/>
                <w:kern w:val="0"/>
                <w:szCs w:val="21"/>
                <w:highlight w:val="none"/>
              </w:rPr>
              <w:t>3、</w:t>
            </w:r>
            <w:r>
              <w:rPr>
                <w:rFonts w:hint="eastAsia" w:ascii="宋体" w:hAnsi="宋体"/>
                <w:b/>
                <w:bCs/>
                <w:color w:val="auto"/>
                <w:szCs w:val="21"/>
                <w:highlight w:val="none"/>
              </w:rPr>
              <w:t>标注★号项为实质性要求和条件，供应商必须对实质性要求和条件做出满足或者优于的承诺，否则响应文件无效。</w:t>
            </w:r>
          </w:p>
        </w:tc>
      </w:tr>
    </w:tbl>
    <w:p>
      <w:pPr>
        <w:spacing w:line="340" w:lineRule="exact"/>
        <w:jc w:val="center"/>
        <w:outlineLvl w:val="0"/>
        <w:rPr>
          <w:rFonts w:ascii="宋体" w:hAnsi="宋体" w:cs="宋体"/>
          <w:b/>
          <w:color w:val="auto"/>
          <w:sz w:val="32"/>
          <w:szCs w:val="32"/>
          <w:highlight w:val="none"/>
        </w:rPr>
      </w:pPr>
      <w:r>
        <w:rPr>
          <w:rFonts w:hint="eastAsia" w:ascii="宋体" w:hAnsi="宋体" w:cs="宋体"/>
          <w:color w:val="auto"/>
          <w:highlight w:val="none"/>
        </w:rPr>
        <w:br w:type="page"/>
      </w:r>
      <w:bookmarkStart w:id="125" w:name="_Toc532901126"/>
      <w:bookmarkStart w:id="126" w:name="_Toc191888425"/>
      <w:r>
        <w:rPr>
          <w:rFonts w:hint="eastAsia" w:ascii="宋体" w:hAnsi="宋体" w:cs="宋体"/>
          <w:b/>
          <w:color w:val="auto"/>
          <w:sz w:val="32"/>
          <w:szCs w:val="32"/>
          <w:highlight w:val="none"/>
        </w:rPr>
        <w:t>第四章  评审办法</w:t>
      </w:r>
      <w:bookmarkEnd w:id="125"/>
    </w:p>
    <w:bookmarkEnd w:id="126"/>
    <w:p>
      <w:pPr>
        <w:pStyle w:val="13"/>
        <w:spacing w:line="380" w:lineRule="exact"/>
        <w:ind w:firstLine="411" w:firstLineChars="196"/>
        <w:rPr>
          <w:rFonts w:hAnsi="宋体" w:cs="宋体"/>
          <w:b/>
          <w:bCs/>
          <w:color w:val="auto"/>
          <w:szCs w:val="21"/>
          <w:highlight w:val="none"/>
        </w:rPr>
      </w:pPr>
      <w:r>
        <w:rPr>
          <w:rFonts w:hint="eastAsia" w:hAnsi="宋体" w:cs="宋体"/>
          <w:b/>
          <w:bCs/>
          <w:color w:val="auto"/>
          <w:szCs w:val="21"/>
          <w:highlight w:val="none"/>
        </w:rPr>
        <w:t>一、评审依据及方式</w:t>
      </w:r>
    </w:p>
    <w:p>
      <w:pPr>
        <w:pStyle w:val="13"/>
        <w:spacing w:line="400" w:lineRule="exact"/>
        <w:ind w:firstLine="420" w:firstLineChars="200"/>
        <w:rPr>
          <w:rFonts w:hAnsi="宋体" w:cs="宋体"/>
          <w:color w:val="auto"/>
          <w:szCs w:val="21"/>
          <w:highlight w:val="none"/>
        </w:rPr>
      </w:pPr>
      <w:r>
        <w:rPr>
          <w:rFonts w:hint="eastAsia" w:hAnsi="宋体" w:cs="宋体"/>
          <w:color w:val="auto"/>
          <w:szCs w:val="21"/>
          <w:highlight w:val="none"/>
        </w:rPr>
        <w:t>1、评标依据：</w:t>
      </w:r>
      <w:r>
        <w:rPr>
          <w:rFonts w:hint="eastAsia" w:hAnsi="宋体" w:cs="宋体"/>
          <w:color w:val="auto"/>
          <w:highlight w:val="none"/>
        </w:rPr>
        <w:t>磋商小组以竞争性磋商文件和响应文件为评审依据，对磋商供应商的响应文件进行评分</w:t>
      </w:r>
      <w:r>
        <w:rPr>
          <w:rFonts w:hint="eastAsia" w:hAnsi="宋体" w:cs="宋体"/>
          <w:color w:val="auto"/>
          <w:szCs w:val="21"/>
          <w:highlight w:val="none"/>
        </w:rPr>
        <w:t>。</w:t>
      </w:r>
    </w:p>
    <w:p>
      <w:pPr>
        <w:pStyle w:val="13"/>
        <w:spacing w:line="380" w:lineRule="exact"/>
        <w:ind w:left="210" w:leftChars="100" w:firstLine="210" w:firstLineChars="100"/>
        <w:rPr>
          <w:rFonts w:hAnsi="宋体" w:cs="宋体"/>
          <w:color w:val="auto"/>
          <w:szCs w:val="21"/>
          <w:highlight w:val="none"/>
        </w:rPr>
      </w:pPr>
      <w:r>
        <w:rPr>
          <w:rFonts w:hint="eastAsia" w:hAnsi="宋体" w:cs="宋体"/>
          <w:color w:val="auto"/>
          <w:szCs w:val="21"/>
          <w:highlight w:val="none"/>
        </w:rPr>
        <w:t>2、评审方式：以封闭方式进行评审。</w:t>
      </w:r>
    </w:p>
    <w:p>
      <w:pPr>
        <w:pStyle w:val="13"/>
        <w:spacing w:line="380" w:lineRule="exact"/>
        <w:ind w:firstLine="420" w:firstLineChars="200"/>
        <w:rPr>
          <w:rFonts w:hAnsi="宋体" w:cs="宋体"/>
          <w:b/>
          <w:bCs/>
          <w:color w:val="auto"/>
          <w:szCs w:val="21"/>
          <w:highlight w:val="none"/>
        </w:rPr>
      </w:pPr>
      <w:r>
        <w:rPr>
          <w:rFonts w:hint="eastAsia" w:hAnsi="宋体" w:cs="宋体"/>
          <w:b/>
          <w:bCs/>
          <w:color w:val="auto"/>
          <w:szCs w:val="21"/>
          <w:highlight w:val="none"/>
        </w:rPr>
        <w:t>二、评标办法</w:t>
      </w:r>
    </w:p>
    <w:p>
      <w:pPr>
        <w:pStyle w:val="13"/>
        <w:spacing w:line="380" w:lineRule="exact"/>
        <w:ind w:firstLine="420" w:firstLineChars="200"/>
        <w:rPr>
          <w:rFonts w:hAnsi="宋体" w:cs="宋体"/>
          <w:bCs/>
          <w:color w:val="auto"/>
          <w:szCs w:val="21"/>
          <w:highlight w:val="none"/>
        </w:rPr>
      </w:pPr>
      <w:r>
        <w:rPr>
          <w:rFonts w:hint="eastAsia" w:hAnsi="宋体" w:cs="宋体"/>
          <w:bCs/>
          <w:color w:val="auto"/>
          <w:szCs w:val="21"/>
          <w:highlight w:val="none"/>
        </w:rPr>
        <w:t>（一）对进入详评的，采用综合评分法。</w:t>
      </w:r>
    </w:p>
    <w:p>
      <w:pPr>
        <w:pStyle w:val="13"/>
        <w:spacing w:line="360" w:lineRule="auto"/>
        <w:ind w:firstLine="411" w:firstLineChars="196"/>
        <w:rPr>
          <w:rFonts w:hAnsi="宋体" w:cs="宋体"/>
          <w:bCs/>
          <w:color w:val="auto"/>
          <w:szCs w:val="21"/>
          <w:highlight w:val="none"/>
        </w:rPr>
      </w:pPr>
      <w:r>
        <w:rPr>
          <w:rFonts w:hint="eastAsia" w:hAnsi="宋体" w:cs="宋体"/>
          <w:bCs/>
          <w:color w:val="auto"/>
          <w:szCs w:val="21"/>
          <w:highlight w:val="none"/>
        </w:rPr>
        <w:t>（二）计分办法（按四舍五入取至小数点后二位）</w:t>
      </w:r>
    </w:p>
    <w:p>
      <w:pPr>
        <w:pStyle w:val="13"/>
        <w:spacing w:line="360" w:lineRule="auto"/>
        <w:ind w:firstLine="420" w:firstLineChars="200"/>
        <w:outlineLvl w:val="0"/>
        <w:rPr>
          <w:rFonts w:hAnsi="宋体" w:cs="宋体"/>
          <w:b/>
          <w:bCs/>
          <w:color w:val="auto"/>
          <w:szCs w:val="21"/>
          <w:highlight w:val="none"/>
        </w:rPr>
      </w:pPr>
      <w:bookmarkStart w:id="127" w:name="_Toc19277"/>
      <w:r>
        <w:rPr>
          <w:rFonts w:hint="eastAsia" w:hAnsi="宋体" w:cs="宋体"/>
          <w:b/>
          <w:bCs/>
          <w:color w:val="auto"/>
          <w:szCs w:val="21"/>
          <w:highlight w:val="none"/>
        </w:rPr>
        <w:t>1、价格分………………………………………………………………………………………………10分</w:t>
      </w:r>
    </w:p>
    <w:p>
      <w:pPr>
        <w:pStyle w:val="13"/>
        <w:spacing w:line="360" w:lineRule="auto"/>
        <w:ind w:firstLine="420" w:firstLineChars="200"/>
        <w:outlineLvl w:val="0"/>
        <w:rPr>
          <w:rFonts w:hAnsi="宋体" w:cs="宋体"/>
          <w:color w:val="auto"/>
          <w:szCs w:val="21"/>
          <w:highlight w:val="none"/>
        </w:rPr>
      </w:pPr>
      <w:r>
        <w:rPr>
          <w:rFonts w:hint="eastAsia" w:hAnsi="宋体" w:cs="宋体"/>
          <w:color w:val="auto"/>
          <w:szCs w:val="21"/>
          <w:highlight w:val="none"/>
        </w:rPr>
        <w:t>（1）按照《政府采购促进中小企业发展暂行办法》（财库[2011]181 号）的规定：</w:t>
      </w:r>
    </w:p>
    <w:p>
      <w:pPr>
        <w:pStyle w:val="13"/>
        <w:spacing w:line="380" w:lineRule="exact"/>
        <w:ind w:firstLine="420"/>
        <w:rPr>
          <w:rFonts w:hAnsi="宋体" w:cs="宋体"/>
          <w:color w:val="auto"/>
          <w:szCs w:val="21"/>
          <w:highlight w:val="none"/>
        </w:rPr>
      </w:pPr>
      <w:r>
        <w:rPr>
          <w:rFonts w:hint="eastAsia" w:hAnsi="宋体" w:cs="宋体"/>
          <w:color w:val="auto"/>
          <w:szCs w:val="21"/>
          <w:highlight w:val="none"/>
        </w:rPr>
        <w:t>①投标人认定为小型和微型企业的且所投标产品均为小型、微型企业产品的（必须提供中小企业声明函且以报价文件提供的符合规定的有关证明材料为准，否则不予以认定），对最后报价给予10%的扣除，扣除后的价格为评标价，即评标价=磋商报价×（1-10%）；</w:t>
      </w:r>
    </w:p>
    <w:p>
      <w:pPr>
        <w:pStyle w:val="13"/>
        <w:spacing w:line="380" w:lineRule="exact"/>
        <w:ind w:firstLine="420"/>
        <w:rPr>
          <w:rFonts w:hAnsi="宋体" w:cs="宋体"/>
          <w:color w:val="auto"/>
          <w:szCs w:val="21"/>
          <w:highlight w:val="none"/>
        </w:rPr>
      </w:pPr>
      <w:r>
        <w:rPr>
          <w:rFonts w:hint="eastAsia" w:hAnsi="宋体" w:cs="宋体"/>
          <w:color w:val="auto"/>
          <w:szCs w:val="21"/>
          <w:highlight w:val="none"/>
        </w:rPr>
        <w:t>②除上述情况外，评标价=磋商报价。</w:t>
      </w:r>
      <w:bookmarkEnd w:id="127"/>
    </w:p>
    <w:p>
      <w:pPr>
        <w:pStyle w:val="13"/>
        <w:spacing w:line="380" w:lineRule="exact"/>
        <w:ind w:firstLine="420"/>
        <w:rPr>
          <w:rFonts w:hAnsi="宋体" w:cs="宋体"/>
          <w:color w:val="auto"/>
          <w:szCs w:val="21"/>
          <w:highlight w:val="none"/>
        </w:rPr>
      </w:pPr>
      <w:r>
        <w:rPr>
          <w:rFonts w:hint="eastAsia" w:hAnsi="宋体" w:cs="宋体"/>
          <w:b/>
          <w:color w:val="auto"/>
          <w:szCs w:val="21"/>
          <w:highlight w:val="none"/>
        </w:rPr>
        <w:t>注：中小微型企业划分标准按照《国家统计局关于印发《统计上大中小微型企业划分办法（2017）》的通知》（国统字[2017]213号）执行，具体划分标准见附表《统计上大中小微型企业划分标准》 。</w:t>
      </w:r>
    </w:p>
    <w:p>
      <w:pPr>
        <w:pStyle w:val="13"/>
        <w:spacing w:line="360" w:lineRule="auto"/>
        <w:ind w:firstLine="420" w:firstLineChars="200"/>
        <w:outlineLvl w:val="0"/>
        <w:rPr>
          <w:rFonts w:hAnsi="宋体" w:cs="宋体"/>
          <w:color w:val="auto"/>
          <w:szCs w:val="21"/>
          <w:highlight w:val="none"/>
        </w:rPr>
      </w:pPr>
      <w:bookmarkStart w:id="128" w:name="_Toc17819"/>
      <w:r>
        <w:rPr>
          <w:rFonts w:hint="eastAsia" w:hAnsi="宋体" w:cs="宋体"/>
          <w:color w:val="auto"/>
          <w:kern w:val="0"/>
          <w:szCs w:val="21"/>
          <w:highlight w:val="none"/>
        </w:rPr>
        <w:t>（2）</w:t>
      </w:r>
      <w:r>
        <w:rPr>
          <w:rFonts w:hint="eastAsia" w:hAnsi="宋体" w:cs="宋体"/>
          <w:color w:val="auto"/>
          <w:szCs w:val="21"/>
          <w:highlight w:val="none"/>
        </w:rPr>
        <w:t>根据《关于政府采购支持监狱企业发展有关问题的通知》（财库[2014]68 号）、《关于我区政府采购支持监狱企业发展有关问题的通知》（桂财采[2015]24 号）的规定，监狱企业视同小型、微型企业，享受小型、微型企业评审中价格扣除的政府采购政策。（必须提供相关证明文件，否则不予以认定）</w:t>
      </w:r>
      <w:bookmarkEnd w:id="128"/>
    </w:p>
    <w:p>
      <w:pPr>
        <w:pStyle w:val="13"/>
        <w:spacing w:line="360" w:lineRule="auto"/>
        <w:ind w:firstLine="420" w:firstLineChars="200"/>
        <w:outlineLvl w:val="0"/>
        <w:rPr>
          <w:rFonts w:hAnsi="宋体" w:cs="宋体"/>
          <w:color w:val="auto"/>
          <w:szCs w:val="21"/>
          <w:highlight w:val="none"/>
        </w:rPr>
      </w:pPr>
      <w:bookmarkStart w:id="129" w:name="_Toc20384"/>
      <w:r>
        <w:rPr>
          <w:rFonts w:hint="eastAsia" w:hAnsi="宋体" w:cs="宋体"/>
          <w:color w:val="auto"/>
          <w:kern w:val="0"/>
          <w:szCs w:val="21"/>
          <w:highlight w:val="none"/>
        </w:rPr>
        <w:t>（3）</w:t>
      </w:r>
      <w:r>
        <w:rPr>
          <w:rFonts w:hint="eastAsia" w:hAnsi="宋体" w:cs="宋体"/>
          <w:color w:val="auto"/>
          <w:szCs w:val="21"/>
          <w:highlight w:val="none"/>
        </w:rPr>
        <w:t>根据《三部门联合发布关于促进残疾人就业政府采购政策的通知》（财库[2017]141 号）的规定，残疾人福利性单位视同小型、微型企业，享受小型、微型企业评审中价格扣除的政府采购政策。（必须提供残疾人福利性单位声明函，否则不予以认定）</w:t>
      </w:r>
      <w:bookmarkEnd w:id="129"/>
    </w:p>
    <w:p>
      <w:pPr>
        <w:pStyle w:val="13"/>
        <w:spacing w:line="380" w:lineRule="exact"/>
        <w:ind w:firstLine="420"/>
        <w:rPr>
          <w:rFonts w:hAnsi="宋体" w:cs="宋体"/>
          <w:color w:val="auto"/>
          <w:kern w:val="0"/>
          <w:szCs w:val="21"/>
          <w:highlight w:val="none"/>
        </w:rPr>
      </w:pPr>
      <w:r>
        <w:rPr>
          <w:rFonts w:hint="eastAsia" w:hAnsi="宋体" w:cs="宋体"/>
          <w:color w:val="auto"/>
          <w:kern w:val="0"/>
          <w:szCs w:val="21"/>
          <w:highlight w:val="none"/>
        </w:rPr>
        <w:t>（4）价格分采用低价优先法计算，即满足磋商文件要求且评标报价最低的评标报价为评标基准价，其价格分为10分。</w:t>
      </w:r>
    </w:p>
    <w:p>
      <w:pPr>
        <w:pStyle w:val="13"/>
        <w:spacing w:line="380" w:lineRule="exact"/>
        <w:ind w:firstLine="420"/>
        <w:rPr>
          <w:rFonts w:hAnsi="宋体" w:cs="宋体"/>
          <w:color w:val="auto"/>
          <w:kern w:val="0"/>
          <w:szCs w:val="21"/>
          <w:highlight w:val="none"/>
        </w:rPr>
      </w:pPr>
      <w:r>
        <w:rPr>
          <w:rFonts w:hint="eastAsia" w:hAnsi="宋体" w:cs="宋体"/>
          <w:color w:val="auto"/>
          <w:kern w:val="0"/>
          <w:szCs w:val="21"/>
          <w:highlight w:val="none"/>
        </w:rPr>
        <w:t>（5）价格分计算公式：</w:t>
      </w:r>
    </w:p>
    <w:p>
      <w:pPr>
        <w:pStyle w:val="13"/>
        <w:spacing w:line="380" w:lineRule="exact"/>
        <w:ind w:firstLine="420"/>
        <w:rPr>
          <w:rFonts w:hAnsi="宋体" w:cs="宋体"/>
          <w:color w:val="auto"/>
          <w:szCs w:val="21"/>
          <w:highlight w:val="none"/>
        </w:rPr>
      </w:pPr>
      <w:r>
        <w:rPr>
          <w:rFonts w:hint="eastAsia" w:hAnsi="宋体" w:cs="宋体"/>
          <w:color w:val="auto"/>
          <w:kern w:val="0"/>
          <w:szCs w:val="21"/>
          <w:highlight w:val="none"/>
        </w:rPr>
        <w:t>某供应商磋商报价分=（评标基准价/某供应商评标报价）×10分</w:t>
      </w:r>
    </w:p>
    <w:p>
      <w:pPr>
        <w:widowControl/>
        <w:numPr>
          <w:ilvl w:val="0"/>
          <w:numId w:val="4"/>
        </w:numPr>
        <w:spacing w:line="360" w:lineRule="auto"/>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项目实施方案分……………………………………………………………………………………………80分 </w:t>
      </w:r>
    </w:p>
    <w:p>
      <w:pPr>
        <w:pStyle w:val="13"/>
        <w:spacing w:line="360" w:lineRule="auto"/>
        <w:ind w:firstLine="420" w:firstLineChars="200"/>
        <w:rPr>
          <w:rFonts w:hAnsi="宋体" w:cs="宋体"/>
          <w:b/>
          <w:bCs/>
          <w:color w:val="auto"/>
          <w:kern w:val="0"/>
          <w:szCs w:val="21"/>
          <w:highlight w:val="none"/>
          <w:lang w:bidi="ar"/>
        </w:rPr>
      </w:pPr>
      <w:r>
        <w:rPr>
          <w:rFonts w:hint="eastAsia" w:hAnsi="宋体" w:cs="宋体"/>
          <w:b/>
          <w:bCs/>
          <w:color w:val="auto"/>
          <w:kern w:val="0"/>
          <w:szCs w:val="21"/>
          <w:highlight w:val="none"/>
          <w:lang w:bidi="ar"/>
        </w:rPr>
        <w:t>（1）培训方式（满分20分）</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一档（5分）：培训方式多元化，综合采取参与式、研讨式、案例式。</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二档（10分）：培训方式多元化，综合采取参与式、研讨式、案例式以及现场诊断、听课评课、名师师范等多种方式。</w:t>
      </w:r>
    </w:p>
    <w:p>
      <w:pPr>
        <w:pStyle w:val="13"/>
        <w:spacing w:line="360" w:lineRule="auto"/>
        <w:ind w:left="420" w:leftChars="200"/>
        <w:rPr>
          <w:rFonts w:hAnsi="宋体" w:cs="宋体"/>
          <w:color w:val="auto"/>
          <w:szCs w:val="21"/>
          <w:highlight w:val="none"/>
        </w:rPr>
      </w:pPr>
      <w:r>
        <w:rPr>
          <w:rFonts w:hint="eastAsia" w:hAnsi="宋体" w:cs="宋体"/>
          <w:color w:val="auto"/>
          <w:szCs w:val="21"/>
          <w:highlight w:val="none"/>
        </w:rPr>
        <w:t>三档（15分）：培训方式多元化，综合采取参与式、研讨式、案例式以及现场诊断、听课评课、名师师范等多种方式，安排教学现场、走进真实课堂的培训环节，强化学员互动参与，体现任务驱动、实效性较强。</w:t>
      </w:r>
    </w:p>
    <w:p>
      <w:pPr>
        <w:pStyle w:val="13"/>
        <w:spacing w:line="360" w:lineRule="auto"/>
        <w:ind w:left="420" w:leftChars="200"/>
        <w:rPr>
          <w:rFonts w:hAnsi="宋体" w:cs="宋体"/>
          <w:color w:val="auto"/>
          <w:szCs w:val="21"/>
          <w:highlight w:val="none"/>
        </w:rPr>
      </w:pPr>
      <w:r>
        <w:rPr>
          <w:rFonts w:hint="eastAsia" w:hAnsi="宋体" w:cs="宋体"/>
          <w:color w:val="auto"/>
          <w:szCs w:val="21"/>
          <w:highlight w:val="none"/>
        </w:rPr>
        <w:t xml:space="preserve">四档（20分）：培训方式多元化，综合采取参与式、研讨式、案例式以及现场诊断、听课评课、名师师范等多种方式，安排教学现场、走进真实课堂的培训环节，强化学员互动参与，体现任务驱动、实效性强且体现区域特色。 </w:t>
      </w:r>
    </w:p>
    <w:p>
      <w:pPr>
        <w:pStyle w:val="13"/>
        <w:spacing w:line="360" w:lineRule="auto"/>
        <w:ind w:left="420" w:leftChars="200"/>
        <w:rPr>
          <w:rFonts w:hAnsi="宋体" w:cs="宋体"/>
          <w:b/>
          <w:bCs/>
          <w:color w:val="auto"/>
          <w:kern w:val="0"/>
          <w:szCs w:val="21"/>
          <w:highlight w:val="none"/>
          <w:lang w:bidi="ar"/>
        </w:rPr>
      </w:pPr>
      <w:r>
        <w:rPr>
          <w:rFonts w:hint="eastAsia" w:hAnsi="宋体" w:cs="宋体"/>
          <w:b/>
          <w:bCs/>
          <w:color w:val="auto"/>
          <w:kern w:val="0"/>
          <w:szCs w:val="21"/>
          <w:highlight w:val="none"/>
          <w:lang w:bidi="ar"/>
        </w:rPr>
        <w:t>（2）培训内容及课程设置分（满分20分）</w:t>
      </w:r>
    </w:p>
    <w:p>
      <w:pPr>
        <w:pStyle w:val="13"/>
        <w:spacing w:line="360" w:lineRule="auto"/>
        <w:ind w:left="420" w:leftChars="200"/>
        <w:rPr>
          <w:rFonts w:hAnsi="宋体" w:cs="宋体"/>
          <w:color w:val="auto"/>
          <w:szCs w:val="21"/>
          <w:highlight w:val="none"/>
        </w:rPr>
      </w:pPr>
      <w:r>
        <w:rPr>
          <w:rFonts w:hint="eastAsia" w:hAnsi="宋体" w:cs="宋体"/>
          <w:color w:val="auto"/>
          <w:szCs w:val="21"/>
          <w:highlight w:val="none"/>
        </w:rPr>
        <w:t>一档（5分）：培训内容和课程设置方案与模块间的关联度一般，理论性课程与实践性课程安排不合理，仅满足采购需求的最低要求。</w:t>
      </w:r>
    </w:p>
    <w:p>
      <w:pPr>
        <w:pStyle w:val="13"/>
        <w:spacing w:line="360" w:lineRule="auto"/>
        <w:ind w:left="420" w:leftChars="200"/>
        <w:rPr>
          <w:rFonts w:hAnsi="宋体" w:cs="宋体"/>
          <w:color w:val="auto"/>
          <w:szCs w:val="21"/>
          <w:highlight w:val="none"/>
        </w:rPr>
      </w:pPr>
      <w:r>
        <w:rPr>
          <w:rFonts w:hint="eastAsia" w:hAnsi="宋体" w:cs="宋体"/>
          <w:color w:val="auto"/>
          <w:szCs w:val="21"/>
          <w:highlight w:val="none"/>
        </w:rPr>
        <w:t>二档（10分）：培训内容和课程设置方案与模块间关联度较高，培训内容有一定的针对性。理论性课程与实践性课程安排较合理。</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三档（15分）：培训内容和课程设置方案与模块间关联度高，培训内容有一定的针对性。课程方案较具体完善，培训内容与模块设置之间的逻辑关系较清晰，理论课程和实践课程比例合理。</w:t>
      </w:r>
    </w:p>
    <w:p>
      <w:pPr>
        <w:pStyle w:val="13"/>
        <w:spacing w:line="360" w:lineRule="auto"/>
        <w:ind w:firstLine="420" w:firstLineChars="200"/>
        <w:rPr>
          <w:color w:val="auto"/>
          <w:highlight w:val="none"/>
        </w:rPr>
      </w:pPr>
      <w:r>
        <w:rPr>
          <w:rFonts w:hint="eastAsia" w:hAnsi="宋体" w:cs="宋体"/>
          <w:color w:val="auto"/>
          <w:szCs w:val="21"/>
          <w:highlight w:val="none"/>
        </w:rPr>
        <w:t>四档（20分）：培训内容和课程设置方案与模块间关联度高，培训内容切合培训需求，重点突出、特色鲜明，针对性、实践性强，课程方案具体完善，培训内容与模块设置之间的逻辑关系清晰，理论课程和实践课程比例科学合理、贴近教学实际。</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b/>
          <w:bCs/>
          <w:color w:val="auto"/>
          <w:kern w:val="0"/>
          <w:szCs w:val="21"/>
          <w:highlight w:val="none"/>
          <w:lang w:bidi="ar"/>
        </w:rPr>
        <w:t>（3）培训团队分（满分10分）</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根据投标人拟投入授课团队的师资力量、人员数量、课程安排、导师团队的知名度、教学水平等情况打分：</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一档（3分）：授课教师3人及以下具有副高级以上职称且专业切合率一般的。</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二档（6分）：授课教师6人及以上具有副高级以上职称且专业切合率较高的。</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三档（10分）：授课教师10人及以上具有副高级以上职称且专业切合率高的。</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（注:提供教师名单信息,并提供职称证书证明材料复印件，并加盖供应商公章。）</w:t>
      </w:r>
    </w:p>
    <w:p>
      <w:pPr>
        <w:pStyle w:val="13"/>
        <w:spacing w:line="360" w:lineRule="auto"/>
        <w:ind w:firstLine="420" w:firstLineChars="200"/>
        <w:rPr>
          <w:rFonts w:hAnsi="宋体" w:cs="宋体"/>
          <w:b/>
          <w:bCs/>
          <w:color w:val="auto"/>
          <w:szCs w:val="21"/>
          <w:highlight w:val="none"/>
        </w:rPr>
      </w:pPr>
      <w:r>
        <w:rPr>
          <w:rFonts w:hint="eastAsia" w:hAnsi="宋体" w:cs="宋体"/>
          <w:b/>
          <w:bCs/>
          <w:color w:val="auto"/>
          <w:kern w:val="0"/>
          <w:szCs w:val="21"/>
          <w:highlight w:val="none"/>
          <w:lang w:bidi="ar"/>
        </w:rPr>
        <w:t>（4）</w:t>
      </w:r>
      <w:r>
        <w:rPr>
          <w:rFonts w:hint="eastAsia" w:hAnsi="宋体" w:cs="宋体"/>
          <w:b/>
          <w:bCs/>
          <w:color w:val="auto"/>
          <w:szCs w:val="21"/>
          <w:highlight w:val="none"/>
        </w:rPr>
        <w:t>培训管理分（满分15分）</w:t>
      </w:r>
    </w:p>
    <w:p>
      <w:pPr>
        <w:pStyle w:val="13"/>
        <w:spacing w:line="360" w:lineRule="auto"/>
        <w:ind w:left="420" w:leftChars="200"/>
        <w:rPr>
          <w:rFonts w:hAnsi="宋体" w:cs="宋体"/>
          <w:color w:val="auto"/>
          <w:szCs w:val="21"/>
          <w:highlight w:val="none"/>
        </w:rPr>
      </w:pPr>
      <w:r>
        <w:rPr>
          <w:rFonts w:hint="eastAsia" w:hAnsi="宋体" w:cs="宋体"/>
          <w:color w:val="auto"/>
          <w:szCs w:val="21"/>
          <w:highlight w:val="none"/>
        </w:rPr>
        <w:t>根据供应商为本项目所提供的培训管理团队及培训管理制度、培训组织管理措施的完整性、科学性，实操性等情况进行对比进行对比：</w:t>
      </w:r>
      <w:r>
        <w:rPr>
          <w:rFonts w:hint="eastAsia" w:hAnsi="宋体" w:cs="宋体"/>
          <w:color w:val="auto"/>
          <w:szCs w:val="21"/>
          <w:highlight w:val="none"/>
        </w:rPr>
        <w:br w:type="textWrapping"/>
      </w:r>
      <w:r>
        <w:rPr>
          <w:rFonts w:hint="eastAsia" w:hAnsi="宋体" w:cs="宋体"/>
          <w:color w:val="auto"/>
          <w:szCs w:val="21"/>
          <w:highlight w:val="none"/>
        </w:rPr>
        <w:t>一档（5分）：配备有培训管理团队，培训管理团队中培训管理人员不少于2人，培训管理团队总人数不少于 5人，培训组织管理措施的科学合理性、可行性一般，实操性一般。</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二档（10分）：配备有培训管理团队，培训管理团队中培训管理人员不少于3人，培训管理团队总人数不少于 6人，管理团队人员分工明确；相关培训管理制度较完整，培训组织管理措施较具体，科学合理性、可行性较好，实操性较强。</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三档（15分）：配备有优秀的培训管理团队，培训管理团队中培训管理人员不少于4人，培训管理团队总人数不少于 7人，管理团队人员分工明确；具有完整的培训管理制度、</w:t>
      </w:r>
      <w:r>
        <w:rPr>
          <w:rFonts w:hint="eastAsia" w:hAnsi="宋体" w:cs="宋体"/>
          <w:color w:val="auto"/>
          <w:kern w:val="0"/>
          <w:szCs w:val="21"/>
          <w:highlight w:val="none"/>
        </w:rPr>
        <w:t>考勤管理及培训考核评价</w:t>
      </w:r>
      <w:r>
        <w:rPr>
          <w:rFonts w:hint="eastAsia" w:hAnsi="宋体" w:cs="宋体"/>
          <w:color w:val="auto"/>
          <w:szCs w:val="21"/>
          <w:highlight w:val="none"/>
        </w:rPr>
        <w:t>；培训组织管理措施有具体的时间、质量、进度控制，科学合理，有针对性且可行性高，实操性强。具有有完整的</w:t>
      </w:r>
      <w:r>
        <w:rPr>
          <w:rFonts w:hint="eastAsia" w:hAnsi="宋体" w:cs="宋体"/>
          <w:color w:val="auto"/>
          <w:kern w:val="0"/>
          <w:szCs w:val="21"/>
          <w:highlight w:val="none"/>
        </w:rPr>
        <w:t>考勤管理，严格培训考核评价。</w:t>
      </w:r>
    </w:p>
    <w:p>
      <w:pPr>
        <w:pStyle w:val="13"/>
        <w:spacing w:line="360" w:lineRule="auto"/>
        <w:ind w:firstLine="420" w:firstLineChars="200"/>
        <w:rPr>
          <w:rFonts w:hAnsi="宋体" w:cs="宋体"/>
          <w:color w:val="auto"/>
          <w:szCs w:val="21"/>
          <w:highlight w:val="none"/>
        </w:rPr>
      </w:pPr>
      <w:r>
        <w:rPr>
          <w:rFonts w:hint="eastAsia" w:hAnsi="宋体" w:cs="宋体"/>
          <w:b/>
          <w:bCs/>
          <w:color w:val="auto"/>
          <w:kern w:val="0"/>
          <w:szCs w:val="21"/>
          <w:highlight w:val="none"/>
          <w:lang w:bidi="ar"/>
        </w:rPr>
        <w:t>（5）后勤保障分（满分15分）</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根据供应商为本项目提供的后勤保障各方面情况进行对比：</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一档（5分）：能基本满足磋商文件（包括培训场地、食宿、安全手册等保障条件和基本能力的）。</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二档（10分）：培训场地、食宿情况、交通情况、安全管理、培训其他辅助资源等方面具有满足项目按期、安全、高效实施的保障条件和基本能力。</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三档（15分）： 培训场地、食宿情况、交通情况、安全管理（安全管理制度应包含学员就医、急救等应急安全预案，与学员签订的安全责任书样本规范）、培训其他辅助资源等方面具有满足项目按期、安全、高效实施的保障条件和基本能力（提供场所电子地图定位、培训教室的现场图和座次图、周边交通情况网页截图等）。投标人能根据教育部及各地疫情防控指挥部相关要求实施培训，制定疫情防控方案并按要求向当地相关部门报备，培训现场要消毒、测量体温（15日连续体温跟踪表），配备隔离室，准备口罩、酒精、消毒水等防疫物品。</w:t>
      </w:r>
    </w:p>
    <w:p>
      <w:pPr>
        <w:spacing w:line="380" w:lineRule="exact"/>
        <w:ind w:left="420" w:firstLine="422"/>
        <w:rPr>
          <w:color w:val="auto"/>
          <w:highlight w:val="none"/>
        </w:rPr>
      </w:pPr>
      <w:r>
        <w:rPr>
          <w:rFonts w:hint="eastAsia" w:ascii="宋体" w:hAnsi="宋体" w:cs="宋体"/>
          <w:b/>
          <w:bCs/>
          <w:color w:val="auto"/>
          <w:szCs w:val="21"/>
          <w:highlight w:val="none"/>
        </w:rPr>
        <w:t>注：以上5个方面内容未提供不得分。</w:t>
      </w:r>
    </w:p>
    <w:p>
      <w:pPr>
        <w:widowControl/>
        <w:spacing w:line="360" w:lineRule="auto"/>
        <w:ind w:firstLine="420" w:firstLineChars="200"/>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3、商务分……………………………………………………………………………………………10分</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1）供应商2018年以来承担过类似培训项目每项得1分。满分6分。（提供中标通知书、项目服务合同、项目结算单或协议书等有效证明材料复印件并加盖供应商单位公章。同一合同或协议书不能重复计分，不提供不计分。）</w:t>
      </w:r>
    </w:p>
    <w:p>
      <w:pPr>
        <w:tabs>
          <w:tab w:val="left" w:pos="1305"/>
        </w:tabs>
        <w:spacing w:line="400" w:lineRule="exact"/>
        <w:ind w:firstLine="420"/>
        <w:rPr>
          <w:rFonts w:ascii="宋体" w:hAnsi="宋体" w:cs="宋体"/>
          <w:color w:val="auto"/>
          <w:szCs w:val="21"/>
          <w:highlight w:val="none"/>
        </w:rPr>
      </w:pPr>
      <w:r>
        <w:rPr>
          <w:rFonts w:hint="eastAsia" w:hAnsi="宋体"/>
          <w:bCs/>
          <w:color w:val="auto"/>
          <w:highlight w:val="none"/>
        </w:rPr>
        <w:t>（2）供应商同时通过职业健康安全管理体系认证、质量管理体系认证、环境管理体系认证的，得1分，</w:t>
      </w:r>
      <w:r>
        <w:rPr>
          <w:rFonts w:hint="eastAsia" w:ascii="宋体" w:hAnsi="宋体" w:cs="宋体"/>
          <w:color w:val="auto"/>
          <w:szCs w:val="21"/>
          <w:highlight w:val="none"/>
        </w:rPr>
        <w:t>满分1分。</w:t>
      </w:r>
      <w:r>
        <w:rPr>
          <w:rFonts w:hint="eastAsia" w:hAnsi="宋体"/>
          <w:bCs/>
          <w:color w:val="auto"/>
          <w:highlight w:val="none"/>
        </w:rPr>
        <w:t>（响应文件中提供相应认证证书复印件，并加盖投标人公章）</w:t>
      </w:r>
    </w:p>
    <w:p>
      <w:pPr>
        <w:pStyle w:val="13"/>
        <w:spacing w:line="360" w:lineRule="auto"/>
        <w:ind w:firstLine="420" w:firstLineChars="200"/>
        <w:rPr>
          <w:rFonts w:hAnsi="宋体" w:cs="宋体"/>
          <w:color w:val="auto"/>
          <w:szCs w:val="21"/>
          <w:highlight w:val="none"/>
        </w:rPr>
      </w:pPr>
      <w:r>
        <w:rPr>
          <w:rFonts w:hint="eastAsia" w:hAnsi="宋体"/>
          <w:bCs/>
          <w:color w:val="auto"/>
          <w:highlight w:val="none"/>
        </w:rPr>
        <w:t>（3）供应商通过</w:t>
      </w:r>
      <w:r>
        <w:rPr>
          <w:rFonts w:hint="eastAsia" w:hAnsi="宋体" w:cs="宋体"/>
          <w:color w:val="auto"/>
          <w:szCs w:val="21"/>
          <w:highlight w:val="none"/>
        </w:rPr>
        <w:t>有效的ISO27001信息安全管理体系认证</w:t>
      </w:r>
      <w:r>
        <w:rPr>
          <w:rFonts w:hint="eastAsia" w:hAnsi="宋体" w:cs="宋体"/>
          <w:color w:val="auto"/>
          <w:szCs w:val="21"/>
          <w:highlight w:val="none"/>
          <w:lang w:val="zh-CN" w:bidi="zh-CN"/>
        </w:rPr>
        <w:t>的</w:t>
      </w:r>
      <w:r>
        <w:rPr>
          <w:rFonts w:hint="eastAsia" w:hAnsi="宋体" w:cs="宋体"/>
          <w:color w:val="auto"/>
          <w:szCs w:val="21"/>
          <w:highlight w:val="none"/>
          <w:lang w:bidi="zh-CN"/>
        </w:rPr>
        <w:t>得1分</w:t>
      </w:r>
      <w:r>
        <w:rPr>
          <w:rFonts w:hint="eastAsia" w:hAnsi="宋体" w:cs="宋体"/>
          <w:color w:val="auto"/>
          <w:szCs w:val="21"/>
          <w:highlight w:val="none"/>
          <w:lang w:val="zh-CN" w:bidi="zh-CN"/>
        </w:rPr>
        <w:t xml:space="preserve">，满分 </w:t>
      </w:r>
      <w:r>
        <w:rPr>
          <w:rFonts w:hint="eastAsia" w:hAnsi="宋体" w:cs="宋体"/>
          <w:color w:val="auto"/>
          <w:szCs w:val="21"/>
          <w:highlight w:val="none"/>
          <w:lang w:bidi="zh-CN"/>
        </w:rPr>
        <w:t>1</w:t>
      </w:r>
      <w:r>
        <w:rPr>
          <w:rFonts w:hint="eastAsia" w:hAnsi="宋体" w:cs="宋体"/>
          <w:color w:val="auto"/>
          <w:szCs w:val="21"/>
          <w:highlight w:val="none"/>
          <w:lang w:val="zh-CN" w:bidi="zh-CN"/>
        </w:rPr>
        <w:t>分。</w:t>
      </w:r>
      <w:r>
        <w:rPr>
          <w:rFonts w:hint="eastAsia" w:hAnsi="宋体"/>
          <w:bCs/>
          <w:color w:val="auto"/>
          <w:highlight w:val="none"/>
        </w:rPr>
        <w:t>（响应文件中提供相应认证证书复印件，并加盖投标人公章）</w:t>
      </w:r>
    </w:p>
    <w:p>
      <w:pPr>
        <w:pStyle w:val="13"/>
        <w:spacing w:line="360" w:lineRule="auto"/>
        <w:ind w:firstLine="420" w:firstLineChars="200"/>
        <w:rPr>
          <w:rFonts w:hAnsi="宋体" w:cs="宋体"/>
          <w:color w:val="auto"/>
          <w:szCs w:val="21"/>
          <w:highlight w:val="none"/>
        </w:rPr>
      </w:pPr>
      <w:r>
        <w:rPr>
          <w:rFonts w:hint="eastAsia" w:hAnsi="宋体"/>
          <w:bCs/>
          <w:color w:val="auto"/>
          <w:highlight w:val="none"/>
        </w:rPr>
        <w:t>（4）供应商</w:t>
      </w:r>
      <w:r>
        <w:rPr>
          <w:rFonts w:hint="eastAsia" w:hAnsi="宋体" w:cs="宋体"/>
          <w:color w:val="auto"/>
          <w:szCs w:val="21"/>
          <w:highlight w:val="none"/>
        </w:rPr>
        <w:t>具有AAA企业信用等级证书，得2分；投标人拥有AA企业信用等级证书，得1分；投标人拥有A企业信用等级证书，得0.5分。</w:t>
      </w:r>
      <w:r>
        <w:rPr>
          <w:rFonts w:hint="eastAsia" w:hAnsi="宋体"/>
          <w:bCs/>
          <w:color w:val="auto"/>
          <w:highlight w:val="none"/>
        </w:rPr>
        <w:t>（响应文件中提供相应证书复印件，并加盖投标人公章）</w:t>
      </w:r>
    </w:p>
    <w:p>
      <w:pPr>
        <w:pStyle w:val="2"/>
        <w:spacing w:before="312" w:beforeLines="100"/>
        <w:ind w:firstLine="420"/>
        <w:rPr>
          <w:rFonts w:ascii="宋体" w:hAnsi="宋体" w:cs="仿宋"/>
          <w:b/>
          <w:color w:val="auto"/>
          <w:szCs w:val="21"/>
          <w:highlight w:val="none"/>
        </w:rPr>
      </w:pPr>
      <w:r>
        <w:rPr>
          <w:rFonts w:hint="eastAsia" w:ascii="宋体" w:hAnsi="宋体" w:cs="仿宋"/>
          <w:b/>
          <w:color w:val="auto"/>
          <w:szCs w:val="21"/>
          <w:highlight w:val="none"/>
        </w:rPr>
        <w:t>4.总得分=1+2+3</w:t>
      </w:r>
    </w:p>
    <w:p>
      <w:pPr>
        <w:pStyle w:val="13"/>
        <w:tabs>
          <w:tab w:val="left" w:pos="4214"/>
        </w:tabs>
        <w:spacing w:line="380" w:lineRule="exact"/>
        <w:ind w:firstLine="420" w:firstLineChars="200"/>
        <w:rPr>
          <w:rFonts w:hAnsi="宋体" w:cs="宋体"/>
          <w:b/>
          <w:color w:val="auto"/>
          <w:highlight w:val="none"/>
        </w:rPr>
      </w:pPr>
      <w:r>
        <w:rPr>
          <w:rFonts w:hint="eastAsia" w:hAnsi="宋体" w:cs="宋体"/>
          <w:b/>
          <w:color w:val="auto"/>
          <w:highlight w:val="none"/>
        </w:rPr>
        <w:t>三、推荐成交候选供应商原则</w:t>
      </w:r>
    </w:p>
    <w:p>
      <w:pPr>
        <w:pStyle w:val="13"/>
        <w:tabs>
          <w:tab w:val="left" w:pos="4214"/>
        </w:tabs>
        <w:spacing w:line="380" w:lineRule="exact"/>
        <w:ind w:firstLine="420" w:firstLineChars="200"/>
        <w:rPr>
          <w:rFonts w:hAnsi="宋体" w:cs="宋体"/>
          <w:color w:val="auto"/>
          <w:szCs w:val="21"/>
          <w:highlight w:val="none"/>
        </w:rPr>
      </w:pPr>
      <w:r>
        <w:rPr>
          <w:rFonts w:hint="eastAsia" w:hAnsi="宋体" w:cs="宋体"/>
          <w:color w:val="auto"/>
          <w:szCs w:val="21"/>
          <w:highlight w:val="none"/>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按培训方案由高到低顺序排列并推荐成交候选供应商。</w:t>
      </w:r>
    </w:p>
    <w:p>
      <w:pPr>
        <w:pStyle w:val="13"/>
        <w:tabs>
          <w:tab w:val="left" w:pos="4214"/>
        </w:tabs>
        <w:spacing w:line="380" w:lineRule="exact"/>
        <w:ind w:firstLine="420" w:firstLineChars="200"/>
        <w:rPr>
          <w:rFonts w:hAnsi="宋体" w:cs="宋体"/>
          <w:color w:val="auto"/>
          <w:szCs w:val="21"/>
          <w:highlight w:val="none"/>
        </w:rPr>
      </w:pPr>
      <w:r>
        <w:rPr>
          <w:rFonts w:hint="eastAsia" w:hAnsi="宋体" w:cs="宋体"/>
          <w:color w:val="auto"/>
          <w:szCs w:val="21"/>
          <w:highlight w:val="none"/>
        </w:rPr>
        <w:t>（2）采购单位应当确定磋商小组推荐排名第一的成交候选供应商为成交供应商。</w:t>
      </w:r>
    </w:p>
    <w:p>
      <w:pPr>
        <w:pStyle w:val="13"/>
        <w:tabs>
          <w:tab w:val="left" w:pos="4214"/>
        </w:tabs>
        <w:spacing w:line="380" w:lineRule="exact"/>
        <w:ind w:firstLine="420" w:firstLineChars="200"/>
        <w:rPr>
          <w:rFonts w:hAnsi="宋体" w:cs="宋体"/>
          <w:color w:val="auto"/>
          <w:szCs w:val="21"/>
          <w:highlight w:val="none"/>
        </w:rPr>
      </w:pPr>
      <w:r>
        <w:rPr>
          <w:rFonts w:hint="eastAsia" w:hAnsi="宋体" w:cs="宋体"/>
          <w:color w:val="auto"/>
          <w:szCs w:val="21"/>
          <w:highlight w:val="none"/>
        </w:rPr>
        <w:t>（3）排名第一的成交候选供应商放弃成交、因不可抗力提出不能履行合同，采购单位可以确定排名第二的成交候选供应商为成交供应商。</w:t>
      </w:r>
    </w:p>
    <w:p>
      <w:pPr>
        <w:pStyle w:val="13"/>
        <w:spacing w:line="380" w:lineRule="exact"/>
        <w:ind w:firstLine="525" w:firstLineChars="250"/>
        <w:jc w:val="left"/>
        <w:rPr>
          <w:rFonts w:hAnsi="宋体" w:cs="宋体"/>
          <w:color w:val="auto"/>
          <w:highlight w:val="none"/>
        </w:rPr>
      </w:pPr>
      <w:r>
        <w:rPr>
          <w:rFonts w:hint="eastAsia" w:hAnsi="宋体" w:cs="宋体"/>
          <w:color w:val="auto"/>
          <w:szCs w:val="21"/>
          <w:highlight w:val="none"/>
        </w:rPr>
        <w:t>（4）排名第二的成交候选供应商因前款规定的同样原因不能签订合同的，采购单位可以确定排名第三的成交候选人为成交供应商。以此类推。</w:t>
      </w:r>
    </w:p>
    <w:p>
      <w:pPr>
        <w:pStyle w:val="13"/>
        <w:tabs>
          <w:tab w:val="left" w:pos="4214"/>
        </w:tabs>
        <w:spacing w:line="380" w:lineRule="exact"/>
        <w:ind w:firstLine="420" w:firstLineChars="200"/>
        <w:rPr>
          <w:rFonts w:hAnsi="宋体" w:cs="宋体"/>
          <w:b/>
          <w:color w:val="auto"/>
          <w:highlight w:val="none"/>
        </w:rPr>
      </w:pPr>
      <w:r>
        <w:rPr>
          <w:rFonts w:hint="eastAsia" w:hAnsi="宋体" w:cs="宋体"/>
          <w:b/>
          <w:color w:val="auto"/>
          <w:highlight w:val="none"/>
        </w:rPr>
        <w:t>四、特别说明</w:t>
      </w:r>
    </w:p>
    <w:p>
      <w:pPr>
        <w:pStyle w:val="13"/>
        <w:spacing w:line="400" w:lineRule="exact"/>
        <w:ind w:firstLine="525" w:firstLineChars="250"/>
        <w:jc w:val="left"/>
        <w:rPr>
          <w:rFonts w:hAnsi="宋体" w:cs="宋体"/>
          <w:color w:val="auto"/>
          <w:highlight w:val="none"/>
        </w:rPr>
      </w:pPr>
      <w:r>
        <w:rPr>
          <w:rFonts w:hint="eastAsia" w:hAnsi="宋体" w:cs="宋体"/>
          <w:color w:val="auto"/>
          <w:szCs w:val="21"/>
          <w:highlight w:val="none"/>
        </w:rPr>
        <w:t>评审时，磋商小组在评审过程中如发现供应商的总报价明显低于其他供应商的报价或明显低于市场价格，有理由怀疑其总报价可能低于其成本核算，可要求该供应商做出书面说明并提供报价来源相关证明资料。供应商不能合理说明或者不能提供报价来源相关证明资料的，视作该供应商以低于成本报价竞标，对其响应文件不予评审。</w:t>
      </w:r>
    </w:p>
    <w:p>
      <w:pPr>
        <w:pStyle w:val="13"/>
        <w:spacing w:line="400" w:lineRule="exact"/>
        <w:ind w:firstLine="525" w:firstLineChars="250"/>
        <w:jc w:val="left"/>
        <w:rPr>
          <w:rFonts w:hAnsi="宋体" w:cs="宋体"/>
          <w:b/>
          <w:bCs/>
          <w:color w:val="auto"/>
          <w:highlight w:val="none"/>
        </w:rPr>
      </w:pPr>
      <w:r>
        <w:rPr>
          <w:rFonts w:hint="eastAsia" w:hAnsi="宋体" w:cs="宋体"/>
          <w:b/>
          <w:color w:val="auto"/>
          <w:szCs w:val="21"/>
          <w:highlight w:val="none"/>
        </w:rPr>
        <w:br w:type="page"/>
      </w:r>
      <w:bookmarkStart w:id="130" w:name="_Toc23660"/>
      <w:bookmarkStart w:id="131" w:name="_Toc27754"/>
      <w:bookmarkStart w:id="132" w:name="_Toc23297"/>
      <w:r>
        <w:rPr>
          <w:rFonts w:hint="eastAsia" w:hAnsi="宋体" w:cs="宋体"/>
          <w:b/>
          <w:bCs/>
          <w:color w:val="auto"/>
          <w:highlight w:val="none"/>
        </w:rPr>
        <w:t>附表</w:t>
      </w:r>
      <w:bookmarkEnd w:id="130"/>
      <w:bookmarkEnd w:id="131"/>
      <w:bookmarkEnd w:id="132"/>
      <w:r>
        <w:rPr>
          <w:rFonts w:hint="eastAsia" w:hAnsi="宋体" w:cs="宋体"/>
          <w:b/>
          <w:bCs/>
          <w:color w:val="auto"/>
          <w:highlight w:val="none"/>
        </w:rPr>
        <w:t>：</w:t>
      </w:r>
    </w:p>
    <w:p>
      <w:pPr>
        <w:pStyle w:val="13"/>
        <w:adjustRightInd w:val="0"/>
        <w:spacing w:line="360" w:lineRule="exact"/>
        <w:ind w:firstLine="420" w:firstLineChars="200"/>
        <w:contextualSpacing/>
        <w:rPr>
          <w:rFonts w:hAnsi="宋体" w:cs="宋体"/>
          <w:bCs/>
          <w:color w:val="auto"/>
          <w:highlight w:val="none"/>
        </w:rPr>
      </w:pPr>
      <w:bookmarkStart w:id="133" w:name="_Toc28361_WPSOffice_Level2"/>
      <w:r>
        <w:rPr>
          <w:rFonts w:hint="eastAsia" w:hAnsi="宋体" w:cs="宋体"/>
          <w:bCs/>
          <w:color w:val="auto"/>
          <w:highlight w:val="none"/>
        </w:rPr>
        <w:t>统计上大中小微型企业划分标准</w:t>
      </w:r>
      <w:bookmarkEnd w:id="133"/>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1428"/>
        <w:gridCol w:w="846"/>
        <w:gridCol w:w="1172"/>
        <w:gridCol w:w="1780"/>
        <w:gridCol w:w="1489"/>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1119" w:type="pct"/>
            <w:shd w:val="clear" w:color="auto" w:fill="8DB3E2"/>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行业名称</w:t>
            </w:r>
          </w:p>
        </w:tc>
        <w:tc>
          <w:tcPr>
            <w:tcW w:w="725" w:type="pct"/>
            <w:shd w:val="clear" w:color="auto" w:fill="8DB3E2"/>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指标名称</w:t>
            </w:r>
          </w:p>
        </w:tc>
        <w:tc>
          <w:tcPr>
            <w:tcW w:w="375" w:type="pct"/>
            <w:shd w:val="clear" w:color="auto" w:fill="8DB3E2"/>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计量</w:t>
            </w:r>
            <w:r>
              <w:rPr>
                <w:rFonts w:hint="eastAsia" w:hAnsi="宋体" w:cs="宋体"/>
                <w:bCs/>
                <w:color w:val="auto"/>
                <w:highlight w:val="none"/>
              </w:rPr>
              <w:br w:type="textWrapping"/>
            </w:r>
            <w:r>
              <w:rPr>
                <w:rFonts w:hint="eastAsia" w:hAnsi="宋体" w:cs="宋体"/>
                <w:bCs/>
                <w:color w:val="auto"/>
                <w:highlight w:val="none"/>
              </w:rPr>
              <w:t>单位</w:t>
            </w:r>
          </w:p>
        </w:tc>
        <w:tc>
          <w:tcPr>
            <w:tcW w:w="596" w:type="pct"/>
            <w:shd w:val="clear" w:color="auto" w:fill="8DB3E2"/>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大型</w:t>
            </w:r>
          </w:p>
        </w:tc>
        <w:tc>
          <w:tcPr>
            <w:tcW w:w="901" w:type="pct"/>
            <w:shd w:val="clear" w:color="auto" w:fill="8DB3E2"/>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中型</w:t>
            </w:r>
          </w:p>
        </w:tc>
        <w:tc>
          <w:tcPr>
            <w:tcW w:w="755" w:type="pct"/>
            <w:shd w:val="clear" w:color="auto" w:fill="8DB3E2"/>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小型</w:t>
            </w:r>
          </w:p>
        </w:tc>
        <w:tc>
          <w:tcPr>
            <w:tcW w:w="525" w:type="pct"/>
            <w:shd w:val="clear" w:color="auto" w:fill="8DB3E2"/>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农、林、牧、渔业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Y≥20000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500≤Y＜20000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50≤Y＜500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工业 *</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300≤X＜1000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20≤X＜300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Y≥40000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2000≤Y＜40000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300≤Y＜2000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建筑业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Y≥80000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6000≤Y＜80000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300≤Y＜6000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资产总额(Z)</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Z≥80000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5000≤Z＜80000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300≤Z＜5000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批发业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X≥200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20≤X＜200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5≤X＜20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Y≥40000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5000≤Y＜40000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1000≤Y＜5000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零售业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X≥300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50≤X＜300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 xml:space="preserve">10≤X＜50 </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Y≥20000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500≤Y＜20000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100≤Y＜500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交通运输业 *</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300≤X＜1000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20≤X＜300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Y≥30000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3000≤Y＜30000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200≤Y＜3000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仓储业*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X≥200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100≤X＜200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20≤X＜100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Y≥30000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1000≤Y＜30000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100≤Y＜1000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邮政业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300≤X＜1000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20≤X＜300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Y≥30000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2000≤Y＜30000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100≤Y＜2000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住宿业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X≥300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100≤X＜300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10≤X＜100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2000≤Y＜10000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100≤Y＜2000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餐饮业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X≥300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 xml:space="preserve">100≤X＜300 </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10≤X＜100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2000≤Y＜10000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100≤Y＜2000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信息传输业 *</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X≥2000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100≤X＜2000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10≤X＜100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1000≤Y＜100000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100≤Y＜1000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软件和信息技术服务业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X≥300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 xml:space="preserve">100≤X＜300 </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10≤X＜100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1000≤Y＜10000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50≤Y＜1000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房地产开发经营</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Y≥200000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1000≤Y＜200000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100≤Y＜1000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资产总额(Z)</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Z≥10000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5000≤Z＜10000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2000≤Z＜5000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物业管理</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300≤X＜1000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100≤X＜300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营业收入(Y)</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Y≥5000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1000≤Y＜5000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500≤Y＜1000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租赁和商务服务业</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X≥300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100≤X＜300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10≤X＜100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pStyle w:val="13"/>
              <w:adjustRightInd w:val="0"/>
              <w:spacing w:line="360" w:lineRule="exact"/>
              <w:ind w:firstLine="420" w:firstLineChars="200"/>
              <w:contextualSpacing/>
              <w:rPr>
                <w:rFonts w:hAnsi="宋体" w:cs="宋体"/>
                <w:bCs/>
                <w:color w:val="auto"/>
                <w:highlight w:val="none"/>
              </w:rPr>
            </w:pP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资产总额(Z)</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万元</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Z≥120000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8000≤Z＜120000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100≤Z＜8000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其他未列明行业 *</w:t>
            </w:r>
          </w:p>
        </w:tc>
        <w:tc>
          <w:tcPr>
            <w:tcW w:w="7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从业人员(X)</w:t>
            </w:r>
          </w:p>
        </w:tc>
        <w:tc>
          <w:tcPr>
            <w:tcW w:w="37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人</w:t>
            </w:r>
          </w:p>
        </w:tc>
        <w:tc>
          <w:tcPr>
            <w:tcW w:w="596"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X≥300</w:t>
            </w:r>
          </w:p>
        </w:tc>
        <w:tc>
          <w:tcPr>
            <w:tcW w:w="901"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100≤X＜300</w:t>
            </w:r>
          </w:p>
        </w:tc>
        <w:tc>
          <w:tcPr>
            <w:tcW w:w="75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10≤X＜100</w:t>
            </w:r>
          </w:p>
        </w:tc>
        <w:tc>
          <w:tcPr>
            <w:tcW w:w="525" w:type="pct"/>
            <w:vAlign w:val="center"/>
          </w:tcPr>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X＜10</w:t>
            </w:r>
          </w:p>
        </w:tc>
      </w:tr>
    </w:tbl>
    <w:p>
      <w:pPr>
        <w:pStyle w:val="13"/>
        <w:adjustRightInd w:val="0"/>
        <w:spacing w:line="360" w:lineRule="exact"/>
        <w:ind w:firstLine="420" w:firstLineChars="200"/>
        <w:contextualSpacing/>
        <w:rPr>
          <w:rFonts w:hAnsi="宋体" w:cs="宋体"/>
          <w:bCs/>
          <w:color w:val="auto"/>
          <w:highlight w:val="none"/>
        </w:rPr>
      </w:pPr>
    </w:p>
    <w:p>
      <w:pPr>
        <w:pStyle w:val="13"/>
        <w:adjustRightInd w:val="0"/>
        <w:spacing w:line="360" w:lineRule="exact"/>
        <w:ind w:firstLine="420" w:firstLineChars="200"/>
        <w:contextualSpacing/>
        <w:rPr>
          <w:rFonts w:hAnsi="宋体" w:cs="宋体"/>
          <w:bCs/>
          <w:color w:val="auto"/>
          <w:highlight w:val="none"/>
        </w:rPr>
      </w:pPr>
    </w:p>
    <w:p>
      <w:pPr>
        <w:pStyle w:val="13"/>
        <w:adjustRightInd w:val="0"/>
        <w:spacing w:line="360" w:lineRule="exact"/>
        <w:ind w:firstLine="420" w:firstLineChars="200"/>
        <w:contextualSpacing/>
        <w:rPr>
          <w:rFonts w:hAnsi="宋体" w:cs="宋体"/>
          <w:bCs/>
          <w:color w:val="auto"/>
          <w:highlight w:val="none"/>
        </w:rPr>
      </w:pPr>
    </w:p>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说明：</w:t>
      </w:r>
    </w:p>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1.大型、中型和小型企业须同时满足所列指标的下限，否则下划一档；微型企业只须满足所列指标中的一项即可。</w:t>
      </w:r>
    </w:p>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adjustRightInd w:val="0"/>
        <w:spacing w:line="360" w:lineRule="exact"/>
        <w:ind w:firstLine="420" w:firstLineChars="200"/>
        <w:contextualSpacing/>
        <w:rPr>
          <w:rFonts w:hAnsi="宋体" w:cs="宋体"/>
          <w:bCs/>
          <w:color w:val="auto"/>
          <w:highlight w:val="none"/>
        </w:rPr>
      </w:pPr>
      <w:r>
        <w:rPr>
          <w:rFonts w:hint="eastAsia" w:hAnsi="宋体" w:cs="宋体"/>
          <w:bCs/>
          <w:color w:val="auto"/>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3"/>
        <w:adjustRightInd w:val="0"/>
        <w:spacing w:line="360" w:lineRule="exact"/>
        <w:ind w:firstLine="420" w:firstLineChars="200"/>
        <w:contextualSpacing/>
        <w:rPr>
          <w:rFonts w:hAnsi="宋体" w:cs="宋体"/>
          <w:bCs/>
          <w:color w:val="auto"/>
          <w:highlight w:val="none"/>
        </w:rPr>
      </w:pPr>
    </w:p>
    <w:p>
      <w:pPr>
        <w:spacing w:line="440" w:lineRule="atLeas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134" w:name="_Toc532901136"/>
      <w:r>
        <w:rPr>
          <w:rFonts w:hint="eastAsia" w:ascii="宋体" w:hAnsi="宋体" w:cs="宋体"/>
          <w:b/>
          <w:color w:val="auto"/>
          <w:sz w:val="32"/>
          <w:szCs w:val="32"/>
          <w:highlight w:val="none"/>
        </w:rPr>
        <w:t>第五章  合同主要条款及格式</w:t>
      </w:r>
      <w:bookmarkEnd w:id="134"/>
    </w:p>
    <w:p>
      <w:pPr>
        <w:spacing w:line="400" w:lineRule="exact"/>
        <w:rPr>
          <w:rFonts w:ascii="宋体" w:hAnsi="宋体" w:cs="宋体"/>
          <w:color w:val="auto"/>
          <w:highlight w:val="none"/>
        </w:rPr>
      </w:pPr>
    </w:p>
    <w:p>
      <w:pPr>
        <w:spacing w:line="360" w:lineRule="exact"/>
        <w:rPr>
          <w:rFonts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lang w:eastAsia="zh-CN"/>
        </w:rPr>
        <w:t>平乐县教育局2021年平乐县新任教师岗前培训项目</w:t>
      </w:r>
      <w:r>
        <w:rPr>
          <w:rFonts w:hint="eastAsia" w:ascii="宋体" w:hAnsi="宋体" w:cs="宋体"/>
          <w:color w:val="auto"/>
          <w:highlight w:val="none"/>
          <w:u w:val="single"/>
        </w:rPr>
        <w:t xml:space="preserve">   </w:t>
      </w:r>
    </w:p>
    <w:p>
      <w:pPr>
        <w:spacing w:line="360" w:lineRule="exact"/>
        <w:rPr>
          <w:rFonts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olor w:val="auto"/>
          <w:szCs w:val="21"/>
          <w:highlight w:val="none"/>
          <w:u w:val="single"/>
        </w:rPr>
        <w:t>GLZC2021-C3-300017-GXDC</w:t>
      </w:r>
      <w:r>
        <w:rPr>
          <w:rFonts w:hint="eastAsia" w:ascii="宋体" w:hAnsi="宋体" w:cs="宋体"/>
          <w:color w:val="auto"/>
          <w:highlight w:val="none"/>
          <w:u w:val="single"/>
        </w:rPr>
        <w:t xml:space="preserve"> </w:t>
      </w:r>
    </w:p>
    <w:p>
      <w:pPr>
        <w:spacing w:before="156" w:beforeLines="50" w:line="360" w:lineRule="exact"/>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 xml:space="preserve">                                                      </w:t>
      </w:r>
      <w:r>
        <w:rPr>
          <w:rFonts w:hint="eastAsia" w:ascii="宋体" w:hAnsi="宋体" w:cs="宋体"/>
          <w:color w:val="auto"/>
          <w:highlight w:val="none"/>
        </w:rPr>
        <w:t>（采购人）</w:t>
      </w:r>
    </w:p>
    <w:p>
      <w:pPr>
        <w:spacing w:line="360" w:lineRule="exact"/>
        <w:rPr>
          <w:rFonts w:ascii="宋体" w:hAnsi="宋体" w:cs="宋体"/>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highlight w:val="none"/>
        </w:rPr>
        <w:t>（成交供应商）</w:t>
      </w:r>
    </w:p>
    <w:p>
      <w:pPr>
        <w:spacing w:before="156" w:beforeLines="50" w:line="360" w:lineRule="exact"/>
        <w:ind w:firstLine="420" w:firstLineChars="200"/>
        <w:rPr>
          <w:rFonts w:ascii="宋体" w:hAnsi="宋体" w:cs="宋体"/>
          <w:color w:val="auto"/>
          <w:highlight w:val="none"/>
        </w:rPr>
      </w:pPr>
      <w:r>
        <w:rPr>
          <w:rFonts w:hint="eastAsia" w:ascii="宋体" w:hAnsi="宋体" w:cs="宋体"/>
          <w:color w:val="auto"/>
          <w:highlight w:val="none"/>
        </w:rPr>
        <w:t>根据《中华人民共和国政府采购法》、《中华人民共和国合同法》等法律、法规规定，按照竞争性磋商文件规定条款和成交供应商的承诺、甲乙双方签订本合同。</w:t>
      </w:r>
    </w:p>
    <w:p>
      <w:pPr>
        <w:spacing w:line="360" w:lineRule="exact"/>
        <w:ind w:firstLine="420" w:firstLineChars="200"/>
        <w:outlineLvl w:val="1"/>
        <w:rPr>
          <w:rFonts w:ascii="宋体" w:hAnsi="宋体" w:cs="宋体"/>
          <w:b/>
          <w:color w:val="auto"/>
          <w:highlight w:val="none"/>
        </w:rPr>
      </w:pPr>
      <w:bookmarkStart w:id="135" w:name="_Toc532901137"/>
      <w:r>
        <w:rPr>
          <w:rFonts w:hint="eastAsia" w:ascii="宋体" w:hAnsi="宋体" w:cs="宋体"/>
          <w:b/>
          <w:color w:val="auto"/>
          <w:highlight w:val="none"/>
        </w:rPr>
        <w:t>第一条  合同文件</w:t>
      </w:r>
      <w:bookmarkEnd w:id="135"/>
    </w:p>
    <w:p>
      <w:pPr>
        <w:spacing w:line="360" w:lineRule="exact"/>
        <w:ind w:firstLine="315" w:firstLineChars="150"/>
        <w:rPr>
          <w:rFonts w:ascii="宋体" w:hAnsi="宋体" w:cs="宋体"/>
          <w:color w:val="auto"/>
          <w:highlight w:val="none"/>
        </w:rPr>
      </w:pPr>
      <w:r>
        <w:rPr>
          <w:rFonts w:hint="eastAsia" w:ascii="宋体" w:hAnsi="宋体" w:cs="宋体"/>
          <w:color w:val="auto"/>
          <w:highlight w:val="none"/>
        </w:rPr>
        <w:t>本合同所附下列文件是构成本合同不可分割的部分：</w:t>
      </w:r>
    </w:p>
    <w:p>
      <w:pPr>
        <w:spacing w:line="360" w:lineRule="exact"/>
        <w:ind w:firstLine="315" w:firstLineChars="150"/>
        <w:rPr>
          <w:rFonts w:ascii="宋体" w:hAnsi="宋体" w:cs="宋体"/>
          <w:color w:val="auto"/>
          <w:highlight w:val="none"/>
        </w:rPr>
      </w:pPr>
      <w:r>
        <w:rPr>
          <w:rFonts w:hint="eastAsia" w:ascii="宋体" w:hAnsi="宋体" w:cs="宋体"/>
          <w:color w:val="auto"/>
          <w:highlight w:val="none"/>
        </w:rPr>
        <w:t>（1）成交供应商提交的磋商报价明细表、项目培训方案；</w:t>
      </w:r>
    </w:p>
    <w:p>
      <w:pPr>
        <w:spacing w:line="360" w:lineRule="exact"/>
        <w:ind w:firstLine="315" w:firstLineChars="150"/>
        <w:rPr>
          <w:rFonts w:ascii="宋体" w:hAnsi="宋体" w:cs="宋体"/>
          <w:color w:val="auto"/>
          <w:highlight w:val="none"/>
        </w:rPr>
      </w:pPr>
      <w:r>
        <w:rPr>
          <w:rFonts w:hint="eastAsia" w:ascii="宋体" w:hAnsi="宋体" w:cs="宋体"/>
          <w:color w:val="auto"/>
          <w:highlight w:val="none"/>
        </w:rPr>
        <w:t>（2）成交通知书；</w:t>
      </w:r>
    </w:p>
    <w:p>
      <w:pPr>
        <w:spacing w:line="360" w:lineRule="exact"/>
        <w:ind w:firstLine="315" w:firstLineChars="150"/>
        <w:rPr>
          <w:rFonts w:ascii="宋体" w:hAnsi="宋体" w:cs="宋体"/>
          <w:color w:val="auto"/>
          <w:highlight w:val="none"/>
        </w:rPr>
      </w:pPr>
      <w:r>
        <w:rPr>
          <w:rFonts w:hint="eastAsia" w:ascii="宋体" w:hAnsi="宋体" w:cs="宋体"/>
          <w:color w:val="auto"/>
          <w:highlight w:val="none"/>
        </w:rPr>
        <w:t>（3）本合同协议书及有关补充资料；</w:t>
      </w:r>
    </w:p>
    <w:p>
      <w:pPr>
        <w:spacing w:line="360" w:lineRule="exact"/>
        <w:ind w:firstLine="315" w:firstLineChars="150"/>
        <w:rPr>
          <w:rFonts w:ascii="宋体" w:hAnsi="宋体" w:cs="宋体"/>
          <w:color w:val="auto"/>
          <w:highlight w:val="none"/>
        </w:rPr>
      </w:pPr>
      <w:r>
        <w:rPr>
          <w:rFonts w:hint="eastAsia" w:ascii="宋体" w:hAnsi="宋体" w:cs="宋体"/>
          <w:color w:val="auto"/>
          <w:highlight w:val="none"/>
        </w:rPr>
        <w:t>（4）竞争性磋商文件的条款要求。</w:t>
      </w:r>
    </w:p>
    <w:p>
      <w:pPr>
        <w:spacing w:line="360" w:lineRule="exact"/>
        <w:ind w:firstLine="420" w:firstLineChars="200"/>
        <w:outlineLvl w:val="1"/>
        <w:rPr>
          <w:rFonts w:ascii="宋体" w:hAnsi="宋体" w:cs="宋体"/>
          <w:b/>
          <w:color w:val="auto"/>
          <w:szCs w:val="21"/>
          <w:highlight w:val="none"/>
        </w:rPr>
      </w:pPr>
      <w:bookmarkStart w:id="136" w:name="_Toc532901138"/>
      <w:r>
        <w:rPr>
          <w:rFonts w:hint="eastAsia" w:ascii="宋体" w:hAnsi="宋体" w:cs="宋体"/>
          <w:b/>
          <w:color w:val="auto"/>
          <w:szCs w:val="21"/>
          <w:highlight w:val="none"/>
        </w:rPr>
        <w:t xml:space="preserve">第二条  </w:t>
      </w:r>
      <w:r>
        <w:rPr>
          <w:rFonts w:hint="eastAsia" w:ascii="宋体" w:hAnsi="宋体" w:cs="宋体"/>
          <w:b/>
          <w:color w:val="auto"/>
          <w:highlight w:val="none"/>
        </w:rPr>
        <w:t>合同</w:t>
      </w:r>
      <w:r>
        <w:rPr>
          <w:rFonts w:hint="eastAsia" w:ascii="宋体" w:hAnsi="宋体" w:cs="宋体"/>
          <w:b/>
          <w:color w:val="auto"/>
          <w:szCs w:val="21"/>
          <w:highlight w:val="none"/>
        </w:rPr>
        <w:t>标的及合同金额</w:t>
      </w:r>
      <w:bookmarkEnd w:id="136"/>
    </w:p>
    <w:p>
      <w:pPr>
        <w:widowControl/>
        <w:spacing w:line="360" w:lineRule="exact"/>
        <w:ind w:firstLine="525" w:firstLineChars="250"/>
        <w:rPr>
          <w:rFonts w:ascii="宋体" w:hAnsi="宋体" w:cs="宋体"/>
          <w:bCs/>
          <w:color w:val="auto"/>
          <w:kern w:val="0"/>
          <w:szCs w:val="21"/>
          <w:highlight w:val="none"/>
        </w:rPr>
      </w:pPr>
      <w:r>
        <w:rPr>
          <w:rFonts w:hint="eastAsia" w:ascii="宋体" w:hAnsi="宋体" w:cs="宋体"/>
          <w:bCs/>
          <w:color w:val="auto"/>
          <w:kern w:val="0"/>
          <w:szCs w:val="21"/>
          <w:highlight w:val="none"/>
        </w:rPr>
        <w:t>1、合同标的：</w:t>
      </w:r>
    </w:p>
    <w:tbl>
      <w:tblPr>
        <w:tblStyle w:val="19"/>
        <w:tblW w:w="10301"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
        <w:gridCol w:w="1843"/>
        <w:gridCol w:w="819"/>
        <w:gridCol w:w="627"/>
        <w:gridCol w:w="1698"/>
        <w:gridCol w:w="1391"/>
        <w:gridCol w:w="1168"/>
        <w:gridCol w:w="1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atLeast"/>
        </w:trPr>
        <w:tc>
          <w:tcPr>
            <w:tcW w:w="85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宋体" w:hAnsi="宋体" w:cs="宋体"/>
                <w:b/>
                <w:bCs/>
                <w:color w:val="auto"/>
                <w:highlight w:val="none"/>
              </w:rPr>
            </w:pPr>
            <w:r>
              <w:rPr>
                <w:rFonts w:hint="eastAsia" w:ascii="宋体" w:hAnsi="宋体" w:cs="宋体"/>
                <w:b/>
                <w:bCs/>
                <w:color w:val="auto"/>
                <w:highlight w:val="none"/>
              </w:rPr>
              <w:t>项号</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s="宋体"/>
                <w:b/>
                <w:bCs/>
                <w:color w:val="auto"/>
                <w:highlight w:val="none"/>
              </w:rPr>
            </w:pPr>
            <w:r>
              <w:rPr>
                <w:rFonts w:hint="eastAsia" w:ascii="宋体" w:hAnsi="宋体" w:cs="宋体"/>
                <w:b/>
                <w:bCs/>
                <w:color w:val="auto"/>
                <w:szCs w:val="21"/>
                <w:highlight w:val="none"/>
              </w:rPr>
              <w:t>服   务  名  称</w:t>
            </w:r>
          </w:p>
        </w:tc>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s="宋体"/>
                <w:b/>
                <w:bCs/>
                <w:color w:val="auto"/>
                <w:highlight w:val="none"/>
              </w:rPr>
            </w:pPr>
            <w:r>
              <w:rPr>
                <w:rFonts w:hint="eastAsia" w:ascii="宋体" w:hAnsi="宋体" w:cs="宋体"/>
                <w:b/>
                <w:bCs/>
                <w:color w:val="auto"/>
                <w:highlight w:val="none"/>
              </w:rPr>
              <w:t xml:space="preserve"> 数量</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169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服务承诺</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单价</w:t>
            </w:r>
          </w:p>
        </w:tc>
        <w:tc>
          <w:tcPr>
            <w:tcW w:w="11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单项合计</w:t>
            </w:r>
          </w:p>
        </w:tc>
        <w:tc>
          <w:tcPr>
            <w:tcW w:w="1903" w:type="dxa"/>
            <w:tcBorders>
              <w:bottom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8"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auto"/>
                <w:highlight w:val="none"/>
              </w:rPr>
            </w:pPr>
            <w:r>
              <w:rPr>
                <w:rFonts w:hint="eastAsia" w:ascii="宋体" w:hAnsi="宋体" w:cs="宋体"/>
                <w:bCs/>
                <w:color w:val="auto"/>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highlight w:val="none"/>
              </w:rPr>
            </w:pPr>
          </w:p>
        </w:tc>
        <w:tc>
          <w:tcPr>
            <w:tcW w:w="1903" w:type="dxa"/>
            <w:tcBorders>
              <w:top w:val="single" w:color="auto" w:sz="4" w:space="0"/>
              <w:bottom w:val="single" w:color="auto" w:sz="4" w:space="0"/>
            </w:tcBorders>
            <w:vAlign w:val="center"/>
          </w:tcPr>
          <w:p>
            <w:pPr>
              <w:spacing w:line="300" w:lineRule="exact"/>
              <w:jc w:val="center"/>
              <w:rPr>
                <w:rFonts w:ascii="宋体" w:hAnsi="宋体" w:cs="宋体"/>
                <w:b/>
                <w:bCs/>
                <w:color w:val="auto"/>
                <w:highlight w:val="none"/>
              </w:rPr>
            </w:pPr>
          </w:p>
        </w:tc>
      </w:tr>
    </w:tbl>
    <w:p>
      <w:pPr>
        <w:pStyle w:val="2"/>
        <w:rPr>
          <w:color w:val="auto"/>
          <w:highlight w:val="none"/>
        </w:rPr>
      </w:pP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2、根据《成交通知书》的成交内容，合同的总金额为：（大写）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exact"/>
        <w:ind w:firstLine="420" w:firstLineChars="200"/>
        <w:outlineLvl w:val="1"/>
        <w:rPr>
          <w:rFonts w:ascii="宋体" w:hAnsi="宋体" w:cs="宋体"/>
          <w:b/>
          <w:color w:val="auto"/>
          <w:szCs w:val="21"/>
          <w:highlight w:val="none"/>
        </w:rPr>
      </w:pPr>
      <w:bookmarkStart w:id="137" w:name="_Toc532901139"/>
      <w:r>
        <w:rPr>
          <w:rFonts w:hint="eastAsia" w:ascii="宋体" w:hAnsi="宋体" w:cs="宋体"/>
          <w:b/>
          <w:color w:val="auto"/>
          <w:szCs w:val="21"/>
          <w:highlight w:val="none"/>
        </w:rPr>
        <w:t>第三条  双方责任</w:t>
      </w:r>
      <w:bookmarkEnd w:id="137"/>
    </w:p>
    <w:p>
      <w:pPr>
        <w:pStyle w:val="13"/>
        <w:spacing w:line="360" w:lineRule="exact"/>
        <w:ind w:firstLine="396" w:firstLineChars="189"/>
        <w:rPr>
          <w:rFonts w:hAnsi="宋体" w:cs="宋体"/>
          <w:b/>
          <w:color w:val="auto"/>
          <w:highlight w:val="none"/>
        </w:rPr>
      </w:pPr>
      <w:r>
        <w:rPr>
          <w:rFonts w:hint="eastAsia" w:hAnsi="宋体" w:cs="宋体"/>
          <w:b/>
          <w:color w:val="auto"/>
          <w:highlight w:val="none"/>
        </w:rPr>
        <w:t>1、甲方责任</w:t>
      </w:r>
    </w:p>
    <w:p>
      <w:pPr>
        <w:spacing w:line="360" w:lineRule="exact"/>
        <w:ind w:left="420"/>
        <w:rPr>
          <w:rFonts w:ascii="宋体" w:hAnsi="宋体" w:cs="宋体"/>
          <w:color w:val="auto"/>
          <w:szCs w:val="21"/>
          <w:highlight w:val="none"/>
        </w:rPr>
      </w:pPr>
      <w:r>
        <w:rPr>
          <w:rFonts w:hint="eastAsia" w:ascii="宋体" w:hAnsi="宋体" w:cs="宋体"/>
          <w:color w:val="auto"/>
          <w:szCs w:val="21"/>
          <w:highlight w:val="none"/>
        </w:rPr>
        <w:t>1.1及时向乙方提供相关场地，经甲方代表签字确认后成为本合同的组成部分。</w:t>
      </w:r>
    </w:p>
    <w:p>
      <w:pPr>
        <w:spacing w:line="360" w:lineRule="exact"/>
        <w:ind w:left="420"/>
        <w:rPr>
          <w:rFonts w:ascii="宋体" w:hAnsi="宋体" w:cs="宋体"/>
          <w:color w:val="auto"/>
          <w:szCs w:val="21"/>
          <w:highlight w:val="none"/>
        </w:rPr>
      </w:pPr>
      <w:r>
        <w:rPr>
          <w:rFonts w:hint="eastAsia" w:ascii="宋体" w:hAnsi="宋体" w:cs="宋体"/>
          <w:color w:val="auto"/>
          <w:szCs w:val="21"/>
          <w:highlight w:val="none"/>
        </w:rPr>
        <w:t>1.2向乙方提供相关文件，以便乙方能够及时、顺利地开展工作。</w:t>
      </w:r>
    </w:p>
    <w:p>
      <w:pPr>
        <w:spacing w:line="360" w:lineRule="exact"/>
        <w:ind w:left="420"/>
        <w:rPr>
          <w:rFonts w:ascii="宋体" w:hAnsi="宋体" w:cs="宋体"/>
          <w:color w:val="auto"/>
          <w:szCs w:val="21"/>
          <w:highlight w:val="none"/>
        </w:rPr>
      </w:pPr>
      <w:r>
        <w:rPr>
          <w:rFonts w:hint="eastAsia" w:ascii="宋体" w:hAnsi="宋体" w:cs="宋体"/>
          <w:b/>
          <w:color w:val="auto"/>
          <w:szCs w:val="21"/>
          <w:highlight w:val="none"/>
        </w:rPr>
        <w:t>2、乙方责任</w:t>
      </w:r>
    </w:p>
    <w:p>
      <w:pPr>
        <w:spacing w:line="360" w:lineRule="exact"/>
        <w:ind w:left="420"/>
        <w:rPr>
          <w:rFonts w:ascii="宋体" w:hAnsi="宋体" w:cs="宋体"/>
          <w:color w:val="auto"/>
          <w:szCs w:val="21"/>
          <w:highlight w:val="none"/>
        </w:rPr>
      </w:pPr>
      <w:r>
        <w:rPr>
          <w:rFonts w:hint="eastAsia" w:ascii="宋体" w:hAnsi="宋体" w:cs="宋体"/>
          <w:color w:val="auto"/>
          <w:szCs w:val="21"/>
          <w:highlight w:val="none"/>
        </w:rPr>
        <w:t>2.1乙方的合同义务不得转让或以其他方式形成实质转移，必须自行履行合同义务。</w:t>
      </w:r>
    </w:p>
    <w:p>
      <w:pPr>
        <w:spacing w:line="360" w:lineRule="exact"/>
        <w:ind w:left="420"/>
        <w:rPr>
          <w:rFonts w:ascii="宋体" w:hAnsi="宋体" w:cs="宋体"/>
          <w:color w:val="auto"/>
          <w:szCs w:val="21"/>
          <w:highlight w:val="none"/>
        </w:rPr>
      </w:pPr>
      <w:r>
        <w:rPr>
          <w:rFonts w:hint="eastAsia" w:ascii="宋体" w:hAnsi="宋体" w:cs="宋体"/>
          <w:color w:val="auto"/>
          <w:szCs w:val="21"/>
          <w:highlight w:val="none"/>
        </w:rPr>
        <w:t>2.2在合同范围内为甲方提供良好的配套服务。</w:t>
      </w:r>
    </w:p>
    <w:p>
      <w:pPr>
        <w:spacing w:line="360" w:lineRule="exact"/>
        <w:ind w:left="420"/>
        <w:rPr>
          <w:rFonts w:ascii="宋体" w:hAnsi="宋体" w:cs="宋体"/>
          <w:color w:val="auto"/>
          <w:szCs w:val="21"/>
          <w:highlight w:val="none"/>
        </w:rPr>
      </w:pPr>
      <w:r>
        <w:rPr>
          <w:rFonts w:hint="eastAsia" w:ascii="宋体" w:hAnsi="宋体" w:cs="宋体"/>
          <w:color w:val="auto"/>
          <w:szCs w:val="21"/>
          <w:highlight w:val="none"/>
        </w:rPr>
        <w:t>2.3 在项目服务过程中，乙方须接受甲方的监督，对甲方所提出的整改意见要及时进行整改。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2.4乙方对项目负有保密义务，未经甲方允许，不得外泄项目任何信息；因乙方擅自外泄项目信息，而造成不良影响或损失的，乙方承担相应责任。</w:t>
      </w:r>
    </w:p>
    <w:p>
      <w:pPr>
        <w:spacing w:line="360" w:lineRule="exact"/>
        <w:ind w:firstLine="420" w:firstLineChars="200"/>
        <w:outlineLvl w:val="1"/>
        <w:rPr>
          <w:rFonts w:ascii="宋体" w:hAnsi="宋体" w:cs="宋体"/>
          <w:b/>
          <w:color w:val="auto"/>
          <w:szCs w:val="21"/>
          <w:highlight w:val="none"/>
        </w:rPr>
      </w:pPr>
      <w:bookmarkStart w:id="138" w:name="_Toc532901140"/>
      <w:r>
        <w:rPr>
          <w:rFonts w:hint="eastAsia" w:ascii="宋体" w:hAnsi="宋体" w:cs="宋体"/>
          <w:b/>
          <w:color w:val="auto"/>
          <w:szCs w:val="21"/>
          <w:highlight w:val="none"/>
        </w:rPr>
        <w:t>第四条  权力保证</w:t>
      </w:r>
      <w:bookmarkEnd w:id="138"/>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乙方应按竞争性磋商文件规定的时间向甲方提供使用服务的有关技术资料。</w:t>
      </w:r>
    </w:p>
    <w:p>
      <w:pPr>
        <w:spacing w:line="360" w:lineRule="exact"/>
        <w:ind w:firstLine="420" w:firstLineChars="200"/>
        <w:outlineLvl w:val="1"/>
        <w:rPr>
          <w:rFonts w:ascii="宋体" w:hAnsi="宋体" w:cs="宋体"/>
          <w:b/>
          <w:color w:val="auto"/>
          <w:szCs w:val="21"/>
          <w:highlight w:val="none"/>
        </w:rPr>
      </w:pPr>
      <w:bookmarkStart w:id="139" w:name="_Toc532901141"/>
      <w:r>
        <w:rPr>
          <w:rFonts w:hint="eastAsia" w:ascii="宋体" w:hAnsi="宋体" w:cs="宋体"/>
          <w:b/>
          <w:color w:val="auto"/>
          <w:szCs w:val="21"/>
          <w:highlight w:val="none"/>
        </w:rPr>
        <w:t>第五条  交付</w:t>
      </w:r>
      <w:bookmarkEnd w:id="139"/>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1、项目完成时间：</w:t>
      </w:r>
      <w:r>
        <w:rPr>
          <w:rFonts w:hint="eastAsia" w:ascii="宋体" w:hAnsi="宋体" w:cs="宋体"/>
          <w:color w:val="auto"/>
          <w:szCs w:val="21"/>
          <w:highlight w:val="none"/>
          <w:u w:val="single"/>
        </w:rPr>
        <w:t xml:space="preserve">  （不超出响应文件承诺时间）  </w:t>
      </w:r>
      <w:r>
        <w:rPr>
          <w:rFonts w:hint="eastAsia" w:ascii="宋体" w:hAnsi="宋体" w:cs="宋体"/>
          <w:color w:val="auto"/>
          <w:szCs w:val="21"/>
          <w:highlight w:val="none"/>
        </w:rPr>
        <w:t>，以乙方进驻甲方指定地点，经甲方确认后开始计时。地点：</w:t>
      </w:r>
      <w:r>
        <w:rPr>
          <w:rFonts w:hint="eastAsia" w:ascii="宋体" w:hAnsi="宋体" w:cs="宋体"/>
          <w:color w:val="auto"/>
          <w:szCs w:val="21"/>
          <w:highlight w:val="none"/>
          <w:u w:val="single"/>
        </w:rPr>
        <w:t>甲方指定地点</w:t>
      </w:r>
      <w:r>
        <w:rPr>
          <w:rFonts w:hint="eastAsia" w:ascii="宋体" w:hAnsi="宋体" w:cs="宋体"/>
          <w:color w:val="auto"/>
          <w:szCs w:val="21"/>
          <w:highlight w:val="none"/>
        </w:rPr>
        <w:t>。</w:t>
      </w:r>
    </w:p>
    <w:p>
      <w:pPr>
        <w:spacing w:line="360" w:lineRule="exact"/>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服务开始时间：</w:t>
      </w:r>
      <w:r>
        <w:rPr>
          <w:rFonts w:hint="eastAsia" w:ascii="宋体" w:hAnsi="宋体" w:cs="宋体"/>
          <w:color w:val="auto"/>
          <w:szCs w:val="21"/>
          <w:highlight w:val="none"/>
        </w:rPr>
        <w:t>自签订合同之日起开始提供服务。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2、乙方提供不符合竞争性磋商文件、竞争性磋商文件和本合同规定的服务，甲方有权拒绝接受。</w:t>
      </w:r>
    </w:p>
    <w:p>
      <w:pPr>
        <w:spacing w:line="360" w:lineRule="exact"/>
        <w:ind w:firstLine="420" w:firstLineChars="200"/>
        <w:outlineLvl w:val="1"/>
        <w:rPr>
          <w:rFonts w:ascii="宋体" w:hAnsi="宋体" w:cs="宋体"/>
          <w:b/>
          <w:color w:val="auto"/>
          <w:szCs w:val="21"/>
          <w:highlight w:val="none"/>
        </w:rPr>
      </w:pPr>
      <w:bookmarkStart w:id="140" w:name="_Toc532901142"/>
      <w:r>
        <w:rPr>
          <w:rFonts w:hint="eastAsia" w:ascii="宋体" w:hAnsi="宋体" w:cs="宋体"/>
          <w:b/>
          <w:color w:val="auto"/>
          <w:szCs w:val="21"/>
          <w:highlight w:val="none"/>
        </w:rPr>
        <w:t>第六条  验收</w:t>
      </w:r>
      <w:bookmarkEnd w:id="140"/>
    </w:p>
    <w:p>
      <w:pPr>
        <w:spacing w:line="360" w:lineRule="exact"/>
        <w:ind w:left="411" w:leftChars="196"/>
        <w:rPr>
          <w:rFonts w:ascii="宋体" w:hAnsi="宋体" w:cs="宋体"/>
          <w:color w:val="auto"/>
          <w:szCs w:val="21"/>
          <w:highlight w:val="none"/>
        </w:rPr>
      </w:pPr>
      <w:r>
        <w:rPr>
          <w:rFonts w:hint="eastAsia" w:ascii="宋体" w:hAnsi="宋体" w:cs="宋体"/>
          <w:color w:val="auto"/>
          <w:szCs w:val="21"/>
          <w:highlight w:val="none"/>
        </w:rPr>
        <w:t>（1）验收过程中所产生的一切费用均由中标人承担，报价时应考虑相关费用。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2）中标人在服务验收时由采购人按照招标文件、投标文件响应的服务要求全面核对检验，对所有要求出具的证明文件进行核查，如不符合招标文件的服务需求及要求以及提供虚假结论或承诺的，按相关规定违约处理，中标人承担所有责任和费用，采购人保留进一步追究责任的权利。 </w:t>
      </w:r>
    </w:p>
    <w:p>
      <w:pPr>
        <w:spacing w:line="360" w:lineRule="exact"/>
        <w:ind w:left="411" w:leftChars="196"/>
        <w:rPr>
          <w:rFonts w:ascii="宋体" w:hAnsi="宋体" w:cs="宋体"/>
          <w:b/>
          <w:color w:val="auto"/>
          <w:szCs w:val="21"/>
          <w:highlight w:val="none"/>
        </w:rPr>
      </w:pPr>
      <w:r>
        <w:rPr>
          <w:rFonts w:hint="eastAsia" w:ascii="宋体" w:hAnsi="宋体" w:cs="宋体"/>
          <w:b/>
          <w:color w:val="auto"/>
          <w:szCs w:val="21"/>
          <w:highlight w:val="none"/>
        </w:rPr>
        <w:t>第七条  税费</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pPr>
        <w:spacing w:line="360" w:lineRule="exact"/>
        <w:ind w:firstLine="420" w:firstLineChars="200"/>
        <w:outlineLvl w:val="1"/>
        <w:rPr>
          <w:rFonts w:ascii="宋体" w:hAnsi="宋体" w:cs="宋体"/>
          <w:b/>
          <w:color w:val="auto"/>
          <w:szCs w:val="21"/>
          <w:highlight w:val="none"/>
        </w:rPr>
      </w:pPr>
      <w:bookmarkStart w:id="141" w:name="_Toc532901143"/>
      <w:r>
        <w:rPr>
          <w:rFonts w:hint="eastAsia" w:ascii="宋体" w:hAnsi="宋体" w:cs="宋体"/>
          <w:b/>
          <w:color w:val="auto"/>
          <w:szCs w:val="21"/>
          <w:highlight w:val="none"/>
        </w:rPr>
        <w:t>第八条  付款方式</w:t>
      </w:r>
      <w:bookmarkEnd w:id="141"/>
    </w:p>
    <w:p>
      <w:pPr>
        <w:ind w:firstLine="420" w:firstLineChars="200"/>
        <w:rPr>
          <w:color w:val="auto"/>
          <w:highlight w:val="none"/>
        </w:rPr>
      </w:pPr>
      <w:r>
        <w:rPr>
          <w:rFonts w:hint="eastAsia" w:ascii="宋体" w:hAnsi="宋体"/>
          <w:color w:val="auto"/>
          <w:szCs w:val="21"/>
          <w:highlight w:val="none"/>
        </w:rPr>
        <w:t>本项目无预付款，项目培训结束并验收合格，成交供应商向采购人提交所有培训材料后，采购人向成交供应商支付项目全部款项。成交供应商必须在收到款项后10个工作日内向采购人开具正式发票。</w:t>
      </w:r>
    </w:p>
    <w:p>
      <w:pPr>
        <w:spacing w:line="360" w:lineRule="exact"/>
        <w:ind w:firstLine="420" w:firstLineChars="200"/>
        <w:outlineLvl w:val="1"/>
        <w:rPr>
          <w:rFonts w:ascii="宋体" w:hAnsi="宋体" w:cs="宋体"/>
          <w:b/>
          <w:color w:val="auto"/>
          <w:szCs w:val="21"/>
          <w:highlight w:val="none"/>
        </w:rPr>
      </w:pPr>
      <w:bookmarkStart w:id="142" w:name="_Toc532901144"/>
      <w:r>
        <w:rPr>
          <w:rFonts w:hint="eastAsia" w:ascii="宋体" w:hAnsi="宋体" w:cs="宋体"/>
          <w:b/>
          <w:color w:val="auto"/>
          <w:szCs w:val="21"/>
          <w:highlight w:val="none"/>
        </w:rPr>
        <w:t>第九条  违约责任</w:t>
      </w:r>
      <w:bookmarkEnd w:id="142"/>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本协议执行期过程中，乙方在履约过程中违约或终止合同义务的后果完全由乙方自行承担。乙方本身以及乙方相关的第三方发生的任何责任均不可以从形式或实质上形成或理解成甲方与乙方相互承担连带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2、当任何一方不履行或履行的义务不符合本合同规定时视为违约，另一方有权以书面形式通知违约方更正并承担违约责任。违约一方在向对方支付合同总额</w:t>
      </w:r>
      <w:r>
        <w:rPr>
          <w:rFonts w:ascii="宋体" w:hAnsi="宋体" w:cs="宋体"/>
          <w:color w:val="auto"/>
          <w:szCs w:val="21"/>
          <w:highlight w:val="none"/>
        </w:rPr>
        <w:t>1</w:t>
      </w:r>
      <w:r>
        <w:rPr>
          <w:rFonts w:hint="eastAsia" w:ascii="宋体" w:hAnsi="宋体" w:cs="宋体"/>
          <w:color w:val="auto"/>
          <w:szCs w:val="21"/>
          <w:highlight w:val="none"/>
        </w:rPr>
        <w:t>0%的违约金的同时，还应赔偿另一方在签约合同时可以预见的和已经实际发生的经济损失。而且，将是否继续履行本协议的决定权交给了对方。严重违约时，违约金加倍支付。</w:t>
      </w:r>
    </w:p>
    <w:p>
      <w:pPr>
        <w:pStyle w:val="13"/>
        <w:spacing w:line="360" w:lineRule="exact"/>
        <w:ind w:firstLine="399" w:firstLineChars="190"/>
        <w:rPr>
          <w:rFonts w:hAnsi="宋体" w:cs="宋体"/>
          <w:color w:val="auto"/>
          <w:highlight w:val="none"/>
        </w:rPr>
      </w:pPr>
      <w:r>
        <w:rPr>
          <w:rFonts w:hint="eastAsia" w:hAnsi="宋体" w:cs="宋体"/>
          <w:color w:val="auto"/>
          <w:highlight w:val="none"/>
        </w:rPr>
        <w:t>3、乙方未按照合同约定时间交付使用的，按每逾期一天支付合同金额的0.1％向甲方支付违约金。乙方逾期超过3天仍不能将项目交付使用的，甲方可解除双方合同，无需支付任何费用。造成甲方损失的，由乙方负责赔偿。甲方未按照合同约定时间支付项目款，按每逾期一天支付合同金额的0.1％向乙方支付违约金。</w:t>
      </w:r>
    </w:p>
    <w:p>
      <w:pPr>
        <w:pStyle w:val="13"/>
        <w:spacing w:line="360" w:lineRule="exact"/>
        <w:ind w:firstLine="399" w:firstLineChars="190"/>
        <w:rPr>
          <w:rFonts w:hAnsi="宋体" w:cs="宋体"/>
          <w:color w:val="auto"/>
          <w:highlight w:val="none"/>
        </w:rPr>
      </w:pPr>
      <w:r>
        <w:rPr>
          <w:rFonts w:hint="eastAsia" w:hAnsi="宋体" w:cs="宋体"/>
          <w:color w:val="auto"/>
          <w:highlight w:val="none"/>
        </w:rPr>
        <w:t>4、若乙方拟投入服务的讲师团队不能胜任培训工作，甲方在以书面通知其培训半个月后仍无法胜任的，视乙方违约，甲方有权提前解除服务合同。</w:t>
      </w:r>
    </w:p>
    <w:p>
      <w:pPr>
        <w:pStyle w:val="13"/>
        <w:spacing w:line="360" w:lineRule="exact"/>
        <w:ind w:firstLine="399" w:firstLineChars="190"/>
        <w:rPr>
          <w:rFonts w:hAnsi="宋体" w:cs="宋体"/>
          <w:color w:val="auto"/>
          <w:highlight w:val="none"/>
        </w:rPr>
      </w:pPr>
      <w:r>
        <w:rPr>
          <w:rFonts w:hint="eastAsia" w:hAnsi="宋体" w:cs="宋体"/>
          <w:color w:val="auto"/>
          <w:highlight w:val="none"/>
        </w:rPr>
        <w:t>5、拟投入本项目服务的讲师团队因工作失误造成甲方设备损坏的，乙方必需全额赔付所损设备，若因设备损坏影响到甲方日常工作的，视乙方违约，甲方有权提前解除服务合同。</w:t>
      </w:r>
    </w:p>
    <w:p>
      <w:pPr>
        <w:pStyle w:val="13"/>
        <w:spacing w:line="360" w:lineRule="exact"/>
        <w:ind w:firstLine="399" w:firstLineChars="190"/>
        <w:rPr>
          <w:rFonts w:hAnsi="宋体" w:cs="宋体"/>
          <w:color w:val="auto"/>
          <w:highlight w:val="none"/>
        </w:rPr>
      </w:pPr>
      <w:r>
        <w:rPr>
          <w:rFonts w:hint="eastAsia" w:hAnsi="宋体" w:cs="宋体"/>
          <w:color w:val="auto"/>
          <w:highlight w:val="none"/>
        </w:rPr>
        <w:t>6、拟投入本项目服务的讲师团队必须严格遵守政府相关法律和规定，违反信息安全或故意非法盗取信息的，视为乙方严重违约，甲方立即中止服务合同，并视其情况轻重处罚乙方合同金额1%至3%的违约金，若有违法犯罪行为移交司法部门处理。</w:t>
      </w:r>
    </w:p>
    <w:p>
      <w:pPr>
        <w:pStyle w:val="13"/>
        <w:spacing w:line="360" w:lineRule="exact"/>
        <w:ind w:firstLine="399" w:firstLineChars="190"/>
        <w:rPr>
          <w:rFonts w:hAnsi="宋体" w:cs="宋体"/>
          <w:color w:val="auto"/>
          <w:highlight w:val="none"/>
        </w:rPr>
      </w:pPr>
      <w:r>
        <w:rPr>
          <w:rFonts w:hint="eastAsia" w:hAnsi="宋体" w:cs="宋体"/>
          <w:color w:val="auto"/>
          <w:highlight w:val="none"/>
        </w:rPr>
        <w:t>7、未能在规定时间内完成故障修恢或服务结果未能使服务对象满意或服务对象投诉超过10人次的，视为乙方违约，甲方有权提前解除服务合同。</w:t>
      </w:r>
    </w:p>
    <w:p>
      <w:pPr>
        <w:pStyle w:val="13"/>
        <w:spacing w:line="360" w:lineRule="exact"/>
        <w:ind w:firstLine="399" w:firstLineChars="190"/>
        <w:rPr>
          <w:rFonts w:hAnsi="宋体" w:cs="宋体"/>
          <w:color w:val="auto"/>
          <w:highlight w:val="none"/>
        </w:rPr>
      </w:pPr>
      <w:r>
        <w:rPr>
          <w:rFonts w:hint="eastAsia" w:hAnsi="宋体" w:cs="宋体"/>
          <w:color w:val="auto"/>
          <w:highlight w:val="none"/>
        </w:rPr>
        <w:t>8、拟投入服务的讲师团队因违反甲方相关规定，造成较大影响的，视为乙方违约，甲方有权提前解除服务合同。</w:t>
      </w:r>
    </w:p>
    <w:p>
      <w:pPr>
        <w:spacing w:line="360" w:lineRule="exact"/>
        <w:ind w:firstLine="420" w:firstLineChars="200"/>
        <w:outlineLvl w:val="1"/>
        <w:rPr>
          <w:rFonts w:ascii="宋体" w:hAnsi="宋体" w:cs="宋体"/>
          <w:b/>
          <w:color w:val="auto"/>
          <w:szCs w:val="21"/>
          <w:highlight w:val="none"/>
        </w:rPr>
      </w:pPr>
      <w:bookmarkStart w:id="143" w:name="_Toc532901145"/>
      <w:r>
        <w:rPr>
          <w:rFonts w:hint="eastAsia" w:ascii="宋体" w:hAnsi="宋体" w:cs="宋体"/>
          <w:b/>
          <w:color w:val="auto"/>
          <w:szCs w:val="21"/>
          <w:highlight w:val="none"/>
        </w:rPr>
        <w:t>第十条  不可抗力事件处理</w:t>
      </w:r>
      <w:bookmarkEnd w:id="143"/>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由于不可抗力原因导致本合同执行无法履行或履行障碍，双方互不承担违约责任。</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2、不可抗力事件发生后，</w:t>
      </w:r>
      <w:r>
        <w:rPr>
          <w:rFonts w:hint="eastAsia" w:ascii="宋体" w:hAnsi="宋体" w:cs="宋体"/>
          <w:color w:val="auto"/>
          <w:highlight w:val="none"/>
        </w:rPr>
        <w:t>发现的一方有义务在第一时间内书面通知另一方，待障碍消除随时恢复执行合同，如果无法履行或无必要履行，双方据实结算。</w:t>
      </w:r>
    </w:p>
    <w:p>
      <w:pPr>
        <w:spacing w:line="360" w:lineRule="exact"/>
        <w:ind w:firstLine="420" w:firstLineChars="200"/>
        <w:outlineLvl w:val="1"/>
        <w:rPr>
          <w:rFonts w:ascii="宋体" w:hAnsi="宋体" w:cs="宋体"/>
          <w:b/>
          <w:color w:val="auto"/>
          <w:szCs w:val="21"/>
          <w:highlight w:val="none"/>
        </w:rPr>
      </w:pPr>
      <w:bookmarkStart w:id="144" w:name="_Toc532901146"/>
      <w:r>
        <w:rPr>
          <w:rFonts w:hint="eastAsia" w:ascii="宋体" w:hAnsi="宋体" w:cs="宋体"/>
          <w:b/>
          <w:color w:val="auto"/>
          <w:szCs w:val="21"/>
          <w:highlight w:val="none"/>
        </w:rPr>
        <w:t>第十一条  合同争议解决</w:t>
      </w:r>
      <w:bookmarkEnd w:id="144"/>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1、因履行本合同引起的或与本合同有关的争议，甲乙双方应首先通过友好协商解决，如果协商不能解决，可向平乐县仲裁委员会申请仲裁或向平乐县人民法院提起诉讼。</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2、诉讼期间，本合同继续履行。</w:t>
      </w:r>
    </w:p>
    <w:p>
      <w:pPr>
        <w:spacing w:line="360" w:lineRule="exact"/>
        <w:ind w:firstLine="420" w:firstLineChars="200"/>
        <w:outlineLvl w:val="1"/>
        <w:rPr>
          <w:rFonts w:ascii="宋体" w:hAnsi="宋体" w:cs="宋体"/>
          <w:b/>
          <w:color w:val="auto"/>
          <w:szCs w:val="21"/>
          <w:highlight w:val="none"/>
        </w:rPr>
      </w:pPr>
      <w:bookmarkStart w:id="145" w:name="_Toc532901147"/>
      <w:r>
        <w:rPr>
          <w:rFonts w:hint="eastAsia" w:ascii="宋体" w:hAnsi="宋体" w:cs="宋体"/>
          <w:b/>
          <w:color w:val="auto"/>
          <w:szCs w:val="21"/>
          <w:highlight w:val="none"/>
        </w:rPr>
        <w:t>第十二条  合同生效及其它</w:t>
      </w:r>
      <w:bookmarkEnd w:id="145"/>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1、合同经甲乙双方法定代表人或授权代表签字并加盖单位公章后生效。</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2、合同执行中涉及采购资金和采购内容修改或补充的，需经平乐县财政部门审批，并签订书面补充协议报平乐县政府采购办公室备案，方可作为主合同不可分割的一部分。</w:t>
      </w:r>
    </w:p>
    <w:p>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3、本合同未尽事宜，遵照《合同法》有关条文执行。</w:t>
      </w:r>
    </w:p>
    <w:p>
      <w:pPr>
        <w:spacing w:line="360" w:lineRule="exact"/>
        <w:ind w:firstLine="420" w:firstLineChars="200"/>
        <w:outlineLvl w:val="1"/>
        <w:rPr>
          <w:rFonts w:ascii="宋体" w:hAnsi="宋体" w:cs="宋体"/>
          <w:b/>
          <w:color w:val="auto"/>
          <w:szCs w:val="21"/>
          <w:highlight w:val="none"/>
        </w:rPr>
      </w:pPr>
      <w:bookmarkStart w:id="146" w:name="_Toc532901148"/>
      <w:r>
        <w:rPr>
          <w:rFonts w:hint="eastAsia" w:ascii="宋体" w:hAnsi="宋体" w:cs="宋体"/>
          <w:b/>
          <w:color w:val="auto"/>
          <w:szCs w:val="21"/>
          <w:highlight w:val="none"/>
        </w:rPr>
        <w:t>第十三条  合同的变更、终止与转让</w:t>
      </w:r>
      <w:bookmarkEnd w:id="146"/>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pPr>
        <w:numPr>
          <w:ilvl w:val="0"/>
          <w:numId w:val="5"/>
        </w:numPr>
        <w:spacing w:line="360" w:lineRule="exact"/>
        <w:rPr>
          <w:rFonts w:ascii="宋体" w:hAnsi="宋体" w:cs="宋体"/>
          <w:color w:val="auto"/>
          <w:szCs w:val="21"/>
          <w:highlight w:val="none"/>
        </w:rPr>
      </w:pPr>
      <w:r>
        <w:rPr>
          <w:rFonts w:hint="eastAsia" w:ascii="宋体" w:hAnsi="宋体" w:cs="宋体"/>
          <w:color w:val="auto"/>
          <w:szCs w:val="21"/>
          <w:highlight w:val="none"/>
        </w:rPr>
        <w:t>乙方不得擅自转让其应履行的合同义务。</w:t>
      </w:r>
    </w:p>
    <w:p>
      <w:pPr>
        <w:spacing w:line="360" w:lineRule="exact"/>
        <w:ind w:firstLine="411" w:firstLineChars="196"/>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360" w:lineRule="exact"/>
        <w:ind w:left="420"/>
        <w:rPr>
          <w:rFonts w:ascii="宋体" w:hAnsi="宋体" w:cs="宋体"/>
          <w:color w:val="auto"/>
          <w:szCs w:val="21"/>
          <w:highlight w:val="none"/>
        </w:rPr>
      </w:pPr>
      <w:r>
        <w:rPr>
          <w:rFonts w:hint="eastAsia" w:ascii="宋体" w:hAnsi="宋体" w:cs="宋体"/>
          <w:color w:val="auto"/>
          <w:szCs w:val="21"/>
          <w:highlight w:val="none"/>
        </w:rPr>
        <w:t>1、竞争性磋商文件；</w:t>
      </w:r>
    </w:p>
    <w:p>
      <w:pPr>
        <w:spacing w:line="360" w:lineRule="exact"/>
        <w:ind w:left="224" w:leftChars="107" w:firstLine="210" w:firstLineChars="100"/>
        <w:rPr>
          <w:rFonts w:ascii="宋体" w:hAnsi="宋体" w:cs="宋体"/>
          <w:color w:val="auto"/>
          <w:szCs w:val="21"/>
          <w:highlight w:val="none"/>
        </w:rPr>
      </w:pPr>
      <w:r>
        <w:rPr>
          <w:rFonts w:hint="eastAsia" w:ascii="宋体" w:hAnsi="宋体" w:cs="宋体"/>
          <w:color w:val="auto"/>
          <w:szCs w:val="21"/>
          <w:highlight w:val="none"/>
        </w:rPr>
        <w:t>2、乙方的磋商报价明细表及应答文件；</w:t>
      </w:r>
    </w:p>
    <w:p>
      <w:pPr>
        <w:spacing w:line="360" w:lineRule="exact"/>
        <w:ind w:left="224" w:leftChars="107" w:firstLine="210" w:firstLineChars="100"/>
        <w:rPr>
          <w:rFonts w:ascii="宋体" w:hAnsi="宋体" w:cs="宋体"/>
          <w:color w:val="auto"/>
          <w:szCs w:val="21"/>
          <w:highlight w:val="none"/>
        </w:rPr>
      </w:pPr>
      <w:r>
        <w:rPr>
          <w:rFonts w:hint="eastAsia" w:ascii="宋体" w:hAnsi="宋体" w:cs="宋体"/>
          <w:color w:val="auto"/>
          <w:szCs w:val="21"/>
          <w:highlight w:val="none"/>
        </w:rPr>
        <w:t>3、项目培训方案；</w:t>
      </w:r>
    </w:p>
    <w:p>
      <w:pPr>
        <w:spacing w:line="360" w:lineRule="exact"/>
        <w:ind w:left="224" w:leftChars="107" w:firstLine="210" w:firstLineChars="100"/>
        <w:rPr>
          <w:rFonts w:ascii="宋体" w:hAnsi="宋体" w:cs="宋体"/>
          <w:color w:val="auto"/>
          <w:szCs w:val="21"/>
          <w:highlight w:val="none"/>
        </w:rPr>
      </w:pPr>
      <w:r>
        <w:rPr>
          <w:rFonts w:hint="eastAsia" w:ascii="宋体" w:hAnsi="宋体" w:cs="宋体"/>
          <w:color w:val="auto"/>
          <w:szCs w:val="21"/>
          <w:highlight w:val="none"/>
        </w:rPr>
        <w:t>4、成交通知书。</w:t>
      </w:r>
    </w:p>
    <w:p>
      <w:pPr>
        <w:spacing w:line="360" w:lineRule="exact"/>
        <w:ind w:firstLine="411" w:firstLineChars="196"/>
        <w:rPr>
          <w:rFonts w:ascii="宋体" w:hAnsi="宋体" w:cs="宋体"/>
          <w:color w:val="auto"/>
          <w:highlight w:val="none"/>
        </w:rPr>
      </w:pPr>
      <w:r>
        <w:rPr>
          <w:rFonts w:hint="eastAsia" w:ascii="宋体" w:hAnsi="宋体" w:cs="宋体"/>
          <w:color w:val="auto"/>
          <w:szCs w:val="21"/>
          <w:highlight w:val="none"/>
        </w:rPr>
        <w:t>本合同甲乙双方签字盖章后生效，一式四份，具有同等法律效力，甲、乙双方各一份，</w:t>
      </w:r>
      <w:r>
        <w:rPr>
          <w:rFonts w:hint="eastAsia" w:ascii="宋体" w:hAnsi="宋体" w:cs="宋体"/>
          <w:color w:val="auto"/>
          <w:highlight w:val="none"/>
        </w:rPr>
        <w:t>采购代理机构、平乐县政府采购办公室各一份</w:t>
      </w:r>
      <w:r>
        <w:rPr>
          <w:rFonts w:hint="eastAsia" w:ascii="宋体" w:hAnsi="宋体" w:cs="宋体"/>
          <w:color w:val="auto"/>
          <w:szCs w:val="21"/>
          <w:highlight w:val="none"/>
        </w:rPr>
        <w:t>。</w:t>
      </w:r>
    </w:p>
    <w:p>
      <w:pPr>
        <w:spacing w:line="360" w:lineRule="exact"/>
        <w:ind w:firstLine="411" w:firstLineChars="196"/>
        <w:rPr>
          <w:rFonts w:ascii="宋体" w:hAnsi="宋体" w:cs="宋体"/>
          <w:color w:val="auto"/>
          <w:highlight w:val="none"/>
        </w:rPr>
      </w:pPr>
    </w:p>
    <w:p>
      <w:pPr>
        <w:spacing w:line="360" w:lineRule="exact"/>
        <w:ind w:firstLine="411" w:firstLineChars="196"/>
        <w:rPr>
          <w:rFonts w:ascii="宋体" w:hAnsi="宋体" w:cs="宋体"/>
          <w:color w:val="auto"/>
          <w:highlight w:val="none"/>
        </w:rPr>
      </w:pPr>
    </w:p>
    <w:p>
      <w:pPr>
        <w:tabs>
          <w:tab w:val="left" w:pos="4320"/>
          <w:tab w:val="left" w:pos="4500"/>
        </w:tabs>
        <w:spacing w:line="360" w:lineRule="exact"/>
        <w:rPr>
          <w:rFonts w:ascii="宋体" w:hAnsi="宋体" w:cs="宋体"/>
          <w:color w:val="auto"/>
          <w:szCs w:val="21"/>
          <w:highlight w:val="none"/>
          <w:u w:val="single"/>
        </w:rPr>
      </w:pPr>
      <w:r>
        <w:rPr>
          <w:rFonts w:hint="eastAsia" w:ascii="宋体" w:hAnsi="宋体" w:cs="宋体"/>
          <w:color w:val="auto"/>
          <w:szCs w:val="21"/>
          <w:highlight w:val="none"/>
        </w:rPr>
        <w:t>甲方名称（公章）：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乙方名称（公章）：</w:t>
      </w:r>
      <w:r>
        <w:rPr>
          <w:rFonts w:hint="eastAsia" w:ascii="宋体" w:hAnsi="宋体" w:cs="宋体"/>
          <w:color w:val="auto"/>
          <w:szCs w:val="21"/>
          <w:highlight w:val="none"/>
          <w:u w:val="single"/>
        </w:rPr>
        <w:t xml:space="preserve">                          </w:t>
      </w:r>
    </w:p>
    <w:p>
      <w:pPr>
        <w:spacing w:line="360" w:lineRule="exact"/>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pPr>
        <w:tabs>
          <w:tab w:val="left" w:pos="4680"/>
        </w:tabs>
        <w:spacing w:line="360" w:lineRule="exact"/>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pPr>
        <w:tabs>
          <w:tab w:val="left" w:pos="5040"/>
        </w:tabs>
        <w:spacing w:line="360" w:lineRule="exact"/>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pPr>
        <w:tabs>
          <w:tab w:val="left" w:pos="5040"/>
        </w:tabs>
        <w:spacing w:line="360" w:lineRule="exact"/>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p>
    <w:p>
      <w:pPr>
        <w:tabs>
          <w:tab w:val="left" w:pos="5040"/>
        </w:tabs>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tabs>
          <w:tab w:val="left" w:pos="5040"/>
        </w:tabs>
        <w:spacing w:line="360" w:lineRule="exact"/>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jc w:val="left"/>
        <w:rPr>
          <w:rFonts w:ascii="宋体" w:hAnsi="宋体" w:cs="宋体"/>
          <w:b/>
          <w:color w:val="auto"/>
          <w:sz w:val="32"/>
          <w:szCs w:val="32"/>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p>
      <w:pPr>
        <w:spacing w:line="440" w:lineRule="atLeast"/>
        <w:rPr>
          <w:rFonts w:ascii="宋体" w:hAnsi="宋体" w:cs="宋体"/>
          <w:b/>
          <w:color w:val="auto"/>
          <w:sz w:val="32"/>
          <w:szCs w:val="32"/>
          <w:highlight w:val="none"/>
        </w:rPr>
      </w:pPr>
    </w:p>
    <w:p>
      <w:pPr>
        <w:spacing w:line="440" w:lineRule="atLeast"/>
        <w:rPr>
          <w:rFonts w:ascii="宋体" w:hAnsi="宋体" w:cs="宋体"/>
          <w:b/>
          <w:color w:val="auto"/>
          <w:sz w:val="32"/>
          <w:szCs w:val="32"/>
          <w:highlight w:val="none"/>
        </w:rPr>
      </w:pPr>
    </w:p>
    <w:p>
      <w:pPr>
        <w:spacing w:line="440" w:lineRule="atLeas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147" w:name="_Toc532901149"/>
      <w:r>
        <w:rPr>
          <w:rFonts w:hint="eastAsia" w:ascii="宋体" w:hAnsi="宋体" w:cs="宋体"/>
          <w:b/>
          <w:color w:val="auto"/>
          <w:sz w:val="32"/>
          <w:szCs w:val="32"/>
          <w:highlight w:val="none"/>
        </w:rPr>
        <w:t>第六章  响应文件格式</w:t>
      </w:r>
      <w:bookmarkEnd w:id="147"/>
    </w:p>
    <w:p>
      <w:pPr>
        <w:spacing w:line="440" w:lineRule="atLeast"/>
        <w:outlineLvl w:val="1"/>
        <w:rPr>
          <w:rFonts w:ascii="宋体" w:hAnsi="宋体" w:cs="宋体"/>
          <w:b/>
          <w:color w:val="auto"/>
          <w:sz w:val="28"/>
          <w:szCs w:val="28"/>
          <w:highlight w:val="none"/>
        </w:rPr>
      </w:pPr>
      <w:bookmarkStart w:id="148" w:name="_Toc8878"/>
      <w:bookmarkStart w:id="149" w:name="_Toc24359"/>
      <w:bookmarkStart w:id="150" w:name="_Toc528313238"/>
      <w:bookmarkStart w:id="151" w:name="_Toc532901150"/>
      <w:r>
        <w:rPr>
          <w:rFonts w:hint="eastAsia" w:ascii="宋体" w:hAnsi="宋体" w:cs="宋体"/>
          <w:b/>
          <w:color w:val="auto"/>
          <w:sz w:val="28"/>
          <w:szCs w:val="28"/>
          <w:highlight w:val="none"/>
        </w:rPr>
        <w:t>1、响应函（格式见附件）（必须提供）；</w:t>
      </w:r>
      <w:bookmarkEnd w:id="148"/>
      <w:bookmarkEnd w:id="149"/>
      <w:bookmarkEnd w:id="150"/>
      <w:bookmarkEnd w:id="151"/>
    </w:p>
    <w:p>
      <w:pPr>
        <w:spacing w:line="440" w:lineRule="atLeast"/>
        <w:rPr>
          <w:rFonts w:ascii="宋体" w:hAnsi="宋体" w:cs="宋体"/>
          <w:b/>
          <w:color w:val="auto"/>
          <w:sz w:val="24"/>
          <w:highlight w:val="none"/>
        </w:rPr>
      </w:pPr>
      <w:r>
        <w:rPr>
          <w:rFonts w:hint="eastAsia" w:ascii="宋体" w:hAnsi="宋体" w:cs="宋体"/>
          <w:b/>
          <w:color w:val="auto"/>
          <w:sz w:val="24"/>
          <w:highlight w:val="none"/>
        </w:rPr>
        <w:t>附件：</w:t>
      </w:r>
    </w:p>
    <w:p>
      <w:pPr>
        <w:pStyle w:val="13"/>
        <w:ind w:firstLine="800" w:firstLineChars="250"/>
        <w:jc w:val="center"/>
        <w:rPr>
          <w:rFonts w:hAnsi="宋体" w:cs="宋体"/>
          <w:b/>
          <w:color w:val="auto"/>
          <w:sz w:val="32"/>
          <w:highlight w:val="none"/>
        </w:rPr>
      </w:pPr>
      <w:r>
        <w:rPr>
          <w:rFonts w:hint="eastAsia" w:hAnsi="宋体" w:cs="宋体"/>
          <w:b/>
          <w:color w:val="auto"/>
          <w:sz w:val="32"/>
          <w:highlight w:val="none"/>
        </w:rPr>
        <w:t>响 应 函 （格 式）</w:t>
      </w:r>
    </w:p>
    <w:p>
      <w:pP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：广西鼎策工程顾问有限责任公司   </w:t>
      </w:r>
    </w:p>
    <w:p>
      <w:pPr>
        <w:pStyle w:val="13"/>
        <w:spacing w:line="400" w:lineRule="exact"/>
        <w:ind w:firstLine="420"/>
        <w:rPr>
          <w:rFonts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 xml:space="preserve">项目磋商文件，项目编号 </w:t>
      </w:r>
      <w:r>
        <w:rPr>
          <w:rFonts w:hint="eastAsia" w:hAnsi="宋体" w:cs="宋体"/>
          <w:color w:val="auto"/>
          <w:highlight w:val="none"/>
          <w:u w:val="single"/>
        </w:rPr>
        <w:t xml:space="preserve">               </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（姓名）经正式授权并代表磋商供应商 </w:t>
      </w:r>
      <w:r>
        <w:rPr>
          <w:rFonts w:hint="eastAsia" w:hAnsi="宋体" w:cs="宋体"/>
          <w:color w:val="auto"/>
          <w:highlight w:val="none"/>
          <w:u w:val="single"/>
        </w:rPr>
        <w:t xml:space="preserve">                                   （</w:t>
      </w:r>
      <w:r>
        <w:rPr>
          <w:rFonts w:hint="eastAsia" w:hAnsi="宋体" w:cs="宋体"/>
          <w:color w:val="auto"/>
          <w:highlight w:val="none"/>
        </w:rPr>
        <w:t>磋商单位名称），提交响应文件正本一份，副本四份。</w:t>
      </w:r>
    </w:p>
    <w:p>
      <w:pPr>
        <w:pStyle w:val="13"/>
        <w:spacing w:line="400" w:lineRule="exact"/>
        <w:ind w:firstLine="420"/>
        <w:rPr>
          <w:rFonts w:hAnsi="宋体" w:cs="宋体"/>
          <w:color w:val="auto"/>
          <w:highlight w:val="none"/>
        </w:rPr>
      </w:pPr>
      <w:r>
        <w:rPr>
          <w:rFonts w:hint="eastAsia" w:hAnsi="宋体" w:cs="宋体"/>
          <w:color w:val="auto"/>
          <w:highlight w:val="none"/>
        </w:rPr>
        <w:t>据此函，签字代表宣布同意如下：</w:t>
      </w:r>
    </w:p>
    <w:p>
      <w:pPr>
        <w:pStyle w:val="13"/>
        <w:spacing w:line="400" w:lineRule="exact"/>
        <w:ind w:firstLine="420"/>
        <w:rPr>
          <w:rFonts w:hAnsi="宋体" w:cs="宋体"/>
          <w:color w:val="auto"/>
          <w:highlight w:val="none"/>
        </w:rPr>
      </w:pPr>
      <w:r>
        <w:rPr>
          <w:rFonts w:hint="eastAsia" w:hAnsi="宋体" w:cs="宋体"/>
          <w:color w:val="auto"/>
          <w:highlight w:val="none"/>
        </w:rPr>
        <w:t>1、按磋商文件项目采购需求和磋商报价表：</w:t>
      </w:r>
    </w:p>
    <w:p>
      <w:pPr>
        <w:pStyle w:val="13"/>
        <w:spacing w:line="400" w:lineRule="exact"/>
        <w:ind w:firstLine="420"/>
        <w:rPr>
          <w:rFonts w:hAnsi="宋体" w:cs="宋体"/>
          <w:color w:val="auto"/>
          <w:highlight w:val="none"/>
        </w:rPr>
      </w:pPr>
      <w:r>
        <w:rPr>
          <w:rFonts w:hint="eastAsia" w:hAnsi="宋体" w:cs="宋体"/>
          <w:color w:val="auto"/>
          <w:highlight w:val="none"/>
        </w:rPr>
        <w:t>磋商总报价（大写）</w:t>
      </w:r>
      <w:r>
        <w:rPr>
          <w:rFonts w:hint="eastAsia" w:hAnsi="宋体" w:cs="宋体"/>
          <w:color w:val="auto"/>
          <w:highlight w:val="none"/>
          <w:u w:val="single"/>
        </w:rPr>
        <w:t xml:space="preserve">                  </w:t>
      </w:r>
      <w:r>
        <w:rPr>
          <w:rFonts w:hint="eastAsia" w:hAnsi="宋体" w:cs="宋体"/>
          <w:color w:val="auto"/>
          <w:highlight w:val="none"/>
        </w:rPr>
        <w:t>人民币(￥</w:t>
      </w:r>
      <w:r>
        <w:rPr>
          <w:rFonts w:hint="eastAsia" w:hAnsi="宋体" w:cs="宋体"/>
          <w:color w:val="auto"/>
          <w:highlight w:val="none"/>
          <w:u w:val="single"/>
        </w:rPr>
        <w:t xml:space="preserve">             </w:t>
      </w:r>
      <w:r>
        <w:rPr>
          <w:rFonts w:hint="eastAsia" w:hAnsi="宋体" w:cs="宋体"/>
          <w:color w:val="auto"/>
          <w:highlight w:val="none"/>
        </w:rPr>
        <w:t>)。</w:t>
      </w:r>
    </w:p>
    <w:p>
      <w:pPr>
        <w:pStyle w:val="13"/>
        <w:spacing w:line="400" w:lineRule="exact"/>
        <w:ind w:firstLine="420"/>
        <w:rPr>
          <w:rFonts w:hAnsi="宋体" w:cs="宋体"/>
          <w:color w:val="auto"/>
          <w:highlight w:val="none"/>
        </w:rPr>
      </w:pPr>
      <w:r>
        <w:rPr>
          <w:rFonts w:hint="eastAsia" w:hAnsi="宋体" w:cs="宋体"/>
          <w:color w:val="auto"/>
          <w:highlight w:val="none"/>
        </w:rPr>
        <w:t>2、我方承诺已具备磋商文件规定的磋商供应商资格条件。</w:t>
      </w:r>
    </w:p>
    <w:p>
      <w:pPr>
        <w:pStyle w:val="13"/>
        <w:spacing w:line="400" w:lineRule="exact"/>
        <w:ind w:firstLine="420"/>
        <w:rPr>
          <w:rFonts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pPr>
        <w:pStyle w:val="13"/>
        <w:spacing w:line="400" w:lineRule="exact"/>
        <w:ind w:firstLine="420"/>
        <w:rPr>
          <w:rFonts w:hAnsi="宋体" w:cs="宋体"/>
          <w:color w:val="auto"/>
          <w:highlight w:val="none"/>
        </w:rPr>
      </w:pPr>
      <w:r>
        <w:rPr>
          <w:rFonts w:hint="eastAsia" w:hAnsi="宋体" w:cs="宋体"/>
          <w:color w:val="auto"/>
          <w:highlight w:val="none"/>
        </w:rPr>
        <w:t>4、如我方成交：</w:t>
      </w:r>
    </w:p>
    <w:p>
      <w:pPr>
        <w:pStyle w:val="13"/>
        <w:spacing w:line="400" w:lineRule="exact"/>
        <w:ind w:firstLine="420"/>
        <w:rPr>
          <w:rFonts w:hAnsi="宋体" w:cs="宋体"/>
          <w:color w:val="auto"/>
          <w:highlight w:val="none"/>
        </w:rPr>
      </w:pPr>
      <w:r>
        <w:rPr>
          <w:rFonts w:hint="eastAsia" w:hAnsi="宋体" w:cs="宋体"/>
          <w:color w:val="auto"/>
          <w:highlight w:val="none"/>
        </w:rPr>
        <w:t>（1）我方承诺在收到成交通知书后，在成交通知书规定的期限内与采购人签订合同。</w:t>
      </w:r>
    </w:p>
    <w:p>
      <w:pPr>
        <w:pStyle w:val="13"/>
        <w:spacing w:line="400" w:lineRule="exact"/>
        <w:ind w:firstLine="420"/>
        <w:rPr>
          <w:rFonts w:hAnsi="宋体" w:cs="宋体"/>
          <w:color w:val="auto"/>
          <w:highlight w:val="none"/>
        </w:rPr>
      </w:pPr>
      <w:r>
        <w:rPr>
          <w:rFonts w:hint="eastAsia" w:hAnsi="宋体" w:cs="宋体"/>
          <w:color w:val="auto"/>
          <w:highlight w:val="none"/>
        </w:rPr>
        <w:t>（2）我方承诺本响应文件至本项目合同履行完毕止均保持有效，按磋商文件及政府采购法律、法规的规定履行合同责任和义务。</w:t>
      </w:r>
    </w:p>
    <w:p>
      <w:pPr>
        <w:pStyle w:val="13"/>
        <w:spacing w:line="400" w:lineRule="exact"/>
        <w:ind w:firstLine="420"/>
        <w:rPr>
          <w:rFonts w:hAnsi="宋体" w:cs="宋体"/>
          <w:color w:val="auto"/>
          <w:highlight w:val="none"/>
        </w:rPr>
      </w:pPr>
      <w:r>
        <w:rPr>
          <w:rFonts w:hint="eastAsia" w:hAnsi="宋体" w:cs="宋体"/>
          <w:color w:val="auto"/>
          <w:highlight w:val="none"/>
        </w:rPr>
        <w:t>与本磋商有关的正式通讯地址为：</w:t>
      </w:r>
    </w:p>
    <w:p>
      <w:pPr>
        <w:pStyle w:val="13"/>
        <w:spacing w:line="400" w:lineRule="exact"/>
        <w:ind w:firstLine="420"/>
        <w:rPr>
          <w:rFonts w:hAnsi="宋体" w:cs="宋体"/>
          <w:color w:val="auto"/>
          <w:highlight w:val="none"/>
        </w:rPr>
      </w:pPr>
    </w:p>
    <w:p>
      <w:pPr>
        <w:pStyle w:val="13"/>
        <w:spacing w:line="400" w:lineRule="exact"/>
        <w:ind w:firstLine="420"/>
        <w:rPr>
          <w:rFonts w:hAnsi="宋体" w:cs="宋体"/>
          <w:color w:val="auto"/>
          <w:highlight w:val="none"/>
          <w:u w:val="singl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邮编：</w:t>
      </w:r>
      <w:r>
        <w:rPr>
          <w:rFonts w:hint="eastAsia" w:hAnsi="宋体" w:cs="宋体"/>
          <w:color w:val="auto"/>
          <w:highlight w:val="none"/>
          <w:u w:val="single"/>
        </w:rPr>
        <w:t xml:space="preserve">          </w:t>
      </w:r>
      <w:r>
        <w:rPr>
          <w:rFonts w:hint="eastAsia" w:hAnsi="宋体" w:cs="宋体"/>
          <w:color w:val="auto"/>
          <w:highlight w:val="none"/>
        </w:rPr>
        <w:t xml:space="preserve">  电话、传真：</w:t>
      </w:r>
      <w:r>
        <w:rPr>
          <w:rFonts w:hint="eastAsia" w:hAnsi="宋体" w:cs="宋体"/>
          <w:color w:val="auto"/>
          <w:highlight w:val="none"/>
          <w:u w:val="single"/>
        </w:rPr>
        <w:t xml:space="preserve">            </w:t>
      </w:r>
    </w:p>
    <w:p>
      <w:pPr>
        <w:pStyle w:val="13"/>
        <w:spacing w:line="400" w:lineRule="exact"/>
        <w:ind w:firstLine="420"/>
        <w:rPr>
          <w:rFonts w:hAnsi="宋体" w:cs="宋体"/>
          <w:color w:val="auto"/>
          <w:highlight w:val="none"/>
        </w:rPr>
      </w:pPr>
      <w:r>
        <w:rPr>
          <w:rFonts w:hint="eastAsia" w:hAnsi="宋体" w:cs="宋体"/>
          <w:color w:val="auto"/>
          <w:highlight w:val="none"/>
        </w:rPr>
        <w:t>开户名称：</w:t>
      </w:r>
      <w:r>
        <w:rPr>
          <w:rFonts w:hint="eastAsia" w:hAnsi="宋体" w:cs="宋体"/>
          <w:color w:val="auto"/>
          <w:highlight w:val="none"/>
          <w:u w:val="single"/>
        </w:rPr>
        <w:t xml:space="preserve">                                        </w:t>
      </w:r>
    </w:p>
    <w:p>
      <w:pPr>
        <w:pStyle w:val="13"/>
        <w:spacing w:line="400" w:lineRule="exact"/>
        <w:ind w:firstLine="420"/>
        <w:rPr>
          <w:rFonts w:hAnsi="宋体" w:cs="宋体"/>
          <w:color w:val="auto"/>
          <w:highlight w:val="none"/>
        </w:rPr>
      </w:pPr>
      <w:r>
        <w:rPr>
          <w:rFonts w:hint="eastAsia" w:hAnsi="宋体" w:cs="宋体"/>
          <w:color w:val="auto"/>
          <w:highlight w:val="none"/>
        </w:rPr>
        <w:t>开户银行：</w:t>
      </w:r>
      <w:r>
        <w:rPr>
          <w:rFonts w:hint="eastAsia" w:hAnsi="宋体" w:cs="宋体"/>
          <w:color w:val="auto"/>
          <w:highlight w:val="none"/>
          <w:u w:val="single"/>
        </w:rPr>
        <w:t xml:space="preserve">                                        </w:t>
      </w:r>
    </w:p>
    <w:p>
      <w:pPr>
        <w:pStyle w:val="13"/>
        <w:spacing w:line="400" w:lineRule="exact"/>
        <w:ind w:firstLine="420"/>
        <w:rPr>
          <w:rFonts w:hAnsi="宋体" w:cs="宋体"/>
          <w:color w:val="auto"/>
          <w:highlight w:val="none"/>
        </w:rPr>
      </w:pPr>
      <w:r>
        <w:rPr>
          <w:rFonts w:hint="eastAsia" w:hAnsi="宋体" w:cs="宋体"/>
          <w:color w:val="auto"/>
          <w:highlight w:val="none"/>
        </w:rPr>
        <w:t>账号：</w:t>
      </w:r>
      <w:r>
        <w:rPr>
          <w:rFonts w:hint="eastAsia" w:hAnsi="宋体" w:cs="宋体"/>
          <w:color w:val="auto"/>
          <w:highlight w:val="none"/>
          <w:u w:val="single"/>
        </w:rPr>
        <w:t xml:space="preserve">                                            </w:t>
      </w:r>
    </w:p>
    <w:p>
      <w:pPr>
        <w:pStyle w:val="13"/>
        <w:spacing w:line="400" w:lineRule="exact"/>
        <w:ind w:firstLine="420"/>
        <w:rPr>
          <w:rFonts w:hAnsi="宋体" w:cs="宋体"/>
          <w:color w:val="auto"/>
          <w:highlight w:val="none"/>
        </w:rPr>
      </w:pPr>
      <w:r>
        <w:rPr>
          <w:rFonts w:hint="eastAsia" w:hAnsi="宋体" w:cs="宋体"/>
          <w:color w:val="auto"/>
          <w:highlight w:val="none"/>
        </w:rPr>
        <w:t>磋商供应商（公章，自然人除外）：</w:t>
      </w:r>
      <w:r>
        <w:rPr>
          <w:rFonts w:hint="eastAsia" w:hAnsi="宋体" w:cs="宋体"/>
          <w:color w:val="auto"/>
          <w:highlight w:val="none"/>
          <w:u w:val="single"/>
        </w:rPr>
        <w:t xml:space="preserve">                             </w:t>
      </w:r>
    </w:p>
    <w:p>
      <w:pPr>
        <w:pStyle w:val="13"/>
        <w:spacing w:line="400" w:lineRule="exact"/>
        <w:ind w:firstLine="420"/>
        <w:rPr>
          <w:rFonts w:hAnsi="宋体" w:cs="宋体"/>
          <w:color w:val="auto"/>
          <w:highlight w:val="none"/>
        </w:rPr>
      </w:pPr>
      <w:r>
        <w:rPr>
          <w:rFonts w:hint="eastAsia" w:hAnsi="宋体" w:cs="宋体"/>
          <w:color w:val="auto"/>
          <w:highlight w:val="none"/>
        </w:rPr>
        <w:t>法定代表人、负责人、自然人或相应的委托代理人签字（或盖章）</w:t>
      </w:r>
    </w:p>
    <w:p>
      <w:pPr>
        <w:pStyle w:val="13"/>
        <w:spacing w:line="400" w:lineRule="exact"/>
        <w:ind w:firstLine="420"/>
        <w:jc w:val="left"/>
        <w:rPr>
          <w:rFonts w:hAnsi="宋体" w:cs="宋体"/>
          <w:color w:val="auto"/>
          <w:highlight w:val="none"/>
          <w:u w:val="single"/>
        </w:rPr>
      </w:pPr>
      <w:r>
        <w:rPr>
          <w:rFonts w:hint="eastAsia" w:hAnsi="宋体" w:cs="宋体"/>
          <w:color w:val="auto"/>
          <w:highlight w:val="none"/>
        </w:rPr>
        <w:t>（属自然人的应在签名处加盖大拇指指印）：</w:t>
      </w:r>
      <w:r>
        <w:rPr>
          <w:rFonts w:hint="eastAsia" w:hAnsi="宋体" w:cs="宋体"/>
          <w:color w:val="auto"/>
          <w:szCs w:val="21"/>
          <w:highlight w:val="none"/>
          <w:u w:val="single"/>
        </w:rPr>
        <w:t xml:space="preserve">                     </w:t>
      </w:r>
    </w:p>
    <w:p>
      <w:pPr>
        <w:pStyle w:val="13"/>
        <w:spacing w:line="400" w:lineRule="exact"/>
        <w:ind w:firstLine="420"/>
        <w:rPr>
          <w:rFonts w:hAnsi="宋体" w:cs="宋体"/>
          <w:color w:val="auto"/>
          <w:highlight w:val="none"/>
          <w:u w:val="single"/>
        </w:rPr>
      </w:pPr>
      <w:r>
        <w:rPr>
          <w:rFonts w:hint="eastAsia" w:hAnsi="宋体" w:cs="宋体"/>
          <w:color w:val="auto"/>
          <w:highlight w:val="none"/>
        </w:rPr>
        <w:t>磋商日期：</w:t>
      </w:r>
      <w:r>
        <w:rPr>
          <w:rFonts w:hint="eastAsia" w:hAnsi="宋体" w:cs="宋体"/>
          <w:color w:val="auto"/>
          <w:highlight w:val="none"/>
          <w:u w:val="single"/>
        </w:rPr>
        <w:t xml:space="preserve">                               </w:t>
      </w:r>
    </w:p>
    <w:p>
      <w:pPr>
        <w:pStyle w:val="13"/>
        <w:spacing w:line="400" w:lineRule="exact"/>
        <w:ind w:firstLine="420" w:firstLineChars="200"/>
        <w:rPr>
          <w:rFonts w:hAnsi="宋体" w:cs="宋体"/>
          <w:bCs/>
          <w:color w:val="auto"/>
          <w:highlight w:val="none"/>
        </w:rPr>
      </w:pPr>
      <w:r>
        <w:rPr>
          <w:rFonts w:hint="eastAsia" w:hAnsi="宋体" w:cs="宋体"/>
          <w:bCs/>
          <w:color w:val="auto"/>
          <w:highlight w:val="none"/>
        </w:rPr>
        <w:t>注：1、未按照本响应函（格式）要求填报的响应函将被视为非实质性响应磋商要求，从而导致该磋商被拒绝。</w:t>
      </w:r>
    </w:p>
    <w:p>
      <w:pPr>
        <w:pStyle w:val="13"/>
        <w:spacing w:line="400" w:lineRule="exact"/>
        <w:ind w:firstLine="420" w:firstLineChars="200"/>
        <w:rPr>
          <w:rFonts w:hAnsi="宋体" w:cs="宋体"/>
          <w:b/>
          <w:color w:val="auto"/>
          <w:sz w:val="28"/>
          <w:szCs w:val="28"/>
          <w:highlight w:val="none"/>
        </w:rPr>
      </w:pPr>
      <w:r>
        <w:rPr>
          <w:rFonts w:hint="eastAsia" w:hAnsi="宋体" w:cs="宋体"/>
          <w:bCs/>
          <w:color w:val="auto"/>
          <w:highlight w:val="none"/>
        </w:rPr>
        <w:t>2、响应函</w:t>
      </w:r>
      <w:r>
        <w:rPr>
          <w:rFonts w:hint="eastAsia" w:hAnsi="宋体" w:cs="宋体"/>
          <w:bCs/>
          <w:color w:val="auto"/>
          <w:szCs w:val="21"/>
          <w:highlight w:val="none"/>
        </w:rPr>
        <w:t>须由法定代表人或委托代理人签名并加盖磋商供应商公章。</w:t>
      </w:r>
    </w:p>
    <w:p>
      <w:pPr>
        <w:spacing w:line="440" w:lineRule="atLeast"/>
        <w:outlineLvl w:val="1"/>
        <w:rPr>
          <w:rFonts w:hint="eastAsia" w:ascii="宋体" w:hAnsi="宋体" w:cs="宋体"/>
          <w:b/>
          <w:color w:val="auto"/>
          <w:sz w:val="28"/>
          <w:szCs w:val="28"/>
          <w:highlight w:val="none"/>
        </w:rPr>
      </w:pPr>
      <w:bookmarkStart w:id="152" w:name="_Toc528313239"/>
      <w:bookmarkStart w:id="153" w:name="_Toc532901151"/>
      <w:bookmarkStart w:id="154" w:name="_Toc12749"/>
      <w:bookmarkStart w:id="155" w:name="_Toc12329"/>
    </w:p>
    <w:p>
      <w:pPr>
        <w:spacing w:line="440" w:lineRule="atLeast"/>
        <w:outlineLvl w:val="1"/>
        <w:rPr>
          <w:rFonts w:ascii="宋体" w:hAnsi="宋体" w:cs="宋体"/>
          <w:b/>
          <w:color w:val="auto"/>
          <w:sz w:val="32"/>
          <w:highlight w:val="none"/>
        </w:rPr>
      </w:pPr>
      <w:r>
        <w:rPr>
          <w:rFonts w:hint="eastAsia" w:ascii="宋体" w:hAnsi="宋体" w:cs="宋体"/>
          <w:b/>
          <w:color w:val="auto"/>
          <w:sz w:val="28"/>
          <w:szCs w:val="28"/>
          <w:highlight w:val="none"/>
        </w:rPr>
        <w:t>2、供应商相应的法定代表人负责人自然人身份证正反两面复印件（必须提供）；</w:t>
      </w:r>
      <w:bookmarkEnd w:id="152"/>
      <w:bookmarkEnd w:id="153"/>
      <w:bookmarkEnd w:id="154"/>
      <w:bookmarkEnd w:id="155"/>
    </w:p>
    <w:p>
      <w:pPr>
        <w:spacing w:line="360" w:lineRule="exact"/>
        <w:outlineLvl w:val="1"/>
        <w:rPr>
          <w:rFonts w:hint="eastAsia" w:ascii="宋体" w:hAnsi="宋体" w:cs="宋体"/>
          <w:b/>
          <w:color w:val="auto"/>
          <w:sz w:val="28"/>
          <w:szCs w:val="28"/>
          <w:highlight w:val="none"/>
        </w:rPr>
      </w:pPr>
      <w:bookmarkStart w:id="156" w:name="_Toc528313240"/>
      <w:bookmarkStart w:id="157" w:name="_Toc5754"/>
      <w:bookmarkStart w:id="158" w:name="_Toc8177"/>
      <w:bookmarkStart w:id="159" w:name="_Toc532901152"/>
    </w:p>
    <w:p>
      <w:pPr>
        <w:spacing w:line="360" w:lineRule="exact"/>
        <w:outlineLvl w:val="1"/>
        <w:rPr>
          <w:rFonts w:hint="eastAsia" w:ascii="宋体" w:hAnsi="宋体" w:cs="宋体"/>
          <w:b/>
          <w:color w:val="auto"/>
          <w:sz w:val="28"/>
          <w:szCs w:val="28"/>
          <w:highlight w:val="none"/>
        </w:rPr>
      </w:pPr>
    </w:p>
    <w:p>
      <w:pPr>
        <w:spacing w:line="360" w:lineRule="exact"/>
        <w:outlineLvl w:val="1"/>
        <w:rPr>
          <w:rFonts w:hint="eastAsia" w:ascii="宋体" w:hAnsi="宋体" w:cs="宋体"/>
          <w:b/>
          <w:color w:val="auto"/>
          <w:sz w:val="28"/>
          <w:szCs w:val="28"/>
          <w:highlight w:val="none"/>
        </w:rPr>
      </w:pPr>
    </w:p>
    <w:p>
      <w:pPr>
        <w:spacing w:line="360" w:lineRule="exact"/>
        <w:outlineLvl w:val="1"/>
        <w:rPr>
          <w:rFonts w:hint="eastAsia" w:ascii="宋体" w:hAnsi="宋体" w:cs="宋体"/>
          <w:b/>
          <w:color w:val="auto"/>
          <w:sz w:val="28"/>
          <w:szCs w:val="28"/>
          <w:highlight w:val="none"/>
        </w:rPr>
      </w:pPr>
    </w:p>
    <w:p>
      <w:pPr>
        <w:spacing w:line="360" w:lineRule="exact"/>
        <w:outlineLvl w:val="1"/>
        <w:rPr>
          <w:rFonts w:hint="eastAsia" w:ascii="宋体" w:hAnsi="宋体" w:cs="宋体"/>
          <w:b/>
          <w:color w:val="auto"/>
          <w:sz w:val="28"/>
          <w:szCs w:val="28"/>
          <w:highlight w:val="none"/>
        </w:rPr>
      </w:pPr>
    </w:p>
    <w:p>
      <w:pPr>
        <w:spacing w:line="360" w:lineRule="exact"/>
        <w:outlineLvl w:val="1"/>
        <w:rPr>
          <w:rFonts w:ascii="宋体" w:hAnsi="宋体" w:cs="宋体"/>
          <w:b/>
          <w:color w:val="auto"/>
          <w:sz w:val="28"/>
          <w:szCs w:val="28"/>
          <w:highlight w:val="none"/>
        </w:rPr>
      </w:pPr>
      <w:r>
        <w:rPr>
          <w:rFonts w:hint="eastAsia" w:ascii="宋体" w:hAnsi="宋体" w:cs="宋体"/>
          <w:b/>
          <w:color w:val="auto"/>
          <w:sz w:val="28"/>
          <w:szCs w:val="28"/>
          <w:highlight w:val="none"/>
        </w:rPr>
        <w:t>3、供应商的授权委托书原件、委托代理人身份证正反面复印件（委托代理时必须提供）；</w:t>
      </w:r>
      <w:bookmarkEnd w:id="156"/>
      <w:bookmarkEnd w:id="157"/>
      <w:bookmarkEnd w:id="158"/>
      <w:bookmarkEnd w:id="159"/>
    </w:p>
    <w:p>
      <w:pPr>
        <w:rPr>
          <w:rFonts w:ascii="宋体" w:hAnsi="宋体" w:cs="宋体"/>
          <w:b/>
          <w:color w:val="auto"/>
          <w:sz w:val="32"/>
          <w:highlight w:val="none"/>
        </w:rPr>
      </w:pPr>
      <w:r>
        <w:rPr>
          <w:rFonts w:hint="eastAsia" w:ascii="宋体" w:hAnsi="宋体" w:cs="宋体"/>
          <w:b/>
          <w:color w:val="auto"/>
          <w:sz w:val="32"/>
          <w:highlight w:val="none"/>
        </w:rPr>
        <w:t>附件：</w:t>
      </w:r>
    </w:p>
    <w:p>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广西鼎策工程顾问有限责任公司</w:t>
      </w:r>
    </w:p>
    <w:p>
      <w:pPr>
        <w:snapToGrid w:val="0"/>
        <w:spacing w:line="400" w:lineRule="exact"/>
        <w:rPr>
          <w:rFonts w:ascii="宋体" w:hAnsi="宋体" w:cs="宋体"/>
          <w:color w:val="auto"/>
          <w:szCs w:val="21"/>
          <w:highlight w:val="none"/>
          <w:u w:val="single"/>
        </w:rPr>
      </w:pPr>
    </w:p>
    <w:p>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（姓名）系</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（供应商名称）的法定代表人（负责人），现授权委托本单位在职职工</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（姓名）以我公司名义参加</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（项目名称及项目编号）      </w:t>
      </w:r>
      <w:r>
        <w:rPr>
          <w:rFonts w:hint="eastAsia" w:ascii="宋体" w:hAnsi="宋体" w:cs="宋体"/>
          <w:color w:val="auto"/>
          <w:highlight w:val="none"/>
        </w:rPr>
        <w:t>项目的磋商活动，并代表我方全权办理针对上述项目的磋商、评标、签约等具体事务和签署相关文件。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pPr>
        <w:spacing w:line="400" w:lineRule="exact"/>
        <w:rPr>
          <w:rFonts w:ascii="宋体" w:hAnsi="宋体" w:cs="宋体"/>
          <w:color w:val="auto"/>
          <w:highlight w:val="none"/>
          <w:u w:val="single"/>
        </w:rPr>
      </w:pP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pPr>
        <w:snapToGrid w:val="0"/>
        <w:spacing w:line="400" w:lineRule="exact"/>
        <w:ind w:firstLine="525"/>
        <w:rPr>
          <w:rFonts w:ascii="宋体" w:hAnsi="宋体" w:cs="宋体"/>
          <w:color w:val="auto"/>
          <w:szCs w:val="21"/>
          <w:highlight w:val="none"/>
        </w:rPr>
      </w:pPr>
    </w:p>
    <w:p>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snapToGrid w:val="0"/>
        <w:spacing w:line="400" w:lineRule="exact"/>
        <w:ind w:firstLine="420"/>
        <w:rPr>
          <w:rFonts w:ascii="宋体" w:hAnsi="宋体" w:cs="宋体"/>
          <w:color w:val="auto"/>
          <w:szCs w:val="21"/>
          <w:highlight w:val="none"/>
        </w:rPr>
      </w:pPr>
    </w:p>
    <w:p>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磋商供应商（公章）：</w:t>
      </w:r>
      <w:r>
        <w:rPr>
          <w:rFonts w:hint="eastAsia" w:ascii="宋体" w:hAnsi="宋体" w:cs="宋体"/>
          <w:color w:val="auto"/>
          <w:szCs w:val="21"/>
          <w:highlight w:val="none"/>
          <w:u w:val="single"/>
        </w:rPr>
        <w:t xml:space="preserve">                                   </w:t>
      </w:r>
    </w:p>
    <w:p>
      <w:pPr>
        <w:snapToGrid w:val="0"/>
        <w:spacing w:line="400" w:lineRule="exact"/>
        <w:ind w:firstLine="420"/>
        <w:rPr>
          <w:rFonts w:ascii="宋体" w:hAnsi="宋体" w:cs="宋体"/>
          <w:color w:val="auto"/>
          <w:szCs w:val="21"/>
          <w:highlight w:val="none"/>
        </w:rPr>
      </w:pPr>
    </w:p>
    <w:p>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ind w:firstLine="420"/>
        <w:rPr>
          <w:rFonts w:ascii="宋体" w:hAnsi="宋体" w:cs="宋体"/>
          <w:color w:val="auto"/>
          <w:szCs w:val="21"/>
          <w:highlight w:val="none"/>
        </w:rPr>
      </w:pPr>
    </w:p>
    <w:p>
      <w:pPr>
        <w:spacing w:line="400" w:lineRule="exact"/>
        <w:ind w:firstLine="600" w:firstLineChars="250"/>
        <w:rPr>
          <w:rFonts w:ascii="宋体" w:hAnsi="宋体" w:cs="宋体"/>
          <w:b/>
          <w:color w:val="auto"/>
          <w:sz w:val="24"/>
          <w:highlight w:val="none"/>
        </w:rPr>
      </w:pPr>
      <w:r>
        <w:rPr>
          <w:rFonts w:hint="eastAsia" w:ascii="宋体" w:hAnsi="宋体" w:cs="宋体"/>
          <w:b/>
          <w:color w:val="auto"/>
          <w:sz w:val="24"/>
          <w:highlight w:val="none"/>
        </w:rPr>
        <w:t>附：委托代理人身份证正反面复印件（委托代理时必须提供）。</w:t>
      </w:r>
    </w:p>
    <w:p>
      <w:pPr>
        <w:spacing w:line="400" w:lineRule="exact"/>
        <w:ind w:firstLine="600" w:firstLineChars="250"/>
        <w:rPr>
          <w:rFonts w:ascii="宋体" w:hAnsi="宋体" w:cs="宋体"/>
          <w:b/>
          <w:color w:val="auto"/>
          <w:sz w:val="24"/>
          <w:highlight w:val="none"/>
        </w:rPr>
      </w:pPr>
    </w:p>
    <w:p>
      <w:pPr>
        <w:pStyle w:val="13"/>
        <w:jc w:val="center"/>
        <w:rPr>
          <w:rFonts w:hAnsi="宋体" w:cs="宋体"/>
          <w:b/>
          <w:color w:val="auto"/>
          <w:sz w:val="32"/>
          <w:highlight w:val="none"/>
        </w:rPr>
      </w:pPr>
      <w:r>
        <w:rPr>
          <w:rFonts w:hint="eastAsia" w:hAnsi="宋体" w:cs="宋体"/>
          <w:b/>
          <w:color w:val="auto"/>
          <w:sz w:val="32"/>
          <w:highlight w:val="none"/>
        </w:rPr>
        <w:br w:type="page"/>
      </w:r>
      <w:r>
        <w:rPr>
          <w:rFonts w:hint="eastAsia" w:hAnsi="宋体" w:cs="宋体"/>
          <w:b/>
          <w:color w:val="auto"/>
          <w:sz w:val="32"/>
          <w:highlight w:val="none"/>
        </w:rPr>
        <w:t>授权委托书（格式二）</w:t>
      </w:r>
    </w:p>
    <w:p>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广西鼎策工程顾问有限责任公司</w:t>
      </w:r>
    </w:p>
    <w:p>
      <w:pPr>
        <w:snapToGrid w:val="0"/>
        <w:spacing w:line="400" w:lineRule="exact"/>
        <w:rPr>
          <w:rFonts w:ascii="宋体" w:hAnsi="宋体" w:cs="宋体"/>
          <w:color w:val="auto"/>
          <w:szCs w:val="21"/>
          <w:highlight w:val="none"/>
          <w:u w:val="single"/>
        </w:rPr>
      </w:pPr>
    </w:p>
    <w:p>
      <w:pPr>
        <w:pStyle w:val="13"/>
        <w:spacing w:line="360" w:lineRule="exact"/>
        <w:ind w:firstLine="420" w:firstLineChars="20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（姓名）系自然人，现授权委托</w:t>
      </w:r>
      <w:r>
        <w:rPr>
          <w:rFonts w:hint="eastAsia" w:hAnsi="宋体" w:cs="宋体"/>
          <w:color w:val="auto"/>
          <w:kern w:val="0"/>
          <w:highlight w:val="none"/>
          <w:u w:val="single"/>
        </w:rPr>
        <w:t xml:space="preserve">            </w:t>
      </w:r>
      <w:r>
        <w:rPr>
          <w:rFonts w:hint="eastAsia" w:hAnsi="宋体" w:cs="宋体"/>
          <w:color w:val="auto"/>
          <w:kern w:val="0"/>
          <w:highlight w:val="none"/>
        </w:rPr>
        <w:t>（姓 名）以本人名义参加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项目的磋商活动，并代表本人全权办理针对上述项目的磋商、评标、签约等具体事务和签署相关文件。</w:t>
      </w:r>
    </w:p>
    <w:p>
      <w:pPr>
        <w:pStyle w:val="13"/>
        <w:spacing w:line="36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pPr>
        <w:pStyle w:val="13"/>
        <w:spacing w:line="36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pPr>
        <w:pStyle w:val="13"/>
        <w:spacing w:line="340" w:lineRule="exact"/>
        <w:ind w:firstLine="420" w:firstLineChars="200"/>
        <w:rPr>
          <w:rFonts w:hAnsi="宋体" w:cs="宋体"/>
          <w:color w:val="auto"/>
          <w:highlight w:val="none"/>
          <w:u w:val="single"/>
        </w:rPr>
      </w:pPr>
    </w:p>
    <w:p>
      <w:pPr>
        <w:pStyle w:val="13"/>
        <w:spacing w:line="340" w:lineRule="exact"/>
        <w:rPr>
          <w:rFonts w:hAnsi="宋体" w:cs="宋体"/>
          <w:color w:val="auto"/>
          <w:highlight w:val="none"/>
          <w:u w:val="single"/>
        </w:rPr>
      </w:pPr>
      <w:r>
        <w:rPr>
          <w:rFonts w:hint="eastAsia" w:hAnsi="宋体" w:cs="宋体"/>
          <w:color w:val="auto"/>
          <w:highlight w:val="none"/>
        </w:rPr>
        <w:t xml:space="preserve">                                                                                             </w:t>
      </w:r>
    </w:p>
    <w:p>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pPr>
        <w:snapToGrid w:val="0"/>
        <w:spacing w:line="340" w:lineRule="exact"/>
        <w:ind w:firstLine="525"/>
        <w:rPr>
          <w:rFonts w:ascii="宋体" w:hAnsi="宋体" w:cs="宋体"/>
          <w:color w:val="auto"/>
          <w:szCs w:val="21"/>
          <w:highlight w:val="none"/>
        </w:rPr>
      </w:pPr>
    </w:p>
    <w:p>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snapToGrid w:val="0"/>
        <w:spacing w:line="340" w:lineRule="exact"/>
        <w:ind w:firstLine="420"/>
        <w:rPr>
          <w:rFonts w:ascii="宋体" w:hAnsi="宋体" w:cs="宋体"/>
          <w:color w:val="auto"/>
          <w:szCs w:val="21"/>
          <w:highlight w:val="none"/>
        </w:rPr>
      </w:pPr>
    </w:p>
    <w:p>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自然人签字并在签名处加盖大拇指指印：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340" w:lineRule="exact"/>
        <w:ind w:firstLine="420"/>
        <w:rPr>
          <w:rFonts w:ascii="宋体" w:hAnsi="宋体" w:cs="宋体"/>
          <w:color w:val="auto"/>
          <w:szCs w:val="21"/>
          <w:highlight w:val="none"/>
        </w:rPr>
      </w:pPr>
    </w:p>
    <w:p>
      <w:pPr>
        <w:spacing w:line="400" w:lineRule="exact"/>
        <w:ind w:firstLine="600" w:firstLineChars="250"/>
        <w:rPr>
          <w:rFonts w:ascii="宋体" w:hAnsi="宋体" w:cs="宋体"/>
          <w:b/>
          <w:color w:val="auto"/>
          <w:sz w:val="24"/>
          <w:highlight w:val="none"/>
        </w:rPr>
      </w:pPr>
      <w:r>
        <w:rPr>
          <w:rFonts w:hint="eastAsia" w:ascii="宋体" w:hAnsi="宋体" w:cs="宋体"/>
          <w:b/>
          <w:color w:val="auto"/>
          <w:sz w:val="24"/>
          <w:highlight w:val="none"/>
        </w:rPr>
        <w:t>附：委托代理人身份证正反面复印件（委托代理时必须提供）。</w:t>
      </w:r>
    </w:p>
    <w:p>
      <w:pPr>
        <w:pStyle w:val="2"/>
        <w:ind w:firstLine="525"/>
        <w:rPr>
          <w:color w:val="auto"/>
          <w:highlight w:val="none"/>
        </w:rPr>
      </w:pPr>
    </w:p>
    <w:p>
      <w:pPr>
        <w:pStyle w:val="2"/>
        <w:ind w:firstLine="525"/>
        <w:rPr>
          <w:color w:val="auto"/>
          <w:highlight w:val="none"/>
        </w:rPr>
      </w:pPr>
    </w:p>
    <w:p>
      <w:pPr>
        <w:spacing w:line="440" w:lineRule="exact"/>
        <w:ind w:firstLine="562"/>
        <w:outlineLvl w:val="1"/>
        <w:rPr>
          <w:rFonts w:ascii="宋体" w:hAnsi="宋体" w:cs="宋体"/>
          <w:b/>
          <w:color w:val="auto"/>
          <w:sz w:val="28"/>
          <w:szCs w:val="28"/>
          <w:highlight w:val="none"/>
        </w:rPr>
      </w:pPr>
      <w:r>
        <w:rPr>
          <w:rFonts w:hint="eastAsia" w:ascii="宋体" w:hAnsi="宋体" w:cs="宋体"/>
          <w:b/>
          <w:color w:val="auto"/>
          <w:sz w:val="28"/>
          <w:szCs w:val="28"/>
          <w:highlight w:val="none"/>
        </w:rPr>
        <w:t>4、依法缴纳税收的相关材料（在投标截止前近半年内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必须提供）；</w:t>
      </w:r>
    </w:p>
    <w:p>
      <w:pPr>
        <w:pStyle w:val="2"/>
        <w:spacing w:line="440" w:lineRule="exact"/>
        <w:rPr>
          <w:color w:val="auto"/>
          <w:highlight w:val="none"/>
        </w:rPr>
      </w:pPr>
    </w:p>
    <w:p>
      <w:pPr>
        <w:pStyle w:val="2"/>
        <w:spacing w:line="440" w:lineRule="exact"/>
        <w:rPr>
          <w:color w:val="auto"/>
          <w:highlight w:val="none"/>
        </w:rPr>
      </w:pPr>
    </w:p>
    <w:p>
      <w:pPr>
        <w:spacing w:line="440" w:lineRule="exact"/>
        <w:ind w:firstLine="562"/>
        <w:outlineLvl w:val="1"/>
        <w:rPr>
          <w:rFonts w:ascii="宋体" w:hAnsi="宋体" w:cs="宋体"/>
          <w:b/>
          <w:color w:val="auto"/>
          <w:sz w:val="28"/>
          <w:szCs w:val="28"/>
          <w:highlight w:val="none"/>
        </w:rPr>
      </w:pPr>
      <w:r>
        <w:rPr>
          <w:rFonts w:hint="eastAsia" w:ascii="宋体" w:hAnsi="宋体" w:cs="宋体"/>
          <w:b/>
          <w:color w:val="auto"/>
          <w:sz w:val="28"/>
          <w:szCs w:val="28"/>
          <w:highlight w:val="none"/>
        </w:rPr>
        <w:t>5、依法缴纳社会保障资金的相关材料[在投标截止前近半年内连续3个月的依法缴纳社会保障资金的缴费凭证（专用收据或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必须提供）；</w:t>
      </w:r>
    </w:p>
    <w:p>
      <w:pPr>
        <w:spacing w:line="440" w:lineRule="atLeast"/>
        <w:ind w:firstLine="703"/>
        <w:outlineLvl w:val="1"/>
        <w:rPr>
          <w:rFonts w:ascii="宋体" w:hAnsi="宋体" w:cs="宋体"/>
          <w:b/>
          <w:color w:val="auto"/>
          <w:sz w:val="28"/>
          <w:szCs w:val="28"/>
          <w:highlight w:val="none"/>
        </w:rPr>
      </w:pPr>
    </w:p>
    <w:p>
      <w:pPr>
        <w:spacing w:line="440" w:lineRule="atLeast"/>
        <w:outlineLvl w:val="1"/>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160" w:name="_Toc13064"/>
      <w:bookmarkStart w:id="161" w:name="_Toc528313241"/>
      <w:bookmarkStart w:id="162" w:name="_Toc532901153"/>
      <w:bookmarkStart w:id="163" w:name="_Toc10591"/>
      <w:r>
        <w:rPr>
          <w:rFonts w:hint="eastAsia" w:ascii="宋体" w:hAnsi="宋体" w:cs="宋体"/>
          <w:b/>
          <w:color w:val="auto"/>
          <w:sz w:val="32"/>
          <w:szCs w:val="32"/>
          <w:highlight w:val="none"/>
        </w:rPr>
        <w:t>6、供应商参加政府采购活动前3年内在经营活动中没有重大违法记录的</w:t>
      </w:r>
      <w:r>
        <w:rPr>
          <w:rFonts w:hint="eastAsia" w:ascii="宋体" w:hAnsi="宋体" w:cs="宋体"/>
          <w:b/>
          <w:color w:val="auto"/>
          <w:sz w:val="28"/>
          <w:szCs w:val="28"/>
          <w:highlight w:val="none"/>
        </w:rPr>
        <w:t>书面</w:t>
      </w:r>
      <w:r>
        <w:rPr>
          <w:rFonts w:hint="eastAsia" w:ascii="宋体" w:hAnsi="宋体" w:cs="宋体"/>
          <w:b/>
          <w:color w:val="auto"/>
          <w:sz w:val="32"/>
          <w:szCs w:val="32"/>
          <w:highlight w:val="none"/>
        </w:rPr>
        <w:t>声明（必须提供）；</w:t>
      </w:r>
      <w:bookmarkEnd w:id="160"/>
      <w:bookmarkEnd w:id="161"/>
      <w:bookmarkEnd w:id="162"/>
      <w:bookmarkEnd w:id="163"/>
    </w:p>
    <w:p>
      <w:pPr>
        <w:pStyle w:val="13"/>
        <w:spacing w:line="400" w:lineRule="exact"/>
        <w:ind w:left="420" w:leftChars="200" w:firstLine="156" w:firstLineChars="49"/>
        <w:rPr>
          <w:rFonts w:hAnsi="宋体" w:cs="宋体"/>
          <w:b/>
          <w:color w:val="auto"/>
          <w:sz w:val="32"/>
          <w:szCs w:val="32"/>
          <w:highlight w:val="none"/>
        </w:rPr>
      </w:pPr>
      <w:r>
        <w:rPr>
          <w:rFonts w:hint="eastAsia" w:hAnsi="宋体" w:cs="宋体"/>
          <w:b/>
          <w:color w:val="auto"/>
          <w:sz w:val="32"/>
          <w:szCs w:val="32"/>
          <w:highlight w:val="none"/>
        </w:rPr>
        <w:t>附件：声明</w:t>
      </w:r>
    </w:p>
    <w:p>
      <w:pPr>
        <w:spacing w:line="400" w:lineRule="exact"/>
        <w:jc w:val="center"/>
        <w:rPr>
          <w:rFonts w:ascii="宋体" w:hAnsi="宋体" w:cs="宋体"/>
          <w:b/>
          <w:color w:val="auto"/>
          <w:sz w:val="32"/>
          <w:szCs w:val="32"/>
          <w:highlight w:val="none"/>
        </w:rPr>
      </w:pPr>
      <w:bookmarkStart w:id="164" w:name="_Toc15244"/>
      <w:bookmarkStart w:id="165" w:name="_Toc16183"/>
      <w:bookmarkStart w:id="166" w:name="_Toc532901154"/>
      <w:bookmarkStart w:id="167" w:name="_Toc528313242"/>
      <w:r>
        <w:rPr>
          <w:rFonts w:hint="eastAsia" w:ascii="宋体" w:hAnsi="宋体" w:cs="宋体"/>
          <w:b/>
          <w:color w:val="auto"/>
          <w:sz w:val="32"/>
          <w:szCs w:val="32"/>
          <w:highlight w:val="none"/>
        </w:rPr>
        <w:t>声   明</w:t>
      </w:r>
    </w:p>
    <w:p>
      <w:pPr>
        <w:snapToGrid w:val="0"/>
        <w:spacing w:line="400" w:lineRule="exact"/>
        <w:outlineLvl w:val="4"/>
        <w:rPr>
          <w:rFonts w:ascii="宋体" w:hAnsi="宋体" w:cs="宋体"/>
          <w:color w:val="auto"/>
          <w:szCs w:val="21"/>
          <w:highlight w:val="none"/>
          <w:u w:val="singl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szCs w:val="21"/>
          <w:highlight w:val="none"/>
          <w:u w:val="single"/>
        </w:rPr>
        <w:t>广西鼎策工程顾问有限责任公司</w:t>
      </w:r>
    </w:p>
    <w:p>
      <w:pPr>
        <w:snapToGrid w:val="0"/>
        <w:spacing w:line="40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20"/>
        <w:rPr>
          <w:rFonts w:ascii="宋体" w:hAnsi="宋体" w:cs="宋体"/>
          <w:color w:val="auto"/>
          <w:szCs w:val="21"/>
          <w:highlight w:val="none"/>
        </w:rPr>
      </w:pPr>
    </w:p>
    <w:p>
      <w:pPr>
        <w:snapToGrid w:val="0"/>
        <w:spacing w:line="400" w:lineRule="exact"/>
        <w:ind w:firstLine="4935" w:firstLineChars="2350"/>
        <w:outlineLvl w:val="4"/>
        <w:rPr>
          <w:rFonts w:ascii="宋体" w:hAnsi="宋体" w:cs="宋体"/>
          <w:color w:val="auto"/>
          <w:szCs w:val="21"/>
          <w:highlight w:val="none"/>
          <w:u w:val="single"/>
        </w:rPr>
      </w:pPr>
      <w:r>
        <w:rPr>
          <w:rFonts w:hint="eastAsia" w:ascii="宋体" w:hAnsi="宋体" w:cs="宋体"/>
          <w:color w:val="auto"/>
          <w:szCs w:val="21"/>
          <w:highlight w:val="none"/>
        </w:rPr>
        <w:t>供应商（公章，自然人除外）：</w:t>
      </w:r>
      <w:r>
        <w:rPr>
          <w:rFonts w:hint="eastAsia" w:ascii="宋体" w:hAnsi="宋体" w:cs="宋体"/>
          <w:color w:val="auto"/>
          <w:szCs w:val="21"/>
          <w:highlight w:val="none"/>
          <w:u w:val="single"/>
        </w:rPr>
        <w:t xml:space="preserve">                                         </w:t>
      </w:r>
    </w:p>
    <w:p>
      <w:pPr>
        <w:snapToGrid w:val="0"/>
        <w:spacing w:line="400" w:lineRule="exact"/>
        <w:ind w:firstLine="420"/>
        <w:rPr>
          <w:rFonts w:ascii="宋体" w:hAnsi="宋体" w:cs="宋体"/>
          <w:color w:val="auto"/>
          <w:szCs w:val="21"/>
          <w:highlight w:val="none"/>
        </w:rPr>
      </w:pPr>
    </w:p>
    <w:p>
      <w:pPr>
        <w:spacing w:line="340" w:lineRule="exact"/>
        <w:ind w:left="4935" w:leftChars="2350"/>
        <w:rPr>
          <w:rFonts w:ascii="宋体" w:hAnsi="宋体" w:cs="宋体"/>
          <w:color w:val="auto"/>
          <w:szCs w:val="21"/>
          <w:highlight w:val="none"/>
          <w:u w:val="single"/>
        </w:rPr>
      </w:pPr>
      <w:r>
        <w:rPr>
          <w:rFonts w:hint="eastAsia" w:ascii="宋体" w:hAnsi="宋体" w:cs="宋体"/>
          <w:color w:val="auto"/>
          <w:szCs w:val="21"/>
          <w:highlight w:val="none"/>
        </w:rPr>
        <w:t>法定代表人、负责人、自然人或相应的委托代理人签字或盖章（属自然人的应在签名处加盖食指指印）：</w:t>
      </w:r>
      <w:r>
        <w:rPr>
          <w:rFonts w:hint="eastAsia" w:ascii="宋体" w:hAnsi="宋体" w:cs="宋体"/>
          <w:color w:val="auto"/>
          <w:szCs w:val="21"/>
          <w:highlight w:val="none"/>
          <w:u w:val="single"/>
        </w:rPr>
        <w:t xml:space="preserve">                        </w:t>
      </w:r>
    </w:p>
    <w:p>
      <w:pPr>
        <w:ind w:firstLine="5040" w:firstLineChars="2400"/>
        <w:rPr>
          <w:rFonts w:ascii="宋体" w:hAnsi="宋体" w:cs="宋体"/>
          <w:color w:val="auto"/>
          <w:szCs w:val="21"/>
          <w:highlight w:val="none"/>
        </w:rPr>
      </w:pPr>
    </w:p>
    <w:p>
      <w:pPr>
        <w:ind w:firstLine="5040" w:firstLineChars="2400"/>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pStyle w:val="6"/>
        <w:rPr>
          <w:color w:val="auto"/>
          <w:highlight w:val="none"/>
        </w:rPr>
      </w:pPr>
    </w:p>
    <w:p>
      <w:pPr>
        <w:spacing w:line="440" w:lineRule="atLeast"/>
        <w:outlineLvl w:val="1"/>
        <w:rPr>
          <w:rFonts w:ascii="宋体" w:hAnsi="宋体" w:cs="宋体"/>
          <w:b/>
          <w:color w:val="auto"/>
          <w:sz w:val="28"/>
          <w:szCs w:val="28"/>
          <w:highlight w:val="none"/>
        </w:rPr>
      </w:pPr>
      <w:r>
        <w:rPr>
          <w:rFonts w:hint="eastAsia" w:ascii="宋体" w:hAnsi="宋体" w:cs="宋体"/>
          <w:b/>
          <w:color w:val="auto"/>
          <w:sz w:val="28"/>
          <w:szCs w:val="28"/>
          <w:highlight w:val="none"/>
        </w:rPr>
        <w:t>7、供应商的法人或者其他组织营业执照等证明文件复印件（必须提供，自然人除外）；</w:t>
      </w:r>
      <w:bookmarkEnd w:id="164"/>
      <w:bookmarkEnd w:id="165"/>
      <w:bookmarkEnd w:id="166"/>
      <w:bookmarkEnd w:id="167"/>
    </w:p>
    <w:p>
      <w:pPr>
        <w:spacing w:line="440" w:lineRule="atLeast"/>
        <w:outlineLvl w:val="1"/>
        <w:rPr>
          <w:rFonts w:ascii="宋体" w:hAnsi="宋体" w:cs="宋体"/>
          <w:b/>
          <w:color w:val="auto"/>
          <w:sz w:val="28"/>
          <w:szCs w:val="28"/>
          <w:highlight w:val="none"/>
        </w:rPr>
      </w:pPr>
    </w:p>
    <w:p>
      <w:pPr>
        <w:spacing w:line="440" w:lineRule="atLeast"/>
        <w:outlineLvl w:val="1"/>
        <w:rPr>
          <w:rFonts w:ascii="宋体" w:hAnsi="宋体" w:cs="宋体"/>
          <w:b/>
          <w:color w:val="auto"/>
          <w:sz w:val="32"/>
          <w:szCs w:val="32"/>
          <w:highlight w:val="none"/>
        </w:rPr>
        <w:sectPr>
          <w:footerReference r:id="rId8" w:type="first"/>
          <w:footerReference r:id="rId7" w:type="default"/>
          <w:pgSz w:w="11906" w:h="16838"/>
          <w:pgMar w:top="1440" w:right="1080" w:bottom="1318" w:left="1080" w:header="851" w:footer="992" w:gutter="0"/>
          <w:pgNumType w:start="1"/>
          <w:cols w:space="720" w:num="1"/>
          <w:titlePg/>
          <w:docGrid w:type="linesAndChars" w:linePitch="312" w:charSpace="0"/>
        </w:sectPr>
      </w:pPr>
    </w:p>
    <w:p>
      <w:pPr>
        <w:spacing w:line="440" w:lineRule="atLeast"/>
        <w:outlineLvl w:val="1"/>
        <w:rPr>
          <w:rFonts w:ascii="宋体" w:hAnsi="宋体" w:cs="宋体"/>
          <w:b/>
          <w:color w:val="auto"/>
          <w:sz w:val="28"/>
          <w:szCs w:val="28"/>
          <w:highlight w:val="none"/>
        </w:rPr>
      </w:pPr>
      <w:bookmarkStart w:id="168" w:name="_Toc532901158"/>
      <w:bookmarkStart w:id="169" w:name="_Toc7685"/>
      <w:bookmarkStart w:id="170" w:name="_Toc528313245"/>
      <w:bookmarkStart w:id="171" w:name="_Toc13095"/>
      <w:r>
        <w:rPr>
          <w:rFonts w:hint="eastAsia" w:ascii="宋体" w:hAnsi="宋体" w:cs="宋体"/>
          <w:b/>
          <w:color w:val="auto"/>
          <w:sz w:val="28"/>
          <w:szCs w:val="28"/>
          <w:highlight w:val="none"/>
        </w:rPr>
        <w:t>8、磋商报价表（必须提供）</w:t>
      </w:r>
      <w:bookmarkEnd w:id="168"/>
      <w:bookmarkEnd w:id="169"/>
      <w:bookmarkEnd w:id="170"/>
      <w:bookmarkEnd w:id="171"/>
    </w:p>
    <w:p>
      <w:pPr>
        <w:pStyle w:val="13"/>
        <w:spacing w:line="300" w:lineRule="exact"/>
        <w:ind w:left="420"/>
        <w:rPr>
          <w:rFonts w:hAnsi="宋体" w:cs="宋体"/>
          <w:b/>
          <w:color w:val="auto"/>
          <w:sz w:val="24"/>
          <w:szCs w:val="24"/>
          <w:highlight w:val="none"/>
        </w:rPr>
      </w:pPr>
      <w:r>
        <w:rPr>
          <w:rFonts w:hint="eastAsia" w:hAnsi="宋体" w:cs="宋体"/>
          <w:b/>
          <w:color w:val="auto"/>
          <w:sz w:val="24"/>
          <w:szCs w:val="24"/>
          <w:highlight w:val="none"/>
        </w:rPr>
        <w:t xml:space="preserve">附件： </w:t>
      </w:r>
    </w:p>
    <w:p>
      <w:pPr>
        <w:pStyle w:val="13"/>
        <w:spacing w:line="300" w:lineRule="exact"/>
        <w:ind w:left="420" w:leftChars="200" w:firstLine="784" w:firstLineChars="245"/>
        <w:jc w:val="center"/>
        <w:rPr>
          <w:rFonts w:hAnsi="宋体" w:cs="宋体"/>
          <w:b/>
          <w:color w:val="auto"/>
          <w:sz w:val="32"/>
          <w:szCs w:val="32"/>
          <w:highlight w:val="none"/>
        </w:rPr>
      </w:pPr>
      <w:r>
        <w:rPr>
          <w:rFonts w:hint="eastAsia" w:hAnsi="宋体" w:cs="宋体"/>
          <w:b/>
          <w:color w:val="auto"/>
          <w:sz w:val="32"/>
          <w:highlight w:val="none"/>
        </w:rPr>
        <w:t>磋商报价表（格式）</w:t>
      </w:r>
    </w:p>
    <w:p>
      <w:pPr>
        <w:spacing w:line="280" w:lineRule="exact"/>
        <w:rPr>
          <w:rFonts w:ascii="宋体" w:hAnsi="宋体" w:cs="宋体"/>
          <w:color w:val="auto"/>
          <w:szCs w:val="21"/>
          <w:highlight w:val="none"/>
        </w:rPr>
      </w:pPr>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3914"/>
        <w:gridCol w:w="887"/>
        <w:gridCol w:w="859"/>
        <w:gridCol w:w="3695"/>
        <w:gridCol w:w="1105"/>
        <w:gridCol w:w="2209"/>
        <w:gridCol w:w="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atLeast"/>
        </w:trPr>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宋体" w:hAnsi="宋体" w:cs="宋体"/>
                <w:b/>
                <w:bCs/>
                <w:color w:val="auto"/>
                <w:highlight w:val="none"/>
              </w:rPr>
            </w:pPr>
            <w:r>
              <w:rPr>
                <w:rFonts w:hint="eastAsia" w:ascii="宋体" w:hAnsi="宋体" w:cs="宋体"/>
                <w:b/>
                <w:bCs/>
                <w:color w:val="auto"/>
                <w:highlight w:val="none"/>
              </w:rPr>
              <w:t>项号</w:t>
            </w:r>
          </w:p>
        </w:tc>
        <w:tc>
          <w:tcPr>
            <w:tcW w:w="39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s="宋体"/>
                <w:b/>
                <w:bCs/>
                <w:color w:val="auto"/>
                <w:highlight w:val="none"/>
              </w:rPr>
            </w:pPr>
            <w:r>
              <w:rPr>
                <w:rFonts w:hint="eastAsia" w:ascii="宋体" w:hAnsi="宋体" w:cs="宋体"/>
                <w:b/>
                <w:bCs/>
                <w:color w:val="auto"/>
                <w:szCs w:val="21"/>
                <w:highlight w:val="none"/>
              </w:rPr>
              <w:t>服   务  名  称</w:t>
            </w:r>
          </w:p>
        </w:tc>
        <w:tc>
          <w:tcPr>
            <w:tcW w:w="88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cs="宋体"/>
                <w:b/>
                <w:bCs/>
                <w:color w:val="auto"/>
                <w:highlight w:val="none"/>
              </w:rPr>
            </w:pPr>
            <w:r>
              <w:rPr>
                <w:rFonts w:hint="eastAsia" w:ascii="宋体" w:hAnsi="宋体" w:cs="宋体"/>
                <w:b/>
                <w:bCs/>
                <w:color w:val="auto"/>
                <w:highlight w:val="none"/>
              </w:rPr>
              <w:t xml:space="preserve"> 数量</w:t>
            </w:r>
          </w:p>
        </w:tc>
        <w:tc>
          <w:tcPr>
            <w:tcW w:w="8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3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服务承诺</w:t>
            </w:r>
          </w:p>
        </w:tc>
        <w:tc>
          <w:tcPr>
            <w:tcW w:w="11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单价</w:t>
            </w:r>
          </w:p>
        </w:tc>
        <w:tc>
          <w:tcPr>
            <w:tcW w:w="22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单项合计=单价×数量</w:t>
            </w:r>
          </w:p>
        </w:tc>
        <w:tc>
          <w:tcPr>
            <w:tcW w:w="826" w:type="dxa"/>
            <w:tcBorders>
              <w:bottom w:val="single" w:color="auto" w:sz="4" w:space="0"/>
            </w:tcBorders>
            <w:shd w:val="clear" w:color="auto" w:fill="FFFFFF"/>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8"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auto"/>
                <w:highlight w:val="none"/>
              </w:rPr>
            </w:pPr>
            <w:r>
              <w:rPr>
                <w:rFonts w:hint="eastAsia" w:ascii="宋体" w:hAnsi="宋体" w:cs="宋体"/>
                <w:bCs/>
                <w:color w:val="auto"/>
                <w:highlight w:val="none"/>
              </w:rPr>
              <w:t>1</w:t>
            </w:r>
          </w:p>
        </w:tc>
        <w:tc>
          <w:tcPr>
            <w:tcW w:w="39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highlight w:val="none"/>
              </w:rPr>
            </w:pPr>
          </w:p>
        </w:tc>
        <w:tc>
          <w:tcPr>
            <w:tcW w:w="36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highlight w:val="none"/>
              </w:rPr>
            </w:pPr>
          </w:p>
        </w:tc>
        <w:tc>
          <w:tcPr>
            <w:tcW w:w="2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highlight w:val="none"/>
              </w:rPr>
            </w:pPr>
          </w:p>
        </w:tc>
        <w:tc>
          <w:tcPr>
            <w:tcW w:w="826" w:type="dxa"/>
            <w:tcBorders>
              <w:top w:val="single" w:color="auto" w:sz="4" w:space="0"/>
              <w:bottom w:val="single" w:color="auto" w:sz="4" w:space="0"/>
            </w:tcBorders>
            <w:vAlign w:val="center"/>
          </w:tcPr>
          <w:p>
            <w:pPr>
              <w:spacing w:line="300" w:lineRule="exact"/>
              <w:jc w:val="cente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14220" w:type="dxa"/>
            <w:gridSpan w:val="8"/>
            <w:tcBorders>
              <w:top w:val="single" w:color="auto" w:sz="4" w:space="0"/>
              <w:left w:val="single" w:color="auto" w:sz="4" w:space="0"/>
              <w:bottom w:val="single" w:color="auto" w:sz="4" w:space="0"/>
            </w:tcBorders>
            <w:vAlign w:val="center"/>
          </w:tcPr>
          <w:p>
            <w:pPr>
              <w:spacing w:line="300" w:lineRule="exact"/>
              <w:rPr>
                <w:rFonts w:ascii="宋体" w:hAnsi="宋体" w:cs="宋体"/>
                <w:b/>
                <w:bCs/>
                <w:color w:val="auto"/>
                <w:highlight w:val="none"/>
              </w:rPr>
            </w:pPr>
            <w:r>
              <w:rPr>
                <w:rFonts w:hint="eastAsia" w:ascii="宋体" w:hAnsi="宋体" w:cs="宋体"/>
                <w:color w:val="auto"/>
                <w:spacing w:val="-6"/>
                <w:highlight w:val="none"/>
              </w:rPr>
              <w:t>磋商总报价（大写）：</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人民币（RMB¥</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14220" w:type="dxa"/>
            <w:gridSpan w:val="8"/>
            <w:tcBorders>
              <w:top w:val="single" w:color="auto" w:sz="4" w:space="0"/>
              <w:left w:val="single" w:color="auto" w:sz="4" w:space="0"/>
              <w:bottom w:val="single" w:color="auto" w:sz="4" w:space="0"/>
            </w:tcBorders>
            <w:vAlign w:val="center"/>
          </w:tcPr>
          <w:p>
            <w:pPr>
              <w:spacing w:line="300" w:lineRule="exact"/>
              <w:rPr>
                <w:rFonts w:ascii="宋体" w:hAnsi="宋体" w:cs="宋体"/>
                <w:color w:val="auto"/>
                <w:spacing w:val="-6"/>
                <w:highlight w:val="none"/>
              </w:rPr>
            </w:pPr>
            <w:r>
              <w:rPr>
                <w:rFonts w:hint="eastAsia" w:ascii="宋体" w:hAnsi="宋体" w:cs="宋体"/>
                <w:color w:val="auto"/>
                <w:spacing w:val="-6"/>
                <w:highlight w:val="none"/>
              </w:rPr>
              <w:t>项目</w:t>
            </w:r>
            <w:r>
              <w:rPr>
                <w:rFonts w:hint="eastAsia" w:ascii="宋体" w:hAnsi="宋体" w:cs="宋体"/>
                <w:color w:val="auto"/>
                <w:highlight w:val="none"/>
              </w:rPr>
              <w:t>服务期限</w:t>
            </w:r>
            <w:r>
              <w:rPr>
                <w:rFonts w:hint="eastAsia" w:ascii="宋体" w:hAnsi="宋体" w:cs="宋体"/>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8" w:hRule="atLeast"/>
        </w:trPr>
        <w:tc>
          <w:tcPr>
            <w:tcW w:w="14220" w:type="dxa"/>
            <w:gridSpan w:val="8"/>
            <w:tcBorders>
              <w:top w:val="single" w:color="auto" w:sz="4" w:space="0"/>
              <w:left w:val="single" w:color="auto" w:sz="4" w:space="0"/>
              <w:bottom w:val="single" w:color="auto" w:sz="4" w:space="0"/>
            </w:tcBorders>
            <w:vAlign w:val="center"/>
          </w:tcPr>
          <w:p>
            <w:pPr>
              <w:spacing w:line="340" w:lineRule="exact"/>
              <w:rPr>
                <w:rFonts w:ascii="宋体" w:hAnsi="宋体" w:cs="宋体"/>
                <w:color w:val="auto"/>
                <w:highlight w:val="none"/>
              </w:rPr>
            </w:pPr>
            <w:r>
              <w:rPr>
                <w:rFonts w:hint="eastAsia" w:ascii="宋体" w:hAnsi="宋体" w:cs="宋体"/>
                <w:color w:val="auto"/>
                <w:highlight w:val="none"/>
              </w:rPr>
              <w:t>说明：</w:t>
            </w:r>
          </w:p>
          <w:p>
            <w:pPr>
              <w:jc w:val="left"/>
              <w:rPr>
                <w:color w:val="auto"/>
                <w:highlight w:val="none"/>
              </w:rPr>
            </w:pPr>
            <w:r>
              <w:rPr>
                <w:rFonts w:hint="eastAsia" w:ascii="宋体" w:hAnsi="宋体" w:cs="宋体"/>
                <w:color w:val="auto"/>
                <w:szCs w:val="21"/>
                <w:highlight w:val="none"/>
              </w:rPr>
              <w:t>磋商报价应包括本次采购范围内的服务价款，服务的价款包括①学员全部的资料费、住宿费、伙食费、培训场地费、资料、书籍、印制相关制度手册、证书费等；②授课教师的培训费用、劳务费、交通费、住宿费、伙食费等以及实施过程中的应预见和不可预见的费用等。供应商必须考虑本项目在实施期间的一切可能产生费用；</w:t>
            </w:r>
          </w:p>
        </w:tc>
      </w:tr>
    </w:tbl>
    <w:p>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磋商供应商（公章，自然人除外）：</w:t>
      </w:r>
      <w:r>
        <w:rPr>
          <w:rFonts w:hint="eastAsia" w:ascii="宋体" w:hAnsi="宋体" w:cs="宋体"/>
          <w:color w:val="auto"/>
          <w:szCs w:val="21"/>
          <w:highlight w:val="none"/>
          <w:u w:val="single"/>
        </w:rPr>
        <w:t xml:space="preserve">                          </w:t>
      </w:r>
    </w:p>
    <w:p>
      <w:pPr>
        <w:snapToGrid w:val="0"/>
        <w:spacing w:line="400" w:lineRule="exact"/>
        <w:rPr>
          <w:rFonts w:ascii="宋体" w:hAnsi="宋体" w:cs="宋体"/>
          <w:color w:val="auto"/>
          <w:highlight w:val="none"/>
        </w:rPr>
      </w:pPr>
      <w:r>
        <w:rPr>
          <w:rFonts w:hint="eastAsia" w:ascii="宋体" w:hAnsi="宋体" w:cs="宋体"/>
          <w:color w:val="auto"/>
          <w:highlight w:val="none"/>
        </w:rPr>
        <w:t>法定</w:t>
      </w:r>
      <w:r>
        <w:rPr>
          <w:rFonts w:hint="eastAsia" w:ascii="宋体" w:hAnsi="宋体" w:cs="宋体"/>
          <w:color w:val="auto"/>
          <w:szCs w:val="21"/>
          <w:highlight w:val="none"/>
        </w:rPr>
        <w:t>代表人</w:t>
      </w:r>
      <w:r>
        <w:rPr>
          <w:rFonts w:hint="eastAsia" w:ascii="宋体" w:hAnsi="宋体" w:cs="宋体"/>
          <w:color w:val="auto"/>
          <w:highlight w:val="none"/>
        </w:rPr>
        <w:t>、负责人、自然人或相应的委托代理人签字（或盖章）</w:t>
      </w:r>
    </w:p>
    <w:p>
      <w:pPr>
        <w:spacing w:line="340" w:lineRule="exact"/>
        <w:rPr>
          <w:rFonts w:ascii="宋体" w:hAnsi="宋体" w:cs="宋体"/>
          <w:color w:val="auto"/>
          <w:szCs w:val="21"/>
          <w:highlight w:val="none"/>
          <w:u w:val="single"/>
        </w:rPr>
      </w:pPr>
      <w:r>
        <w:rPr>
          <w:rFonts w:hint="eastAsia" w:ascii="宋体" w:hAnsi="宋体" w:cs="宋体"/>
          <w:color w:val="auto"/>
          <w:highlight w:val="none"/>
        </w:rPr>
        <w:t>（属自然人的应在签名处加盖大拇指指印）：</w:t>
      </w:r>
      <w:r>
        <w:rPr>
          <w:rFonts w:hint="eastAsia" w:ascii="宋体" w:hAnsi="宋体" w:cs="宋体"/>
          <w:color w:val="auto"/>
          <w:szCs w:val="21"/>
          <w:highlight w:val="none"/>
          <w:u w:val="single"/>
        </w:rPr>
        <w:t xml:space="preserve">                  </w:t>
      </w:r>
    </w:p>
    <w:p>
      <w:pPr>
        <w:spacing w:line="340" w:lineRule="exact"/>
        <w:rPr>
          <w:rFonts w:ascii="宋体" w:hAnsi="宋体" w:cs="宋体"/>
          <w:color w:val="auto"/>
          <w:highlight w:val="none"/>
        </w:rPr>
      </w:pP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pPr>
        <w:tabs>
          <w:tab w:val="left" w:pos="1305"/>
        </w:tabs>
        <w:spacing w:line="340" w:lineRule="exact"/>
        <w:ind w:firstLine="205" w:firstLineChars="98"/>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1、各磋商供应商</w:t>
      </w:r>
      <w:r>
        <w:rPr>
          <w:rFonts w:hint="eastAsia" w:ascii="宋体" w:hAnsi="宋体" w:cs="宋体"/>
          <w:color w:val="auto"/>
          <w:szCs w:val="21"/>
          <w:highlight w:val="none"/>
        </w:rPr>
        <w:t>必须就“服务采购要求”中的所有内容作完整唯一报价，否则，其响应文件将被拒绝。响应文件只允许有一个报价。</w:t>
      </w:r>
    </w:p>
    <w:p>
      <w:pPr>
        <w:pStyle w:val="13"/>
        <w:spacing w:line="360" w:lineRule="exact"/>
        <w:ind w:firstLine="630" w:firstLineChars="300"/>
        <w:rPr>
          <w:rFonts w:hAnsi="宋体" w:cs="宋体"/>
          <w:b/>
          <w:color w:val="auto"/>
          <w:sz w:val="32"/>
          <w:szCs w:val="32"/>
          <w:highlight w:val="none"/>
        </w:rPr>
        <w:sectPr>
          <w:pgSz w:w="16838" w:h="11906" w:orient="landscape"/>
          <w:pgMar w:top="1440" w:right="1080" w:bottom="1440" w:left="1080" w:header="851" w:footer="992" w:gutter="0"/>
          <w:cols w:space="720" w:num="1"/>
          <w:titlePg/>
          <w:docGrid w:type="linesAndChars" w:linePitch="312" w:charSpace="0"/>
        </w:sectPr>
      </w:pPr>
      <w:r>
        <w:rPr>
          <w:rFonts w:hint="eastAsia" w:hAnsi="宋体" w:cs="宋体"/>
          <w:color w:val="auto"/>
          <w:highlight w:val="none"/>
        </w:rPr>
        <w:t>2、磋商报价表须由法定代表人或委托代理人签名并加盖磋商供应商公章。若此表由多页构成的，需逐页加盖磋商供应商公章</w:t>
      </w:r>
    </w:p>
    <w:p>
      <w:pPr>
        <w:spacing w:line="440" w:lineRule="atLeast"/>
        <w:outlineLvl w:val="1"/>
        <w:rPr>
          <w:rFonts w:ascii="宋体" w:hAnsi="宋体" w:cs="宋体"/>
          <w:b/>
          <w:color w:val="auto"/>
          <w:sz w:val="28"/>
          <w:szCs w:val="28"/>
          <w:highlight w:val="none"/>
        </w:rPr>
      </w:pPr>
      <w:bookmarkStart w:id="172" w:name="_Toc30905"/>
      <w:bookmarkStart w:id="173" w:name="_Toc532901159"/>
      <w:bookmarkStart w:id="174" w:name="_Toc19182"/>
      <w:bookmarkStart w:id="175" w:name="_Toc528313246"/>
      <w:r>
        <w:rPr>
          <w:rFonts w:hint="eastAsia" w:ascii="宋体" w:hAnsi="宋体" w:cs="宋体"/>
          <w:b/>
          <w:color w:val="auto"/>
          <w:sz w:val="28"/>
          <w:szCs w:val="28"/>
          <w:highlight w:val="none"/>
        </w:rPr>
        <w:t>9、</w:t>
      </w:r>
      <w:bookmarkEnd w:id="172"/>
      <w:bookmarkEnd w:id="173"/>
      <w:bookmarkEnd w:id="174"/>
      <w:bookmarkEnd w:id="175"/>
      <w:r>
        <w:rPr>
          <w:rFonts w:hint="eastAsia" w:ascii="宋体" w:hAnsi="宋体" w:cs="宋体"/>
          <w:b/>
          <w:color w:val="auto"/>
          <w:sz w:val="28"/>
          <w:szCs w:val="28"/>
          <w:highlight w:val="none"/>
        </w:rPr>
        <w:t>项目实施方案（必须提供）；</w:t>
      </w:r>
    </w:p>
    <w:p>
      <w:pPr>
        <w:rPr>
          <w:rFonts w:ascii="宋体" w:hAnsi="宋体" w:cs="宋体"/>
          <w:color w:val="auto"/>
          <w:highlight w:val="none"/>
        </w:rPr>
      </w:pPr>
    </w:p>
    <w:p>
      <w:pPr>
        <w:spacing w:line="360" w:lineRule="exact"/>
        <w:rPr>
          <w:rFonts w:ascii="宋体" w:hAnsi="宋体" w:cs="宋体"/>
          <w:b/>
          <w:color w:val="auto"/>
          <w:sz w:val="32"/>
          <w:szCs w:val="32"/>
          <w:highlight w:val="none"/>
        </w:rPr>
      </w:pPr>
    </w:p>
    <w:p>
      <w:pPr>
        <w:spacing w:line="360" w:lineRule="exact"/>
        <w:jc w:val="center"/>
        <w:rPr>
          <w:rFonts w:ascii="宋体" w:hAnsi="宋体" w:cs="宋体"/>
          <w:b/>
          <w:color w:val="auto"/>
          <w:sz w:val="32"/>
          <w:szCs w:val="32"/>
          <w:highlight w:val="none"/>
        </w:rPr>
      </w:pPr>
      <w:r>
        <w:rPr>
          <w:rFonts w:hint="eastAsia" w:ascii="宋体" w:hAnsi="宋体" w:cs="宋体"/>
          <w:b/>
          <w:color w:val="auto"/>
          <w:sz w:val="28"/>
          <w:szCs w:val="28"/>
          <w:highlight w:val="none"/>
        </w:rPr>
        <w:t>项目实施方案</w:t>
      </w:r>
    </w:p>
    <w:p>
      <w:pPr>
        <w:spacing w:line="360" w:lineRule="exact"/>
        <w:rPr>
          <w:rFonts w:ascii="宋体" w:hAnsi="宋体" w:cs="宋体"/>
          <w:b/>
          <w:color w:val="auto"/>
          <w:sz w:val="32"/>
          <w:szCs w:val="32"/>
          <w:highlight w:val="none"/>
        </w:rPr>
      </w:pPr>
    </w:p>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（根据采购需求自行编制）</w:t>
      </w:r>
    </w:p>
    <w:p>
      <w:pPr>
        <w:spacing w:line="360" w:lineRule="exact"/>
        <w:rPr>
          <w:rFonts w:ascii="宋体" w:hAnsi="宋体" w:cs="宋体"/>
          <w:b/>
          <w:color w:val="auto"/>
          <w:sz w:val="32"/>
          <w:szCs w:val="32"/>
          <w:highlight w:val="none"/>
        </w:rPr>
      </w:pPr>
    </w:p>
    <w:p>
      <w:pPr>
        <w:spacing w:line="360" w:lineRule="exact"/>
        <w:rPr>
          <w:rFonts w:ascii="宋体" w:hAnsi="宋体" w:cs="宋体"/>
          <w:b/>
          <w:color w:val="auto"/>
          <w:sz w:val="32"/>
          <w:szCs w:val="32"/>
          <w:highlight w:val="none"/>
        </w:rPr>
      </w:pPr>
    </w:p>
    <w:p>
      <w:pPr>
        <w:pStyle w:val="2"/>
        <w:rPr>
          <w:color w:val="auto"/>
          <w:highlight w:val="none"/>
        </w:rPr>
      </w:pPr>
    </w:p>
    <w:p>
      <w:pPr>
        <w:spacing w:line="360" w:lineRule="exact"/>
        <w:rPr>
          <w:rFonts w:ascii="宋体" w:hAnsi="宋体" w:cs="宋体"/>
          <w:b/>
          <w:color w:val="auto"/>
          <w:sz w:val="32"/>
          <w:szCs w:val="32"/>
          <w:highlight w:val="none"/>
        </w:rPr>
      </w:pPr>
    </w:p>
    <w:p>
      <w:pPr>
        <w:spacing w:line="360" w:lineRule="exact"/>
        <w:rPr>
          <w:rFonts w:ascii="宋体" w:hAnsi="宋体" w:cs="宋体"/>
          <w:b/>
          <w:color w:val="auto"/>
          <w:sz w:val="32"/>
          <w:szCs w:val="32"/>
          <w:highlight w:val="none"/>
        </w:rPr>
      </w:pPr>
    </w:p>
    <w:p>
      <w:pPr>
        <w:pStyle w:val="13"/>
        <w:spacing w:line="400" w:lineRule="exact"/>
        <w:ind w:firstLine="3780" w:firstLineChars="1800"/>
        <w:rPr>
          <w:rFonts w:hAnsi="宋体" w:cs="宋体"/>
          <w:color w:val="auto"/>
          <w:highlight w:val="none"/>
        </w:rPr>
      </w:pPr>
    </w:p>
    <w:p>
      <w:pPr>
        <w:pStyle w:val="13"/>
        <w:spacing w:after="156" w:afterLines="50" w:line="400" w:lineRule="exact"/>
        <w:ind w:firstLine="3780" w:firstLineChars="1800"/>
        <w:rPr>
          <w:rFonts w:hAnsi="宋体" w:cs="宋体"/>
          <w:color w:val="auto"/>
          <w:szCs w:val="21"/>
          <w:highlight w:val="none"/>
          <w:u w:val="single"/>
        </w:rPr>
      </w:pPr>
      <w:r>
        <w:rPr>
          <w:rFonts w:hint="eastAsia" w:hAnsi="宋体" w:cs="宋体"/>
          <w:color w:val="auto"/>
          <w:szCs w:val="21"/>
          <w:highlight w:val="none"/>
        </w:rPr>
        <w:t>磋商供应商（公章，自然人除外）：</w:t>
      </w:r>
      <w:r>
        <w:rPr>
          <w:rFonts w:hint="eastAsia" w:hAnsi="宋体" w:cs="宋体"/>
          <w:color w:val="auto"/>
          <w:szCs w:val="21"/>
          <w:highlight w:val="none"/>
          <w:u w:val="single"/>
        </w:rPr>
        <w:t xml:space="preserve">                          </w:t>
      </w:r>
    </w:p>
    <w:p>
      <w:pPr>
        <w:pStyle w:val="13"/>
        <w:spacing w:line="400" w:lineRule="exact"/>
        <w:ind w:firstLine="3780" w:firstLineChars="1800"/>
        <w:rPr>
          <w:rFonts w:hAnsi="宋体" w:cs="宋体"/>
          <w:color w:val="auto"/>
          <w:highlight w:val="none"/>
        </w:rPr>
      </w:pPr>
      <w:r>
        <w:rPr>
          <w:rFonts w:hint="eastAsia" w:hAnsi="宋体" w:cs="宋体"/>
          <w:color w:val="auto"/>
          <w:highlight w:val="none"/>
        </w:rPr>
        <w:t>法定</w:t>
      </w:r>
      <w:r>
        <w:rPr>
          <w:rFonts w:hint="eastAsia" w:hAnsi="宋体" w:cs="宋体"/>
          <w:color w:val="auto"/>
          <w:szCs w:val="21"/>
          <w:highlight w:val="none"/>
        </w:rPr>
        <w:t>代表人</w:t>
      </w:r>
      <w:r>
        <w:rPr>
          <w:rFonts w:hint="eastAsia" w:hAnsi="宋体" w:cs="宋体"/>
          <w:color w:val="auto"/>
          <w:highlight w:val="none"/>
        </w:rPr>
        <w:t>、负责人、自然人或相应的委托代理人签字（或盖章）</w:t>
      </w:r>
    </w:p>
    <w:p>
      <w:pPr>
        <w:pStyle w:val="13"/>
        <w:spacing w:after="156" w:afterLines="50" w:line="400" w:lineRule="exact"/>
        <w:ind w:firstLine="3780" w:firstLineChars="1800"/>
        <w:rPr>
          <w:rFonts w:hAnsi="宋体" w:cs="宋体"/>
          <w:color w:val="auto"/>
          <w:szCs w:val="21"/>
          <w:highlight w:val="none"/>
          <w:u w:val="single"/>
        </w:rPr>
      </w:pPr>
      <w:r>
        <w:rPr>
          <w:rFonts w:hint="eastAsia" w:hAnsi="宋体" w:cs="宋体"/>
          <w:color w:val="auto"/>
          <w:highlight w:val="none"/>
        </w:rPr>
        <w:t>（属</w:t>
      </w:r>
      <w:r>
        <w:rPr>
          <w:rFonts w:hint="eastAsia" w:hAnsi="宋体" w:cs="宋体"/>
          <w:color w:val="auto"/>
          <w:szCs w:val="21"/>
          <w:highlight w:val="none"/>
        </w:rPr>
        <w:t>自然人</w:t>
      </w:r>
      <w:r>
        <w:rPr>
          <w:rFonts w:hint="eastAsia" w:hAnsi="宋体" w:cs="宋体"/>
          <w:color w:val="auto"/>
          <w:highlight w:val="none"/>
        </w:rPr>
        <w:t>的应在签名处加盖大拇指指印）：</w:t>
      </w:r>
      <w:r>
        <w:rPr>
          <w:rFonts w:hint="eastAsia" w:hAnsi="宋体" w:cs="宋体"/>
          <w:color w:val="auto"/>
          <w:szCs w:val="21"/>
          <w:highlight w:val="none"/>
          <w:u w:val="single"/>
        </w:rPr>
        <w:t xml:space="preserve">                  </w:t>
      </w:r>
    </w:p>
    <w:p>
      <w:pPr>
        <w:pStyle w:val="13"/>
        <w:spacing w:line="400" w:lineRule="exact"/>
        <w:ind w:firstLine="3780" w:firstLineChars="1800"/>
        <w:rPr>
          <w:rFonts w:hAnsi="宋体" w:cs="宋体"/>
          <w:color w:val="auto"/>
          <w:highlight w:val="none"/>
          <w:u w:val="single"/>
        </w:rPr>
      </w:pPr>
      <w:r>
        <w:rPr>
          <w:rFonts w:hint="eastAsia" w:hAnsi="宋体" w:cs="宋体"/>
          <w:color w:val="auto"/>
          <w:szCs w:val="21"/>
          <w:highlight w:val="none"/>
        </w:rPr>
        <w:t xml:space="preserve">日          </w:t>
      </w:r>
      <w:r>
        <w:rPr>
          <w:rFonts w:hint="eastAsia" w:hAnsi="宋体" w:cs="宋体"/>
          <w:color w:val="auto"/>
          <w:highlight w:val="none"/>
        </w:rPr>
        <w:t>期：</w:t>
      </w:r>
      <w:r>
        <w:rPr>
          <w:rFonts w:hint="eastAsia" w:hAnsi="宋体" w:cs="宋体"/>
          <w:color w:val="auto"/>
          <w:highlight w:val="none"/>
          <w:u w:val="single"/>
        </w:rPr>
        <w:t xml:space="preserve">                                    </w:t>
      </w:r>
    </w:p>
    <w:p>
      <w:pPr>
        <w:pStyle w:val="5"/>
        <w:rPr>
          <w:rFonts w:ascii="宋体" w:hAnsi="宋体" w:cs="宋体"/>
          <w:b w:val="0"/>
          <w:color w:val="auto"/>
          <w:sz w:val="28"/>
          <w:szCs w:val="28"/>
          <w:highlight w:val="none"/>
        </w:rPr>
      </w:pPr>
      <w:r>
        <w:rPr>
          <w:rFonts w:hint="eastAsia" w:ascii="宋体" w:hAnsi="宋体" w:cs="宋体"/>
          <w:b w:val="0"/>
          <w:color w:val="auto"/>
          <w:highlight w:val="none"/>
        </w:rPr>
        <w:br w:type="page"/>
      </w:r>
      <w:bookmarkStart w:id="176" w:name="_Toc31117"/>
      <w:bookmarkStart w:id="177" w:name="_Toc528313248"/>
      <w:bookmarkStart w:id="178" w:name="_Toc532901161"/>
      <w:bookmarkStart w:id="179" w:name="_Toc24089"/>
      <w:r>
        <w:rPr>
          <w:rFonts w:hint="eastAsia" w:ascii="宋体" w:hAnsi="宋体" w:cs="宋体"/>
          <w:b w:val="0"/>
          <w:bCs w:val="0"/>
          <w:color w:val="auto"/>
          <w:sz w:val="28"/>
          <w:szCs w:val="28"/>
          <w:highlight w:val="none"/>
        </w:rPr>
        <w:t>10</w:t>
      </w:r>
      <w:r>
        <w:rPr>
          <w:rFonts w:hint="eastAsia" w:ascii="宋体" w:hAnsi="宋体" w:cs="宋体"/>
          <w:b w:val="0"/>
          <w:color w:val="auto"/>
          <w:sz w:val="28"/>
          <w:szCs w:val="28"/>
          <w:highlight w:val="none"/>
        </w:rPr>
        <w:t>、</w:t>
      </w:r>
      <w:r>
        <w:rPr>
          <w:rFonts w:hint="eastAsia" w:ascii="宋体" w:hAnsi="宋体" w:cs="宋体"/>
          <w:color w:val="auto"/>
          <w:sz w:val="28"/>
          <w:szCs w:val="28"/>
          <w:highlight w:val="none"/>
        </w:rPr>
        <w:t>项目培训团队一览表（必须提供）；</w:t>
      </w:r>
      <w:bookmarkEnd w:id="176"/>
      <w:bookmarkEnd w:id="177"/>
      <w:bookmarkEnd w:id="178"/>
      <w:bookmarkEnd w:id="179"/>
    </w:p>
    <w:p>
      <w:pPr>
        <w:ind w:firstLine="472" w:firstLineChars="147"/>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项目培训团队一览表（格式）</w:t>
      </w:r>
    </w:p>
    <w:tbl>
      <w:tblPr>
        <w:tblStyle w:val="19"/>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171"/>
        <w:gridCol w:w="1600"/>
        <w:gridCol w:w="266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shd w:val="clear" w:color="auto" w:fill="FFFFFF"/>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171" w:type="dxa"/>
            <w:shd w:val="clear" w:color="auto" w:fill="FFFFFF"/>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1600" w:type="dxa"/>
            <w:shd w:val="clear" w:color="auto" w:fill="FFFFFF"/>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2664" w:type="dxa"/>
            <w:shd w:val="clear" w:color="auto" w:fill="FFFFFF"/>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个人简介</w:t>
            </w:r>
          </w:p>
        </w:tc>
        <w:tc>
          <w:tcPr>
            <w:tcW w:w="1641" w:type="dxa"/>
            <w:shd w:val="clear" w:color="auto" w:fill="FFFFFF"/>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line="400" w:lineRule="exact"/>
              <w:rPr>
                <w:rFonts w:ascii="宋体" w:hAnsi="宋体" w:cs="宋体"/>
                <w:color w:val="auto"/>
                <w:szCs w:val="21"/>
                <w:highlight w:val="none"/>
              </w:rPr>
            </w:pPr>
          </w:p>
        </w:tc>
        <w:tc>
          <w:tcPr>
            <w:tcW w:w="2171" w:type="dxa"/>
          </w:tcPr>
          <w:p>
            <w:pPr>
              <w:spacing w:line="400" w:lineRule="exact"/>
              <w:rPr>
                <w:rFonts w:ascii="宋体" w:hAnsi="宋体" w:cs="宋体"/>
                <w:color w:val="auto"/>
                <w:szCs w:val="21"/>
                <w:highlight w:val="none"/>
              </w:rPr>
            </w:pPr>
          </w:p>
        </w:tc>
        <w:tc>
          <w:tcPr>
            <w:tcW w:w="1600" w:type="dxa"/>
          </w:tcPr>
          <w:p>
            <w:pPr>
              <w:spacing w:line="400" w:lineRule="exact"/>
              <w:rPr>
                <w:rFonts w:ascii="宋体" w:hAnsi="宋体" w:cs="宋体"/>
                <w:color w:val="auto"/>
                <w:szCs w:val="21"/>
                <w:highlight w:val="none"/>
              </w:rPr>
            </w:pPr>
          </w:p>
        </w:tc>
        <w:tc>
          <w:tcPr>
            <w:tcW w:w="2664" w:type="dxa"/>
          </w:tcPr>
          <w:p>
            <w:pPr>
              <w:spacing w:line="400" w:lineRule="exact"/>
              <w:rPr>
                <w:rFonts w:ascii="宋体" w:hAnsi="宋体" w:cs="宋体"/>
                <w:color w:val="auto"/>
                <w:szCs w:val="21"/>
                <w:highlight w:val="none"/>
              </w:rPr>
            </w:pPr>
          </w:p>
        </w:tc>
        <w:tc>
          <w:tcPr>
            <w:tcW w:w="1641" w:type="dxa"/>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line="400" w:lineRule="exact"/>
              <w:rPr>
                <w:rFonts w:ascii="宋体" w:hAnsi="宋体" w:cs="宋体"/>
                <w:color w:val="auto"/>
                <w:szCs w:val="21"/>
                <w:highlight w:val="none"/>
              </w:rPr>
            </w:pPr>
          </w:p>
        </w:tc>
        <w:tc>
          <w:tcPr>
            <w:tcW w:w="2171" w:type="dxa"/>
          </w:tcPr>
          <w:p>
            <w:pPr>
              <w:spacing w:line="400" w:lineRule="exact"/>
              <w:rPr>
                <w:rFonts w:ascii="宋体" w:hAnsi="宋体" w:cs="宋体"/>
                <w:color w:val="auto"/>
                <w:szCs w:val="21"/>
                <w:highlight w:val="none"/>
              </w:rPr>
            </w:pPr>
          </w:p>
        </w:tc>
        <w:tc>
          <w:tcPr>
            <w:tcW w:w="1600" w:type="dxa"/>
          </w:tcPr>
          <w:p>
            <w:pPr>
              <w:spacing w:line="400" w:lineRule="exact"/>
              <w:rPr>
                <w:rFonts w:ascii="宋体" w:hAnsi="宋体" w:cs="宋体"/>
                <w:color w:val="auto"/>
                <w:szCs w:val="21"/>
                <w:highlight w:val="none"/>
              </w:rPr>
            </w:pPr>
          </w:p>
        </w:tc>
        <w:tc>
          <w:tcPr>
            <w:tcW w:w="2664" w:type="dxa"/>
          </w:tcPr>
          <w:p>
            <w:pPr>
              <w:spacing w:line="400" w:lineRule="exact"/>
              <w:rPr>
                <w:rFonts w:ascii="宋体" w:hAnsi="宋体" w:cs="宋体"/>
                <w:color w:val="auto"/>
                <w:szCs w:val="21"/>
                <w:highlight w:val="none"/>
              </w:rPr>
            </w:pPr>
          </w:p>
        </w:tc>
        <w:tc>
          <w:tcPr>
            <w:tcW w:w="1641" w:type="dxa"/>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line="400" w:lineRule="exact"/>
              <w:rPr>
                <w:rFonts w:ascii="宋体" w:hAnsi="宋体" w:cs="宋体"/>
                <w:color w:val="auto"/>
                <w:szCs w:val="21"/>
                <w:highlight w:val="none"/>
              </w:rPr>
            </w:pPr>
          </w:p>
        </w:tc>
        <w:tc>
          <w:tcPr>
            <w:tcW w:w="2171" w:type="dxa"/>
          </w:tcPr>
          <w:p>
            <w:pPr>
              <w:spacing w:line="400" w:lineRule="exact"/>
              <w:rPr>
                <w:rFonts w:ascii="宋体" w:hAnsi="宋体" w:cs="宋体"/>
                <w:color w:val="auto"/>
                <w:szCs w:val="21"/>
                <w:highlight w:val="none"/>
              </w:rPr>
            </w:pPr>
          </w:p>
        </w:tc>
        <w:tc>
          <w:tcPr>
            <w:tcW w:w="1600" w:type="dxa"/>
          </w:tcPr>
          <w:p>
            <w:pPr>
              <w:spacing w:line="400" w:lineRule="exact"/>
              <w:rPr>
                <w:rFonts w:ascii="宋体" w:hAnsi="宋体" w:cs="宋体"/>
                <w:color w:val="auto"/>
                <w:szCs w:val="21"/>
                <w:highlight w:val="none"/>
              </w:rPr>
            </w:pPr>
          </w:p>
        </w:tc>
        <w:tc>
          <w:tcPr>
            <w:tcW w:w="2664" w:type="dxa"/>
          </w:tcPr>
          <w:p>
            <w:pPr>
              <w:spacing w:line="400" w:lineRule="exact"/>
              <w:rPr>
                <w:rFonts w:ascii="宋体" w:hAnsi="宋体" w:cs="宋体"/>
                <w:color w:val="auto"/>
                <w:szCs w:val="21"/>
                <w:highlight w:val="none"/>
              </w:rPr>
            </w:pPr>
          </w:p>
        </w:tc>
        <w:tc>
          <w:tcPr>
            <w:tcW w:w="1641" w:type="dxa"/>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line="400" w:lineRule="exact"/>
              <w:rPr>
                <w:rFonts w:ascii="宋体" w:hAnsi="宋体" w:cs="宋体"/>
                <w:color w:val="auto"/>
                <w:szCs w:val="21"/>
                <w:highlight w:val="none"/>
              </w:rPr>
            </w:pPr>
          </w:p>
        </w:tc>
        <w:tc>
          <w:tcPr>
            <w:tcW w:w="2171" w:type="dxa"/>
          </w:tcPr>
          <w:p>
            <w:pPr>
              <w:spacing w:line="400" w:lineRule="exact"/>
              <w:rPr>
                <w:rFonts w:ascii="宋体" w:hAnsi="宋体" w:cs="宋体"/>
                <w:color w:val="auto"/>
                <w:szCs w:val="21"/>
                <w:highlight w:val="none"/>
              </w:rPr>
            </w:pPr>
          </w:p>
        </w:tc>
        <w:tc>
          <w:tcPr>
            <w:tcW w:w="1600" w:type="dxa"/>
          </w:tcPr>
          <w:p>
            <w:pPr>
              <w:spacing w:line="400" w:lineRule="exact"/>
              <w:rPr>
                <w:rFonts w:ascii="宋体" w:hAnsi="宋体" w:cs="宋体"/>
                <w:color w:val="auto"/>
                <w:szCs w:val="21"/>
                <w:highlight w:val="none"/>
              </w:rPr>
            </w:pPr>
          </w:p>
        </w:tc>
        <w:tc>
          <w:tcPr>
            <w:tcW w:w="2664" w:type="dxa"/>
          </w:tcPr>
          <w:p>
            <w:pPr>
              <w:spacing w:line="400" w:lineRule="exact"/>
              <w:rPr>
                <w:rFonts w:ascii="宋体" w:hAnsi="宋体" w:cs="宋体"/>
                <w:color w:val="auto"/>
                <w:szCs w:val="21"/>
                <w:highlight w:val="none"/>
              </w:rPr>
            </w:pPr>
          </w:p>
        </w:tc>
        <w:tc>
          <w:tcPr>
            <w:tcW w:w="1641" w:type="dxa"/>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line="400" w:lineRule="exact"/>
              <w:rPr>
                <w:rFonts w:ascii="宋体" w:hAnsi="宋体" w:cs="宋体"/>
                <w:color w:val="auto"/>
                <w:szCs w:val="21"/>
                <w:highlight w:val="none"/>
              </w:rPr>
            </w:pPr>
          </w:p>
        </w:tc>
        <w:tc>
          <w:tcPr>
            <w:tcW w:w="2171" w:type="dxa"/>
          </w:tcPr>
          <w:p>
            <w:pPr>
              <w:spacing w:line="400" w:lineRule="exact"/>
              <w:rPr>
                <w:rFonts w:ascii="宋体" w:hAnsi="宋体" w:cs="宋体"/>
                <w:color w:val="auto"/>
                <w:szCs w:val="21"/>
                <w:highlight w:val="none"/>
              </w:rPr>
            </w:pPr>
          </w:p>
        </w:tc>
        <w:tc>
          <w:tcPr>
            <w:tcW w:w="1600" w:type="dxa"/>
          </w:tcPr>
          <w:p>
            <w:pPr>
              <w:spacing w:line="400" w:lineRule="exact"/>
              <w:rPr>
                <w:rFonts w:ascii="宋体" w:hAnsi="宋体" w:cs="宋体"/>
                <w:color w:val="auto"/>
                <w:szCs w:val="21"/>
                <w:highlight w:val="none"/>
              </w:rPr>
            </w:pPr>
          </w:p>
        </w:tc>
        <w:tc>
          <w:tcPr>
            <w:tcW w:w="2664" w:type="dxa"/>
          </w:tcPr>
          <w:p>
            <w:pPr>
              <w:spacing w:line="400" w:lineRule="exact"/>
              <w:rPr>
                <w:rFonts w:ascii="宋体" w:hAnsi="宋体" w:cs="宋体"/>
                <w:color w:val="auto"/>
                <w:szCs w:val="21"/>
                <w:highlight w:val="none"/>
              </w:rPr>
            </w:pPr>
          </w:p>
        </w:tc>
        <w:tc>
          <w:tcPr>
            <w:tcW w:w="1641" w:type="dxa"/>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line="400" w:lineRule="exact"/>
              <w:rPr>
                <w:rFonts w:ascii="宋体" w:hAnsi="宋体" w:cs="宋体"/>
                <w:color w:val="auto"/>
                <w:szCs w:val="21"/>
                <w:highlight w:val="none"/>
              </w:rPr>
            </w:pPr>
          </w:p>
        </w:tc>
        <w:tc>
          <w:tcPr>
            <w:tcW w:w="2171" w:type="dxa"/>
          </w:tcPr>
          <w:p>
            <w:pPr>
              <w:spacing w:line="400" w:lineRule="exact"/>
              <w:rPr>
                <w:rFonts w:ascii="宋体" w:hAnsi="宋体" w:cs="宋体"/>
                <w:color w:val="auto"/>
                <w:szCs w:val="21"/>
                <w:highlight w:val="none"/>
              </w:rPr>
            </w:pPr>
          </w:p>
        </w:tc>
        <w:tc>
          <w:tcPr>
            <w:tcW w:w="1600" w:type="dxa"/>
          </w:tcPr>
          <w:p>
            <w:pPr>
              <w:spacing w:line="400" w:lineRule="exact"/>
              <w:rPr>
                <w:rFonts w:ascii="宋体" w:hAnsi="宋体" w:cs="宋体"/>
                <w:color w:val="auto"/>
                <w:szCs w:val="21"/>
                <w:highlight w:val="none"/>
              </w:rPr>
            </w:pPr>
          </w:p>
        </w:tc>
        <w:tc>
          <w:tcPr>
            <w:tcW w:w="2664" w:type="dxa"/>
          </w:tcPr>
          <w:p>
            <w:pPr>
              <w:spacing w:line="400" w:lineRule="exact"/>
              <w:rPr>
                <w:rFonts w:ascii="宋体" w:hAnsi="宋体" w:cs="宋体"/>
                <w:color w:val="auto"/>
                <w:szCs w:val="21"/>
                <w:highlight w:val="none"/>
              </w:rPr>
            </w:pPr>
          </w:p>
        </w:tc>
        <w:tc>
          <w:tcPr>
            <w:tcW w:w="1641" w:type="dxa"/>
          </w:tcPr>
          <w:p>
            <w:pPr>
              <w:spacing w:line="400" w:lineRule="exact"/>
              <w:rPr>
                <w:rFonts w:ascii="宋体" w:hAnsi="宋体" w:cs="宋体"/>
                <w:color w:val="auto"/>
                <w:szCs w:val="21"/>
                <w:highlight w:val="none"/>
              </w:rPr>
            </w:pPr>
          </w:p>
        </w:tc>
      </w:tr>
    </w:tbl>
    <w:p>
      <w:pPr>
        <w:spacing w:line="400" w:lineRule="exact"/>
        <w:rPr>
          <w:rFonts w:ascii="宋体" w:hAnsi="宋体" w:cs="宋体"/>
          <w:color w:val="auto"/>
          <w:szCs w:val="21"/>
          <w:highlight w:val="none"/>
        </w:rPr>
      </w:pPr>
    </w:p>
    <w:p>
      <w:pPr>
        <w:spacing w:line="360" w:lineRule="exact"/>
        <w:rPr>
          <w:rFonts w:ascii="宋体" w:hAnsi="宋体" w:cs="宋体"/>
          <w:b/>
          <w:color w:val="auto"/>
          <w:sz w:val="32"/>
          <w:szCs w:val="32"/>
          <w:highlight w:val="none"/>
        </w:rPr>
      </w:pPr>
      <w:r>
        <w:rPr>
          <w:rFonts w:hint="eastAsia" w:ascii="宋体" w:hAnsi="宋体" w:cs="宋体"/>
          <w:b/>
          <w:color w:val="auto"/>
          <w:szCs w:val="21"/>
          <w:highlight w:val="none"/>
        </w:rPr>
        <w:t>注：1.在填写时，如本表格不适合磋商供应商的实际情况，可根据本表格式自行制表填写。</w:t>
      </w:r>
    </w:p>
    <w:p>
      <w:pPr>
        <w:spacing w:line="360" w:lineRule="exact"/>
        <w:rPr>
          <w:rFonts w:ascii="宋体" w:hAnsi="宋体" w:cs="宋体"/>
          <w:b/>
          <w:color w:val="auto"/>
          <w:sz w:val="32"/>
          <w:szCs w:val="32"/>
          <w:highlight w:val="none"/>
        </w:rPr>
      </w:pPr>
    </w:p>
    <w:p>
      <w:pPr>
        <w:spacing w:line="360" w:lineRule="exact"/>
        <w:rPr>
          <w:rFonts w:ascii="宋体" w:hAnsi="宋体" w:cs="宋体"/>
          <w:b/>
          <w:color w:val="auto"/>
          <w:sz w:val="32"/>
          <w:szCs w:val="32"/>
          <w:highlight w:val="none"/>
        </w:rPr>
      </w:pPr>
    </w:p>
    <w:p>
      <w:pPr>
        <w:pStyle w:val="13"/>
        <w:spacing w:after="156" w:afterLines="50" w:line="400" w:lineRule="exact"/>
        <w:ind w:firstLine="3780" w:firstLineChars="1800"/>
        <w:rPr>
          <w:rFonts w:hAnsi="宋体" w:cs="宋体"/>
          <w:color w:val="auto"/>
          <w:szCs w:val="21"/>
          <w:highlight w:val="none"/>
          <w:u w:val="single"/>
        </w:rPr>
      </w:pPr>
      <w:r>
        <w:rPr>
          <w:rFonts w:hint="eastAsia" w:hAnsi="宋体" w:cs="宋体"/>
          <w:color w:val="auto"/>
          <w:szCs w:val="21"/>
          <w:highlight w:val="none"/>
        </w:rPr>
        <w:t>磋商供应商（公章，自然人除外）：</w:t>
      </w:r>
      <w:r>
        <w:rPr>
          <w:rFonts w:hint="eastAsia" w:hAnsi="宋体" w:cs="宋体"/>
          <w:color w:val="auto"/>
          <w:szCs w:val="21"/>
          <w:highlight w:val="none"/>
          <w:u w:val="single"/>
        </w:rPr>
        <w:t xml:space="preserve">                          </w:t>
      </w:r>
    </w:p>
    <w:p>
      <w:pPr>
        <w:pStyle w:val="13"/>
        <w:spacing w:line="400" w:lineRule="exact"/>
        <w:ind w:firstLine="3780" w:firstLineChars="1800"/>
        <w:rPr>
          <w:rFonts w:hAnsi="宋体" w:cs="宋体"/>
          <w:color w:val="auto"/>
          <w:highlight w:val="none"/>
        </w:rPr>
      </w:pPr>
      <w:r>
        <w:rPr>
          <w:rFonts w:hint="eastAsia" w:hAnsi="宋体" w:cs="宋体"/>
          <w:color w:val="auto"/>
          <w:highlight w:val="none"/>
        </w:rPr>
        <w:t>法定</w:t>
      </w:r>
      <w:r>
        <w:rPr>
          <w:rFonts w:hint="eastAsia" w:hAnsi="宋体" w:cs="宋体"/>
          <w:color w:val="auto"/>
          <w:szCs w:val="21"/>
          <w:highlight w:val="none"/>
        </w:rPr>
        <w:t>代表人</w:t>
      </w:r>
      <w:r>
        <w:rPr>
          <w:rFonts w:hint="eastAsia" w:hAnsi="宋体" w:cs="宋体"/>
          <w:color w:val="auto"/>
          <w:highlight w:val="none"/>
        </w:rPr>
        <w:t>、负责人、自然人或相应的委托代理人签字（或盖章）</w:t>
      </w:r>
    </w:p>
    <w:p>
      <w:pPr>
        <w:pStyle w:val="13"/>
        <w:spacing w:after="156" w:afterLines="50" w:line="400" w:lineRule="exact"/>
        <w:ind w:firstLine="3780" w:firstLineChars="1800"/>
        <w:rPr>
          <w:rFonts w:hAnsi="宋体" w:cs="宋体"/>
          <w:color w:val="auto"/>
          <w:szCs w:val="21"/>
          <w:highlight w:val="none"/>
          <w:u w:val="single"/>
        </w:rPr>
      </w:pPr>
      <w:r>
        <w:rPr>
          <w:rFonts w:hint="eastAsia" w:hAnsi="宋体" w:cs="宋体"/>
          <w:color w:val="auto"/>
          <w:highlight w:val="none"/>
        </w:rPr>
        <w:t>（属</w:t>
      </w:r>
      <w:r>
        <w:rPr>
          <w:rFonts w:hint="eastAsia" w:hAnsi="宋体" w:cs="宋体"/>
          <w:color w:val="auto"/>
          <w:szCs w:val="21"/>
          <w:highlight w:val="none"/>
        </w:rPr>
        <w:t>自然人</w:t>
      </w:r>
      <w:r>
        <w:rPr>
          <w:rFonts w:hint="eastAsia" w:hAnsi="宋体" w:cs="宋体"/>
          <w:color w:val="auto"/>
          <w:highlight w:val="none"/>
        </w:rPr>
        <w:t>的应在签名处加盖大拇指指印）：</w:t>
      </w:r>
      <w:r>
        <w:rPr>
          <w:rFonts w:hint="eastAsia" w:hAnsi="宋体" w:cs="宋体"/>
          <w:color w:val="auto"/>
          <w:szCs w:val="21"/>
          <w:highlight w:val="none"/>
          <w:u w:val="single"/>
        </w:rPr>
        <w:t xml:space="preserve">                  </w:t>
      </w:r>
    </w:p>
    <w:p>
      <w:pPr>
        <w:pStyle w:val="13"/>
        <w:spacing w:line="400" w:lineRule="exact"/>
        <w:ind w:firstLine="3780" w:firstLineChars="1800"/>
        <w:rPr>
          <w:rFonts w:hAnsi="宋体" w:cs="宋体"/>
          <w:color w:val="auto"/>
          <w:highlight w:val="none"/>
          <w:u w:val="single"/>
        </w:rPr>
      </w:pPr>
      <w:r>
        <w:rPr>
          <w:rFonts w:hint="eastAsia" w:hAnsi="宋体" w:cs="宋体"/>
          <w:color w:val="auto"/>
          <w:szCs w:val="21"/>
          <w:highlight w:val="none"/>
        </w:rPr>
        <w:t xml:space="preserve">日          </w:t>
      </w:r>
      <w:r>
        <w:rPr>
          <w:rFonts w:hint="eastAsia" w:hAnsi="宋体" w:cs="宋体"/>
          <w:color w:val="auto"/>
          <w:highlight w:val="none"/>
        </w:rPr>
        <w:t>期：</w:t>
      </w:r>
      <w:r>
        <w:rPr>
          <w:rFonts w:hint="eastAsia" w:hAnsi="宋体" w:cs="宋体"/>
          <w:color w:val="auto"/>
          <w:highlight w:val="none"/>
          <w:u w:val="single"/>
        </w:rPr>
        <w:t xml:space="preserve">                                    </w:t>
      </w:r>
    </w:p>
    <w:p>
      <w:pPr>
        <w:spacing w:line="360" w:lineRule="exact"/>
        <w:rPr>
          <w:rFonts w:ascii="宋体" w:hAnsi="宋体" w:cs="宋体"/>
          <w:b/>
          <w:color w:val="auto"/>
          <w:sz w:val="32"/>
          <w:szCs w:val="32"/>
          <w:highlight w:val="none"/>
        </w:rPr>
      </w:pPr>
    </w:p>
    <w:p>
      <w:pPr>
        <w:spacing w:line="360" w:lineRule="exact"/>
        <w:rPr>
          <w:rFonts w:ascii="宋体" w:hAnsi="宋体" w:cs="宋体"/>
          <w:b/>
          <w:color w:val="auto"/>
          <w:sz w:val="32"/>
          <w:szCs w:val="32"/>
          <w:highlight w:val="none"/>
        </w:rPr>
      </w:pPr>
    </w:p>
    <w:p>
      <w:pPr>
        <w:spacing w:line="440" w:lineRule="atLeast"/>
        <w:outlineLvl w:val="1"/>
        <w:rPr>
          <w:rFonts w:ascii="宋体" w:hAnsi="宋体" w:cs="宋体"/>
          <w:b/>
          <w:color w:val="auto"/>
          <w:sz w:val="28"/>
          <w:szCs w:val="28"/>
          <w:highlight w:val="none"/>
        </w:rPr>
      </w:pPr>
      <w:bookmarkStart w:id="180" w:name="_Toc528313249"/>
      <w:bookmarkStart w:id="181" w:name="_Toc4221"/>
      <w:bookmarkStart w:id="182" w:name="_Toc532901162"/>
      <w:bookmarkStart w:id="183" w:name="_Toc15470"/>
      <w:r>
        <w:rPr>
          <w:rFonts w:hint="eastAsia" w:ascii="宋体" w:hAnsi="宋体" w:cs="宋体"/>
          <w:b/>
          <w:color w:val="auto"/>
          <w:sz w:val="28"/>
          <w:szCs w:val="28"/>
          <w:highlight w:val="none"/>
        </w:rPr>
        <w:t>11、“服务采购要求”需提供的有效证明文件（如有，请提供）；</w:t>
      </w:r>
      <w:bookmarkEnd w:id="180"/>
      <w:bookmarkEnd w:id="181"/>
      <w:bookmarkEnd w:id="182"/>
      <w:bookmarkEnd w:id="183"/>
    </w:p>
    <w:p>
      <w:pPr>
        <w:pStyle w:val="13"/>
        <w:spacing w:line="360" w:lineRule="exact"/>
        <w:rPr>
          <w:rFonts w:hAnsi="宋体" w:cs="宋体"/>
          <w:b/>
          <w:color w:val="auto"/>
          <w:sz w:val="32"/>
          <w:szCs w:val="32"/>
          <w:highlight w:val="none"/>
        </w:rPr>
      </w:pPr>
    </w:p>
    <w:p>
      <w:pPr>
        <w:pStyle w:val="13"/>
        <w:spacing w:line="360" w:lineRule="exact"/>
        <w:rPr>
          <w:rFonts w:hAnsi="宋体" w:cs="宋体"/>
          <w:b/>
          <w:color w:val="auto"/>
          <w:sz w:val="32"/>
          <w:szCs w:val="32"/>
          <w:highlight w:val="none"/>
        </w:rPr>
      </w:pPr>
    </w:p>
    <w:p>
      <w:pPr>
        <w:pStyle w:val="6"/>
        <w:rPr>
          <w:color w:val="auto"/>
          <w:highlight w:val="none"/>
        </w:rPr>
      </w:pPr>
    </w:p>
    <w:p>
      <w:pPr>
        <w:numPr>
          <w:ilvl w:val="0"/>
          <w:numId w:val="6"/>
        </w:numPr>
        <w:spacing w:line="440" w:lineRule="atLeast"/>
        <w:outlineLvl w:val="1"/>
        <w:rPr>
          <w:rFonts w:hint="eastAsia" w:ascii="宋体" w:hAnsi="宋体" w:cs="宋体"/>
          <w:b/>
          <w:color w:val="auto"/>
          <w:sz w:val="28"/>
          <w:szCs w:val="28"/>
          <w:highlight w:val="none"/>
        </w:rPr>
      </w:pPr>
      <w:bookmarkStart w:id="184" w:name="_Toc528313250"/>
      <w:bookmarkStart w:id="185" w:name="_Toc27556"/>
      <w:bookmarkStart w:id="186" w:name="_Toc9715"/>
      <w:bookmarkStart w:id="187" w:name="_Toc532901163"/>
      <w:r>
        <w:rPr>
          <w:rFonts w:hint="eastAsia" w:ascii="宋体" w:hAnsi="宋体" w:cs="宋体"/>
          <w:b/>
          <w:color w:val="auto"/>
          <w:sz w:val="28"/>
          <w:szCs w:val="28"/>
          <w:highlight w:val="none"/>
        </w:rPr>
        <w:t>供应商完成类似服务项目业绩的相关证明材料[无不良记录，以签订的合同为准，并能清晰反映所完成项目的名称、金额（或规模）等相关内容]（如有，请提供）；</w:t>
      </w:r>
      <w:bookmarkEnd w:id="184"/>
      <w:bookmarkEnd w:id="185"/>
      <w:bookmarkEnd w:id="186"/>
      <w:bookmarkEnd w:id="187"/>
    </w:p>
    <w:p>
      <w:pPr>
        <w:pStyle w:val="2"/>
        <w:numPr>
          <w:ilvl w:val="0"/>
          <w:numId w:val="0"/>
        </w:numPr>
        <w:rPr>
          <w:color w:val="auto"/>
          <w:highlight w:val="none"/>
        </w:rPr>
      </w:pPr>
    </w:p>
    <w:p>
      <w:pPr>
        <w:spacing w:line="440" w:lineRule="atLeast"/>
        <w:outlineLvl w:val="1"/>
        <w:rPr>
          <w:rFonts w:ascii="宋体" w:hAnsi="宋体" w:cs="宋体"/>
          <w:b/>
          <w:color w:val="auto"/>
          <w:sz w:val="28"/>
          <w:szCs w:val="28"/>
          <w:highlight w:val="none"/>
        </w:rPr>
      </w:pPr>
      <w:bookmarkStart w:id="188" w:name="_Toc532901164"/>
      <w:bookmarkStart w:id="189" w:name="_Toc6853"/>
      <w:bookmarkStart w:id="190" w:name="_Toc532138784"/>
      <w:r>
        <w:rPr>
          <w:rFonts w:hint="eastAsia" w:ascii="宋体" w:hAnsi="宋体" w:cs="宋体"/>
          <w:b/>
          <w:color w:val="auto"/>
          <w:sz w:val="28"/>
          <w:szCs w:val="28"/>
          <w:highlight w:val="none"/>
        </w:rPr>
        <w:t>13、如产品或服务属于小型、微型企业的，应提供《中小企业声明函》（格式见附件），并对其声明函真实性负责（如有，请提供）；</w:t>
      </w:r>
      <w:bookmarkEnd w:id="188"/>
      <w:bookmarkEnd w:id="189"/>
      <w:bookmarkEnd w:id="190"/>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附件</w:t>
      </w:r>
    </w:p>
    <w:p>
      <w:pPr>
        <w:pStyle w:val="13"/>
        <w:rPr>
          <w:rFonts w:hAnsi="宋体" w:cs="宋体"/>
          <w:b/>
          <w:color w:val="auto"/>
          <w:szCs w:val="21"/>
          <w:highlight w:val="none"/>
        </w:rPr>
      </w:pPr>
      <w:r>
        <w:rPr>
          <w:rFonts w:hint="eastAsia" w:hAnsi="宋体" w:cs="宋体"/>
          <w:b/>
          <w:color w:val="auto"/>
          <w:szCs w:val="21"/>
          <w:highlight w:val="none"/>
        </w:rPr>
        <w:t>中小企业声明函（如供应商为中小微型企业的，格式见附件，供应商对出具的声明函真实性负责，成交结果将同时公告企业《中小企业声明函》，接受社会监督）（如有，请提供）；</w:t>
      </w:r>
    </w:p>
    <w:p>
      <w:pPr>
        <w:snapToGrid w:val="0"/>
        <w:ind w:left="939" w:leftChars="196" w:hanging="527" w:hangingChars="250"/>
        <w:jc w:val="left"/>
        <w:rPr>
          <w:rFonts w:ascii="宋体" w:hAnsi="宋体" w:cs="宋体"/>
          <w:b/>
          <w:color w:val="auto"/>
          <w:szCs w:val="21"/>
          <w:highlight w:val="none"/>
        </w:rPr>
      </w:pPr>
    </w:p>
    <w:p>
      <w:pPr>
        <w:snapToGrid w:val="0"/>
        <w:jc w:val="left"/>
        <w:rPr>
          <w:rFonts w:ascii="宋体" w:hAnsi="宋体" w:cs="宋体"/>
          <w:b/>
          <w:color w:val="auto"/>
          <w:szCs w:val="21"/>
          <w:highlight w:val="none"/>
        </w:rPr>
      </w:pPr>
    </w:p>
    <w:p>
      <w:pPr>
        <w:snapToGrid w:val="0"/>
        <w:jc w:val="left"/>
        <w:rPr>
          <w:rFonts w:ascii="宋体" w:hAnsi="宋体" w:cs="宋体"/>
          <w:b/>
          <w:color w:val="auto"/>
          <w:szCs w:val="21"/>
          <w:highlight w:val="none"/>
        </w:rPr>
      </w:pPr>
      <w:r>
        <w:rPr>
          <w:rFonts w:hint="eastAsia" w:ascii="宋体" w:hAnsi="宋体" w:cs="宋体"/>
          <w:b/>
          <w:color w:val="auto"/>
          <w:szCs w:val="21"/>
          <w:highlight w:val="none"/>
        </w:rPr>
        <w:t>附件</w:t>
      </w:r>
    </w:p>
    <w:p>
      <w:pPr>
        <w:shd w:val="clear" w:color="auto" w:fill="FFFFFF"/>
        <w:spacing w:after="240"/>
        <w:ind w:firstLine="2795" w:firstLineChars="1326"/>
        <w:rPr>
          <w:b/>
          <w:color w:val="auto"/>
          <w:sz w:val="33"/>
          <w:highlight w:val="none"/>
        </w:rPr>
      </w:pPr>
      <w:r>
        <w:rPr>
          <w:rFonts w:hint="eastAsia" w:ascii="宋体" w:hAnsi="宋体" w:cs="宋体"/>
          <w:b/>
          <w:color w:val="auto"/>
          <w:szCs w:val="21"/>
          <w:highlight w:val="none"/>
        </w:rPr>
        <w:t>中小企业声明函（格式）</w:t>
      </w:r>
    </w:p>
    <w:p>
      <w:pPr>
        <w:pStyle w:val="8"/>
        <w:spacing w:before="0" w:line="312" w:lineRule="auto"/>
        <w:ind w:right="161" w:firstLine="480"/>
        <w:rPr>
          <w:color w:val="auto"/>
          <w:sz w:val="21"/>
          <w:szCs w:val="21"/>
          <w:highlight w:val="none"/>
        </w:rPr>
      </w:pPr>
      <w:r>
        <w:rPr>
          <w:color w:val="auto"/>
          <w:spacing w:val="-16"/>
          <w:sz w:val="21"/>
          <w:szCs w:val="21"/>
          <w:highlight w:val="none"/>
        </w:rPr>
        <w:t>本公司郑重声明，根据《政府采购促进中小企业发展管理办法</w:t>
      </w:r>
      <w:r>
        <w:rPr>
          <w:color w:val="auto"/>
          <w:spacing w:val="-204"/>
          <w:sz w:val="21"/>
          <w:szCs w:val="21"/>
          <w:highlight w:val="none"/>
        </w:rPr>
        <w:t>》</w:t>
      </w:r>
      <w:r>
        <w:rPr>
          <w:color w:val="auto"/>
          <w:spacing w:val="-3"/>
          <w:sz w:val="21"/>
          <w:szCs w:val="21"/>
          <w:highlight w:val="none"/>
        </w:rPr>
        <w:t>（</w:t>
      </w:r>
      <w:r>
        <w:rPr>
          <w:color w:val="auto"/>
          <w:sz w:val="21"/>
          <w:szCs w:val="21"/>
          <w:highlight w:val="none"/>
        </w:rPr>
        <w:t>财库﹝2020﹞46 号</w:t>
      </w:r>
      <w:r>
        <w:rPr>
          <w:color w:val="auto"/>
          <w:spacing w:val="-15"/>
          <w:sz w:val="21"/>
          <w:szCs w:val="21"/>
          <w:highlight w:val="none"/>
        </w:rPr>
        <w:t xml:space="preserve">） </w:t>
      </w:r>
      <w:r>
        <w:rPr>
          <w:color w:val="auto"/>
          <w:sz w:val="21"/>
          <w:szCs w:val="21"/>
          <w:highlight w:val="none"/>
        </w:rPr>
        <w:t>的规定，本公司参加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采购活动，提供的货物全部由符合政策要求的中小企业制造。相关企业（含联合体中的中小企业、签订分包意向协议的中小企业）的具体情况如下：</w:t>
      </w:r>
    </w:p>
    <w:p>
      <w:pPr>
        <w:pStyle w:val="8"/>
        <w:tabs>
          <w:tab w:val="left" w:pos="2634"/>
          <w:tab w:val="left" w:pos="5173"/>
          <w:tab w:val="left" w:pos="8195"/>
        </w:tabs>
        <w:spacing w:before="0" w:line="312" w:lineRule="auto"/>
        <w:ind w:right="281" w:firstLine="480"/>
        <w:rPr>
          <w:color w:val="auto"/>
          <w:sz w:val="21"/>
          <w:szCs w:val="21"/>
          <w:highlight w:val="none"/>
        </w:rPr>
      </w:pPr>
      <w:r>
        <w:rPr>
          <w:color w:val="auto"/>
          <w:spacing w:val="-4"/>
          <w:sz w:val="21"/>
          <w:szCs w:val="21"/>
          <w:highlight w:val="none"/>
        </w:rPr>
        <w:t>1.</w:t>
      </w:r>
      <w:r>
        <w:rPr>
          <w:color w:val="auto"/>
          <w:spacing w:val="-4"/>
          <w:sz w:val="21"/>
          <w:szCs w:val="21"/>
          <w:highlight w:val="none"/>
          <w:u w:val="single"/>
        </w:rPr>
        <w:t>（</w:t>
      </w:r>
      <w:r>
        <w:rPr>
          <w:color w:val="auto"/>
          <w:sz w:val="21"/>
          <w:szCs w:val="21"/>
          <w:highlight w:val="none"/>
          <w:u w:val="single"/>
        </w:rPr>
        <w:t>标的名称）</w:t>
      </w:r>
      <w:r>
        <w:rPr>
          <w:color w:val="auto"/>
          <w:spacing w:val="-8"/>
          <w:sz w:val="21"/>
          <w:szCs w:val="21"/>
          <w:highlight w:val="none"/>
        </w:rPr>
        <w:t xml:space="preserve"> ，</w:t>
      </w:r>
      <w:r>
        <w:rPr>
          <w:color w:val="auto"/>
          <w:sz w:val="21"/>
          <w:szCs w:val="21"/>
          <w:highlight w:val="none"/>
        </w:rPr>
        <w:t>属</w:t>
      </w:r>
      <w:r>
        <w:rPr>
          <w:color w:val="auto"/>
          <w:spacing w:val="-8"/>
          <w:sz w:val="21"/>
          <w:szCs w:val="21"/>
          <w:highlight w:val="none"/>
        </w:rPr>
        <w:t>于</w:t>
      </w:r>
      <w:r>
        <w:rPr>
          <w:color w:val="auto"/>
          <w:spacing w:val="-3"/>
          <w:sz w:val="21"/>
          <w:szCs w:val="21"/>
          <w:highlight w:val="none"/>
          <w:u w:val="single"/>
        </w:rPr>
        <w:t>（</w:t>
      </w:r>
      <w:r>
        <w:rPr>
          <w:color w:val="auto"/>
          <w:sz w:val="21"/>
          <w:szCs w:val="21"/>
          <w:highlight w:val="none"/>
          <w:u w:val="single"/>
        </w:rPr>
        <w:t>采购文件中明确的所属行业</w:t>
      </w:r>
      <w:r>
        <w:rPr>
          <w:color w:val="auto"/>
          <w:spacing w:val="-10"/>
          <w:sz w:val="21"/>
          <w:szCs w:val="21"/>
          <w:highlight w:val="none"/>
          <w:u w:val="single"/>
        </w:rPr>
        <w:t>）</w:t>
      </w:r>
      <w:r>
        <w:rPr>
          <w:color w:val="auto"/>
          <w:sz w:val="21"/>
          <w:szCs w:val="21"/>
          <w:highlight w:val="none"/>
        </w:rPr>
        <w:t>行业</w:t>
      </w:r>
      <w:r>
        <w:rPr>
          <w:color w:val="auto"/>
          <w:spacing w:val="2"/>
          <w:sz w:val="21"/>
          <w:szCs w:val="21"/>
          <w:highlight w:val="none"/>
        </w:rPr>
        <w:t xml:space="preserve"> </w:t>
      </w:r>
      <w:r>
        <w:rPr>
          <w:color w:val="auto"/>
          <w:spacing w:val="-8"/>
          <w:sz w:val="21"/>
          <w:szCs w:val="21"/>
          <w:highlight w:val="none"/>
        </w:rPr>
        <w:t>；</w:t>
      </w:r>
      <w:r>
        <w:rPr>
          <w:color w:val="auto"/>
          <w:sz w:val="21"/>
          <w:szCs w:val="21"/>
          <w:highlight w:val="none"/>
        </w:rPr>
        <w:t>制造商为</w:t>
      </w:r>
      <w:r>
        <w:rPr>
          <w:color w:val="auto"/>
          <w:spacing w:val="-8"/>
          <w:sz w:val="21"/>
          <w:szCs w:val="21"/>
          <w:highlight w:val="none"/>
        </w:rPr>
        <w:t xml:space="preserve"> </w:t>
      </w:r>
      <w:r>
        <w:rPr>
          <w:color w:val="auto"/>
          <w:sz w:val="21"/>
          <w:szCs w:val="21"/>
          <w:highlight w:val="none"/>
          <w:u w:val="single"/>
        </w:rPr>
        <w:t>（企业</w:t>
      </w:r>
      <w:r>
        <w:rPr>
          <w:color w:val="auto"/>
          <w:spacing w:val="-10"/>
          <w:sz w:val="21"/>
          <w:szCs w:val="21"/>
          <w:highlight w:val="none"/>
          <w:u w:val="single"/>
        </w:rPr>
        <w:t>名</w:t>
      </w:r>
      <w:r>
        <w:rPr>
          <w:color w:val="auto"/>
          <w:spacing w:val="-220"/>
          <w:sz w:val="21"/>
          <w:szCs w:val="21"/>
          <w:highlight w:val="none"/>
          <w:u w:val="single"/>
        </w:rPr>
        <w:t>称</w:t>
      </w:r>
      <w:r>
        <w:rPr>
          <w:color w:val="auto"/>
          <w:sz w:val="21"/>
          <w:szCs w:val="21"/>
          <w:highlight w:val="none"/>
          <w:u w:val="single"/>
        </w:rPr>
        <w:t>）</w:t>
      </w:r>
      <w:r>
        <w:rPr>
          <w:color w:val="auto"/>
          <w:spacing w:val="2"/>
          <w:sz w:val="21"/>
          <w:szCs w:val="21"/>
          <w:highlight w:val="none"/>
          <w:u w:val="single"/>
        </w:rPr>
        <w:t xml:space="preserve"> </w:t>
      </w:r>
      <w:r>
        <w:rPr>
          <w:color w:val="auto"/>
          <w:sz w:val="21"/>
          <w:szCs w:val="21"/>
          <w:highlight w:val="none"/>
          <w:u w:val="single"/>
        </w:rPr>
        <w:t>，</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人，</w:t>
      </w:r>
      <w:r>
        <w:rPr>
          <w:color w:val="auto"/>
          <w:sz w:val="21"/>
          <w:szCs w:val="21"/>
          <w:highlight w:val="none"/>
        </w:rPr>
        <w:t>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万元，</w:t>
      </w:r>
      <w:r>
        <w:rPr>
          <w:color w:val="auto"/>
          <w:sz w:val="21"/>
          <w:szCs w:val="21"/>
          <w:highlight w:val="none"/>
        </w:rPr>
        <w:t>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p>
    <w:p>
      <w:pPr>
        <w:pStyle w:val="8"/>
        <w:rPr>
          <w:color w:val="auto"/>
          <w:sz w:val="21"/>
          <w:szCs w:val="21"/>
          <w:highlight w:val="none"/>
        </w:rPr>
      </w:pPr>
      <w:r>
        <w:rPr>
          <w:color w:val="auto"/>
          <w:sz w:val="21"/>
          <w:szCs w:val="21"/>
          <w:highlight w:val="none"/>
          <w:u w:val="single"/>
        </w:rPr>
        <w:t>（中型企业、小型企业、微型企业）；</w:t>
      </w:r>
    </w:p>
    <w:p>
      <w:pPr>
        <w:pStyle w:val="8"/>
        <w:tabs>
          <w:tab w:val="left" w:pos="1669"/>
          <w:tab w:val="left" w:pos="3843"/>
          <w:tab w:val="left" w:pos="6263"/>
        </w:tabs>
        <w:spacing w:before="91" w:line="312" w:lineRule="auto"/>
        <w:ind w:right="156" w:firstLine="480"/>
        <w:rPr>
          <w:color w:val="auto"/>
          <w:sz w:val="21"/>
          <w:szCs w:val="21"/>
          <w:highlight w:val="none"/>
        </w:rPr>
      </w:pPr>
      <w:r>
        <w:rPr>
          <w:color w:val="auto"/>
          <w:spacing w:val="-21"/>
          <w:sz w:val="21"/>
          <w:szCs w:val="21"/>
          <w:highlight w:val="none"/>
        </w:rPr>
        <w:t>2.（</w:t>
      </w:r>
      <w:r>
        <w:rPr>
          <w:color w:val="auto"/>
          <w:sz w:val="21"/>
          <w:szCs w:val="21"/>
          <w:highlight w:val="none"/>
          <w:u w:val="single"/>
        </w:rPr>
        <w:t>标的名称</w:t>
      </w:r>
      <w:r>
        <w:rPr>
          <w:color w:val="auto"/>
          <w:spacing w:val="-59"/>
          <w:sz w:val="21"/>
          <w:szCs w:val="21"/>
          <w:highlight w:val="none"/>
          <w:u w:val="single"/>
        </w:rPr>
        <w:t>），</w:t>
      </w:r>
      <w:r>
        <w:rPr>
          <w:color w:val="auto"/>
          <w:sz w:val="21"/>
          <w:szCs w:val="21"/>
          <w:highlight w:val="none"/>
        </w:rPr>
        <w:t>属</w:t>
      </w:r>
      <w:r>
        <w:rPr>
          <w:color w:val="auto"/>
          <w:spacing w:val="-58"/>
          <w:sz w:val="21"/>
          <w:szCs w:val="21"/>
          <w:highlight w:val="none"/>
        </w:rPr>
        <w:t>于</w:t>
      </w:r>
      <w:r>
        <w:rPr>
          <w:color w:val="auto"/>
          <w:spacing w:val="-3"/>
          <w:sz w:val="21"/>
          <w:szCs w:val="21"/>
          <w:highlight w:val="none"/>
        </w:rPr>
        <w:t>（</w:t>
      </w:r>
      <w:r>
        <w:rPr>
          <w:color w:val="auto"/>
          <w:sz w:val="21"/>
          <w:szCs w:val="21"/>
          <w:highlight w:val="none"/>
          <w:u w:val="single"/>
        </w:rPr>
        <w:t>采购文件中明确的所属行业</w:t>
      </w:r>
      <w:r>
        <w:rPr>
          <w:color w:val="auto"/>
          <w:spacing w:val="-60"/>
          <w:sz w:val="21"/>
          <w:szCs w:val="21"/>
          <w:highlight w:val="none"/>
          <w:u w:val="single"/>
        </w:rPr>
        <w:t>）</w:t>
      </w:r>
      <w:r>
        <w:rPr>
          <w:color w:val="auto"/>
          <w:sz w:val="21"/>
          <w:szCs w:val="21"/>
          <w:highlight w:val="none"/>
        </w:rPr>
        <w:t>行业</w:t>
      </w:r>
      <w:r>
        <w:rPr>
          <w:color w:val="auto"/>
          <w:spacing w:val="-58"/>
          <w:sz w:val="21"/>
          <w:szCs w:val="21"/>
          <w:highlight w:val="none"/>
        </w:rPr>
        <w:t>；</w:t>
      </w:r>
      <w:r>
        <w:rPr>
          <w:color w:val="auto"/>
          <w:sz w:val="21"/>
          <w:szCs w:val="21"/>
          <w:highlight w:val="none"/>
        </w:rPr>
        <w:t>制造商为</w:t>
      </w:r>
      <w:r>
        <w:rPr>
          <w:color w:val="auto"/>
          <w:spacing w:val="-56"/>
          <w:sz w:val="21"/>
          <w:szCs w:val="21"/>
          <w:highlight w:val="none"/>
        </w:rPr>
        <w:t xml:space="preserve"> </w:t>
      </w:r>
      <w:r>
        <w:rPr>
          <w:color w:val="auto"/>
          <w:spacing w:val="-3"/>
          <w:sz w:val="21"/>
          <w:szCs w:val="21"/>
          <w:highlight w:val="none"/>
        </w:rPr>
        <w:t>（</w:t>
      </w:r>
      <w:r>
        <w:rPr>
          <w:color w:val="auto"/>
          <w:sz w:val="21"/>
          <w:szCs w:val="21"/>
          <w:highlight w:val="none"/>
          <w:u w:val="single"/>
        </w:rPr>
        <w:t>企业名称</w:t>
      </w:r>
      <w:r>
        <w:rPr>
          <w:color w:val="auto"/>
          <w:spacing w:val="-5"/>
          <w:sz w:val="21"/>
          <w:szCs w:val="21"/>
          <w:highlight w:val="none"/>
          <w:u w:val="single"/>
        </w:rPr>
        <w:t xml:space="preserve">）， </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color w:val="auto"/>
          <w:sz w:val="21"/>
          <w:szCs w:val="21"/>
          <w:highlight w:val="none"/>
          <w:u w:val="single"/>
        </w:rPr>
        <w:t>（中型企业、小型</w:t>
      </w:r>
      <w:r>
        <w:rPr>
          <w:color w:val="auto"/>
          <w:spacing w:val="-127"/>
          <w:sz w:val="21"/>
          <w:szCs w:val="21"/>
          <w:highlight w:val="none"/>
          <w:u w:val="single"/>
        </w:rPr>
        <w:t>企</w:t>
      </w:r>
      <w:r>
        <w:rPr>
          <w:color w:val="auto"/>
          <w:spacing w:val="-220"/>
          <w:sz w:val="21"/>
          <w:szCs w:val="21"/>
          <w:highlight w:val="none"/>
          <w:u w:val="single"/>
        </w:rPr>
        <w:t>业</w:t>
      </w:r>
      <w:r>
        <w:rPr>
          <w:color w:val="auto"/>
          <w:sz w:val="21"/>
          <w:szCs w:val="21"/>
          <w:highlight w:val="none"/>
          <w:u w:val="single"/>
        </w:rPr>
        <w:t>、微型企业）</w:t>
      </w:r>
    </w:p>
    <w:p>
      <w:pPr>
        <w:pStyle w:val="8"/>
        <w:spacing w:before="1" w:line="312" w:lineRule="auto"/>
        <w:ind w:right="281" w:firstLine="480"/>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8"/>
        <w:ind w:left="697"/>
        <w:rPr>
          <w:color w:val="auto"/>
          <w:sz w:val="21"/>
          <w:szCs w:val="21"/>
          <w:highlight w:val="none"/>
        </w:rPr>
      </w:pPr>
      <w:r>
        <w:rPr>
          <w:color w:val="auto"/>
          <w:sz w:val="21"/>
          <w:szCs w:val="21"/>
          <w:highlight w:val="none"/>
        </w:rPr>
        <w:t>本企业对上述声明内容的真实性负责。如有虚假，将依法承担相应责任。</w:t>
      </w:r>
    </w:p>
    <w:p>
      <w:pPr>
        <w:widowControl/>
        <w:shd w:val="clear" w:color="auto" w:fill="FFFFFF"/>
        <w:spacing w:after="240"/>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widowControl/>
        <w:shd w:val="clear" w:color="auto" w:fill="FFFFFF"/>
        <w:spacing w:after="240"/>
        <w:ind w:firstLine="5094" w:firstLineChars="2426"/>
        <w:jc w:val="left"/>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r>
        <w:rPr>
          <w:rFonts w:hint="eastAsia" w:ascii="宋体" w:hAnsi="宋体" w:cs="宋体"/>
          <w:color w:val="auto"/>
          <w:kern w:val="0"/>
          <w:szCs w:val="21"/>
          <w:highlight w:val="none"/>
          <w:u w:val="single"/>
        </w:rPr>
        <w:t xml:space="preserve">          .   </w:t>
      </w:r>
    </w:p>
    <w:p>
      <w:pPr>
        <w:widowControl/>
        <w:shd w:val="clear" w:color="auto" w:fill="FFFFFF"/>
        <w:spacing w:after="240"/>
        <w:jc w:val="left"/>
        <w:rPr>
          <w:rFonts w:ascii="宋体" w:hAnsi="宋体" w:cs="宋体"/>
          <w:color w:val="auto"/>
          <w:kern w:val="0"/>
          <w:szCs w:val="21"/>
          <w:highlight w:val="none"/>
        </w:rPr>
      </w:pPr>
      <w:r>
        <w:rPr>
          <w:rFonts w:hint="eastAsia" w:ascii="宋体" w:hAnsi="宋体" w:cs="宋体"/>
          <w:color w:val="auto"/>
          <w:kern w:val="0"/>
          <w:szCs w:val="21"/>
          <w:highlight w:val="none"/>
        </w:rPr>
        <w:t>　　　　　　　　　　　　　　　　　　　　　　　　　日期：</w:t>
      </w:r>
      <w:r>
        <w:rPr>
          <w:rFonts w:hint="eastAsia" w:ascii="宋体" w:hAnsi="宋体" w:cs="宋体"/>
          <w:color w:val="auto"/>
          <w:kern w:val="0"/>
          <w:szCs w:val="21"/>
          <w:highlight w:val="none"/>
          <w:u w:val="single"/>
        </w:rPr>
        <w:t xml:space="preserve">                    .</w:t>
      </w:r>
    </w:p>
    <w:p>
      <w:pPr>
        <w:pStyle w:val="7"/>
        <w:spacing w:line="391" w:lineRule="auto"/>
        <w:ind w:left="217" w:right="250" w:firstLine="480"/>
        <w:rPr>
          <w:b w:val="0"/>
          <w:bCs w:val="0"/>
          <w:color w:val="auto"/>
          <w:sz w:val="21"/>
          <w:szCs w:val="21"/>
          <w:highlight w:val="none"/>
          <w:lang w:val="en-US" w:bidi="ar-SA"/>
        </w:rPr>
      </w:pPr>
      <w:r>
        <w:rPr>
          <w:rFonts w:hint="eastAsia"/>
          <w:b w:val="0"/>
          <w:bCs w:val="0"/>
          <w:color w:val="auto"/>
          <w:sz w:val="21"/>
          <w:szCs w:val="21"/>
          <w:highlight w:val="none"/>
          <w:lang w:val="en-US" w:bidi="ar-SA"/>
        </w:rPr>
        <w:t>注：1.从业人员、营业收入、资产总额填报上一年度数据，无上一年度数据的新成立企业可不填报。</w:t>
      </w:r>
    </w:p>
    <w:p>
      <w:pPr>
        <w:pStyle w:val="7"/>
        <w:numPr>
          <w:ilvl w:val="0"/>
          <w:numId w:val="7"/>
        </w:numPr>
        <w:spacing w:line="391" w:lineRule="auto"/>
        <w:ind w:left="217" w:right="245" w:firstLine="480"/>
        <w:rPr>
          <w:b w:val="0"/>
          <w:bCs w:val="0"/>
          <w:color w:val="auto"/>
          <w:sz w:val="21"/>
          <w:szCs w:val="21"/>
          <w:highlight w:val="none"/>
          <w:lang w:val="en-US" w:bidi="ar-SA"/>
        </w:rPr>
      </w:pPr>
      <w:r>
        <w:rPr>
          <w:rFonts w:hint="eastAsia"/>
          <w:b w:val="0"/>
          <w:bCs w:val="0"/>
          <w:color w:val="auto"/>
          <w:sz w:val="21"/>
          <w:szCs w:val="21"/>
          <w:highlight w:val="none"/>
          <w:lang w:val="en-US" w:bidi="ar-SA"/>
        </w:rPr>
        <w:t>中小企业在政府采购活动过程中，请根据自己的真实情况出具本声明函。依法享受中小企业优惠政策的，采购人或采购代理机构在公告成交结果时，同时公告其《中小企业声明函》，接受社会监督 。</w:t>
      </w:r>
    </w:p>
    <w:p>
      <w:pPr>
        <w:pStyle w:val="13"/>
        <w:outlineLvl w:val="1"/>
        <w:rPr>
          <w:rFonts w:hAnsi="宋体" w:cs="宋体"/>
          <w:b/>
          <w:color w:val="auto"/>
          <w:sz w:val="28"/>
          <w:szCs w:val="28"/>
          <w:highlight w:val="none"/>
        </w:rPr>
      </w:pPr>
      <w:bookmarkStart w:id="191" w:name="_Toc21450"/>
      <w:bookmarkStart w:id="192" w:name="_Toc531905347"/>
      <w:bookmarkStart w:id="193" w:name="_Toc26165"/>
      <w:r>
        <w:rPr>
          <w:rFonts w:hint="eastAsia" w:hAnsi="宋体" w:cs="宋体"/>
          <w:b/>
          <w:bCs/>
          <w:color w:val="auto"/>
          <w:sz w:val="32"/>
          <w:szCs w:val="32"/>
          <w:highlight w:val="none"/>
        </w:rPr>
        <w:br w:type="page"/>
      </w:r>
      <w:bookmarkStart w:id="194" w:name="_Toc31919"/>
      <w:bookmarkStart w:id="195" w:name="_Toc532901165"/>
      <w:bookmarkStart w:id="196" w:name="_Toc532138785"/>
      <w:r>
        <w:rPr>
          <w:rFonts w:hint="eastAsia" w:hAnsi="宋体" w:cs="宋体"/>
          <w:b/>
          <w:color w:val="auto"/>
          <w:sz w:val="28"/>
          <w:szCs w:val="28"/>
          <w:highlight w:val="none"/>
        </w:rPr>
        <w:t>14、如产品或服务属于监狱企业的，以提供由省级以上监狱管理局、戒毒管理局（含新疆生产建设兵团）出具的属于监狱企业的证明文件为准（如有，请提供）；</w:t>
      </w:r>
      <w:bookmarkEnd w:id="191"/>
      <w:bookmarkEnd w:id="192"/>
      <w:bookmarkEnd w:id="193"/>
      <w:bookmarkEnd w:id="194"/>
      <w:bookmarkEnd w:id="195"/>
      <w:bookmarkEnd w:id="196"/>
    </w:p>
    <w:p>
      <w:pPr>
        <w:pStyle w:val="13"/>
        <w:rPr>
          <w:rFonts w:hAnsi="宋体" w:cs="宋体"/>
          <w:b/>
          <w:bCs/>
          <w:color w:val="auto"/>
          <w:sz w:val="32"/>
          <w:szCs w:val="32"/>
          <w:highlight w:val="none"/>
        </w:rPr>
      </w:pPr>
    </w:p>
    <w:p>
      <w:pPr>
        <w:pStyle w:val="6"/>
        <w:rPr>
          <w:color w:val="auto"/>
          <w:highlight w:val="none"/>
        </w:rPr>
      </w:pPr>
    </w:p>
    <w:p>
      <w:pPr>
        <w:spacing w:line="440" w:lineRule="atLeast"/>
        <w:outlineLvl w:val="1"/>
        <w:rPr>
          <w:rFonts w:ascii="宋体" w:hAnsi="宋体" w:cs="宋体"/>
          <w:b/>
          <w:color w:val="auto"/>
          <w:sz w:val="28"/>
          <w:szCs w:val="28"/>
          <w:highlight w:val="none"/>
        </w:rPr>
      </w:pPr>
      <w:bookmarkStart w:id="197" w:name="_Toc29276"/>
      <w:bookmarkStart w:id="198" w:name="_Toc13410"/>
      <w:bookmarkStart w:id="199" w:name="_Toc531905348"/>
      <w:bookmarkStart w:id="200" w:name="_Toc532138786"/>
      <w:bookmarkStart w:id="201" w:name="_Toc9396"/>
      <w:bookmarkStart w:id="202" w:name="_Toc532901166"/>
      <w:r>
        <w:rPr>
          <w:rFonts w:hint="eastAsia" w:ascii="宋体" w:hAnsi="宋体" w:cs="宋体"/>
          <w:b/>
          <w:color w:val="auto"/>
          <w:sz w:val="28"/>
          <w:szCs w:val="28"/>
          <w:highlight w:val="none"/>
        </w:rPr>
        <w:t>15、符合条件的残疾人福利性单位在参加政府采购活动时，应当提供《残疾人福利性单位声明函》（见附件），并对声明的真实性负责（如有，请提供）</w:t>
      </w:r>
      <w:bookmarkEnd w:id="197"/>
      <w:bookmarkEnd w:id="198"/>
      <w:bookmarkEnd w:id="199"/>
      <w:bookmarkEnd w:id="200"/>
      <w:bookmarkEnd w:id="201"/>
      <w:r>
        <w:rPr>
          <w:rFonts w:hint="eastAsia" w:ascii="宋体" w:hAnsi="宋体" w:cs="宋体"/>
          <w:b/>
          <w:color w:val="auto"/>
          <w:sz w:val="28"/>
          <w:szCs w:val="28"/>
          <w:highlight w:val="none"/>
        </w:rPr>
        <w:t>；</w:t>
      </w:r>
      <w:bookmarkEnd w:id="202"/>
    </w:p>
    <w:p>
      <w:pPr>
        <w:spacing w:line="588" w:lineRule="exact"/>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残疾人福利性单位声明函</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单位名称（盖公章）：</w:t>
      </w:r>
    </w:p>
    <w:p>
      <w:pPr>
        <w:tabs>
          <w:tab w:val="left" w:pos="4860"/>
        </w:tabs>
        <w:spacing w:line="588" w:lineRule="exact"/>
        <w:ind w:right="1560" w:firstLine="504" w:firstLineChars="200"/>
        <w:jc w:val="center"/>
        <w:rPr>
          <w:rFonts w:ascii="宋体" w:hAnsi="宋体" w:cs="宋体"/>
          <w:b/>
          <w:color w:val="auto"/>
          <w:sz w:val="28"/>
          <w:szCs w:val="28"/>
          <w:highlight w:val="none"/>
        </w:rPr>
      </w:pPr>
      <w:r>
        <w:rPr>
          <w:rFonts w:hint="eastAsia" w:ascii="宋体" w:hAnsi="宋体" w:cs="宋体"/>
          <w:color w:val="auto"/>
          <w:spacing w:val="6"/>
          <w:sz w:val="24"/>
          <w:highlight w:val="none"/>
        </w:rPr>
        <w:t>日  期：</w:t>
      </w:r>
    </w:p>
    <w:p>
      <w:pPr>
        <w:pStyle w:val="13"/>
        <w:spacing w:line="360" w:lineRule="exact"/>
        <w:rPr>
          <w:rFonts w:hAnsi="宋体" w:cs="宋体"/>
          <w:b/>
          <w:color w:val="auto"/>
          <w:sz w:val="32"/>
          <w:szCs w:val="32"/>
          <w:highlight w:val="none"/>
        </w:rPr>
      </w:pPr>
    </w:p>
    <w:p>
      <w:pPr>
        <w:pStyle w:val="13"/>
        <w:spacing w:line="360" w:lineRule="exact"/>
        <w:rPr>
          <w:rFonts w:hAnsi="宋体" w:cs="宋体"/>
          <w:b/>
          <w:color w:val="auto"/>
          <w:sz w:val="32"/>
          <w:szCs w:val="32"/>
          <w:highlight w:val="none"/>
        </w:rPr>
      </w:pPr>
    </w:p>
    <w:p>
      <w:pPr>
        <w:pStyle w:val="13"/>
        <w:spacing w:line="360" w:lineRule="exact"/>
        <w:rPr>
          <w:rFonts w:hAnsi="宋体" w:cs="宋体"/>
          <w:b/>
          <w:color w:val="auto"/>
          <w:sz w:val="32"/>
          <w:szCs w:val="32"/>
          <w:highlight w:val="none"/>
        </w:rPr>
      </w:pPr>
    </w:p>
    <w:p>
      <w:pPr>
        <w:spacing w:line="440" w:lineRule="atLeast"/>
        <w:outlineLvl w:val="1"/>
        <w:rPr>
          <w:rFonts w:ascii="宋体" w:hAnsi="宋体" w:cs="宋体"/>
          <w:b/>
          <w:color w:val="auto"/>
          <w:sz w:val="28"/>
          <w:szCs w:val="28"/>
          <w:highlight w:val="none"/>
        </w:rPr>
      </w:pPr>
      <w:bookmarkStart w:id="203" w:name="_Toc532901167"/>
      <w:bookmarkStart w:id="204" w:name="_Toc528313252"/>
      <w:bookmarkStart w:id="205" w:name="_Toc3211"/>
      <w:bookmarkStart w:id="206" w:name="_Toc23860"/>
      <w:r>
        <w:rPr>
          <w:rFonts w:hint="eastAsia" w:ascii="宋体" w:hAnsi="宋体" w:cs="宋体"/>
          <w:b/>
          <w:color w:val="auto"/>
          <w:sz w:val="28"/>
          <w:szCs w:val="28"/>
          <w:highlight w:val="none"/>
        </w:rPr>
        <w:t>16、供应商可结合本项目自身情况自行提交其它相关证明材料。</w:t>
      </w:r>
      <w:bookmarkEnd w:id="203"/>
      <w:bookmarkEnd w:id="204"/>
      <w:bookmarkEnd w:id="205"/>
      <w:bookmarkEnd w:id="206"/>
    </w:p>
    <w:p>
      <w:pPr>
        <w:rPr>
          <w:color w:val="auto"/>
          <w:highlight w:val="none"/>
        </w:rPr>
      </w:pPr>
    </w:p>
    <w:sectPr>
      <w:headerReference r:id="rId9" w:type="default"/>
      <w:footerReference r:id="rId10"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 PAGE   \* MERGEFORMAT </w:instrText>
                          </w:r>
                          <w:r>
                            <w:fldChar w:fldCharType="separate"/>
                          </w:r>
                          <w:r>
                            <w:rPr>
                              <w:lang w:val="zh-CN"/>
                            </w:rPr>
                            <w:t>35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35</w:t>
                    </w:r>
                    <w:r>
                      <w:rPr>
                        <w:lang w:val="zh-CN"/>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6F9563"/>
    <w:multiLevelType w:val="singleLevel"/>
    <w:tmpl w:val="D56F9563"/>
    <w:lvl w:ilvl="0" w:tentative="0">
      <w:start w:val="2"/>
      <w:numFmt w:val="decimal"/>
      <w:lvlText w:val="%1."/>
      <w:lvlJc w:val="left"/>
      <w:pPr>
        <w:tabs>
          <w:tab w:val="left" w:pos="312"/>
        </w:tabs>
      </w:pPr>
    </w:lvl>
  </w:abstractNum>
  <w:abstractNum w:abstractNumId="1">
    <w:nsid w:val="DA6E8A5A"/>
    <w:multiLevelType w:val="singleLevel"/>
    <w:tmpl w:val="DA6E8A5A"/>
    <w:lvl w:ilvl="0" w:tentative="0">
      <w:start w:val="3"/>
      <w:numFmt w:val="decimal"/>
      <w:suff w:val="nothing"/>
      <w:lvlText w:val="%1、"/>
      <w:lvlJc w:val="left"/>
    </w:lvl>
  </w:abstractNum>
  <w:abstractNum w:abstractNumId="2">
    <w:nsid w:val="043D9D0B"/>
    <w:multiLevelType w:val="singleLevel"/>
    <w:tmpl w:val="043D9D0B"/>
    <w:lvl w:ilvl="0" w:tentative="0">
      <w:start w:val="2"/>
      <w:numFmt w:val="decimal"/>
      <w:suff w:val="nothing"/>
      <w:lvlText w:val="%1、"/>
      <w:lvlJc w:val="left"/>
      <w:pPr>
        <w:ind w:left="0" w:firstLine="0"/>
      </w:pPr>
    </w:lvl>
  </w:abstractNum>
  <w:abstractNum w:abstractNumId="3">
    <w:nsid w:val="20534D2B"/>
    <w:multiLevelType w:val="singleLevel"/>
    <w:tmpl w:val="20534D2B"/>
    <w:lvl w:ilvl="0" w:tentative="0">
      <w:start w:val="1"/>
      <w:numFmt w:val="chineseCounting"/>
      <w:suff w:val="nothing"/>
      <w:lvlText w:val="%1、"/>
      <w:lvlJc w:val="left"/>
      <w:rPr>
        <w:rFonts w:hint="eastAsia"/>
      </w:rPr>
    </w:lvl>
  </w:abstractNum>
  <w:abstractNum w:abstractNumId="4">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3A3175D3"/>
    <w:multiLevelType w:val="singleLevel"/>
    <w:tmpl w:val="3A3175D3"/>
    <w:lvl w:ilvl="0" w:tentative="0">
      <w:start w:val="12"/>
      <w:numFmt w:val="decimal"/>
      <w:suff w:val="nothing"/>
      <w:lvlText w:val="%1、"/>
      <w:lvlJc w:val="left"/>
    </w:lvl>
  </w:abstractNum>
  <w:abstractNum w:abstractNumId="6">
    <w:nsid w:val="46976ABF"/>
    <w:multiLevelType w:val="singleLevel"/>
    <w:tmpl w:val="46976ABF"/>
    <w:lvl w:ilvl="0" w:tentative="0">
      <w:start w:val="1"/>
      <w:numFmt w:val="decimal"/>
      <w:suff w:val="nothing"/>
      <w:lvlText w:val="（%1）"/>
      <w:lvlJc w:val="left"/>
    </w:lvl>
  </w:abstractNum>
  <w:num w:numId="1">
    <w:abstractNumId w:val="1"/>
  </w:num>
  <w:num w:numId="2">
    <w:abstractNumId w:val="3"/>
  </w:num>
  <w:num w:numId="3">
    <w:abstractNumId w:val="6"/>
  </w:num>
  <w:num w:numId="4">
    <w:abstractNumId w:val="2"/>
    <w:lvlOverride w:ilvl="0">
      <w:startOverride w:val="2"/>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62B53"/>
    <w:rsid w:val="000A2342"/>
    <w:rsid w:val="0010174E"/>
    <w:rsid w:val="001C6C3C"/>
    <w:rsid w:val="002B7FC4"/>
    <w:rsid w:val="00407CF1"/>
    <w:rsid w:val="004B1E02"/>
    <w:rsid w:val="004D1CA9"/>
    <w:rsid w:val="005C1051"/>
    <w:rsid w:val="005F14A9"/>
    <w:rsid w:val="00663841"/>
    <w:rsid w:val="0089569D"/>
    <w:rsid w:val="009A084D"/>
    <w:rsid w:val="009B00A1"/>
    <w:rsid w:val="009D5197"/>
    <w:rsid w:val="00B84A33"/>
    <w:rsid w:val="00BB124D"/>
    <w:rsid w:val="00BF1F52"/>
    <w:rsid w:val="00C30042"/>
    <w:rsid w:val="00FA00BE"/>
    <w:rsid w:val="0C162B53"/>
    <w:rsid w:val="12AA42F4"/>
    <w:rsid w:val="1EE97076"/>
    <w:rsid w:val="23C3709C"/>
    <w:rsid w:val="29AF63A5"/>
    <w:rsid w:val="2D4F0F76"/>
    <w:rsid w:val="2EFB2608"/>
    <w:rsid w:val="310515AB"/>
    <w:rsid w:val="31AF47C4"/>
    <w:rsid w:val="33001002"/>
    <w:rsid w:val="3C082015"/>
    <w:rsid w:val="3F513BE7"/>
    <w:rsid w:val="420609D7"/>
    <w:rsid w:val="44A60A09"/>
    <w:rsid w:val="49C36CF6"/>
    <w:rsid w:val="4C92502C"/>
    <w:rsid w:val="509423B8"/>
    <w:rsid w:val="56232030"/>
    <w:rsid w:val="5A95743E"/>
    <w:rsid w:val="5B4B7655"/>
    <w:rsid w:val="603036D7"/>
    <w:rsid w:val="6638652B"/>
    <w:rsid w:val="6AAF5804"/>
    <w:rsid w:val="6E89291C"/>
    <w:rsid w:val="73876A7E"/>
    <w:rsid w:val="762C513A"/>
    <w:rsid w:val="7EEB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1"/>
    <w:pPr>
      <w:ind w:left="298"/>
      <w:outlineLvl w:val="4"/>
    </w:pPr>
    <w:rPr>
      <w:rFonts w:ascii="宋体" w:hAnsi="宋体" w:cs="宋体"/>
      <w:b/>
      <w:bCs/>
      <w:sz w:val="24"/>
      <w:lang w:val="zh-CN" w:bidi="zh-CN"/>
    </w:rPr>
  </w:style>
  <w:style w:type="paragraph" w:styleId="8">
    <w:name w:val="heading 6"/>
    <w:basedOn w:val="1"/>
    <w:next w:val="1"/>
    <w:qFormat/>
    <w:uiPriority w:val="1"/>
    <w:pPr>
      <w:spacing w:before="2"/>
      <w:ind w:left="217"/>
      <w:outlineLvl w:val="5"/>
    </w:pPr>
    <w:rPr>
      <w:rFonts w:ascii="宋体" w:hAnsi="宋体" w:cs="宋体"/>
      <w:sz w:val="24"/>
      <w:lang w:val="zh-CN" w:bidi="zh-CN"/>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rPr>
      <w:rFonts w:eastAsia="Tahoma"/>
    </w:rPr>
  </w:style>
  <w:style w:type="paragraph" w:styleId="4">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9">
    <w:name w:val="index 8"/>
    <w:basedOn w:val="1"/>
    <w:next w:val="1"/>
    <w:qFormat/>
    <w:uiPriority w:val="0"/>
    <w:pPr>
      <w:ind w:left="2940"/>
    </w:pPr>
  </w:style>
  <w:style w:type="paragraph" w:styleId="10">
    <w:name w:val="Normal Indent"/>
    <w:basedOn w:val="1"/>
    <w:qFormat/>
    <w:uiPriority w:val="0"/>
    <w:pPr>
      <w:ind w:firstLine="420"/>
    </w:pPr>
    <w:rPr>
      <w:szCs w:val="20"/>
    </w:rPr>
  </w:style>
  <w:style w:type="paragraph" w:styleId="11">
    <w:name w:val="annotation text"/>
    <w:basedOn w:val="1"/>
    <w:qFormat/>
    <w:uiPriority w:val="0"/>
    <w:pPr>
      <w:jc w:val="left"/>
    </w:pPr>
  </w:style>
  <w:style w:type="paragraph" w:styleId="12">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3">
    <w:name w:val="Plain Text"/>
    <w:basedOn w:val="1"/>
    <w:next w:val="6"/>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Body Text First Indent 2"/>
    <w:basedOn w:val="12"/>
    <w:qFormat/>
    <w:uiPriority w:val="99"/>
    <w:pPr>
      <w:ind w:firstLine="420"/>
    </w:pPr>
  </w:style>
  <w:style w:type="character" w:styleId="21">
    <w:name w:val="Hyperlink"/>
    <w:qFormat/>
    <w:uiPriority w:val="99"/>
    <w:rPr>
      <w:rFonts w:hint="default" w:ascii="Arial" w:hAnsi="Arial" w:cs="Arial"/>
      <w:color w:val="003399"/>
      <w:sz w:val="18"/>
      <w:szCs w:val="18"/>
      <w:u w:val="none"/>
    </w:rPr>
  </w:style>
  <w:style w:type="paragraph" w:customStyle="1" w:styleId="22">
    <w:name w:val="p0"/>
    <w:basedOn w:val="1"/>
    <w:qFormat/>
    <w:uiPriority w:val="0"/>
    <w:pPr>
      <w:widowControl/>
    </w:pPr>
    <w:rPr>
      <w:kern w:val="0"/>
      <w:szCs w:val="21"/>
    </w:rPr>
  </w:style>
  <w:style w:type="paragraph" w:customStyle="1" w:styleId="23">
    <w:name w:val="1"/>
    <w:basedOn w:val="1"/>
    <w:next w:val="13"/>
    <w:qFormat/>
    <w:uiPriority w:val="0"/>
    <w:rPr>
      <w:rFonts w:ascii="宋体" w:hAnsi="Courier New"/>
      <w:szCs w:val="20"/>
    </w:rPr>
  </w:style>
  <w:style w:type="paragraph" w:customStyle="1" w:styleId="24">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5">
    <w:name w:val="Table Paragraph"/>
    <w:basedOn w:val="1"/>
    <w:qFormat/>
    <w:uiPriority w:val="1"/>
    <w:pPr>
      <w:spacing w:before="38"/>
    </w:pPr>
    <w:rPr>
      <w:rFonts w:ascii="宋体" w:hAnsi="宋体" w:cs="宋体"/>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25169</Words>
  <Characters>27076</Characters>
  <Lines>224</Lines>
  <Paragraphs>63</Paragraphs>
  <TotalTime>5</TotalTime>
  <ScaleCrop>false</ScaleCrop>
  <LinksUpToDate>false</LinksUpToDate>
  <CharactersWithSpaces>29687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2021-09-13T03:00:00Z</dcterms:created>
  <dc:creator>一月</dc:creator>
  <cp:lastModifiedBy>一月</cp:lastModifiedBy>
  <dcterms:modified xsi:type="dcterms:W3CDTF">2021-09-28T08:48:47Z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1E990453722A4FD9B2F29FF17298AB70</vt:lpwstr>
  </property>
</Properties>
</file>