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105"/>
        <w:jc w:val="center"/>
        <w:rPr>
          <w:rFonts w:ascii="Times New Roman" w:hAnsi="Times New Roman"/>
          <w:color w:val="auto"/>
        </w:rPr>
      </w:pPr>
      <w:r>
        <w:rPr>
          <w:rFonts w:hint="eastAsia" w:ascii="Times New Roman" w:hAnsi="Times New Roman"/>
          <w:color w:val="auto"/>
        </w:rPr>
        <w:drawing>
          <wp:inline distT="0" distB="0" distL="0" distR="0">
            <wp:extent cx="1236980" cy="1045210"/>
            <wp:effectExtent l="19050" t="0" r="1270" b="0"/>
            <wp:docPr id="1" name="图片 2" descr="EBIAJU8R4S%SYKN}7~47V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BIAJU8R4S%SYKN}7~47V3N"/>
                    <pic:cNvPicPr>
                      <a:picLocks noChangeAspect="1" noChangeArrowheads="1"/>
                    </pic:cNvPicPr>
                  </pic:nvPicPr>
                  <pic:blipFill>
                    <a:blip r:embed="rId7" cstate="print"/>
                    <a:srcRect/>
                    <a:stretch>
                      <a:fillRect/>
                    </a:stretch>
                  </pic:blipFill>
                  <pic:spPr>
                    <a:xfrm>
                      <a:off x="0" y="0"/>
                      <a:ext cx="1236980" cy="1045210"/>
                    </a:xfrm>
                    <a:prstGeom prst="rect">
                      <a:avLst/>
                    </a:prstGeom>
                    <a:noFill/>
                    <a:ln w="9525">
                      <a:noFill/>
                      <a:miter lim="800000"/>
                      <a:headEnd/>
                      <a:tailEnd/>
                    </a:ln>
                  </pic:spPr>
                </pic:pic>
              </a:graphicData>
            </a:graphic>
          </wp:inline>
        </w:drawing>
      </w:r>
    </w:p>
    <w:p>
      <w:pPr>
        <w:pStyle w:val="18"/>
        <w:ind w:firstLine="105"/>
        <w:jc w:val="center"/>
        <w:rPr>
          <w:rFonts w:ascii="Times New Roman" w:hAnsi="Times New Roman"/>
          <w:color w:val="auto"/>
        </w:rPr>
      </w:pPr>
    </w:p>
    <w:p>
      <w:pPr>
        <w:pStyle w:val="18"/>
        <w:jc w:val="center"/>
        <w:rPr>
          <w:rFonts w:ascii="黑体" w:hAnsi="黑体" w:eastAsia="黑体" w:cs="黑体"/>
          <w:color w:val="auto"/>
          <w:sz w:val="48"/>
          <w:szCs w:val="48"/>
        </w:rPr>
      </w:pPr>
      <w:r>
        <w:rPr>
          <w:rFonts w:hint="eastAsia" w:ascii="Times New Roman" w:hAnsi="Times New Roman" w:eastAsia="华文新魏"/>
          <w:color w:val="auto"/>
          <w:spacing w:val="28"/>
          <w:sz w:val="32"/>
        </w:rPr>
        <mc:AlternateContent>
          <mc:Choice Requires="wps">
            <w:drawing>
              <wp:anchor distT="0" distB="0" distL="114300" distR="114300" simplePos="0" relativeHeight="251658240" behindDoc="0" locked="0" layoutInCell="1" allowOverlap="1">
                <wp:simplePos x="0" y="0"/>
                <wp:positionH relativeFrom="column">
                  <wp:posOffset>854710</wp:posOffset>
                </wp:positionH>
                <wp:positionV relativeFrom="paragraph">
                  <wp:posOffset>373380</wp:posOffset>
                </wp:positionV>
                <wp:extent cx="4625975" cy="10795"/>
                <wp:effectExtent l="0" t="0" r="0" b="0"/>
                <wp:wrapNone/>
                <wp:docPr id="4" name="直线 4"/>
                <wp:cNvGraphicFramePr/>
                <a:graphic xmlns:a="http://schemas.openxmlformats.org/drawingml/2006/main">
                  <a:graphicData uri="http://schemas.microsoft.com/office/word/2010/wordprocessingShape">
                    <wps:wsp>
                      <wps:cNvCnPr/>
                      <wps:spPr>
                        <a:xfrm flipV="1">
                          <a:off x="0" y="0"/>
                          <a:ext cx="4625975" cy="1079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67.3pt;margin-top:29.4pt;height:0.85pt;width:364.25pt;z-index:251658240;mso-width-relative:page;mso-height-relative:page;" filled="f" stroked="t" coordsize="21600,21600" o:gfxdata="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vBAsXXAAAACQEAAA8AAAAAAAAAAQAgAAAAIgAAAGRy&#10;cy9kb3ducmV2LnhtbFBLAQIUABQAAAAIAIdO4kBWWpcKzQEAAJADAAAOAAAAAAAAAAEAIAAAACYB&#10;AABkcnMvZTJvRG9jLnhtbFBLBQYAAAAABgAGAFkBAABlBQAAAAA=&#10;">
                <v:fill on="f" focussize="0,0"/>
                <v:stroke weight="1.25pt" color="#000000" joinstyle="round"/>
                <v:imagedata o:title=""/>
                <o:lock v:ext="edit" aspectratio="f"/>
              </v:line>
            </w:pict>
          </mc:Fallback>
        </mc:AlternateContent>
      </w:r>
      <w:r>
        <w:rPr>
          <w:rFonts w:hint="eastAsia" w:ascii="方正美黑简体" w:eastAsia="方正美黑简体"/>
          <w:color w:val="auto"/>
          <w:sz w:val="48"/>
          <w:szCs w:val="48"/>
        </w:rPr>
        <w:t xml:space="preserve"> </w:t>
      </w:r>
      <w:r>
        <w:rPr>
          <w:rFonts w:hint="eastAsia" w:ascii="黑体" w:hAnsi="黑体" w:eastAsia="黑体" w:cs="黑体"/>
          <w:color w:val="auto"/>
          <w:sz w:val="48"/>
          <w:szCs w:val="48"/>
        </w:rPr>
        <w:t xml:space="preserve"> 广西建荣工程项目管理有限公司  </w:t>
      </w:r>
    </w:p>
    <w:p>
      <w:pPr>
        <w:pStyle w:val="18"/>
        <w:jc w:val="center"/>
        <w:rPr>
          <w:rFonts w:ascii="黑体" w:hAnsi="黑体" w:eastAsia="黑体" w:cs="黑体"/>
          <w:color w:val="auto"/>
          <w:spacing w:val="28"/>
          <w:sz w:val="32"/>
        </w:rPr>
      </w:pPr>
    </w:p>
    <w:p>
      <w:pPr>
        <w:pStyle w:val="18"/>
        <w:jc w:val="center"/>
        <w:rPr>
          <w:rFonts w:ascii="黑体" w:hAnsi="黑体" w:eastAsia="黑体" w:cs="黑体"/>
          <w:color w:val="auto"/>
          <w:spacing w:val="28"/>
          <w:sz w:val="32"/>
        </w:rPr>
      </w:pPr>
    </w:p>
    <w:p>
      <w:pPr>
        <w:jc w:val="center"/>
        <w:rPr>
          <w:rFonts w:ascii="黑体" w:hAnsi="黑体" w:eastAsia="黑体" w:cs="黑体"/>
          <w:b/>
          <w:color w:val="auto"/>
          <w:sz w:val="120"/>
          <w:szCs w:val="120"/>
        </w:rPr>
      </w:pPr>
      <w:r>
        <w:rPr>
          <w:rFonts w:hint="eastAsia" w:ascii="黑体" w:hAnsi="黑体" w:eastAsia="黑体" w:cs="黑体"/>
          <w:color w:val="auto"/>
          <w:sz w:val="72"/>
          <w:szCs w:val="72"/>
        </w:rPr>
        <w:t xml:space="preserve"> 竞争性谈判采购文件</w:t>
      </w:r>
    </w:p>
    <w:p>
      <w:pPr>
        <w:rPr>
          <w:rFonts w:ascii="黑体" w:hAnsi="黑体" w:eastAsia="黑体" w:cs="黑体"/>
          <w:color w:val="auto"/>
          <w:sz w:val="28"/>
        </w:rPr>
      </w:pPr>
    </w:p>
    <w:p>
      <w:pPr>
        <w:rPr>
          <w:color w:val="auto"/>
        </w:rPr>
      </w:pPr>
    </w:p>
    <w:p>
      <w:pPr>
        <w:rPr>
          <w:rFonts w:ascii="黑体" w:hAnsi="黑体" w:eastAsia="黑体" w:cs="黑体"/>
          <w:color w:val="auto"/>
          <w:sz w:val="24"/>
        </w:rPr>
      </w:pPr>
    </w:p>
    <w:p>
      <w:pPr>
        <w:spacing w:line="360" w:lineRule="auto"/>
        <w:ind w:firstLine="1479" w:firstLineChars="411"/>
        <w:rPr>
          <w:rFonts w:ascii="黑体" w:hAnsi="黑体" w:eastAsia="黑体" w:cs="黑体"/>
          <w:color w:val="auto"/>
          <w:sz w:val="36"/>
          <w:szCs w:val="36"/>
        </w:rPr>
      </w:pPr>
      <w:r>
        <w:rPr>
          <w:rFonts w:hint="eastAsia" w:ascii="黑体" w:hAnsi="黑体" w:eastAsia="黑体" w:cs="黑体"/>
          <w:color w:val="auto"/>
          <w:sz w:val="36"/>
          <w:szCs w:val="36"/>
        </w:rPr>
        <w:t>项目名称：来宾职业教育中心学校综合专业实训楼</w:t>
      </w:r>
    </w:p>
    <w:p>
      <w:pPr>
        <w:spacing w:line="360" w:lineRule="auto"/>
        <w:ind w:firstLine="3358" w:firstLineChars="933"/>
        <w:rPr>
          <w:rFonts w:ascii="黑体" w:hAnsi="黑体" w:eastAsia="黑体" w:cs="黑体"/>
          <w:color w:val="auto"/>
          <w:sz w:val="36"/>
          <w:szCs w:val="36"/>
        </w:rPr>
      </w:pPr>
      <w:r>
        <w:rPr>
          <w:rFonts w:hint="eastAsia" w:ascii="黑体" w:hAnsi="黑体" w:eastAsia="黑体" w:cs="黑体"/>
          <w:color w:val="auto"/>
          <w:sz w:val="36"/>
          <w:szCs w:val="36"/>
        </w:rPr>
        <w:t>项目EPC工程项目检测服务费</w:t>
      </w:r>
    </w:p>
    <w:p>
      <w:pPr>
        <w:spacing w:line="360" w:lineRule="auto"/>
        <w:ind w:firstLine="1479" w:firstLineChars="411"/>
        <w:rPr>
          <w:rFonts w:ascii="黑体" w:hAnsi="黑体" w:eastAsia="黑体" w:cs="黑体"/>
          <w:color w:val="auto"/>
          <w:sz w:val="36"/>
          <w:szCs w:val="36"/>
        </w:rPr>
      </w:pPr>
      <w:r>
        <w:rPr>
          <w:rFonts w:hint="eastAsia" w:ascii="黑体" w:hAnsi="黑体" w:eastAsia="黑体" w:cs="黑体"/>
          <w:color w:val="auto"/>
          <w:sz w:val="36"/>
          <w:szCs w:val="36"/>
        </w:rPr>
        <w:t>项目编号：LBZC2020-J3-00020-GXJR</w:t>
      </w:r>
    </w:p>
    <w:p>
      <w:pPr>
        <w:ind w:firstLine="2430" w:firstLineChars="675"/>
        <w:rPr>
          <w:rFonts w:ascii="黑体" w:hAnsi="黑体" w:eastAsia="黑体" w:cs="黑体"/>
          <w:color w:val="auto"/>
          <w:sz w:val="36"/>
          <w:szCs w:val="36"/>
        </w:rPr>
      </w:pPr>
      <w:r>
        <w:rPr>
          <w:rFonts w:hint="eastAsia" w:ascii="黑体" w:hAnsi="黑体" w:eastAsia="黑体" w:cs="黑体"/>
          <w:color w:val="auto"/>
          <w:sz w:val="36"/>
          <w:szCs w:val="36"/>
        </w:rPr>
        <w:t xml:space="preserve"> </w:t>
      </w:r>
    </w:p>
    <w:p>
      <w:pPr>
        <w:spacing w:line="400" w:lineRule="exact"/>
        <w:rPr>
          <w:rFonts w:ascii="黑体" w:hAnsi="黑体" w:eastAsia="黑体" w:cs="黑体"/>
          <w:color w:val="auto"/>
          <w:sz w:val="28"/>
          <w:szCs w:val="28"/>
        </w:rPr>
      </w:pPr>
    </w:p>
    <w:p>
      <w:pPr>
        <w:spacing w:line="400" w:lineRule="exact"/>
        <w:rPr>
          <w:rFonts w:ascii="黑体" w:hAnsi="黑体" w:eastAsia="黑体" w:cs="黑体"/>
          <w:color w:val="auto"/>
          <w:sz w:val="28"/>
          <w:szCs w:val="28"/>
        </w:rPr>
      </w:pPr>
    </w:p>
    <w:p>
      <w:pPr>
        <w:spacing w:line="400" w:lineRule="exact"/>
        <w:rPr>
          <w:rFonts w:ascii="黑体" w:hAnsi="黑体" w:eastAsia="黑体" w:cs="黑体"/>
          <w:color w:val="auto"/>
          <w:sz w:val="28"/>
          <w:szCs w:val="28"/>
        </w:rPr>
      </w:pPr>
    </w:p>
    <w:p>
      <w:pPr>
        <w:spacing w:line="400" w:lineRule="exact"/>
        <w:rPr>
          <w:rFonts w:ascii="黑体" w:hAnsi="黑体" w:eastAsia="黑体" w:cs="黑体"/>
          <w:color w:val="auto"/>
          <w:sz w:val="28"/>
          <w:szCs w:val="28"/>
        </w:rPr>
      </w:pPr>
    </w:p>
    <w:p>
      <w:pPr>
        <w:spacing w:line="400" w:lineRule="exact"/>
        <w:rPr>
          <w:rFonts w:ascii="黑体" w:hAnsi="黑体" w:eastAsia="黑体" w:cs="黑体"/>
          <w:color w:val="auto"/>
          <w:sz w:val="28"/>
          <w:szCs w:val="28"/>
        </w:rPr>
      </w:pPr>
    </w:p>
    <w:p>
      <w:pPr>
        <w:spacing w:line="480" w:lineRule="auto"/>
        <w:jc w:val="left"/>
        <w:rPr>
          <w:rFonts w:ascii="黑体" w:hAnsi="黑体" w:eastAsia="黑体" w:cs="黑体"/>
          <w:color w:val="auto"/>
          <w:sz w:val="36"/>
          <w:szCs w:val="36"/>
          <w:u w:val="single"/>
        </w:rPr>
      </w:pPr>
      <w:r>
        <w:rPr>
          <w:rFonts w:hint="eastAsia" w:ascii="黑体" w:hAnsi="黑体" w:eastAsia="黑体" w:cs="黑体"/>
          <w:color w:val="auto"/>
          <w:sz w:val="28"/>
          <w:szCs w:val="28"/>
        </w:rPr>
        <w:t xml:space="preserve">        </w:t>
      </w:r>
      <w:r>
        <w:rPr>
          <w:rFonts w:hint="eastAsia" w:ascii="黑体" w:hAnsi="黑体" w:eastAsia="黑体" w:cs="黑体"/>
          <w:color w:val="auto"/>
          <w:sz w:val="36"/>
          <w:szCs w:val="36"/>
        </w:rPr>
        <w:t>采 购 人：</w:t>
      </w:r>
      <w:r>
        <w:rPr>
          <w:rFonts w:hint="eastAsia" w:ascii="黑体" w:hAnsi="黑体" w:eastAsia="黑体" w:cs="黑体"/>
          <w:color w:val="auto"/>
          <w:sz w:val="36"/>
          <w:szCs w:val="36"/>
          <w:u w:val="single"/>
        </w:rPr>
        <w:t>来宾职业教育中心学校</w:t>
      </w:r>
    </w:p>
    <w:p>
      <w:pPr>
        <w:spacing w:line="480" w:lineRule="auto"/>
        <w:rPr>
          <w:rFonts w:ascii="黑体" w:hAnsi="黑体" w:eastAsia="黑体" w:cs="黑体"/>
          <w:color w:val="auto"/>
          <w:spacing w:val="-10"/>
          <w:sz w:val="36"/>
          <w:szCs w:val="36"/>
        </w:rPr>
      </w:pPr>
    </w:p>
    <w:p>
      <w:pPr>
        <w:pStyle w:val="18"/>
        <w:spacing w:line="480" w:lineRule="auto"/>
        <w:ind w:left="2" w:leftChars="1" w:firstLine="1080" w:firstLineChars="300"/>
        <w:rPr>
          <w:rFonts w:ascii="黑体" w:hAnsi="黑体" w:eastAsia="黑体" w:cs="黑体"/>
          <w:color w:val="auto"/>
          <w:spacing w:val="18"/>
          <w:sz w:val="36"/>
          <w:szCs w:val="36"/>
          <w:u w:val="single"/>
        </w:rPr>
      </w:pPr>
      <w:r>
        <w:rPr>
          <w:rFonts w:hint="eastAsia" w:ascii="黑体" w:hAnsi="黑体" w:eastAsia="黑体" w:cs="黑体"/>
          <w:color w:val="auto"/>
          <w:sz w:val="36"/>
          <w:szCs w:val="36"/>
        </w:rPr>
        <w:t>代理机构：</w:t>
      </w:r>
      <w:r>
        <w:rPr>
          <w:rFonts w:hint="eastAsia" w:ascii="黑体" w:hAnsi="黑体" w:eastAsia="黑体" w:cs="黑体"/>
          <w:color w:val="auto"/>
          <w:spacing w:val="18"/>
          <w:sz w:val="36"/>
          <w:szCs w:val="36"/>
          <w:u w:val="single"/>
        </w:rPr>
        <w:t>广西建荣工程项目管理有限公司</w:t>
      </w:r>
    </w:p>
    <w:p>
      <w:pPr>
        <w:pStyle w:val="18"/>
        <w:spacing w:line="480" w:lineRule="auto"/>
        <w:ind w:left="2" w:leftChars="1" w:firstLine="1188" w:firstLineChars="300"/>
        <w:rPr>
          <w:rFonts w:ascii="黑体" w:hAnsi="黑体" w:eastAsia="黑体" w:cs="黑体"/>
          <w:color w:val="auto"/>
          <w:sz w:val="36"/>
          <w:szCs w:val="36"/>
        </w:rPr>
      </w:pPr>
      <w:r>
        <w:rPr>
          <w:rFonts w:hint="eastAsia" w:ascii="黑体" w:hAnsi="黑体" w:eastAsia="黑体" w:cs="黑体"/>
          <w:color w:val="auto"/>
          <w:spacing w:val="18"/>
          <w:sz w:val="36"/>
          <w:szCs w:val="36"/>
        </w:rPr>
        <w:t xml:space="preserve">               </w:t>
      </w:r>
    </w:p>
    <w:p>
      <w:pPr>
        <w:pStyle w:val="18"/>
        <w:spacing w:line="400" w:lineRule="exact"/>
        <w:ind w:left="2" w:leftChars="1" w:firstLine="1080" w:firstLineChars="300"/>
        <w:rPr>
          <w:rFonts w:ascii="黑体" w:hAnsi="黑体" w:eastAsia="黑体" w:cs="黑体"/>
          <w:color w:val="auto"/>
          <w:sz w:val="36"/>
          <w:szCs w:val="36"/>
        </w:rPr>
      </w:pPr>
    </w:p>
    <w:p>
      <w:pPr>
        <w:pStyle w:val="18"/>
        <w:snapToGrid w:val="0"/>
        <w:spacing w:line="360" w:lineRule="auto"/>
        <w:jc w:val="center"/>
        <w:rPr>
          <w:rFonts w:hAnsi="宋体"/>
          <w:b/>
          <w:color w:val="auto"/>
          <w:sz w:val="28"/>
          <w:szCs w:val="28"/>
        </w:rPr>
      </w:pPr>
      <w:r>
        <w:rPr>
          <w:rFonts w:hint="eastAsia" w:ascii="黑体" w:hAnsi="黑体" w:eastAsia="黑体" w:cs="黑体"/>
          <w:color w:val="auto"/>
          <w:sz w:val="32"/>
          <w:szCs w:val="32"/>
        </w:rPr>
        <w:t>发布日期：2020年10月</w:t>
      </w:r>
    </w:p>
    <w:p>
      <w:pPr>
        <w:pStyle w:val="2"/>
        <w:rPr>
          <w:color w:val="auto"/>
        </w:rPr>
        <w:sectPr>
          <w:headerReference r:id="rId3" w:type="default"/>
          <w:pgSz w:w="11906" w:h="16838"/>
          <w:pgMar w:top="1134" w:right="1134" w:bottom="1134" w:left="1134" w:header="720" w:footer="720" w:gutter="0"/>
          <w:pgNumType w:start="1"/>
          <w:cols w:space="720" w:num="1"/>
          <w:docGrid w:type="lines" w:linePitch="312" w:charSpace="0"/>
        </w:sectPr>
      </w:pPr>
    </w:p>
    <w:p>
      <w:pPr>
        <w:pStyle w:val="18"/>
        <w:snapToGrid w:val="0"/>
        <w:spacing w:line="360" w:lineRule="auto"/>
        <w:jc w:val="center"/>
        <w:rPr>
          <w:rFonts w:hAnsi="宋体"/>
          <w:b/>
          <w:color w:val="auto"/>
          <w:sz w:val="44"/>
        </w:rPr>
      </w:pPr>
    </w:p>
    <w:p>
      <w:pPr>
        <w:pStyle w:val="18"/>
        <w:snapToGrid w:val="0"/>
        <w:spacing w:line="360" w:lineRule="auto"/>
        <w:jc w:val="center"/>
        <w:rPr>
          <w:rFonts w:hAnsi="宋体"/>
          <w:b/>
          <w:color w:val="auto"/>
          <w:sz w:val="44"/>
        </w:rPr>
      </w:pPr>
      <w:r>
        <w:rPr>
          <w:rFonts w:hint="eastAsia" w:hAnsi="宋体"/>
          <w:b/>
          <w:color w:val="auto"/>
          <w:sz w:val="44"/>
        </w:rPr>
        <w:t>目  录</w:t>
      </w:r>
    </w:p>
    <w:p>
      <w:pPr>
        <w:pStyle w:val="24"/>
        <w:tabs>
          <w:tab w:val="right" w:leader="dot" w:pos="9460"/>
          <w:tab w:val="clear" w:pos="9060"/>
        </w:tabs>
        <w:ind w:hanging="1400"/>
        <w:rPr>
          <w:rFonts w:ascii="宋体" w:hAnsi="宋体" w:cs="宋体"/>
          <w:b/>
          <w:bCs/>
          <w:color w:val="auto"/>
          <w:sz w:val="28"/>
          <w:szCs w:val="28"/>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"_Toc19147" </w:instrText>
      </w:r>
      <w:r>
        <w:rPr>
          <w:color w:val="auto"/>
        </w:rPr>
        <w:fldChar w:fldCharType="separate"/>
      </w:r>
      <w:r>
        <w:rPr>
          <w:rFonts w:hint="eastAsia" w:ascii="宋体" w:hAnsi="宋体" w:cs="宋体"/>
          <w:b/>
          <w:bCs/>
          <w:color w:val="auto"/>
          <w:sz w:val="28"/>
          <w:szCs w:val="28"/>
        </w:rPr>
        <w:t>第一章  竞标人须知及前附表</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_Toc19147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5</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24"/>
        <w:tabs>
          <w:tab w:val="right" w:leader="dot" w:pos="9460"/>
          <w:tab w:val="clear" w:pos="9060"/>
        </w:tabs>
        <w:ind w:hanging="1400"/>
        <w:rPr>
          <w:rFonts w:ascii="宋体" w:hAnsi="宋体" w:cs="宋体"/>
          <w:b/>
          <w:bCs/>
          <w:color w:val="auto"/>
          <w:sz w:val="28"/>
          <w:szCs w:val="28"/>
        </w:rPr>
      </w:pPr>
      <w:r>
        <w:rPr>
          <w:color w:val="auto"/>
        </w:rPr>
        <w:fldChar w:fldCharType="begin"/>
      </w:r>
      <w:r>
        <w:rPr>
          <w:color w:val="auto"/>
        </w:rPr>
        <w:instrText xml:space="preserve"> HYPERLINK \l "_Toc31472" </w:instrText>
      </w:r>
      <w:r>
        <w:rPr>
          <w:color w:val="auto"/>
        </w:rPr>
        <w:fldChar w:fldCharType="separate"/>
      </w:r>
      <w:r>
        <w:rPr>
          <w:rFonts w:hint="eastAsia" w:ascii="宋体" w:hAnsi="宋体" w:cs="宋体"/>
          <w:b/>
          <w:bCs/>
          <w:color w:val="auto"/>
          <w:sz w:val="28"/>
          <w:szCs w:val="28"/>
        </w:rPr>
        <w:t>第二章  项目需求</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_Toc31472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18</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24"/>
        <w:tabs>
          <w:tab w:val="right" w:leader="dot" w:pos="9460"/>
          <w:tab w:val="clear" w:pos="9060"/>
        </w:tabs>
        <w:ind w:hanging="1400"/>
        <w:rPr>
          <w:rFonts w:ascii="宋体" w:hAnsi="宋体" w:cs="宋体"/>
          <w:b/>
          <w:bCs/>
          <w:color w:val="auto"/>
          <w:sz w:val="28"/>
          <w:szCs w:val="28"/>
        </w:rPr>
      </w:pPr>
      <w:r>
        <w:rPr>
          <w:color w:val="auto"/>
        </w:rPr>
        <w:fldChar w:fldCharType="begin"/>
      </w:r>
      <w:r>
        <w:rPr>
          <w:color w:val="auto"/>
        </w:rPr>
        <w:instrText xml:space="preserve"> HYPERLINK \l "_Toc10849" </w:instrText>
      </w:r>
      <w:r>
        <w:rPr>
          <w:color w:val="auto"/>
        </w:rPr>
        <w:fldChar w:fldCharType="separate"/>
      </w:r>
      <w:r>
        <w:rPr>
          <w:rFonts w:hint="eastAsia" w:ascii="宋体" w:hAnsi="宋体" w:cs="宋体"/>
          <w:b/>
          <w:bCs/>
          <w:color w:val="auto"/>
          <w:sz w:val="28"/>
          <w:szCs w:val="28"/>
        </w:rPr>
        <w:t>第三章  合同基本条款</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_Toc10849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21</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24"/>
        <w:tabs>
          <w:tab w:val="right" w:leader="dot" w:pos="9460"/>
          <w:tab w:val="clear" w:pos="9060"/>
        </w:tabs>
        <w:ind w:hanging="1400"/>
        <w:rPr>
          <w:rFonts w:ascii="宋体" w:hAnsi="宋体" w:cs="宋体"/>
          <w:b/>
          <w:bCs/>
          <w:color w:val="auto"/>
          <w:sz w:val="28"/>
          <w:szCs w:val="28"/>
        </w:rPr>
      </w:pPr>
      <w:r>
        <w:rPr>
          <w:color w:val="auto"/>
        </w:rPr>
        <w:fldChar w:fldCharType="begin"/>
      </w:r>
      <w:r>
        <w:rPr>
          <w:color w:val="auto"/>
        </w:rPr>
        <w:instrText xml:space="preserve"> HYPERLINK \l "_Toc3613" </w:instrText>
      </w:r>
      <w:r>
        <w:rPr>
          <w:color w:val="auto"/>
        </w:rPr>
        <w:fldChar w:fldCharType="separate"/>
      </w:r>
      <w:r>
        <w:rPr>
          <w:rFonts w:hint="eastAsia" w:ascii="宋体" w:hAnsi="宋体" w:cs="宋体"/>
          <w:b/>
          <w:bCs/>
          <w:color w:val="auto"/>
          <w:sz w:val="28"/>
          <w:szCs w:val="28"/>
        </w:rPr>
        <w:t>第四章  合同书格式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_Toc3613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24</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24"/>
        <w:tabs>
          <w:tab w:val="right" w:leader="dot" w:pos="9460"/>
          <w:tab w:val="clear" w:pos="9060"/>
        </w:tabs>
        <w:ind w:hanging="1400"/>
        <w:rPr>
          <w:rFonts w:ascii="宋体" w:hAnsi="宋体" w:cs="宋体"/>
          <w:b/>
          <w:bCs/>
          <w:color w:val="auto"/>
          <w:sz w:val="28"/>
          <w:szCs w:val="28"/>
        </w:rPr>
      </w:pPr>
      <w:r>
        <w:rPr>
          <w:color w:val="auto"/>
        </w:rPr>
        <w:fldChar w:fldCharType="begin"/>
      </w:r>
      <w:r>
        <w:rPr>
          <w:color w:val="auto"/>
        </w:rPr>
        <w:instrText xml:space="preserve"> HYPERLINK \l "_Toc14256" </w:instrText>
      </w:r>
      <w:r>
        <w:rPr>
          <w:color w:val="auto"/>
        </w:rPr>
        <w:fldChar w:fldCharType="separate"/>
      </w:r>
      <w:r>
        <w:rPr>
          <w:rFonts w:hint="eastAsia" w:ascii="宋体" w:hAnsi="宋体" w:cs="宋体"/>
          <w:b/>
          <w:bCs/>
          <w:color w:val="auto"/>
          <w:sz w:val="28"/>
          <w:szCs w:val="28"/>
        </w:rPr>
        <w:t>第五章  竞标文件格式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_Toc14256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27</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24"/>
        <w:tabs>
          <w:tab w:val="right" w:leader="dot" w:pos="9460"/>
          <w:tab w:val="clear" w:pos="9060"/>
        </w:tabs>
        <w:ind w:hanging="1400"/>
        <w:rPr>
          <w:color w:val="auto"/>
        </w:rPr>
      </w:pPr>
      <w:r>
        <w:rPr>
          <w:color w:val="auto"/>
        </w:rPr>
        <w:fldChar w:fldCharType="begin"/>
      </w:r>
      <w:r>
        <w:rPr>
          <w:color w:val="auto"/>
        </w:rPr>
        <w:instrText xml:space="preserve"> HYPERLINK \l "_Toc31700" </w:instrText>
      </w:r>
      <w:r>
        <w:rPr>
          <w:color w:val="auto"/>
        </w:rPr>
        <w:fldChar w:fldCharType="separate"/>
      </w:r>
      <w:r>
        <w:rPr>
          <w:rFonts w:hint="eastAsia" w:ascii="宋体" w:hAnsi="宋体" w:cs="宋体"/>
          <w:b/>
          <w:bCs/>
          <w:color w:val="auto"/>
          <w:sz w:val="28"/>
          <w:szCs w:val="28"/>
        </w:rPr>
        <w:t>第六章  评标办法</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_Toc31700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42</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jc w:val="center"/>
        <w:rPr>
          <w:color w:val="auto"/>
        </w:rPr>
      </w:pPr>
      <w:r>
        <w:rPr>
          <w:color w:val="auto"/>
        </w:rPr>
        <w:fldChar w:fldCharType="end"/>
      </w:r>
    </w:p>
    <w:p>
      <w:pPr>
        <w:pStyle w:val="18"/>
        <w:tabs>
          <w:tab w:val="right" w:leader="dot" w:pos="8460"/>
        </w:tabs>
        <w:snapToGrid w:val="0"/>
        <w:spacing w:line="360" w:lineRule="auto"/>
        <w:ind w:firstLine="540" w:firstLineChars="180"/>
        <w:jc w:val="left"/>
        <w:rPr>
          <w:rFonts w:hAnsi="宋体"/>
          <w:color w:val="auto"/>
          <w:sz w:val="32"/>
        </w:rPr>
      </w:pPr>
      <w:r>
        <w:rPr>
          <w:rFonts w:hint="eastAsia" w:hAnsi="宋体"/>
          <w:color w:val="auto"/>
          <w:sz w:val="30"/>
          <w:szCs w:val="30"/>
        </w:rPr>
        <w:t xml:space="preserve"> </w:t>
      </w: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pStyle w:val="18"/>
        <w:ind w:left="412" w:leftChars="196"/>
        <w:rPr>
          <w:rFonts w:hAnsi="宋体"/>
          <w:color w:val="auto"/>
          <w:sz w:val="32"/>
        </w:rPr>
      </w:pPr>
    </w:p>
    <w:p>
      <w:pPr>
        <w:spacing w:line="440" w:lineRule="exact"/>
        <w:jc w:val="center"/>
        <w:rPr>
          <w:rFonts w:ascii="宋体" w:hAnsi="宋体"/>
          <w:b/>
          <w:bCs/>
          <w:color w:val="auto"/>
          <w:sz w:val="28"/>
          <w:szCs w:val="28"/>
        </w:rPr>
      </w:pPr>
      <w:r>
        <w:rPr>
          <w:rFonts w:hint="eastAsia" w:ascii="宋体" w:hAnsi="宋体"/>
          <w:b/>
          <w:bCs/>
          <w:color w:val="auto"/>
          <w:sz w:val="28"/>
          <w:szCs w:val="28"/>
        </w:rPr>
        <w:t>广西建荣工程项目管理有限公司</w:t>
      </w:r>
    </w:p>
    <w:p>
      <w:pPr>
        <w:spacing w:line="440" w:lineRule="exact"/>
        <w:jc w:val="center"/>
        <w:rPr>
          <w:rFonts w:ascii="宋体" w:hAnsi="宋体"/>
          <w:b/>
          <w:bCs/>
          <w:color w:val="auto"/>
          <w:spacing w:val="-20"/>
          <w:sz w:val="28"/>
          <w:szCs w:val="28"/>
        </w:rPr>
      </w:pPr>
      <w:r>
        <w:rPr>
          <w:rFonts w:hint="eastAsia" w:ascii="宋体" w:hAnsi="宋体"/>
          <w:b/>
          <w:bCs/>
          <w:color w:val="auto"/>
          <w:spacing w:val="-20"/>
          <w:sz w:val="28"/>
          <w:szCs w:val="28"/>
        </w:rPr>
        <w:t>关于来宾职业教育中心学校的来宾职业教育中心学校综合专业实训楼项目EPC工程项目检测服务费（LBZC2020-J3-00020-GXJR）的</w:t>
      </w:r>
    </w:p>
    <w:p>
      <w:pPr>
        <w:spacing w:line="440" w:lineRule="exact"/>
        <w:jc w:val="center"/>
        <w:rPr>
          <w:rFonts w:ascii="宋体" w:hAnsi="宋体" w:cs="宋体"/>
          <w:color w:val="auto"/>
          <w:sz w:val="24"/>
        </w:rPr>
      </w:pPr>
      <w:r>
        <w:rPr>
          <w:rFonts w:hint="eastAsia" w:ascii="宋体" w:hAnsi="宋体"/>
          <w:b/>
          <w:bCs/>
          <w:color w:val="auto"/>
          <w:spacing w:val="-20"/>
          <w:sz w:val="28"/>
          <w:szCs w:val="28"/>
        </w:rPr>
        <w:t>竞争性谈判公告</w:t>
      </w:r>
    </w:p>
    <w:p>
      <w:pPr>
        <w:pBdr>
          <w:top w:val="single" w:color="auto" w:sz="4" w:space="1"/>
          <w:left w:val="single" w:color="auto" w:sz="4" w:space="4"/>
          <w:bottom w:val="single" w:color="auto" w:sz="4" w:space="1"/>
          <w:right w:val="single" w:color="auto" w:sz="4" w:space="4"/>
        </w:pBdr>
        <w:spacing w:line="440" w:lineRule="exact"/>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440" w:lineRule="exact"/>
        <w:ind w:firstLine="482" w:firstLineChars="200"/>
        <w:rPr>
          <w:rFonts w:ascii="宋体" w:hAnsi="宋体" w:cs="宋体"/>
          <w:color w:val="auto"/>
          <w:sz w:val="24"/>
        </w:rPr>
      </w:pPr>
      <w:r>
        <w:rPr>
          <w:rFonts w:hint="eastAsia" w:ascii="宋体" w:hAnsi="宋体" w:cs="宋体"/>
          <w:b/>
          <w:bCs/>
          <w:color w:val="auto"/>
          <w:sz w:val="24"/>
        </w:rPr>
        <w:t>来宾职业教育中心学校综合专业实训楼项目EPC工程项目检测服务费</w:t>
      </w:r>
      <w:r>
        <w:rPr>
          <w:rFonts w:hint="eastAsia" w:ascii="宋体" w:hAnsi="宋体" w:cs="宋体"/>
          <w:color w:val="auto"/>
          <w:sz w:val="24"/>
        </w:rPr>
        <w:t>项目的潜在供应商可在广西建荣工程项目管理有限公司来宾分公司（来宾市绿源路313号）获取采购文件，并于2020年10月19日09时30分</w:t>
      </w:r>
      <w:r>
        <w:rPr>
          <w:rFonts w:hint="eastAsia" w:ascii="宋体" w:hAnsi="宋体" w:cs="宋体"/>
          <w:bCs/>
          <w:color w:val="auto"/>
          <w:sz w:val="24"/>
        </w:rPr>
        <w:t>（北京时间）前提交响应文件</w:t>
      </w:r>
      <w:r>
        <w:rPr>
          <w:rFonts w:hint="eastAsia" w:ascii="宋体" w:hAnsi="宋体" w:cs="宋体"/>
          <w:color w:val="auto"/>
          <w:sz w:val="24"/>
        </w:rPr>
        <w:t>。</w:t>
      </w:r>
    </w:p>
    <w:p>
      <w:pPr>
        <w:spacing w:line="440" w:lineRule="exact"/>
        <w:ind w:firstLine="482" w:firstLineChars="200"/>
        <w:rPr>
          <w:rFonts w:ascii="宋体" w:hAnsi="宋体" w:cs="宋体"/>
          <w:b/>
          <w:bCs/>
          <w:color w:val="auto"/>
          <w:sz w:val="24"/>
        </w:rPr>
      </w:pPr>
      <w:bookmarkStart w:id="0" w:name="_Toc35393798"/>
      <w:bookmarkStart w:id="1" w:name="_Toc35393629"/>
      <w:bookmarkStart w:id="2" w:name="_Toc28359012"/>
      <w:bookmarkStart w:id="3" w:name="_Toc28359089"/>
      <w:r>
        <w:rPr>
          <w:rFonts w:hint="eastAsia" w:ascii="宋体" w:hAnsi="宋体" w:cs="宋体"/>
          <w:b/>
          <w:bCs/>
          <w:color w:val="auto"/>
          <w:sz w:val="24"/>
        </w:rPr>
        <w:t>一、项目基本情况</w:t>
      </w:r>
      <w:bookmarkEnd w:id="0"/>
      <w:bookmarkEnd w:id="1"/>
      <w:bookmarkEnd w:id="2"/>
      <w:bookmarkEnd w:id="3"/>
    </w:p>
    <w:p>
      <w:pPr>
        <w:spacing w:line="440" w:lineRule="exact"/>
        <w:ind w:firstLine="480" w:firstLineChars="200"/>
        <w:rPr>
          <w:rFonts w:ascii="宋体" w:hAnsi="宋体" w:cs="宋体"/>
          <w:color w:val="auto"/>
          <w:sz w:val="24"/>
        </w:rPr>
      </w:pPr>
      <w:r>
        <w:rPr>
          <w:rFonts w:hint="eastAsia" w:ascii="宋体" w:hAnsi="宋体" w:cs="宋体"/>
          <w:color w:val="auto"/>
          <w:sz w:val="24"/>
        </w:rPr>
        <w:t>项目编号：LBZC2020-J3-00020-GXJR</w:t>
      </w:r>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采购计划文号：LBZC2020-J3-00676-001</w:t>
      </w:r>
    </w:p>
    <w:p>
      <w:pPr>
        <w:spacing w:line="440" w:lineRule="exact"/>
        <w:ind w:firstLine="480" w:firstLineChars="200"/>
        <w:rPr>
          <w:rFonts w:ascii="宋体" w:hAnsi="宋体" w:cs="宋体"/>
          <w:color w:val="auto"/>
          <w:sz w:val="24"/>
        </w:rPr>
      </w:pPr>
      <w:r>
        <w:rPr>
          <w:rFonts w:hint="eastAsia" w:ascii="宋体" w:hAnsi="宋体" w:cs="宋体"/>
          <w:color w:val="auto"/>
          <w:sz w:val="24"/>
        </w:rPr>
        <w:t>项目名称：来宾职业教育中心学校综合专业实训楼项目EPC工程项目检测服务费</w:t>
      </w:r>
    </w:p>
    <w:p>
      <w:pPr>
        <w:spacing w:line="440" w:lineRule="exact"/>
        <w:ind w:firstLine="480" w:firstLineChars="200"/>
        <w:rPr>
          <w:rFonts w:ascii="宋体" w:hAnsi="宋体" w:cs="宋体"/>
          <w:color w:val="auto"/>
          <w:sz w:val="24"/>
        </w:rPr>
      </w:pPr>
      <w:r>
        <w:rPr>
          <w:rFonts w:hint="eastAsia" w:ascii="宋体" w:hAnsi="宋体" w:cs="宋体"/>
          <w:color w:val="auto"/>
          <w:sz w:val="24"/>
        </w:rPr>
        <w:t>采购方式：竞争性谈判</w:t>
      </w:r>
    </w:p>
    <w:p>
      <w:pPr>
        <w:spacing w:line="440" w:lineRule="exact"/>
        <w:ind w:firstLine="480" w:firstLineChars="200"/>
        <w:rPr>
          <w:rFonts w:ascii="宋体" w:hAnsi="宋体" w:cs="宋体"/>
          <w:color w:val="auto"/>
          <w:sz w:val="24"/>
        </w:rPr>
      </w:pPr>
      <w:r>
        <w:rPr>
          <w:rFonts w:hint="eastAsia" w:ascii="宋体" w:hAnsi="宋体" w:cs="宋体"/>
          <w:color w:val="auto"/>
          <w:sz w:val="24"/>
        </w:rPr>
        <w:t>预算金额：（人民币）叁拾贰万柒仟捌佰元整（¥327,800.00）</w:t>
      </w:r>
    </w:p>
    <w:p>
      <w:pPr>
        <w:spacing w:line="440" w:lineRule="exact"/>
        <w:ind w:firstLine="480" w:firstLineChars="200"/>
        <w:rPr>
          <w:rFonts w:ascii="宋体" w:hAnsi="宋体" w:cs="宋体"/>
          <w:color w:val="auto"/>
          <w:sz w:val="24"/>
        </w:rPr>
      </w:pPr>
      <w:r>
        <w:rPr>
          <w:rFonts w:hint="eastAsia" w:ascii="宋体" w:hAnsi="宋体" w:cs="宋体"/>
          <w:color w:val="auto"/>
          <w:sz w:val="24"/>
        </w:rPr>
        <w:t>最高限价：与预算金额一致</w:t>
      </w:r>
    </w:p>
    <w:p>
      <w:pPr>
        <w:spacing w:line="440" w:lineRule="exact"/>
        <w:ind w:firstLine="480" w:firstLineChars="200"/>
        <w:rPr>
          <w:rFonts w:ascii="宋体" w:hAnsi="宋体" w:cs="宋体"/>
          <w:color w:val="auto"/>
          <w:sz w:val="24"/>
        </w:rPr>
      </w:pPr>
      <w:r>
        <w:rPr>
          <w:rFonts w:hint="eastAsia" w:ascii="宋体" w:hAnsi="宋体" w:cs="宋体"/>
          <w:color w:val="auto"/>
          <w:sz w:val="24"/>
        </w:rPr>
        <w:t>采购需求：本项目服务采购主要包含来宾职业教育中心学校综合专业实训楼项目EPC工程项目单桩承载力检测、低应变完整性检测、超声波检测、钢筋保护层厚度检测、填充墙砌体拉结筋检测、节能检测、建材检测、钢结构检测等，如需进一步了解详细内容，详见竞争性谈判采购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合同履行期限：自合同签订之日起至本项目工程施工结束。</w:t>
      </w:r>
    </w:p>
    <w:p>
      <w:pPr>
        <w:spacing w:line="440" w:lineRule="exact"/>
        <w:ind w:firstLine="480" w:firstLineChars="200"/>
        <w:rPr>
          <w:rFonts w:ascii="宋体" w:hAnsi="宋体" w:cs="宋体"/>
          <w:color w:val="auto"/>
          <w:sz w:val="24"/>
        </w:rPr>
      </w:pPr>
      <w:r>
        <w:rPr>
          <w:rFonts w:hint="eastAsia" w:ascii="宋体" w:hAnsi="宋体" w:cs="宋体"/>
          <w:color w:val="auto"/>
          <w:sz w:val="24"/>
        </w:rPr>
        <w:t>本项目不接受联合体竞标。</w:t>
      </w:r>
      <w:bookmarkStart w:id="4" w:name="_Toc28359090"/>
      <w:bookmarkStart w:id="5" w:name="_Toc28359013"/>
      <w:bookmarkStart w:id="6" w:name="_Toc35393799"/>
      <w:bookmarkStart w:id="7" w:name="_Toc35393630"/>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二、申请人的资格要求</w:t>
      </w:r>
      <w:bookmarkEnd w:id="4"/>
      <w:bookmarkEnd w:id="5"/>
      <w:bookmarkEnd w:id="6"/>
      <w:bookmarkEnd w:id="7"/>
    </w:p>
    <w:p>
      <w:pPr>
        <w:spacing w:line="440" w:lineRule="exact"/>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spacing w:line="440" w:lineRule="exact"/>
        <w:ind w:firstLine="480" w:firstLineChars="200"/>
        <w:rPr>
          <w:rFonts w:ascii="宋体" w:hAnsi="宋体" w:cs="宋体"/>
          <w:color w:val="auto"/>
          <w:sz w:val="24"/>
        </w:rPr>
      </w:pPr>
      <w:bookmarkStart w:id="8" w:name="_Toc28359014"/>
      <w:bookmarkStart w:id="9" w:name="_Toc28359091"/>
      <w:r>
        <w:rPr>
          <w:rFonts w:hint="eastAsia" w:ascii="宋体" w:hAnsi="宋体" w:cs="宋体"/>
          <w:color w:val="auto"/>
          <w:sz w:val="24"/>
        </w:rPr>
        <w:t>2.落实政府采购政策需满足的资格要求：《政府采购促进中小企业发展暂行办法》（财库[2011]181号）；《政府采购支持监狱企业发展有关问题的通知》（桂财采[2015]24号）；《三部门联合发布关于促进残疾人就业政府采购政策的通知》（财库〔2017〕141号）等相关政策。</w:t>
      </w:r>
    </w:p>
    <w:p>
      <w:pPr>
        <w:spacing w:line="440" w:lineRule="exact"/>
        <w:ind w:firstLine="480" w:firstLineChars="200"/>
        <w:rPr>
          <w:rFonts w:ascii="宋体" w:hAnsi="宋体" w:cs="宋体"/>
          <w:color w:val="auto"/>
          <w:sz w:val="24"/>
        </w:rPr>
      </w:pPr>
      <w:r>
        <w:rPr>
          <w:rFonts w:hint="eastAsia" w:ascii="宋体" w:hAnsi="宋体" w:cs="宋体"/>
          <w:color w:val="auto"/>
          <w:sz w:val="24"/>
        </w:rPr>
        <w:t>3.本项目的特定资格要求：</w:t>
      </w:r>
    </w:p>
    <w:p>
      <w:pPr>
        <w:spacing w:line="44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从事或提供本次采购的货物或服务，具备法定代表人资格；并且要求具有省级以上住房城乡建设主管部门颁发的相应建设工程质量检测资质证书，包含但不限于见证取样检测、地基基础工程检测、主体结构工程现场检测、钢结构工程检测、建筑物附属设备安装工程检测等检测资质范围。</w:t>
      </w:r>
    </w:p>
    <w:p>
      <w:pPr>
        <w:spacing w:line="440" w:lineRule="exact"/>
        <w:ind w:firstLine="480" w:firstLineChars="200"/>
        <w:rPr>
          <w:rFonts w:ascii="宋体" w:hAnsi="宋体" w:cs="宋体"/>
          <w:color w:val="auto"/>
          <w:sz w:val="24"/>
        </w:rPr>
      </w:pPr>
      <w:r>
        <w:rPr>
          <w:rFonts w:hint="eastAsia" w:ascii="宋体" w:hAnsi="宋体" w:cs="宋体"/>
          <w:color w:val="auto"/>
          <w:sz w:val="24"/>
        </w:rPr>
        <w:t>（2）具备省级以上质量技术监督部门颁发的检验检测机构资质认定证书。</w:t>
      </w:r>
    </w:p>
    <w:p>
      <w:pPr>
        <w:spacing w:line="440" w:lineRule="exact"/>
        <w:ind w:firstLine="480" w:firstLineChars="200"/>
        <w:rPr>
          <w:rFonts w:ascii="宋体" w:hAnsi="宋体" w:cs="宋体"/>
          <w:color w:val="auto"/>
          <w:sz w:val="24"/>
        </w:rPr>
      </w:pPr>
      <w:r>
        <w:rPr>
          <w:rFonts w:hint="eastAsia" w:ascii="宋体" w:hAnsi="宋体" w:cs="宋体"/>
          <w:color w:val="auto"/>
          <w:sz w:val="24"/>
        </w:rPr>
        <w:t>（3）对在“信用中国”网站（www.creditchina.gov.cn）和中国政府采购网（http://www.ccgp.gov.cn）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80" w:firstLineChars="200"/>
        <w:rPr>
          <w:rFonts w:ascii="宋体" w:hAnsi="宋体" w:cs="宋体"/>
          <w:color w:val="auto"/>
          <w:sz w:val="24"/>
        </w:rPr>
      </w:pPr>
      <w:r>
        <w:rPr>
          <w:rFonts w:hint="eastAsia" w:ascii="宋体" w:hAnsi="宋体" w:cs="宋体"/>
          <w:color w:val="auto"/>
          <w:sz w:val="24"/>
        </w:rPr>
        <w:t>（4）本项目不接受未购买本项目竞争性谈判采购文件的供应商竞标，不接受联合体竞标。</w:t>
      </w:r>
    </w:p>
    <w:p>
      <w:pPr>
        <w:spacing w:line="440" w:lineRule="exact"/>
        <w:ind w:firstLine="480" w:firstLineChars="200"/>
        <w:rPr>
          <w:rFonts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2" w:firstLineChars="200"/>
        <w:rPr>
          <w:rFonts w:ascii="宋体" w:hAnsi="宋体" w:cs="宋体"/>
          <w:b/>
          <w:bCs/>
          <w:color w:val="auto"/>
          <w:sz w:val="24"/>
        </w:rPr>
      </w:pPr>
      <w:bookmarkStart w:id="10" w:name="_Toc35393800"/>
      <w:bookmarkStart w:id="11" w:name="_Toc35393631"/>
      <w:r>
        <w:rPr>
          <w:rFonts w:hint="eastAsia" w:ascii="宋体" w:hAnsi="宋体" w:cs="宋体"/>
          <w:b/>
          <w:bCs/>
          <w:color w:val="auto"/>
          <w:sz w:val="24"/>
        </w:rPr>
        <w:t>三、获取采购文件</w:t>
      </w:r>
      <w:bookmarkEnd w:id="8"/>
      <w:bookmarkEnd w:id="9"/>
      <w:bookmarkEnd w:id="10"/>
      <w:bookmarkEnd w:id="11"/>
    </w:p>
    <w:p>
      <w:pPr>
        <w:spacing w:line="440" w:lineRule="exact"/>
        <w:ind w:firstLine="480" w:firstLineChars="200"/>
        <w:rPr>
          <w:rFonts w:ascii="宋体" w:hAnsi="宋体" w:cs="宋体"/>
          <w:color w:val="auto"/>
          <w:sz w:val="24"/>
        </w:rPr>
      </w:pPr>
      <w:r>
        <w:rPr>
          <w:rFonts w:hint="eastAsia" w:ascii="宋体" w:hAnsi="宋体" w:cs="宋体"/>
          <w:color w:val="auto"/>
          <w:sz w:val="24"/>
        </w:rPr>
        <w:t>时间：2020年10月13日至2020年10月16日，每天上午08:00至12:00，下午15:00至18:00（北京时间，法定节假日除外）。</w:t>
      </w:r>
    </w:p>
    <w:p>
      <w:pPr>
        <w:spacing w:line="440" w:lineRule="exact"/>
        <w:ind w:firstLine="480" w:firstLineChars="200"/>
        <w:rPr>
          <w:rFonts w:ascii="宋体" w:hAnsi="宋体" w:cs="宋体"/>
          <w:color w:val="auto"/>
          <w:sz w:val="24"/>
          <w:u w:val="single"/>
        </w:rPr>
      </w:pPr>
      <w:r>
        <w:rPr>
          <w:rFonts w:hint="eastAsia" w:ascii="宋体" w:hAnsi="宋体" w:cs="宋体"/>
          <w:color w:val="auto"/>
          <w:sz w:val="24"/>
        </w:rPr>
        <w:t>地点：广西建荣工程项目管理有限公司来宾分公司（来宾市绿源路313号）。</w:t>
      </w:r>
    </w:p>
    <w:p>
      <w:pPr>
        <w:spacing w:line="440" w:lineRule="exact"/>
        <w:ind w:firstLine="480" w:firstLineChars="200"/>
        <w:rPr>
          <w:rFonts w:ascii="宋体" w:hAnsi="宋体" w:cs="宋体"/>
          <w:color w:val="auto"/>
          <w:sz w:val="24"/>
          <w:u w:val="single"/>
        </w:rPr>
      </w:pPr>
      <w:r>
        <w:rPr>
          <w:rFonts w:hint="eastAsia" w:ascii="宋体" w:hAnsi="宋体" w:cs="宋体"/>
          <w:color w:val="auto"/>
          <w:sz w:val="24"/>
        </w:rPr>
        <w:t>方式：由法定代表人（持本人身份证原件）或委托代理人【委托时，委托人持法定代表人授权委托书原件（须注明委托权限及时间）、本人身份证原件】携带以下资料现场报名：（1）有效的营业执照（“三证合一”版）副本复印件；（2）企业法定代表人身份证复印件；（3）有效的法定代表人授权委托书原件、代理人有效的身份证复印件（委托时）；以上资料须递交加盖单位公章的复印件一套，材料合格且有效方可购买竞争性谈判采购文件；已购买竞争性谈判采购文件的供应商不等于符合本项目的竞标人资格。</w:t>
      </w:r>
      <w:r>
        <w:rPr>
          <w:rFonts w:hint="eastAsia" w:ascii="宋体" w:hAnsi="宋体" w:cs="宋体"/>
          <w:b/>
          <w:bCs/>
          <w:color w:val="auto"/>
          <w:sz w:val="24"/>
        </w:rPr>
        <w:t>（注：为便于在规定时间内清退竞标保证金，请竞标人能够提供基本账户开户许可证复印件。）</w:t>
      </w:r>
    </w:p>
    <w:p>
      <w:pPr>
        <w:spacing w:line="440" w:lineRule="exact"/>
        <w:ind w:firstLine="480" w:firstLineChars="200"/>
        <w:rPr>
          <w:rFonts w:ascii="宋体" w:hAnsi="宋体" w:cs="宋体"/>
          <w:color w:val="auto"/>
          <w:sz w:val="24"/>
        </w:rPr>
      </w:pPr>
      <w:r>
        <w:rPr>
          <w:rFonts w:hint="eastAsia" w:ascii="宋体" w:hAnsi="宋体" w:cs="宋体"/>
          <w:color w:val="auto"/>
          <w:sz w:val="24"/>
        </w:rPr>
        <w:t>售价：竞争性谈判采购文件工本费每本250元，售后不退。（不代办邮寄，不提供电子版竞争性谈判采购文件）。</w:t>
      </w:r>
      <w:bookmarkStart w:id="12" w:name="_Toc35393801"/>
      <w:bookmarkStart w:id="13" w:name="_Toc28359015"/>
      <w:bookmarkStart w:id="14" w:name="_Toc35393632"/>
      <w:bookmarkStart w:id="15" w:name="_Toc28359092"/>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四、响应文件提交</w:t>
      </w:r>
      <w:bookmarkEnd w:id="12"/>
      <w:bookmarkEnd w:id="13"/>
      <w:bookmarkEnd w:id="14"/>
      <w:bookmarkEnd w:id="15"/>
    </w:p>
    <w:p>
      <w:pPr>
        <w:spacing w:line="440" w:lineRule="exact"/>
        <w:ind w:firstLine="480" w:firstLineChars="200"/>
        <w:rPr>
          <w:rFonts w:ascii="宋体" w:hAnsi="宋体" w:cs="宋体"/>
          <w:bCs/>
          <w:color w:val="auto"/>
          <w:sz w:val="24"/>
          <w:u w:val="single"/>
        </w:rPr>
      </w:pPr>
      <w:r>
        <w:rPr>
          <w:rFonts w:hint="eastAsia" w:ascii="宋体" w:hAnsi="宋体" w:cs="宋体"/>
          <w:color w:val="auto"/>
          <w:sz w:val="24"/>
        </w:rPr>
        <w:t>截止时间：2020年10月19日上午09时30分（北京时间）（从采购文件开始发出之日起至供应商提交首次响应文件截止之日止不得少于3个工作日）。</w:t>
      </w:r>
    </w:p>
    <w:p>
      <w:pPr>
        <w:spacing w:line="440" w:lineRule="exact"/>
        <w:ind w:firstLine="480" w:firstLineChars="200"/>
        <w:rPr>
          <w:rFonts w:ascii="宋体" w:hAnsi="宋体" w:cs="宋体"/>
          <w:color w:val="auto"/>
          <w:sz w:val="24"/>
        </w:rPr>
      </w:pPr>
      <w:r>
        <w:rPr>
          <w:rFonts w:hint="eastAsia" w:ascii="宋体" w:hAnsi="宋体" w:cs="宋体"/>
          <w:color w:val="auto"/>
          <w:sz w:val="24"/>
        </w:rPr>
        <w:t>地点：广西建荣工程项目管理有限公司来宾分公司开标厅（来宾市绿源路313号）。</w:t>
      </w:r>
    </w:p>
    <w:p>
      <w:pPr>
        <w:spacing w:line="440" w:lineRule="exact"/>
        <w:ind w:firstLine="480" w:firstLineChars="200"/>
        <w:rPr>
          <w:rFonts w:ascii="宋体" w:hAnsi="宋体" w:cs="宋体"/>
          <w:color w:val="auto"/>
          <w:sz w:val="24"/>
        </w:rPr>
      </w:pPr>
      <w:r>
        <w:rPr>
          <w:rFonts w:hint="eastAsia" w:ascii="宋体" w:hAnsi="宋体" w:cs="宋体"/>
          <w:color w:val="auto"/>
          <w:sz w:val="24"/>
        </w:rPr>
        <w:t>参加竞标的法定代表人或委托代理人必须持有效证件依时到达指定地点递交竞标文件。有效证件要求如下：</w:t>
      </w:r>
    </w:p>
    <w:p>
      <w:pPr>
        <w:spacing w:line="440" w:lineRule="exact"/>
        <w:ind w:firstLine="480" w:firstLineChars="200"/>
        <w:rPr>
          <w:rFonts w:ascii="宋体" w:hAnsi="宋体" w:cs="宋体"/>
          <w:color w:val="auto"/>
          <w:sz w:val="24"/>
        </w:rPr>
      </w:pPr>
      <w:r>
        <w:rPr>
          <w:rFonts w:hint="eastAsia" w:ascii="宋体" w:hAnsi="宋体" w:cs="宋体"/>
          <w:color w:val="auto"/>
          <w:sz w:val="24"/>
        </w:rPr>
        <w:t>1.被授权代表为法定代表人的，必须出示其有效营业执照复印件、本人身份证原件及其复印件、保证金缴纳凭证复印件（以上材料均加盖竞标人公章）；</w:t>
      </w:r>
    </w:p>
    <w:p>
      <w:pPr>
        <w:spacing w:line="440" w:lineRule="exact"/>
        <w:ind w:firstLine="480" w:firstLineChars="200"/>
        <w:rPr>
          <w:rFonts w:ascii="宋体" w:hAnsi="宋体" w:cs="宋体"/>
          <w:color w:val="auto"/>
          <w:sz w:val="24"/>
        </w:rPr>
      </w:pPr>
      <w:r>
        <w:rPr>
          <w:rFonts w:hint="eastAsia" w:ascii="宋体" w:hAnsi="宋体" w:cs="宋体"/>
          <w:color w:val="auto"/>
          <w:sz w:val="24"/>
        </w:rPr>
        <w:t>2.被授权代表为非法定代表人的，必须出示有效营业执照复印件、本人身份证原件及其复印件、保证金缴纳凭证复印件、法定代表人授权委托书原件及法定代表人身份证复印件（以上材料均加盖竞标人公章）。</w:t>
      </w:r>
      <w:bookmarkStart w:id="16" w:name="_Toc28359093"/>
      <w:bookmarkStart w:id="17" w:name="_Toc35393633"/>
      <w:bookmarkStart w:id="18" w:name="_Toc28359016"/>
      <w:bookmarkStart w:id="19" w:name="_Toc35393802"/>
    </w:p>
    <w:bookmarkEnd w:id="16"/>
    <w:bookmarkEnd w:id="17"/>
    <w:bookmarkEnd w:id="18"/>
    <w:bookmarkEnd w:id="19"/>
    <w:p>
      <w:pPr>
        <w:spacing w:line="440" w:lineRule="exact"/>
        <w:ind w:firstLine="482" w:firstLineChars="200"/>
        <w:rPr>
          <w:rFonts w:ascii="宋体" w:hAnsi="宋体" w:cs="宋体"/>
          <w:b/>
          <w:bCs/>
          <w:color w:val="auto"/>
          <w:sz w:val="24"/>
        </w:rPr>
      </w:pPr>
      <w:bookmarkStart w:id="20" w:name="_Toc35393803"/>
      <w:bookmarkStart w:id="21" w:name="_Toc28359017"/>
      <w:bookmarkStart w:id="22" w:name="_Toc28359094"/>
      <w:bookmarkStart w:id="23" w:name="_Toc35393634"/>
      <w:r>
        <w:rPr>
          <w:rFonts w:hint="eastAsia" w:ascii="宋体" w:hAnsi="宋体" w:cs="宋体"/>
          <w:b/>
          <w:bCs/>
          <w:color w:val="auto"/>
          <w:sz w:val="24"/>
        </w:rPr>
        <w:t>五、公告期限</w:t>
      </w:r>
      <w:bookmarkEnd w:id="20"/>
      <w:bookmarkEnd w:id="21"/>
      <w:bookmarkEnd w:id="22"/>
      <w:bookmarkEnd w:id="23"/>
    </w:p>
    <w:p>
      <w:pPr>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bookmarkStart w:id="24" w:name="_Toc35393804"/>
      <w:bookmarkStart w:id="25" w:name="_Toc35393635"/>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六、其他补充事宜</w:t>
      </w:r>
      <w:bookmarkEnd w:id="24"/>
      <w:bookmarkEnd w:id="25"/>
    </w:p>
    <w:p>
      <w:pPr>
        <w:spacing w:line="440" w:lineRule="exact"/>
        <w:ind w:firstLine="480" w:firstLineChars="200"/>
        <w:rPr>
          <w:rFonts w:ascii="宋体" w:hAnsi="宋体" w:cs="宋体"/>
          <w:color w:val="auto"/>
          <w:sz w:val="24"/>
        </w:rPr>
      </w:pPr>
      <w:r>
        <w:rPr>
          <w:rFonts w:hint="eastAsia" w:ascii="宋体" w:hAnsi="宋体" w:cs="宋体"/>
          <w:color w:val="auto"/>
          <w:sz w:val="24"/>
        </w:rPr>
        <w:t>谈判保证金（人民币）：叁仟伍佰元整（¥3,500.00）</w:t>
      </w:r>
    </w:p>
    <w:p>
      <w:pPr>
        <w:spacing w:line="440" w:lineRule="exact"/>
        <w:ind w:firstLine="480" w:firstLineChars="200"/>
        <w:rPr>
          <w:rFonts w:ascii="宋体" w:hAnsi="宋体" w:cs="宋体"/>
          <w:color w:val="auto"/>
          <w:sz w:val="24"/>
        </w:rPr>
      </w:pPr>
      <w:r>
        <w:rPr>
          <w:rFonts w:hint="eastAsia" w:ascii="宋体" w:hAnsi="宋体" w:cs="宋体"/>
          <w:color w:val="auto"/>
          <w:sz w:val="24"/>
        </w:rPr>
        <w:t>竞标人应于2020年10月19日上午09时30分前将谈判保证金以转账或电汇等非现金形式交至以下账户。</w:t>
      </w:r>
    </w:p>
    <w:p>
      <w:pPr>
        <w:spacing w:line="440" w:lineRule="exact"/>
        <w:ind w:firstLine="480" w:firstLineChars="200"/>
        <w:rPr>
          <w:rFonts w:ascii="宋体" w:hAnsi="宋体" w:cs="宋体"/>
          <w:color w:val="auto"/>
          <w:sz w:val="24"/>
        </w:rPr>
      </w:pPr>
      <w:r>
        <w:rPr>
          <w:rFonts w:hint="eastAsia" w:ascii="宋体" w:hAnsi="宋体" w:cs="宋体"/>
          <w:color w:val="auto"/>
          <w:sz w:val="24"/>
        </w:rPr>
        <w:t>开户名称：广西建荣工程项目管理有限公司来宾分公司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开户银行：广西来宾桂中农村合作银行营业部</w:t>
      </w:r>
    </w:p>
    <w:p>
      <w:pPr>
        <w:spacing w:line="440" w:lineRule="exact"/>
        <w:ind w:firstLine="480" w:firstLineChars="200"/>
        <w:rPr>
          <w:rFonts w:ascii="宋体" w:hAnsi="宋体" w:cs="宋体"/>
          <w:color w:val="auto"/>
          <w:sz w:val="24"/>
        </w:rPr>
      </w:pPr>
      <w:r>
        <w:rPr>
          <w:rFonts w:hint="eastAsia" w:ascii="宋体" w:hAnsi="宋体" w:cs="宋体"/>
          <w:color w:val="auto"/>
          <w:sz w:val="24"/>
        </w:rPr>
        <w:t>银行账户：2166 1201 0114 1467 86</w:t>
      </w:r>
      <w:bookmarkStart w:id="26" w:name="_Toc28359095"/>
      <w:bookmarkStart w:id="27" w:name="_Toc28359018"/>
      <w:bookmarkStart w:id="28" w:name="_Toc35393636"/>
      <w:bookmarkStart w:id="29" w:name="_Toc35393805"/>
    </w:p>
    <w:p>
      <w:pPr>
        <w:spacing w:line="440" w:lineRule="exact"/>
        <w:ind w:firstLine="480" w:firstLineChars="200"/>
        <w:rPr>
          <w:rFonts w:ascii="宋体" w:hAnsi="宋体" w:cs="宋体"/>
          <w:color w:val="auto"/>
          <w:sz w:val="24"/>
        </w:rPr>
      </w:pPr>
      <w:r>
        <w:rPr>
          <w:rFonts w:hint="eastAsia" w:ascii="宋体" w:hAnsi="宋体" w:cs="宋体"/>
          <w:color w:val="auto"/>
          <w:sz w:val="24"/>
        </w:rPr>
        <w:t>网上公告查询：中国政府采购网（http://www.ccgp.gov.cn/）、广西壮族自治区政府采购网（http://zfcg.gxzf.gov.cn/）。</w:t>
      </w:r>
    </w:p>
    <w:p>
      <w:pPr>
        <w:pStyle w:val="24"/>
        <w:spacing w:line="440" w:lineRule="exact"/>
        <w:ind w:left="0" w:firstLine="482" w:firstLineChars="200"/>
        <w:rPr>
          <w:rFonts w:ascii="宋体" w:hAnsi="宋体" w:cs="宋体"/>
          <w:b/>
          <w:bCs/>
          <w:color w:val="auto"/>
          <w:sz w:val="24"/>
        </w:rPr>
      </w:pPr>
      <w:r>
        <w:rPr>
          <w:rFonts w:hint="eastAsia" w:ascii="宋体" w:hAnsi="宋体" w:cs="宋体"/>
          <w:b/>
          <w:bCs/>
          <w:color w:val="auto"/>
          <w:sz w:val="24"/>
        </w:rPr>
        <w:t>七、凡对本次采购提出询问，请按以下方式联系。</w:t>
      </w:r>
      <w:bookmarkEnd w:id="26"/>
      <w:bookmarkEnd w:id="27"/>
      <w:bookmarkEnd w:id="28"/>
      <w:bookmarkEnd w:id="29"/>
      <w:bookmarkStart w:id="30" w:name="_Toc28359096"/>
      <w:bookmarkStart w:id="31" w:name="_Toc28359019"/>
      <w:bookmarkStart w:id="32" w:name="_Toc35393806"/>
      <w:bookmarkStart w:id="33" w:name="_Toc35393637"/>
    </w:p>
    <w:p>
      <w:pPr>
        <w:pStyle w:val="24"/>
        <w:spacing w:line="440" w:lineRule="exact"/>
        <w:ind w:left="0" w:firstLine="480" w:firstLineChars="200"/>
        <w:rPr>
          <w:rFonts w:ascii="宋体" w:hAnsi="宋体" w:cs="宋体"/>
          <w:color w:val="auto"/>
          <w:sz w:val="24"/>
        </w:rPr>
      </w:pPr>
      <w:r>
        <w:rPr>
          <w:rFonts w:hint="eastAsia" w:ascii="宋体" w:hAnsi="宋体" w:cs="宋体"/>
          <w:color w:val="auto"/>
          <w:sz w:val="24"/>
        </w:rPr>
        <w:t>1.采购人信息</w:t>
      </w:r>
      <w:bookmarkEnd w:id="30"/>
      <w:bookmarkEnd w:id="31"/>
      <w:bookmarkEnd w:id="32"/>
      <w:bookmarkEnd w:id="33"/>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名称：来宾职业教育中心学校</w:t>
      </w:r>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地址：来宾市水韵路</w:t>
      </w:r>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联系人：魏庆华    联系方式：</w:t>
      </w:r>
      <w:bookmarkStart w:id="34" w:name="_Toc28359097"/>
      <w:bookmarkStart w:id="35" w:name="_Toc35393807"/>
      <w:bookmarkStart w:id="36" w:name="_Toc35393638"/>
      <w:bookmarkStart w:id="37" w:name="_Toc28359020"/>
      <w:r>
        <w:rPr>
          <w:rFonts w:hint="eastAsia" w:ascii="宋体" w:hAnsi="宋体" w:cs="宋体"/>
          <w:color w:val="auto"/>
          <w:sz w:val="24"/>
        </w:rPr>
        <w:t>0772-6620217</w:t>
      </w:r>
    </w:p>
    <w:p>
      <w:pPr>
        <w:spacing w:line="440" w:lineRule="exact"/>
        <w:ind w:firstLine="480" w:firstLineChars="200"/>
        <w:jc w:val="left"/>
        <w:rPr>
          <w:rFonts w:ascii="宋体" w:hAnsi="宋体" w:cs="宋体"/>
          <w:color w:val="auto"/>
          <w:sz w:val="24"/>
        </w:rPr>
      </w:pPr>
      <w:r>
        <w:rPr>
          <w:rFonts w:hint="eastAsia" w:ascii="宋体" w:hAnsi="宋体" w:cs="宋体"/>
          <w:color w:val="auto"/>
          <w:sz w:val="24"/>
        </w:rPr>
        <w:t>2.采购代理机构信息</w:t>
      </w:r>
      <w:bookmarkEnd w:id="34"/>
      <w:bookmarkEnd w:id="35"/>
      <w:bookmarkEnd w:id="36"/>
      <w:bookmarkEnd w:id="37"/>
    </w:p>
    <w:p>
      <w:pPr>
        <w:spacing w:line="440" w:lineRule="exact"/>
        <w:ind w:firstLine="480" w:firstLineChars="200"/>
        <w:rPr>
          <w:rFonts w:ascii="宋体" w:hAnsi="宋体" w:cs="宋体"/>
          <w:color w:val="auto"/>
          <w:sz w:val="24"/>
        </w:rPr>
      </w:pPr>
      <w:r>
        <w:rPr>
          <w:rFonts w:hint="eastAsia" w:ascii="宋体" w:hAnsi="宋体" w:cs="宋体"/>
          <w:color w:val="auto"/>
          <w:sz w:val="24"/>
        </w:rPr>
        <w:t>名称：广西建荣工程项目管理有限公司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地址：来宾市绿源路313号</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联系方式：0772-4224543</w:t>
      </w:r>
      <w:bookmarkStart w:id="38" w:name="_Toc28359021"/>
      <w:bookmarkStart w:id="39" w:name="_Toc35393808"/>
      <w:bookmarkStart w:id="40" w:name="_Toc35393639"/>
      <w:bookmarkStart w:id="41" w:name="_Toc28359098"/>
    </w:p>
    <w:p>
      <w:pPr>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bookmarkEnd w:id="38"/>
      <w:bookmarkEnd w:id="39"/>
      <w:bookmarkEnd w:id="40"/>
      <w:bookmarkEnd w:id="41"/>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项目联系人：孙灿林</w:t>
      </w:r>
    </w:p>
    <w:p>
      <w:pPr>
        <w:spacing w:line="440" w:lineRule="exact"/>
        <w:ind w:firstLine="480" w:firstLineChars="200"/>
        <w:rPr>
          <w:rFonts w:ascii="宋体" w:hAnsi="宋体" w:cs="宋体"/>
          <w:color w:val="auto"/>
          <w:sz w:val="24"/>
        </w:rPr>
      </w:pPr>
      <w:r>
        <w:rPr>
          <w:rFonts w:hint="eastAsia" w:ascii="宋体" w:hAnsi="宋体" w:cs="宋体"/>
          <w:color w:val="auto"/>
          <w:sz w:val="24"/>
        </w:rPr>
        <w:t>电话：0772-4224543</w:t>
      </w:r>
    </w:p>
    <w:p>
      <w:pPr>
        <w:spacing w:line="440" w:lineRule="exact"/>
        <w:ind w:firstLine="480" w:firstLineChars="200"/>
        <w:rPr>
          <w:rFonts w:ascii="宋体" w:hAnsi="宋体" w:cs="宋体"/>
          <w:color w:val="auto"/>
          <w:sz w:val="24"/>
        </w:rPr>
      </w:pPr>
      <w:r>
        <w:rPr>
          <w:rFonts w:hint="eastAsia" w:ascii="宋体" w:hAnsi="宋体" w:cs="宋体"/>
          <w:color w:val="auto"/>
          <w:sz w:val="24"/>
        </w:rPr>
        <w:t>4.政府采购监督管理部门信息</w:t>
      </w:r>
    </w:p>
    <w:p>
      <w:pPr>
        <w:spacing w:line="440" w:lineRule="exact"/>
        <w:ind w:firstLine="480" w:firstLineChars="200"/>
        <w:rPr>
          <w:rFonts w:ascii="宋体" w:hAnsi="宋体" w:cs="宋体"/>
          <w:color w:val="auto"/>
          <w:sz w:val="24"/>
        </w:rPr>
      </w:pPr>
      <w:r>
        <w:rPr>
          <w:rFonts w:hint="eastAsia" w:ascii="宋体" w:hAnsi="宋体" w:cs="宋体"/>
          <w:color w:val="auto"/>
          <w:sz w:val="24"/>
        </w:rPr>
        <w:t>名称：来宾市财政局政府采购监督管理科</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联系方式：0772-4235317</w:t>
      </w:r>
    </w:p>
    <w:p>
      <w:pPr>
        <w:spacing w:line="440" w:lineRule="exact"/>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24"/>
        <w:rPr>
          <w:rFonts w:ascii="宋体" w:hAnsi="宋体" w:cs="宋体"/>
          <w:color w:val="auto"/>
          <w:sz w:val="24"/>
        </w:rPr>
      </w:pPr>
    </w:p>
    <w:p>
      <w:pPr>
        <w:rPr>
          <w:rFonts w:ascii="宋体" w:hAnsi="宋体" w:cs="宋体"/>
          <w:color w:val="auto"/>
          <w:sz w:val="24"/>
        </w:rPr>
      </w:pPr>
    </w:p>
    <w:p>
      <w:pPr>
        <w:pStyle w:val="24"/>
        <w:rPr>
          <w:color w:val="auto"/>
        </w:rPr>
      </w:pPr>
    </w:p>
    <w:p>
      <w:pPr>
        <w:pStyle w:val="18"/>
        <w:ind w:left="412" w:leftChars="196"/>
        <w:jc w:val="center"/>
        <w:rPr>
          <w:rFonts w:hAnsi="宋体" w:cs="宋体"/>
          <w:b/>
          <w:color w:val="auto"/>
          <w:sz w:val="24"/>
          <w:szCs w:val="24"/>
        </w:rPr>
      </w:pPr>
    </w:p>
    <w:p>
      <w:pPr>
        <w:pStyle w:val="18"/>
        <w:ind w:left="412" w:leftChars="196"/>
        <w:jc w:val="center"/>
        <w:rPr>
          <w:rFonts w:hAnsi="宋体"/>
          <w:b/>
          <w:color w:val="auto"/>
          <w:sz w:val="44"/>
        </w:rPr>
      </w:pPr>
    </w:p>
    <w:p>
      <w:pPr>
        <w:pStyle w:val="18"/>
        <w:ind w:left="412" w:leftChars="196"/>
        <w:jc w:val="center"/>
        <w:rPr>
          <w:rFonts w:hAnsi="宋体"/>
          <w:b/>
          <w:color w:val="auto"/>
          <w:sz w:val="44"/>
        </w:rPr>
      </w:pPr>
    </w:p>
    <w:p>
      <w:pPr>
        <w:pStyle w:val="18"/>
        <w:rPr>
          <w:rFonts w:hAnsi="宋体"/>
          <w:b/>
          <w:color w:val="auto"/>
          <w:sz w:val="44"/>
        </w:rPr>
      </w:pPr>
    </w:p>
    <w:p>
      <w:pPr>
        <w:pStyle w:val="18"/>
        <w:ind w:left="412" w:leftChars="196"/>
        <w:jc w:val="center"/>
        <w:rPr>
          <w:rFonts w:hAnsi="宋体"/>
          <w:b/>
          <w:color w:val="auto"/>
          <w:sz w:val="44"/>
        </w:rPr>
      </w:pPr>
    </w:p>
    <w:p>
      <w:pPr>
        <w:pStyle w:val="2"/>
        <w:rPr>
          <w:color w:val="auto"/>
        </w:rPr>
      </w:pPr>
    </w:p>
    <w:p>
      <w:pPr>
        <w:pStyle w:val="18"/>
        <w:ind w:left="412" w:leftChars="196"/>
        <w:jc w:val="center"/>
        <w:rPr>
          <w:rFonts w:hAnsi="宋体"/>
          <w:b/>
          <w:color w:val="auto"/>
          <w:sz w:val="44"/>
        </w:rPr>
      </w:pPr>
    </w:p>
    <w:p>
      <w:pPr>
        <w:pStyle w:val="18"/>
        <w:ind w:left="412" w:leftChars="196"/>
        <w:jc w:val="center"/>
        <w:rPr>
          <w:rFonts w:hAnsi="宋体"/>
          <w:b/>
          <w:color w:val="auto"/>
          <w:sz w:val="44"/>
        </w:rPr>
      </w:pPr>
    </w:p>
    <w:p>
      <w:pPr>
        <w:pStyle w:val="3"/>
        <w:keepNext w:val="0"/>
        <w:spacing w:line="440" w:lineRule="exact"/>
        <w:jc w:val="center"/>
        <w:rPr>
          <w:rFonts w:ascii="宋体" w:hAnsi="宋体"/>
          <w:color w:val="auto"/>
          <w:sz w:val="36"/>
          <w:szCs w:val="36"/>
        </w:rPr>
      </w:pPr>
      <w:bookmarkStart w:id="42" w:name="_Toc230685748"/>
      <w:bookmarkStart w:id="43" w:name="_Toc230685472"/>
      <w:bookmarkStart w:id="44" w:name="_Toc7513"/>
      <w:bookmarkStart w:id="45" w:name="_Toc19147"/>
      <w:bookmarkStart w:id="46" w:name="_Toc230685610"/>
      <w:bookmarkStart w:id="47" w:name="_Toc230685656"/>
      <w:bookmarkStart w:id="48" w:name="_Toc230685215"/>
      <w:bookmarkStart w:id="49" w:name="_Toc32670"/>
      <w:r>
        <w:rPr>
          <w:rFonts w:hint="eastAsia" w:ascii="宋体" w:hAnsi="宋体"/>
          <w:color w:val="auto"/>
          <w:sz w:val="36"/>
          <w:szCs w:val="36"/>
        </w:rPr>
        <w:t>第一章  竞标人须知及前附表</w:t>
      </w:r>
      <w:bookmarkEnd w:id="42"/>
      <w:bookmarkEnd w:id="43"/>
      <w:bookmarkEnd w:id="44"/>
      <w:bookmarkEnd w:id="45"/>
      <w:bookmarkEnd w:id="46"/>
      <w:bookmarkEnd w:id="47"/>
      <w:bookmarkEnd w:id="48"/>
      <w:bookmarkEnd w:id="49"/>
    </w:p>
    <w:p>
      <w:pPr>
        <w:pStyle w:val="18"/>
        <w:jc w:val="center"/>
        <w:rPr>
          <w:rFonts w:hAnsi="宋体"/>
          <w:b/>
          <w:color w:val="auto"/>
          <w:sz w:val="44"/>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rPr>
          <w:color w:val="auto"/>
        </w:rPr>
      </w:pPr>
    </w:p>
    <w:p>
      <w:pPr>
        <w:rPr>
          <w:color w:val="auto"/>
        </w:rPr>
      </w:pPr>
    </w:p>
    <w:p>
      <w:pPr>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50" w:name="_Toc230685611"/>
      <w:bookmarkStart w:id="51" w:name="_Toc230685749"/>
      <w:bookmarkStart w:id="52" w:name="_Toc29455"/>
      <w:bookmarkStart w:id="53" w:name="_Toc298937383"/>
      <w:bookmarkStart w:id="54" w:name="_Toc230625499"/>
      <w:bookmarkStart w:id="55" w:name="_Toc19443"/>
      <w:bookmarkStart w:id="56" w:name="_Toc230598327"/>
      <w:bookmarkStart w:id="57" w:name="_Toc230685657"/>
      <w:bookmarkStart w:id="58" w:name="_Toc230685473"/>
    </w:p>
    <w:p>
      <w:pPr>
        <w:jc w:val="center"/>
        <w:rPr>
          <w:color w:val="auto"/>
        </w:rPr>
      </w:pPr>
      <w:r>
        <w:rPr>
          <w:rFonts w:hint="eastAsia"/>
          <w:b/>
          <w:bCs/>
          <w:color w:val="auto"/>
          <w:sz w:val="28"/>
          <w:szCs w:val="28"/>
        </w:rPr>
        <w:t>竞标人须知前附表</w:t>
      </w:r>
      <w:bookmarkEnd w:id="50"/>
      <w:bookmarkEnd w:id="51"/>
      <w:bookmarkEnd w:id="52"/>
      <w:bookmarkEnd w:id="53"/>
      <w:bookmarkEnd w:id="54"/>
      <w:bookmarkEnd w:id="55"/>
      <w:bookmarkEnd w:id="56"/>
      <w:bookmarkEnd w:id="57"/>
      <w:bookmarkEnd w:id="58"/>
    </w:p>
    <w:tbl>
      <w:tblPr>
        <w:tblStyle w:val="31"/>
        <w:tblpPr w:leftFromText="180" w:rightFromText="180" w:vertAnchor="text" w:horzAnchor="page" w:tblpX="1049" w:tblpY="601"/>
        <w:tblOverlap w:val="never"/>
        <w:tblW w:w="10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76"/>
        <w:gridCol w:w="7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项号</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条款号</w:t>
            </w:r>
          </w:p>
        </w:tc>
        <w:tc>
          <w:tcPr>
            <w:tcW w:w="7974" w:type="dxa"/>
            <w:vAlign w:val="center"/>
          </w:tcPr>
          <w:p>
            <w:pPr>
              <w:spacing w:line="440" w:lineRule="exact"/>
              <w:jc w:val="center"/>
              <w:rPr>
                <w:rFonts w:ascii="宋体" w:hAnsi="宋体" w:cs="宋体"/>
                <w:color w:val="auto"/>
                <w:sz w:val="24"/>
              </w:rPr>
            </w:pPr>
            <w:r>
              <w:rPr>
                <w:rFonts w:hint="eastAsia" w:ascii="宋体" w:hAnsi="宋体" w:cs="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1</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1.1</w:t>
            </w:r>
          </w:p>
          <w:p>
            <w:pPr>
              <w:spacing w:line="440" w:lineRule="exact"/>
              <w:jc w:val="center"/>
              <w:rPr>
                <w:rFonts w:ascii="宋体" w:hAnsi="宋体" w:cs="宋体"/>
                <w:color w:val="auto"/>
                <w:sz w:val="24"/>
              </w:rPr>
            </w:pPr>
            <w:r>
              <w:rPr>
                <w:rFonts w:hint="eastAsia" w:ascii="宋体" w:hAnsi="宋体" w:cs="宋体"/>
                <w:color w:val="auto"/>
                <w:sz w:val="24"/>
              </w:rPr>
              <w:t>1.2</w:t>
            </w: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项目名称：来宾职业教育中心学校综合专业实训楼项目EPC工程项目检测服务费</w:t>
            </w:r>
          </w:p>
          <w:p>
            <w:pPr>
              <w:spacing w:line="440" w:lineRule="exact"/>
              <w:rPr>
                <w:rFonts w:ascii="宋体" w:hAnsi="宋体" w:cs="宋体"/>
                <w:color w:val="auto"/>
                <w:sz w:val="24"/>
              </w:rPr>
            </w:pPr>
            <w:r>
              <w:rPr>
                <w:rFonts w:hint="eastAsia" w:ascii="宋体" w:hAnsi="宋体" w:cs="宋体"/>
                <w:color w:val="auto"/>
                <w:sz w:val="24"/>
              </w:rPr>
              <w:t>项目编号：LBZC2020-J3-00020-GXJR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2</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2.1</w:t>
            </w:r>
          </w:p>
        </w:tc>
        <w:tc>
          <w:tcPr>
            <w:tcW w:w="7974" w:type="dxa"/>
            <w:vAlign w:val="center"/>
          </w:tcPr>
          <w:p>
            <w:pPr>
              <w:spacing w:line="440" w:lineRule="exact"/>
              <w:ind w:left="42"/>
              <w:rPr>
                <w:rFonts w:ascii="宋体" w:hAnsi="宋体" w:cs="宋体"/>
                <w:color w:val="auto"/>
                <w:sz w:val="24"/>
              </w:rPr>
            </w:pPr>
            <w:r>
              <w:rPr>
                <w:rFonts w:hint="eastAsia" w:ascii="宋体" w:hAnsi="宋体" w:cs="宋体"/>
                <w:color w:val="auto"/>
                <w:sz w:val="24"/>
              </w:rPr>
              <w:t>申请人的资格要求：</w:t>
            </w:r>
          </w:p>
          <w:p>
            <w:pPr>
              <w:spacing w:line="440" w:lineRule="exact"/>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spacing w:line="440" w:lineRule="exact"/>
              <w:ind w:firstLine="480" w:firstLineChars="200"/>
              <w:rPr>
                <w:rFonts w:ascii="宋体" w:hAnsi="宋体" w:cs="宋体"/>
                <w:color w:val="auto"/>
                <w:sz w:val="24"/>
              </w:rPr>
            </w:pPr>
            <w:r>
              <w:rPr>
                <w:rFonts w:hint="eastAsia" w:ascii="宋体" w:hAnsi="宋体" w:cs="宋体"/>
                <w:color w:val="auto"/>
                <w:sz w:val="24"/>
              </w:rPr>
              <w:t>2.落实政府采购政策需满足的资格要求：《政府采购促进中小企业发展暂行办法》（财库[2011]181号）；《政府采购支持监狱企业发展有关问题的通知》（桂财采[2015]24号）；《三部门联合发布关于促进残疾人就业政府采购政策的通知》（财库〔2017〕141号）等相关政策。</w:t>
            </w:r>
          </w:p>
          <w:p>
            <w:pPr>
              <w:spacing w:line="440" w:lineRule="exact"/>
              <w:ind w:firstLine="480" w:firstLineChars="200"/>
              <w:rPr>
                <w:rFonts w:ascii="宋体" w:hAnsi="宋体" w:cs="宋体"/>
                <w:color w:val="auto"/>
                <w:sz w:val="24"/>
              </w:rPr>
            </w:pPr>
            <w:r>
              <w:rPr>
                <w:rFonts w:hint="eastAsia" w:ascii="宋体" w:hAnsi="宋体" w:cs="宋体"/>
                <w:color w:val="auto"/>
                <w:sz w:val="24"/>
              </w:rPr>
              <w:t>3.本项目的特定资格要求：</w:t>
            </w:r>
          </w:p>
          <w:p>
            <w:pPr>
              <w:spacing w:line="44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从事或提供本次采购的货物或服务，具备法定代表人资格；并且要求具有省级以上住房城乡建设主管部门颁发的相应建设工程质量检测资质证书，包含但不限于见证取样检测、地基基础工程检测、主体结构工程现场检测、钢结构工程检测、建筑物附属设备安装工程检测等检测资质范围。</w:t>
            </w:r>
          </w:p>
          <w:p>
            <w:pPr>
              <w:spacing w:line="440" w:lineRule="exact"/>
              <w:ind w:firstLine="480" w:firstLineChars="200"/>
              <w:rPr>
                <w:rFonts w:ascii="宋体" w:hAnsi="宋体" w:cs="宋体"/>
                <w:color w:val="auto"/>
                <w:sz w:val="24"/>
              </w:rPr>
            </w:pPr>
            <w:r>
              <w:rPr>
                <w:rFonts w:hint="eastAsia" w:ascii="宋体" w:hAnsi="宋体" w:cs="宋体"/>
                <w:color w:val="auto"/>
                <w:sz w:val="24"/>
              </w:rPr>
              <w:t>（2）具备省级以上质量技术监督部门颁发的检验检测机构资质认定证书。</w:t>
            </w:r>
          </w:p>
          <w:p>
            <w:pPr>
              <w:spacing w:line="440" w:lineRule="exact"/>
              <w:ind w:firstLine="480" w:firstLineChars="200"/>
              <w:rPr>
                <w:rFonts w:ascii="宋体" w:hAnsi="宋体" w:cs="宋体"/>
                <w:color w:val="auto"/>
                <w:sz w:val="24"/>
              </w:rPr>
            </w:pPr>
            <w:r>
              <w:rPr>
                <w:rFonts w:hint="eastAsia" w:ascii="宋体" w:hAnsi="宋体" w:cs="宋体"/>
                <w:color w:val="auto"/>
                <w:sz w:val="24"/>
              </w:rPr>
              <w:t>（3）对在“信用中国”网站（www.creditchina.gov.cn）和中国政府采购网（http://www.ccgp.gov.cn）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80" w:firstLineChars="200"/>
              <w:rPr>
                <w:rFonts w:ascii="宋体" w:hAnsi="宋体" w:cs="宋体"/>
                <w:color w:val="auto"/>
                <w:sz w:val="24"/>
              </w:rPr>
            </w:pPr>
            <w:r>
              <w:rPr>
                <w:rFonts w:hint="eastAsia" w:ascii="宋体" w:hAnsi="宋体" w:cs="宋体"/>
                <w:color w:val="auto"/>
                <w:sz w:val="24"/>
              </w:rPr>
              <w:t>（4）本项目不接受未购买本项目竞争性谈判采购文件的供应商竞标，不接受联合体竞标。</w:t>
            </w:r>
          </w:p>
          <w:p>
            <w:pPr>
              <w:spacing w:line="440" w:lineRule="exact"/>
              <w:ind w:firstLine="480" w:firstLineChars="200"/>
              <w:rPr>
                <w:rFonts w:ascii="宋体" w:hAnsi="宋体" w:cs="宋体"/>
                <w:color w:val="auto"/>
                <w:kern w:val="48"/>
                <w:sz w:val="24"/>
              </w:rPr>
            </w:pPr>
            <w:r>
              <w:rPr>
                <w:rFonts w:hint="eastAsia" w:ascii="宋体" w:hAnsi="宋体" w:cs="宋体"/>
                <w:color w:val="auto"/>
                <w:sz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3</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10.1</w:t>
            </w:r>
          </w:p>
        </w:tc>
        <w:tc>
          <w:tcPr>
            <w:tcW w:w="7974" w:type="dxa"/>
            <w:vAlign w:val="center"/>
          </w:tcPr>
          <w:p>
            <w:pPr>
              <w:pStyle w:val="18"/>
              <w:spacing w:line="440" w:lineRule="exact"/>
              <w:rPr>
                <w:rFonts w:hAnsi="宋体" w:cs="宋体"/>
                <w:color w:val="auto"/>
                <w:sz w:val="24"/>
                <w:szCs w:val="24"/>
              </w:rPr>
            </w:pPr>
            <w:r>
              <w:rPr>
                <w:rFonts w:hint="eastAsia" w:hAnsi="宋体" w:cs="宋体"/>
                <w:color w:val="auto"/>
                <w:sz w:val="24"/>
                <w:szCs w:val="24"/>
              </w:rPr>
              <w:t>竞标报价：竞标人可就《项目需求》中的所有货物或服务内容作唯一、完整报价。包括本项目检测服务所产生的各种费用、税金及其它所有成本费用的总和。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4</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14.1</w:t>
            </w: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竞标有效期：从竞标截止时间起</w:t>
            </w:r>
            <w:r>
              <w:rPr>
                <w:rFonts w:hint="eastAsia" w:ascii="宋体" w:hAnsi="宋体" w:cs="宋体"/>
                <w:color w:val="auto"/>
                <w:sz w:val="24"/>
                <w:u w:val="single"/>
              </w:rPr>
              <w:t>60</w:t>
            </w:r>
            <w:r>
              <w:rPr>
                <w:rFonts w:hint="eastAsia" w:ascii="宋体" w:hAnsi="宋体" w:cs="宋体"/>
                <w:color w:val="auto"/>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5</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15.4</w:t>
            </w:r>
          </w:p>
        </w:tc>
        <w:tc>
          <w:tcPr>
            <w:tcW w:w="7974" w:type="dxa"/>
            <w:vAlign w:val="center"/>
          </w:tcPr>
          <w:p>
            <w:pPr>
              <w:pStyle w:val="107"/>
              <w:spacing w:line="440" w:lineRule="exact"/>
              <w:rPr>
                <w:rFonts w:ascii="宋体" w:hAnsi="宋体" w:cs="宋体"/>
                <w:color w:val="auto"/>
                <w:sz w:val="24"/>
              </w:rPr>
            </w:pPr>
            <w:r>
              <w:rPr>
                <w:rFonts w:hint="eastAsia" w:ascii="宋体" w:hAnsi="宋体" w:cs="宋体"/>
                <w:color w:val="auto"/>
                <w:sz w:val="24"/>
              </w:rPr>
              <w:t>竞标文件份数：正本1份，副本2份，共3份。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6</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16.1</w:t>
            </w: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竞标保证金（人民币）：叁仟伍佰元整（¥3,500.00）（须足额缴纳），竞标保证金应在竞标有效期内保持有效。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7</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18</w:t>
            </w:r>
          </w:p>
        </w:tc>
        <w:tc>
          <w:tcPr>
            <w:tcW w:w="7974" w:type="dxa"/>
            <w:vAlign w:val="center"/>
          </w:tcPr>
          <w:p>
            <w:pPr>
              <w:pStyle w:val="18"/>
              <w:spacing w:line="440" w:lineRule="exact"/>
              <w:rPr>
                <w:rFonts w:hAnsi="宋体" w:cs="宋体"/>
                <w:color w:val="auto"/>
                <w:sz w:val="24"/>
                <w:szCs w:val="24"/>
              </w:rPr>
            </w:pPr>
            <w:r>
              <w:rPr>
                <w:rFonts w:hint="eastAsia" w:hAnsi="宋体" w:cs="宋体"/>
                <w:color w:val="auto"/>
                <w:sz w:val="24"/>
                <w:szCs w:val="24"/>
              </w:rPr>
              <w:t>竞标文件提交截止时间：2020年10月19日上午09时30分（此为竞标截止时间）</w:t>
            </w:r>
          </w:p>
          <w:p>
            <w:pPr>
              <w:pStyle w:val="18"/>
              <w:spacing w:line="440" w:lineRule="exact"/>
              <w:rPr>
                <w:rFonts w:hAnsi="宋体" w:cs="宋体"/>
                <w:color w:val="auto"/>
                <w:sz w:val="24"/>
                <w:szCs w:val="24"/>
              </w:rPr>
            </w:pPr>
            <w:r>
              <w:rPr>
                <w:rFonts w:hint="eastAsia" w:hAnsi="宋体" w:cs="宋体"/>
                <w:color w:val="auto"/>
                <w:sz w:val="24"/>
                <w:szCs w:val="24"/>
              </w:rPr>
              <w:t>地点：广西建荣工程项目管理有限公司来宾分公司（来宾市绿源路313号）。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8</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19.1</w:t>
            </w: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谈判时间：2020年10月19日上午09时30分截标后（具体时间由采购代理机构另行通知）</w:t>
            </w:r>
          </w:p>
          <w:p>
            <w:pPr>
              <w:pStyle w:val="18"/>
              <w:spacing w:line="440" w:lineRule="exact"/>
              <w:rPr>
                <w:rFonts w:hAnsi="宋体" w:cs="宋体"/>
                <w:color w:val="auto"/>
                <w:sz w:val="24"/>
                <w:szCs w:val="24"/>
              </w:rPr>
            </w:pPr>
            <w:r>
              <w:rPr>
                <w:rFonts w:hint="eastAsia" w:hAnsi="宋体" w:cs="宋体"/>
                <w:color w:val="auto"/>
                <w:sz w:val="24"/>
                <w:szCs w:val="24"/>
              </w:rPr>
              <w:t>谈判地点：广西建荣工程项目管理有限公司来宾分公司评标室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9</w:t>
            </w:r>
          </w:p>
        </w:tc>
        <w:tc>
          <w:tcPr>
            <w:tcW w:w="1076" w:type="dxa"/>
            <w:vAlign w:val="center"/>
          </w:tcPr>
          <w:p>
            <w:pPr>
              <w:spacing w:line="440" w:lineRule="exact"/>
              <w:jc w:val="center"/>
              <w:rPr>
                <w:rFonts w:ascii="宋体" w:hAnsi="宋体" w:cs="宋体"/>
                <w:color w:val="auto"/>
                <w:sz w:val="24"/>
              </w:rPr>
            </w:pPr>
            <w:r>
              <w:rPr>
                <w:rFonts w:hint="eastAsia" w:ascii="宋体" w:hAnsi="宋体" w:cs="宋体"/>
                <w:color w:val="auto"/>
                <w:sz w:val="24"/>
              </w:rPr>
              <w:t>20.1</w:t>
            </w: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评标办法：最低评标价法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10</w:t>
            </w:r>
          </w:p>
        </w:tc>
        <w:tc>
          <w:tcPr>
            <w:tcW w:w="1076" w:type="dxa"/>
            <w:vAlign w:val="center"/>
          </w:tcPr>
          <w:p>
            <w:pPr>
              <w:spacing w:line="440" w:lineRule="exact"/>
              <w:jc w:val="center"/>
              <w:rPr>
                <w:rFonts w:ascii="宋体" w:hAnsi="宋体" w:cs="宋体"/>
                <w:color w:val="auto"/>
                <w:sz w:val="24"/>
              </w:rPr>
            </w:pP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本项目采购预算金额（人民币）：叁拾贰万柒仟捌佰元整（¥327,800.00）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11</w:t>
            </w:r>
          </w:p>
        </w:tc>
        <w:tc>
          <w:tcPr>
            <w:tcW w:w="1076" w:type="dxa"/>
            <w:vAlign w:val="center"/>
          </w:tcPr>
          <w:p>
            <w:pPr>
              <w:spacing w:line="440" w:lineRule="exact"/>
              <w:jc w:val="center"/>
              <w:rPr>
                <w:rFonts w:ascii="宋体" w:hAnsi="宋体" w:cs="宋体"/>
                <w:color w:val="auto"/>
                <w:sz w:val="24"/>
              </w:rPr>
            </w:pPr>
          </w:p>
        </w:tc>
        <w:tc>
          <w:tcPr>
            <w:tcW w:w="7974" w:type="dxa"/>
            <w:vAlign w:val="center"/>
          </w:tcPr>
          <w:p>
            <w:pPr>
              <w:spacing w:line="440" w:lineRule="exact"/>
              <w:rPr>
                <w:rFonts w:ascii="宋体" w:hAnsi="宋体" w:cs="宋体"/>
                <w:color w:val="auto"/>
                <w:sz w:val="24"/>
              </w:rPr>
            </w:pPr>
            <w:r>
              <w:rPr>
                <w:rFonts w:hint="eastAsia" w:ascii="宋体" w:hAnsi="宋体" w:cs="宋体"/>
                <w:b/>
                <w:bCs/>
                <w:color w:val="auto"/>
                <w:sz w:val="24"/>
              </w:rPr>
              <w:t>代理服务费：</w:t>
            </w:r>
            <w:r>
              <w:rPr>
                <w:rFonts w:hint="eastAsia" w:ascii="宋体" w:hAnsi="宋体" w:cs="宋体"/>
                <w:color w:val="auto"/>
                <w:sz w:val="24"/>
              </w:rPr>
              <w:t>本项目代理服务费参照国家发展计划委员会文件计价格（2002）1980号和桂价费[2011]55号文《招标代理服务收费管理暂行办法》（服务类）的收费标准计取，由成交人在领取成交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51" w:type="dxa"/>
            <w:vAlign w:val="center"/>
          </w:tcPr>
          <w:p>
            <w:pPr>
              <w:spacing w:line="440" w:lineRule="exact"/>
              <w:jc w:val="center"/>
              <w:rPr>
                <w:rFonts w:ascii="宋体" w:hAnsi="宋体" w:cs="宋体"/>
                <w:color w:val="auto"/>
                <w:sz w:val="24"/>
              </w:rPr>
            </w:pPr>
            <w:r>
              <w:rPr>
                <w:rFonts w:hint="eastAsia" w:ascii="宋体" w:hAnsi="宋体" w:cs="宋体"/>
                <w:color w:val="auto"/>
                <w:sz w:val="24"/>
              </w:rPr>
              <w:t>12</w:t>
            </w:r>
          </w:p>
        </w:tc>
        <w:tc>
          <w:tcPr>
            <w:tcW w:w="1076" w:type="dxa"/>
            <w:vAlign w:val="center"/>
          </w:tcPr>
          <w:p>
            <w:pPr>
              <w:spacing w:line="440" w:lineRule="exact"/>
              <w:jc w:val="center"/>
              <w:rPr>
                <w:rFonts w:ascii="宋体" w:hAnsi="宋体" w:cs="宋体"/>
                <w:color w:val="auto"/>
                <w:sz w:val="24"/>
              </w:rPr>
            </w:pPr>
          </w:p>
        </w:tc>
        <w:tc>
          <w:tcPr>
            <w:tcW w:w="7974" w:type="dxa"/>
            <w:vAlign w:val="center"/>
          </w:tcPr>
          <w:p>
            <w:pPr>
              <w:spacing w:line="440" w:lineRule="exact"/>
              <w:rPr>
                <w:rFonts w:ascii="宋体" w:hAnsi="宋体" w:cs="宋体"/>
                <w:color w:val="auto"/>
                <w:sz w:val="24"/>
              </w:rPr>
            </w:pPr>
            <w:r>
              <w:rPr>
                <w:rFonts w:hint="eastAsia" w:ascii="宋体" w:hAnsi="宋体" w:cs="宋体"/>
                <w:color w:val="auto"/>
                <w:sz w:val="24"/>
              </w:rPr>
              <w:t>竞标人公章：本采购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章</w:t>
            </w:r>
          </w:p>
        </w:tc>
      </w:tr>
    </w:tbl>
    <w:p>
      <w:pPr>
        <w:pStyle w:val="24"/>
        <w:ind w:left="0" w:firstLine="0"/>
        <w:rPr>
          <w:rFonts w:ascii="宋体" w:hAnsi="宋体"/>
          <w:color w:val="auto"/>
        </w:rPr>
      </w:pPr>
      <w:bookmarkStart w:id="59" w:name="_Toc230685658"/>
      <w:bookmarkStart w:id="60" w:name="_Toc230598328"/>
      <w:bookmarkStart w:id="61" w:name="_Toc230685474"/>
      <w:bookmarkStart w:id="62" w:name="_Toc230625500"/>
      <w:bookmarkStart w:id="63" w:name="_Toc230685750"/>
      <w:bookmarkStart w:id="64" w:name="_Toc230685612"/>
      <w:bookmarkStart w:id="65" w:name="_Toc298937384"/>
    </w:p>
    <w:p>
      <w:pPr>
        <w:rPr>
          <w:color w:val="auto"/>
        </w:rPr>
      </w:pPr>
    </w:p>
    <w:p>
      <w:pPr>
        <w:pStyle w:val="4"/>
        <w:keepNext w:val="0"/>
        <w:keepLines w:val="0"/>
        <w:spacing w:line="400" w:lineRule="exact"/>
        <w:jc w:val="center"/>
        <w:rPr>
          <w:rFonts w:ascii="宋体" w:hAnsi="宋体" w:eastAsia="宋体"/>
          <w:bCs w:val="0"/>
          <w:color w:val="auto"/>
          <w:sz w:val="28"/>
          <w:szCs w:val="28"/>
        </w:rPr>
      </w:pPr>
      <w:bookmarkStart w:id="66" w:name="_Toc22125"/>
      <w:bookmarkStart w:id="67" w:name="_Toc32153"/>
    </w:p>
    <w:p>
      <w:pPr>
        <w:pStyle w:val="4"/>
        <w:keepNext w:val="0"/>
        <w:keepLines w:val="0"/>
        <w:spacing w:line="400" w:lineRule="exact"/>
        <w:jc w:val="center"/>
        <w:rPr>
          <w:rFonts w:ascii="宋体" w:hAnsi="宋体" w:eastAsia="宋体"/>
          <w:color w:val="auto"/>
          <w:sz w:val="28"/>
          <w:szCs w:val="28"/>
        </w:rPr>
      </w:pPr>
      <w:r>
        <w:rPr>
          <w:rFonts w:hint="eastAsia" w:ascii="宋体" w:hAnsi="宋体" w:eastAsia="宋体"/>
          <w:bCs w:val="0"/>
          <w:color w:val="auto"/>
          <w:sz w:val="28"/>
          <w:szCs w:val="28"/>
        </w:rPr>
        <w:t>竞 标 人 须 知</w:t>
      </w:r>
      <w:bookmarkEnd w:id="59"/>
      <w:bookmarkEnd w:id="60"/>
      <w:bookmarkEnd w:id="61"/>
      <w:bookmarkEnd w:id="62"/>
      <w:bookmarkEnd w:id="63"/>
      <w:bookmarkEnd w:id="64"/>
      <w:bookmarkEnd w:id="65"/>
      <w:bookmarkEnd w:id="66"/>
      <w:bookmarkEnd w:id="67"/>
      <w:bookmarkStart w:id="68" w:name="_Toc230685475"/>
      <w:bookmarkStart w:id="69" w:name="_Toc230685659"/>
      <w:bookmarkStart w:id="70" w:name="_Toc298937385"/>
      <w:bookmarkStart w:id="71" w:name="_Toc230625501"/>
      <w:bookmarkStart w:id="72" w:name="_Toc230685613"/>
    </w:p>
    <w:p>
      <w:pPr>
        <w:pStyle w:val="4"/>
        <w:keepNext w:val="0"/>
        <w:keepLines w:val="0"/>
        <w:spacing w:line="440" w:lineRule="exact"/>
        <w:jc w:val="center"/>
        <w:rPr>
          <w:rFonts w:ascii="宋体" w:hAnsi="宋体" w:eastAsia="宋体" w:cs="宋体"/>
          <w:b w:val="0"/>
          <w:bCs w:val="0"/>
          <w:color w:val="auto"/>
          <w:sz w:val="24"/>
          <w:szCs w:val="24"/>
        </w:rPr>
      </w:pPr>
      <w:bookmarkStart w:id="73" w:name="_Toc24825"/>
      <w:bookmarkStart w:id="74" w:name="_Toc1075"/>
      <w:r>
        <w:rPr>
          <w:rFonts w:hint="eastAsia" w:ascii="宋体" w:hAnsi="宋体" w:eastAsia="宋体" w:cs="宋体"/>
          <w:color w:val="auto"/>
          <w:sz w:val="24"/>
          <w:szCs w:val="24"/>
        </w:rPr>
        <w:t>一  总  则</w:t>
      </w:r>
      <w:bookmarkEnd w:id="68"/>
      <w:bookmarkEnd w:id="69"/>
      <w:bookmarkEnd w:id="70"/>
      <w:bookmarkEnd w:id="71"/>
      <w:bookmarkEnd w:id="72"/>
      <w:bookmarkEnd w:id="73"/>
      <w:bookmarkEnd w:id="74"/>
      <w:bookmarkStart w:id="75" w:name="_Toc230685614"/>
      <w:bookmarkStart w:id="76" w:name="_Toc230685660"/>
      <w:bookmarkStart w:id="77" w:name="_Toc298937386"/>
      <w:bookmarkStart w:id="78" w:name="_Toc230625502"/>
      <w:bookmarkStart w:id="79" w:name="_Toc230685476"/>
    </w:p>
    <w:p>
      <w:pPr>
        <w:pStyle w:val="4"/>
        <w:keepNext w:val="0"/>
        <w:keepLines w:val="0"/>
        <w:spacing w:line="440" w:lineRule="exact"/>
        <w:rPr>
          <w:rFonts w:ascii="宋体" w:hAnsi="宋体" w:eastAsia="宋体" w:cs="宋体"/>
          <w:b w:val="0"/>
          <w:bCs w:val="0"/>
          <w:color w:val="auto"/>
          <w:sz w:val="24"/>
          <w:szCs w:val="24"/>
        </w:rPr>
      </w:pPr>
      <w:bookmarkStart w:id="80" w:name="_Toc109"/>
      <w:bookmarkStart w:id="81" w:name="_Toc31696"/>
      <w:r>
        <w:rPr>
          <w:rFonts w:hint="eastAsia" w:ascii="宋体" w:hAnsi="宋体" w:eastAsia="宋体" w:cs="宋体"/>
          <w:color w:val="auto"/>
          <w:sz w:val="24"/>
          <w:szCs w:val="24"/>
        </w:rPr>
        <w:t>1.项目名称及编号</w:t>
      </w:r>
      <w:bookmarkEnd w:id="75"/>
      <w:bookmarkEnd w:id="76"/>
      <w:bookmarkEnd w:id="77"/>
      <w:bookmarkEnd w:id="78"/>
      <w:bookmarkEnd w:id="79"/>
      <w:bookmarkEnd w:id="80"/>
      <w:bookmarkEnd w:id="81"/>
    </w:p>
    <w:p>
      <w:pPr>
        <w:spacing w:line="440" w:lineRule="exact"/>
        <w:ind w:firstLine="480" w:firstLineChars="200"/>
        <w:rPr>
          <w:rFonts w:ascii="宋体" w:hAnsi="宋体" w:cs="宋体"/>
          <w:color w:val="auto"/>
          <w:sz w:val="24"/>
        </w:rPr>
      </w:pPr>
      <w:r>
        <w:rPr>
          <w:rFonts w:hint="eastAsia" w:ascii="宋体" w:hAnsi="宋体" w:cs="宋体"/>
          <w:color w:val="auto"/>
          <w:sz w:val="24"/>
        </w:rPr>
        <w:t>1.1项目名称：来宾职业教育中心学校综合专业实训楼项目EPC工程项目检测服务费</w:t>
      </w:r>
    </w:p>
    <w:p>
      <w:pPr>
        <w:spacing w:line="440" w:lineRule="exact"/>
        <w:ind w:firstLine="480" w:firstLineChars="200"/>
        <w:rPr>
          <w:rFonts w:ascii="宋体" w:hAnsi="宋体" w:cs="宋体"/>
          <w:color w:val="auto"/>
          <w:sz w:val="24"/>
        </w:rPr>
      </w:pPr>
      <w:r>
        <w:rPr>
          <w:rFonts w:hint="eastAsia" w:ascii="宋体" w:hAnsi="宋体" w:cs="宋体"/>
          <w:color w:val="auto"/>
          <w:sz w:val="24"/>
        </w:rPr>
        <w:t>1.2项目编号：LBZC2020-J3-00020-GXJR</w:t>
      </w:r>
    </w:p>
    <w:p>
      <w:pPr>
        <w:pStyle w:val="5"/>
        <w:keepNext w:val="0"/>
        <w:keepLines w:val="0"/>
        <w:spacing w:line="440" w:lineRule="exact"/>
        <w:rPr>
          <w:rFonts w:ascii="宋体" w:hAnsi="宋体" w:cs="宋体"/>
          <w:color w:val="auto"/>
          <w:sz w:val="24"/>
          <w:szCs w:val="24"/>
        </w:rPr>
      </w:pPr>
      <w:bookmarkStart w:id="82" w:name="_Toc230685477"/>
      <w:bookmarkStart w:id="83" w:name="_Toc4757"/>
      <w:bookmarkStart w:id="84" w:name="_Toc298937387"/>
      <w:bookmarkStart w:id="85" w:name="_Toc230685615"/>
      <w:bookmarkStart w:id="86" w:name="_Toc230625503"/>
      <w:bookmarkStart w:id="87" w:name="_Toc230685661"/>
      <w:bookmarkStart w:id="88" w:name="_Toc5005"/>
      <w:r>
        <w:rPr>
          <w:rFonts w:hint="eastAsia" w:ascii="宋体" w:hAnsi="宋体" w:cs="宋体"/>
          <w:color w:val="auto"/>
          <w:sz w:val="24"/>
          <w:szCs w:val="24"/>
        </w:rPr>
        <w:t>2.竞标人资格</w:t>
      </w:r>
      <w:bookmarkEnd w:id="82"/>
      <w:bookmarkEnd w:id="83"/>
      <w:bookmarkEnd w:id="84"/>
      <w:bookmarkEnd w:id="85"/>
      <w:bookmarkEnd w:id="86"/>
      <w:bookmarkEnd w:id="87"/>
      <w:bookmarkEnd w:id="88"/>
    </w:p>
    <w:p>
      <w:pPr>
        <w:pStyle w:val="18"/>
        <w:spacing w:line="440" w:lineRule="exact"/>
        <w:ind w:right="-283" w:firstLine="480" w:firstLineChars="200"/>
        <w:rPr>
          <w:rFonts w:hAnsi="宋体" w:cs="宋体"/>
          <w:color w:val="auto"/>
          <w:sz w:val="24"/>
          <w:szCs w:val="24"/>
        </w:rPr>
      </w:pPr>
      <w:r>
        <w:rPr>
          <w:rFonts w:hint="eastAsia" w:hAnsi="宋体" w:cs="宋体"/>
          <w:color w:val="auto"/>
          <w:sz w:val="24"/>
          <w:szCs w:val="24"/>
        </w:rPr>
        <w:t>2.1申请人的资格要求：</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2.1.1 满足《中华人民共和国政府采购法》第二十二条规定；</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2.1.2落实政府采购政策需满足的资格要求：《政府采购促进中小企业发展暂行办法》（财库[2011]181号）；《政府采购支持监狱企业发展有关问题的通知》（桂财采[2015]24号）；《三部门联合发布关于促进残疾人就业政府采购政策的通知》（财库〔2017〕141号）等相关政策。</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2.1.3本项目的特定资格要求：</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1）国内注册（指按国家有关规定要求注册的），从事或提供本次采购的货物或服务，具备法定代表人资格；并且要求具有省级以上住房城乡建设主管部门颁发的相应建设工程质量检测资质证书，包含但不限于见证取样检测、地基基础工程检测、主体结构工程现场检测、钢结构工程检测、建筑物附属设备安装工程检测等检测资质范围。</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（2）具备省级以上质量技术监督部门颁发的检验检测机构资质认定证书。</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3）对在“信用中国”网站（www.creditchina.gov.cn）和中国政府采购网（http://www.ccgp.gov.cn）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（4）本项目不接受未购买本项目竞争性谈判采购文件的供应商竞标，不接受联合体竞标。</w:t>
      </w:r>
    </w:p>
    <w:p>
      <w:pPr>
        <w:spacing w:line="440" w:lineRule="exact"/>
        <w:ind w:firstLine="420"/>
        <w:rPr>
          <w:rFonts w:ascii="宋体" w:hAnsi="宋体" w:cs="宋体"/>
          <w:color w:val="auto"/>
          <w:kern w:val="48"/>
          <w:sz w:val="24"/>
        </w:rPr>
      </w:pPr>
      <w:r>
        <w:rPr>
          <w:rFonts w:hint="eastAsia" w:ascii="宋体" w:hAnsi="宋体" w:cs="宋体"/>
          <w:color w:val="auto"/>
          <w:kern w:val="48"/>
          <w:sz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0" w:firstLineChars="200"/>
        <w:rPr>
          <w:rFonts w:ascii="宋体" w:hAnsi="宋体" w:cs="宋体"/>
          <w:color w:val="auto"/>
          <w:sz w:val="24"/>
        </w:rPr>
      </w:pPr>
      <w:r>
        <w:rPr>
          <w:rFonts w:hint="eastAsia" w:ascii="宋体" w:hAnsi="宋体" w:cs="宋体"/>
          <w:color w:val="auto"/>
          <w:sz w:val="24"/>
        </w:rPr>
        <w:t>2.2符合竞标人资格的竞标人应承担竞标及履约中应承担的全部责任与义务。</w:t>
      </w:r>
    </w:p>
    <w:p>
      <w:pPr>
        <w:spacing w:line="440" w:lineRule="exact"/>
        <w:ind w:firstLine="480" w:firstLineChars="200"/>
        <w:rPr>
          <w:rFonts w:ascii="宋体" w:hAnsi="宋体" w:cs="宋体"/>
          <w:color w:val="auto"/>
          <w:sz w:val="24"/>
        </w:rPr>
      </w:pPr>
      <w:r>
        <w:rPr>
          <w:rFonts w:hint="eastAsia" w:ascii="宋体" w:hAnsi="宋体" w:cs="宋体"/>
          <w:color w:val="auto"/>
          <w:sz w:val="24"/>
        </w:rPr>
        <w:t>2.3只有在规定时间内向采购代理机构购买了本项目采购文件的供应商才能参加竞标。</w:t>
      </w:r>
      <w:bookmarkStart w:id="89" w:name="_Toc230685616"/>
      <w:bookmarkStart w:id="90" w:name="_Toc230685478"/>
      <w:bookmarkStart w:id="91" w:name="_Toc230625504"/>
      <w:bookmarkStart w:id="92" w:name="_Toc230685662"/>
      <w:bookmarkStart w:id="93" w:name="_Toc298937388"/>
      <w:bookmarkStart w:id="94" w:name="_Toc13789"/>
      <w:bookmarkStart w:id="95" w:name="_Toc14707"/>
    </w:p>
    <w:p>
      <w:pPr>
        <w:pStyle w:val="5"/>
        <w:keepNext w:val="0"/>
        <w:keepLines w:val="0"/>
        <w:spacing w:line="440" w:lineRule="exact"/>
        <w:rPr>
          <w:rFonts w:ascii="宋体" w:hAnsi="宋体" w:cs="宋体"/>
          <w:color w:val="auto"/>
          <w:sz w:val="24"/>
          <w:szCs w:val="24"/>
        </w:rPr>
      </w:pPr>
      <w:r>
        <w:rPr>
          <w:rFonts w:hint="eastAsia" w:ascii="宋体" w:hAnsi="宋体" w:cs="宋体"/>
          <w:color w:val="auto"/>
          <w:sz w:val="24"/>
          <w:szCs w:val="24"/>
        </w:rPr>
        <w:t>3.竞标费用</w:t>
      </w:r>
      <w:bookmarkEnd w:id="89"/>
      <w:bookmarkEnd w:id="90"/>
      <w:bookmarkEnd w:id="91"/>
      <w:bookmarkEnd w:id="92"/>
      <w:bookmarkEnd w:id="93"/>
      <w:bookmarkEnd w:id="94"/>
      <w:bookmarkEnd w:id="95"/>
    </w:p>
    <w:p>
      <w:pPr>
        <w:spacing w:line="440" w:lineRule="exact"/>
        <w:ind w:firstLine="480" w:firstLineChars="200"/>
        <w:rPr>
          <w:rFonts w:ascii="宋体" w:hAnsi="宋体" w:cs="宋体"/>
          <w:color w:val="auto"/>
          <w:sz w:val="24"/>
        </w:rPr>
      </w:pPr>
      <w:r>
        <w:rPr>
          <w:rFonts w:hint="eastAsia" w:ascii="宋体" w:hAnsi="宋体" w:cs="宋体"/>
          <w:color w:val="auto"/>
          <w:sz w:val="24"/>
        </w:rPr>
        <w:t>3.1竞标人应自行承担所有与本次竞标有关的全部费用。</w:t>
      </w:r>
    </w:p>
    <w:p>
      <w:pPr>
        <w:pStyle w:val="4"/>
        <w:keepNext w:val="0"/>
        <w:keepLines w:val="0"/>
        <w:spacing w:line="440" w:lineRule="exact"/>
        <w:jc w:val="center"/>
        <w:rPr>
          <w:rFonts w:ascii="宋体" w:hAnsi="宋体" w:eastAsia="宋体" w:cs="宋体"/>
          <w:color w:val="auto"/>
          <w:sz w:val="24"/>
          <w:szCs w:val="24"/>
        </w:rPr>
      </w:pPr>
      <w:bookmarkStart w:id="96" w:name="_Toc298937389"/>
      <w:bookmarkStart w:id="97" w:name="_Toc1504"/>
      <w:bookmarkStart w:id="98" w:name="_Toc230625505"/>
      <w:bookmarkStart w:id="99" w:name="_Toc31986"/>
      <w:bookmarkStart w:id="100" w:name="_Toc230685479"/>
      <w:bookmarkStart w:id="101" w:name="_Toc230685663"/>
      <w:bookmarkStart w:id="102" w:name="_Toc230685617"/>
      <w:r>
        <w:rPr>
          <w:rFonts w:hint="eastAsia" w:ascii="宋体" w:hAnsi="宋体" w:eastAsia="宋体" w:cs="宋体"/>
          <w:color w:val="auto"/>
          <w:sz w:val="24"/>
          <w:szCs w:val="24"/>
        </w:rPr>
        <w:t>二  竞争性谈判采购文件（简称采购文件）</w:t>
      </w:r>
      <w:bookmarkEnd w:id="96"/>
      <w:bookmarkEnd w:id="97"/>
      <w:bookmarkEnd w:id="98"/>
      <w:bookmarkEnd w:id="99"/>
      <w:bookmarkEnd w:id="100"/>
      <w:bookmarkEnd w:id="101"/>
      <w:bookmarkEnd w:id="102"/>
    </w:p>
    <w:p>
      <w:pPr>
        <w:pStyle w:val="5"/>
        <w:keepNext w:val="0"/>
        <w:keepLines w:val="0"/>
        <w:spacing w:line="440" w:lineRule="exact"/>
        <w:rPr>
          <w:rFonts w:ascii="宋体" w:hAnsi="宋体" w:cs="宋体"/>
          <w:color w:val="auto"/>
          <w:sz w:val="24"/>
          <w:szCs w:val="24"/>
        </w:rPr>
      </w:pPr>
      <w:bookmarkStart w:id="103" w:name="_Toc230685618"/>
      <w:bookmarkStart w:id="104" w:name="_Toc230685664"/>
      <w:bookmarkStart w:id="105" w:name="_Toc4721"/>
      <w:bookmarkStart w:id="106" w:name="_Toc230625506"/>
      <w:bookmarkStart w:id="107" w:name="_Toc7641"/>
      <w:bookmarkStart w:id="108" w:name="_Toc298937390"/>
      <w:bookmarkStart w:id="109" w:name="_Toc230685480"/>
      <w:r>
        <w:rPr>
          <w:rFonts w:hint="eastAsia" w:ascii="宋体" w:hAnsi="宋体" w:cs="宋体"/>
          <w:color w:val="auto"/>
          <w:sz w:val="24"/>
          <w:szCs w:val="24"/>
        </w:rPr>
        <w:t>4.采购文件的构成</w:t>
      </w:r>
      <w:bookmarkEnd w:id="103"/>
      <w:bookmarkEnd w:id="104"/>
      <w:bookmarkEnd w:id="105"/>
      <w:bookmarkEnd w:id="106"/>
      <w:bookmarkEnd w:id="107"/>
      <w:bookmarkEnd w:id="108"/>
      <w:bookmarkEnd w:id="109"/>
    </w:p>
    <w:p>
      <w:pPr>
        <w:spacing w:line="440" w:lineRule="exact"/>
        <w:ind w:firstLine="480" w:firstLineChars="200"/>
        <w:rPr>
          <w:rFonts w:ascii="宋体" w:hAnsi="宋体" w:cs="宋体"/>
          <w:color w:val="auto"/>
          <w:sz w:val="24"/>
        </w:rPr>
      </w:pPr>
      <w:r>
        <w:rPr>
          <w:rFonts w:hint="eastAsia" w:ascii="宋体" w:hAnsi="宋体" w:cs="宋体"/>
          <w:color w:val="auto"/>
          <w:sz w:val="24"/>
        </w:rPr>
        <w:t>4.1采购文件包括：</w:t>
      </w:r>
    </w:p>
    <w:p>
      <w:pPr>
        <w:spacing w:line="440" w:lineRule="exact"/>
        <w:ind w:firstLine="480" w:firstLineChars="200"/>
        <w:rPr>
          <w:rFonts w:ascii="宋体" w:hAnsi="宋体" w:cs="宋体"/>
          <w:color w:val="auto"/>
          <w:sz w:val="24"/>
        </w:rPr>
      </w:pPr>
      <w:r>
        <w:rPr>
          <w:rFonts w:hint="eastAsia" w:ascii="宋体" w:hAnsi="宋体" w:cs="宋体"/>
          <w:color w:val="auto"/>
          <w:sz w:val="24"/>
        </w:rPr>
        <w:t>⑴竞标公告；</w:t>
      </w:r>
    </w:p>
    <w:p>
      <w:pPr>
        <w:spacing w:line="440" w:lineRule="exact"/>
        <w:ind w:firstLine="480" w:firstLineChars="200"/>
        <w:rPr>
          <w:rFonts w:ascii="宋体" w:hAnsi="宋体" w:cs="宋体"/>
          <w:color w:val="auto"/>
          <w:sz w:val="24"/>
        </w:rPr>
      </w:pPr>
      <w:r>
        <w:rPr>
          <w:rFonts w:hint="eastAsia" w:ascii="宋体" w:hAnsi="宋体" w:cs="宋体"/>
          <w:color w:val="auto"/>
          <w:sz w:val="24"/>
        </w:rPr>
        <w:t>⑵竞标人须知及前附表；</w:t>
      </w:r>
    </w:p>
    <w:p>
      <w:pPr>
        <w:spacing w:line="440" w:lineRule="exact"/>
        <w:ind w:firstLine="480" w:firstLineChars="200"/>
        <w:rPr>
          <w:rFonts w:ascii="宋体" w:hAnsi="宋体" w:cs="宋体"/>
          <w:color w:val="auto"/>
          <w:sz w:val="24"/>
        </w:rPr>
      </w:pPr>
      <w:r>
        <w:rPr>
          <w:rFonts w:hint="eastAsia" w:ascii="宋体" w:hAnsi="宋体" w:cs="宋体"/>
          <w:color w:val="auto"/>
          <w:sz w:val="24"/>
        </w:rPr>
        <w:t>⑶项目需求；</w:t>
      </w:r>
    </w:p>
    <w:p>
      <w:pPr>
        <w:spacing w:line="440" w:lineRule="exact"/>
        <w:ind w:firstLine="480" w:firstLineChars="200"/>
        <w:rPr>
          <w:rFonts w:ascii="宋体" w:hAnsi="宋体" w:cs="宋体"/>
          <w:color w:val="auto"/>
          <w:sz w:val="24"/>
        </w:rPr>
      </w:pPr>
      <w:r>
        <w:rPr>
          <w:rFonts w:hint="eastAsia" w:ascii="宋体" w:hAnsi="宋体" w:cs="宋体"/>
          <w:color w:val="auto"/>
          <w:sz w:val="24"/>
        </w:rPr>
        <w:t>⑷合同基本条款；</w:t>
      </w:r>
    </w:p>
    <w:p>
      <w:pPr>
        <w:spacing w:line="440" w:lineRule="exact"/>
        <w:ind w:firstLine="480" w:firstLineChars="200"/>
        <w:rPr>
          <w:rFonts w:ascii="宋体" w:hAnsi="宋体" w:cs="宋体"/>
          <w:color w:val="auto"/>
          <w:sz w:val="24"/>
        </w:rPr>
      </w:pPr>
      <w:r>
        <w:rPr>
          <w:rFonts w:hint="eastAsia" w:ascii="宋体" w:hAnsi="宋体" w:cs="宋体"/>
          <w:color w:val="auto"/>
          <w:sz w:val="24"/>
        </w:rPr>
        <w:t>⑸合同书格式；</w:t>
      </w:r>
    </w:p>
    <w:p>
      <w:pPr>
        <w:spacing w:line="440" w:lineRule="exact"/>
        <w:ind w:firstLine="480" w:firstLineChars="200"/>
        <w:rPr>
          <w:rFonts w:ascii="宋体" w:hAnsi="宋体" w:cs="宋体"/>
          <w:color w:val="auto"/>
          <w:sz w:val="24"/>
        </w:rPr>
      </w:pPr>
      <w:r>
        <w:rPr>
          <w:rFonts w:hint="eastAsia" w:ascii="宋体" w:hAnsi="宋体" w:cs="宋体"/>
          <w:color w:val="auto"/>
          <w:sz w:val="24"/>
        </w:rPr>
        <w:t>⑹竞标文件格式；</w:t>
      </w:r>
    </w:p>
    <w:p>
      <w:pPr>
        <w:spacing w:line="440" w:lineRule="exact"/>
        <w:ind w:firstLine="480" w:firstLineChars="200"/>
        <w:rPr>
          <w:rFonts w:ascii="宋体" w:hAnsi="宋体" w:cs="宋体"/>
          <w:color w:val="auto"/>
          <w:sz w:val="24"/>
        </w:rPr>
      </w:pPr>
      <w:r>
        <w:rPr>
          <w:rFonts w:hint="eastAsia" w:ascii="宋体" w:hAnsi="宋体" w:cs="宋体"/>
          <w:color w:val="auto"/>
          <w:sz w:val="24"/>
        </w:rPr>
        <w:t>⑺评标办法。</w:t>
      </w:r>
    </w:p>
    <w:p>
      <w:pPr>
        <w:pStyle w:val="5"/>
        <w:keepNext w:val="0"/>
        <w:keepLines w:val="0"/>
        <w:spacing w:line="440" w:lineRule="exact"/>
        <w:rPr>
          <w:rFonts w:ascii="宋体" w:hAnsi="宋体" w:cs="宋体"/>
          <w:color w:val="auto"/>
          <w:sz w:val="24"/>
          <w:szCs w:val="24"/>
        </w:rPr>
      </w:pPr>
      <w:bookmarkStart w:id="110" w:name="_Toc32221"/>
      <w:bookmarkStart w:id="111" w:name="_Toc298937391"/>
      <w:bookmarkStart w:id="112" w:name="_Toc21157"/>
      <w:bookmarkStart w:id="113" w:name="_Toc230685481"/>
      <w:bookmarkStart w:id="114" w:name="_Toc230685665"/>
      <w:bookmarkStart w:id="115" w:name="_Toc230685619"/>
      <w:bookmarkStart w:id="116" w:name="_Toc230625507"/>
      <w:r>
        <w:rPr>
          <w:rFonts w:hint="eastAsia" w:ascii="宋体" w:hAnsi="宋体" w:cs="宋体"/>
          <w:color w:val="auto"/>
          <w:sz w:val="24"/>
          <w:szCs w:val="24"/>
        </w:rPr>
        <w:t>5.采购文件的澄清和修改</w:t>
      </w:r>
      <w:bookmarkEnd w:id="110"/>
      <w:bookmarkEnd w:id="111"/>
      <w:bookmarkEnd w:id="112"/>
      <w:bookmarkEnd w:id="113"/>
      <w:bookmarkEnd w:id="114"/>
      <w:bookmarkEnd w:id="115"/>
      <w:bookmarkEnd w:id="116"/>
    </w:p>
    <w:p>
      <w:pPr>
        <w:spacing w:line="440" w:lineRule="exact"/>
        <w:ind w:firstLine="480" w:firstLineChars="200"/>
        <w:rPr>
          <w:rFonts w:ascii="宋体" w:hAnsi="宋体" w:cs="宋体"/>
          <w:color w:val="auto"/>
          <w:sz w:val="24"/>
        </w:rPr>
      </w:pPr>
      <w:r>
        <w:rPr>
          <w:rFonts w:hint="eastAsia" w:ascii="宋体" w:hAnsi="宋体" w:cs="宋体"/>
          <w:color w:val="auto"/>
          <w:sz w:val="24"/>
        </w:rPr>
        <w:t>5.1任何要求澄清采购文件的竞标人，均应在竞标截止时间前以传真、递交纸质原件材料等书面形式通知采购代理机构，同时认定其他澄清方式为无效。采购代理机构将以书面形式予以答复。</w:t>
      </w:r>
    </w:p>
    <w:p>
      <w:pPr>
        <w:spacing w:line="440" w:lineRule="exact"/>
        <w:ind w:firstLine="480" w:firstLineChars="200"/>
        <w:rPr>
          <w:rFonts w:ascii="宋体" w:hAnsi="宋体" w:cs="宋体"/>
          <w:color w:val="auto"/>
          <w:sz w:val="24"/>
        </w:rPr>
      </w:pPr>
      <w:r>
        <w:rPr>
          <w:rFonts w:hint="eastAsia" w:ascii="宋体" w:hAnsi="宋体" w:cs="宋体"/>
          <w:color w:val="auto"/>
          <w:sz w:val="24"/>
        </w:rPr>
        <w:t>5.2 在竞标截止时间前的任何时候，无论出于何种原因，采购代理机构可主动地或在解答竞标人提出的澄清问题时对采购文件进行澄清或修改。该澄清或修改的内容为竞标文件的组成部分。</w:t>
      </w:r>
    </w:p>
    <w:p>
      <w:pPr>
        <w:spacing w:line="440" w:lineRule="exact"/>
        <w:ind w:firstLine="480" w:firstLineChars="200"/>
        <w:rPr>
          <w:rFonts w:ascii="宋体" w:hAnsi="宋体" w:cs="宋体"/>
          <w:color w:val="auto"/>
          <w:sz w:val="24"/>
        </w:rPr>
      </w:pPr>
      <w:r>
        <w:rPr>
          <w:rFonts w:hint="eastAsia" w:ascii="宋体" w:hAnsi="宋体" w:cs="宋体"/>
          <w:color w:val="auto"/>
          <w:sz w:val="24"/>
        </w:rPr>
        <w:t>5.3 采购文件的澄清或修改将以书面形式通知所有购买采购文件的竞标人，并对其具有约束力。</w:t>
      </w:r>
    </w:p>
    <w:p>
      <w:pPr>
        <w:spacing w:line="440" w:lineRule="exact"/>
        <w:ind w:firstLine="480" w:firstLineChars="200"/>
        <w:rPr>
          <w:rFonts w:ascii="宋体" w:hAnsi="宋体" w:cs="宋体"/>
          <w:color w:val="auto"/>
          <w:sz w:val="24"/>
        </w:rPr>
      </w:pPr>
      <w:r>
        <w:rPr>
          <w:rFonts w:hint="eastAsia" w:ascii="宋体" w:hAnsi="宋体" w:cs="宋体"/>
          <w:color w:val="auto"/>
          <w:sz w:val="24"/>
        </w:rPr>
        <w:t>5.4 采购代理机构可视具体情况，延长竞标截止时间，并将此澄清或修改通知所有购买采购文件的竞标人。</w:t>
      </w:r>
    </w:p>
    <w:p>
      <w:pPr>
        <w:pStyle w:val="4"/>
        <w:keepNext w:val="0"/>
        <w:keepLines w:val="0"/>
        <w:spacing w:line="440" w:lineRule="exact"/>
        <w:jc w:val="center"/>
        <w:rPr>
          <w:rFonts w:ascii="宋体" w:hAnsi="宋体" w:eastAsia="宋体" w:cs="宋体"/>
          <w:b w:val="0"/>
          <w:bCs w:val="0"/>
          <w:color w:val="auto"/>
          <w:sz w:val="24"/>
          <w:szCs w:val="24"/>
        </w:rPr>
      </w:pPr>
      <w:bookmarkStart w:id="117" w:name="_Toc298937392"/>
      <w:bookmarkStart w:id="118" w:name="_Toc26134"/>
      <w:bookmarkStart w:id="119" w:name="_Toc230685666"/>
      <w:bookmarkStart w:id="120" w:name="_Toc230685620"/>
      <w:bookmarkStart w:id="121" w:name="_Toc230685482"/>
      <w:bookmarkStart w:id="122" w:name="_Toc28161"/>
      <w:bookmarkStart w:id="123" w:name="_Toc230625508"/>
      <w:r>
        <w:rPr>
          <w:rFonts w:hint="eastAsia" w:ascii="宋体" w:hAnsi="宋体" w:eastAsia="宋体" w:cs="宋体"/>
          <w:color w:val="auto"/>
          <w:sz w:val="24"/>
          <w:szCs w:val="24"/>
        </w:rPr>
        <w:t>三  竞标文件的编制格式</w:t>
      </w:r>
      <w:bookmarkEnd w:id="117"/>
      <w:bookmarkEnd w:id="118"/>
      <w:bookmarkEnd w:id="119"/>
      <w:bookmarkEnd w:id="120"/>
      <w:bookmarkEnd w:id="121"/>
      <w:bookmarkEnd w:id="122"/>
      <w:bookmarkEnd w:id="123"/>
    </w:p>
    <w:p>
      <w:pPr>
        <w:pStyle w:val="5"/>
        <w:keepNext w:val="0"/>
        <w:keepLines w:val="0"/>
        <w:spacing w:line="440" w:lineRule="exact"/>
        <w:rPr>
          <w:rFonts w:ascii="宋体" w:hAnsi="宋体" w:cs="宋体"/>
          <w:color w:val="auto"/>
          <w:sz w:val="24"/>
          <w:szCs w:val="24"/>
        </w:rPr>
      </w:pPr>
      <w:bookmarkStart w:id="124" w:name="_Toc7922"/>
      <w:bookmarkStart w:id="125" w:name="_Toc298937393"/>
      <w:bookmarkStart w:id="126" w:name="_Toc230625509"/>
      <w:bookmarkStart w:id="127" w:name="_Toc230685667"/>
      <w:bookmarkStart w:id="128" w:name="_Toc230685621"/>
      <w:bookmarkStart w:id="129" w:name="_Toc25422"/>
      <w:bookmarkStart w:id="130" w:name="_Toc230685483"/>
      <w:r>
        <w:rPr>
          <w:rFonts w:hint="eastAsia" w:ascii="宋体" w:hAnsi="宋体" w:cs="宋体"/>
          <w:color w:val="auto"/>
          <w:sz w:val="24"/>
          <w:szCs w:val="24"/>
        </w:rPr>
        <w:t>6.竞标文件编写的注意事项</w:t>
      </w:r>
      <w:bookmarkEnd w:id="124"/>
      <w:bookmarkEnd w:id="125"/>
      <w:bookmarkEnd w:id="126"/>
      <w:bookmarkEnd w:id="127"/>
      <w:bookmarkEnd w:id="128"/>
      <w:bookmarkEnd w:id="129"/>
      <w:bookmarkEnd w:id="130"/>
    </w:p>
    <w:p>
      <w:pPr>
        <w:spacing w:line="440" w:lineRule="exact"/>
        <w:ind w:firstLine="480" w:firstLineChars="200"/>
        <w:rPr>
          <w:rFonts w:ascii="宋体" w:hAnsi="宋体" w:cs="宋体"/>
          <w:color w:val="auto"/>
          <w:sz w:val="24"/>
        </w:rPr>
      </w:pPr>
      <w:r>
        <w:rPr>
          <w:rFonts w:hint="eastAsia" w:ascii="宋体" w:hAnsi="宋体" w:cs="宋体"/>
          <w:color w:val="auto"/>
          <w:sz w:val="24"/>
        </w:rPr>
        <w:t>6.1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6.2对竞争性谈判采购文件提出的实质性要求和条件作出响应是指竞标人必须对竞争性谈判采购文件中竞标项目的价格、服务要求、数量及其它要求等内容作出响应。</w:t>
      </w:r>
    </w:p>
    <w:p>
      <w:pPr>
        <w:pStyle w:val="5"/>
        <w:keepNext w:val="0"/>
        <w:keepLines w:val="0"/>
        <w:spacing w:line="440" w:lineRule="exact"/>
        <w:rPr>
          <w:rFonts w:ascii="宋体" w:hAnsi="宋体" w:cs="宋体"/>
          <w:color w:val="auto"/>
          <w:sz w:val="24"/>
          <w:szCs w:val="24"/>
        </w:rPr>
      </w:pPr>
      <w:bookmarkStart w:id="131" w:name="_Toc32320"/>
      <w:bookmarkStart w:id="132" w:name="_Toc7657"/>
      <w:bookmarkStart w:id="133" w:name="_Toc230625510"/>
      <w:bookmarkStart w:id="134" w:name="_Toc230685668"/>
      <w:bookmarkStart w:id="135" w:name="_Toc230685484"/>
      <w:bookmarkStart w:id="136" w:name="_Toc298937394"/>
      <w:bookmarkStart w:id="137" w:name="_Toc230685622"/>
      <w:r>
        <w:rPr>
          <w:rFonts w:hint="eastAsia" w:ascii="宋体" w:hAnsi="宋体" w:cs="宋体"/>
          <w:color w:val="auto"/>
          <w:sz w:val="24"/>
          <w:szCs w:val="24"/>
        </w:rPr>
        <w:t>7.竞标文件的构成</w:t>
      </w:r>
      <w:bookmarkEnd w:id="131"/>
      <w:bookmarkEnd w:id="132"/>
      <w:bookmarkEnd w:id="133"/>
      <w:bookmarkEnd w:id="134"/>
      <w:bookmarkEnd w:id="135"/>
      <w:bookmarkEnd w:id="136"/>
      <w:bookmarkEnd w:id="137"/>
    </w:p>
    <w:p>
      <w:pPr>
        <w:spacing w:line="440" w:lineRule="exact"/>
        <w:ind w:firstLine="480" w:firstLineChars="200"/>
        <w:rPr>
          <w:rFonts w:ascii="宋体" w:hAnsi="宋体" w:cs="宋体"/>
          <w:color w:val="auto"/>
          <w:sz w:val="24"/>
        </w:rPr>
      </w:pPr>
      <w:r>
        <w:rPr>
          <w:rFonts w:hint="eastAsia" w:ascii="宋体" w:hAnsi="宋体" w:cs="宋体"/>
          <w:color w:val="auto"/>
          <w:sz w:val="24"/>
        </w:rPr>
        <w:t>7.1竞标文件由商务部分、技术部分和其他部分组成（竞标人应按下列顺序自编目录及页码装订成册，否则文件失散引起的后果自负）：</w:t>
      </w:r>
    </w:p>
    <w:p>
      <w:pPr>
        <w:spacing w:line="440" w:lineRule="exact"/>
        <w:ind w:firstLine="480" w:firstLineChars="200"/>
        <w:rPr>
          <w:rFonts w:ascii="宋体" w:hAnsi="宋体" w:cs="宋体"/>
          <w:color w:val="auto"/>
          <w:sz w:val="24"/>
        </w:rPr>
      </w:pPr>
      <w:r>
        <w:rPr>
          <w:rFonts w:hint="eastAsia" w:ascii="宋体" w:hAnsi="宋体" w:cs="宋体"/>
          <w:color w:val="auto"/>
          <w:sz w:val="24"/>
        </w:rPr>
        <w:t>一、商务部分</w:t>
      </w:r>
    </w:p>
    <w:p>
      <w:pPr>
        <w:spacing w:line="440" w:lineRule="exact"/>
        <w:ind w:firstLine="480" w:firstLineChars="200"/>
        <w:rPr>
          <w:rFonts w:ascii="宋体" w:hAnsi="宋体" w:cs="宋体"/>
          <w:color w:val="auto"/>
          <w:sz w:val="24"/>
        </w:rPr>
      </w:pPr>
      <w:r>
        <w:rPr>
          <w:rFonts w:hint="eastAsia" w:ascii="宋体" w:hAnsi="宋体" w:cs="宋体"/>
          <w:color w:val="auto"/>
          <w:sz w:val="24"/>
        </w:rPr>
        <w:t>（1）竞标函；</w:t>
      </w:r>
    </w:p>
    <w:p>
      <w:pPr>
        <w:spacing w:line="440" w:lineRule="exact"/>
        <w:ind w:firstLine="480" w:firstLineChars="200"/>
        <w:rPr>
          <w:rFonts w:ascii="宋体" w:hAnsi="宋体" w:cs="宋体"/>
          <w:color w:val="auto"/>
          <w:sz w:val="24"/>
        </w:rPr>
      </w:pPr>
      <w:r>
        <w:rPr>
          <w:rFonts w:hint="eastAsia" w:ascii="宋体" w:hAnsi="宋体" w:cs="宋体"/>
          <w:color w:val="auto"/>
          <w:sz w:val="24"/>
        </w:rPr>
        <w:t>（2）竞标报价表；</w:t>
      </w:r>
    </w:p>
    <w:p>
      <w:pPr>
        <w:spacing w:line="440" w:lineRule="exact"/>
        <w:ind w:firstLine="480" w:firstLineChars="200"/>
        <w:rPr>
          <w:rFonts w:ascii="宋体" w:hAnsi="宋体" w:cs="宋体"/>
          <w:color w:val="auto"/>
          <w:sz w:val="24"/>
        </w:rPr>
      </w:pPr>
      <w:r>
        <w:rPr>
          <w:rFonts w:hint="eastAsia" w:ascii="宋体" w:hAnsi="宋体" w:cs="宋体"/>
          <w:color w:val="auto"/>
          <w:sz w:val="24"/>
        </w:rPr>
        <w:t>（3）竞标保证金缴纳证明；</w:t>
      </w:r>
    </w:p>
    <w:p>
      <w:pPr>
        <w:tabs>
          <w:tab w:val="center" w:pos="4745"/>
        </w:tabs>
        <w:spacing w:line="440" w:lineRule="exact"/>
        <w:ind w:firstLine="480" w:firstLineChars="200"/>
        <w:rPr>
          <w:rFonts w:ascii="宋体" w:hAnsi="宋体" w:cs="宋体"/>
          <w:color w:val="auto"/>
          <w:sz w:val="24"/>
        </w:rPr>
      </w:pPr>
      <w:r>
        <w:rPr>
          <w:rFonts w:hint="eastAsia" w:ascii="宋体" w:hAnsi="宋体" w:cs="宋体"/>
          <w:color w:val="auto"/>
          <w:sz w:val="24"/>
        </w:rPr>
        <w:t xml:space="preserve">（4）竞标人资格证明文件； </w:t>
      </w:r>
    </w:p>
    <w:p>
      <w:pPr>
        <w:spacing w:line="440" w:lineRule="exact"/>
        <w:ind w:firstLine="480" w:firstLineChars="200"/>
        <w:rPr>
          <w:rFonts w:ascii="宋体" w:hAnsi="宋体" w:cs="宋体"/>
          <w:color w:val="auto"/>
          <w:sz w:val="24"/>
        </w:rPr>
      </w:pPr>
      <w:r>
        <w:rPr>
          <w:rFonts w:hint="eastAsia" w:ascii="宋体" w:hAnsi="宋体" w:cs="宋体"/>
          <w:color w:val="auto"/>
          <w:sz w:val="24"/>
        </w:rPr>
        <w:t>（5）证明竞标人资格合格的其他证明文件；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（6）商务响应表；</w:t>
      </w:r>
    </w:p>
    <w:p>
      <w:pPr>
        <w:spacing w:line="440" w:lineRule="exact"/>
        <w:ind w:firstLine="480" w:firstLineChars="200"/>
        <w:rPr>
          <w:rFonts w:ascii="宋体" w:hAnsi="宋体" w:cs="宋体"/>
          <w:color w:val="auto"/>
          <w:sz w:val="24"/>
        </w:rPr>
      </w:pPr>
      <w:r>
        <w:rPr>
          <w:rFonts w:hint="eastAsia" w:ascii="宋体" w:hAnsi="宋体" w:cs="宋体"/>
          <w:color w:val="auto"/>
          <w:sz w:val="24"/>
        </w:rPr>
        <w:t>二、技术部分</w:t>
      </w:r>
    </w:p>
    <w:p>
      <w:pPr>
        <w:spacing w:line="440" w:lineRule="exact"/>
        <w:ind w:firstLine="480" w:firstLineChars="200"/>
        <w:rPr>
          <w:rFonts w:ascii="宋体" w:hAnsi="宋体" w:cs="宋体"/>
          <w:color w:val="auto"/>
          <w:sz w:val="24"/>
        </w:rPr>
      </w:pPr>
      <w:r>
        <w:rPr>
          <w:rFonts w:hint="eastAsia" w:ascii="宋体" w:hAnsi="宋体" w:cs="宋体"/>
          <w:color w:val="auto"/>
          <w:sz w:val="24"/>
        </w:rPr>
        <w:t>（1）项目服务方案；</w:t>
      </w:r>
    </w:p>
    <w:p>
      <w:pPr>
        <w:spacing w:line="440" w:lineRule="exact"/>
        <w:ind w:firstLine="480" w:firstLineChars="200"/>
        <w:rPr>
          <w:rFonts w:ascii="宋体" w:hAnsi="宋体" w:cs="宋体"/>
          <w:color w:val="auto"/>
          <w:sz w:val="24"/>
        </w:rPr>
      </w:pPr>
      <w:r>
        <w:rPr>
          <w:rFonts w:hint="eastAsia" w:ascii="宋体" w:hAnsi="宋体" w:cs="宋体"/>
          <w:color w:val="auto"/>
          <w:sz w:val="24"/>
        </w:rPr>
        <w:t>（2）竞标人认为有必要提供的其他技术文件。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三、其他部分</w:t>
      </w:r>
    </w:p>
    <w:p>
      <w:pPr>
        <w:pStyle w:val="5"/>
        <w:keepNext w:val="0"/>
        <w:keepLines w:val="0"/>
        <w:spacing w:line="440" w:lineRule="exact"/>
        <w:rPr>
          <w:rFonts w:ascii="宋体" w:hAnsi="宋体" w:cs="宋体"/>
          <w:color w:val="auto"/>
          <w:sz w:val="24"/>
          <w:szCs w:val="24"/>
        </w:rPr>
      </w:pPr>
      <w:bookmarkStart w:id="138" w:name="_Toc7039"/>
      <w:bookmarkStart w:id="139" w:name="_Toc230685485"/>
      <w:bookmarkStart w:id="140" w:name="_Toc230625511"/>
      <w:bookmarkStart w:id="141" w:name="_Toc230685669"/>
      <w:bookmarkStart w:id="142" w:name="_Toc298937395"/>
      <w:bookmarkStart w:id="143" w:name="_Toc22628"/>
      <w:bookmarkStart w:id="144" w:name="_Toc230685623"/>
      <w:r>
        <w:rPr>
          <w:rFonts w:hint="eastAsia" w:ascii="宋体" w:hAnsi="宋体" w:cs="宋体"/>
          <w:color w:val="auto"/>
          <w:sz w:val="24"/>
          <w:szCs w:val="24"/>
        </w:rPr>
        <w:t>8.竞标文件的语言及计量单位</w:t>
      </w:r>
      <w:bookmarkEnd w:id="138"/>
      <w:bookmarkEnd w:id="139"/>
      <w:bookmarkEnd w:id="140"/>
      <w:bookmarkEnd w:id="141"/>
      <w:bookmarkEnd w:id="142"/>
      <w:bookmarkEnd w:id="143"/>
      <w:bookmarkEnd w:id="144"/>
    </w:p>
    <w:p>
      <w:pPr>
        <w:spacing w:line="440" w:lineRule="exact"/>
        <w:ind w:firstLine="480" w:firstLineChars="200"/>
        <w:rPr>
          <w:rFonts w:ascii="宋体" w:hAnsi="宋体" w:cs="宋体"/>
          <w:color w:val="auto"/>
          <w:sz w:val="24"/>
        </w:rPr>
      </w:pPr>
      <w:r>
        <w:rPr>
          <w:rFonts w:hint="eastAsia" w:ascii="宋体" w:hAnsi="宋体" w:cs="宋体"/>
          <w:color w:val="auto"/>
          <w:sz w:val="24"/>
        </w:rPr>
        <w:t>8.1竞标人的竞标文件以及竞标人与采购代理机构的所有来往的函电统一使用中文（另有规定的除外）。</w:t>
      </w:r>
    </w:p>
    <w:p>
      <w:pPr>
        <w:spacing w:line="440" w:lineRule="exact"/>
        <w:ind w:firstLine="480" w:firstLineChars="200"/>
        <w:rPr>
          <w:rFonts w:ascii="宋体" w:hAnsi="宋体" w:cs="宋体"/>
          <w:color w:val="auto"/>
          <w:sz w:val="24"/>
        </w:rPr>
      </w:pPr>
      <w:r>
        <w:rPr>
          <w:rFonts w:hint="eastAsia" w:ascii="宋体" w:hAnsi="宋体" w:cs="宋体"/>
          <w:color w:val="auto"/>
          <w:sz w:val="24"/>
        </w:rPr>
        <w:t>8.2竞标文件中使用的计量单位除采购文件中有特殊规定外，一律使用法定计量单位。</w:t>
      </w:r>
    </w:p>
    <w:p>
      <w:pPr>
        <w:pStyle w:val="5"/>
        <w:keepNext w:val="0"/>
        <w:keepLines w:val="0"/>
        <w:spacing w:line="440" w:lineRule="exact"/>
        <w:rPr>
          <w:rFonts w:ascii="宋体" w:hAnsi="宋体" w:cs="宋体"/>
          <w:color w:val="auto"/>
          <w:sz w:val="24"/>
          <w:szCs w:val="24"/>
        </w:rPr>
      </w:pPr>
      <w:bookmarkStart w:id="145" w:name="_Toc230685486"/>
      <w:bookmarkStart w:id="146" w:name="_Toc13952"/>
      <w:bookmarkStart w:id="147" w:name="_Toc230625512"/>
      <w:bookmarkStart w:id="148" w:name="_Toc230685670"/>
      <w:bookmarkStart w:id="149" w:name="_Toc230685624"/>
      <w:bookmarkStart w:id="150" w:name="_Toc3578"/>
      <w:bookmarkStart w:id="151" w:name="_Toc298937396"/>
      <w:r>
        <w:rPr>
          <w:rFonts w:hint="eastAsia" w:ascii="宋体" w:hAnsi="宋体" w:cs="宋体"/>
          <w:color w:val="auto"/>
          <w:sz w:val="24"/>
          <w:szCs w:val="24"/>
        </w:rPr>
        <w:t>9. 竞标函和竞标报价表</w:t>
      </w:r>
      <w:bookmarkEnd w:id="145"/>
      <w:bookmarkEnd w:id="146"/>
      <w:bookmarkEnd w:id="147"/>
      <w:bookmarkEnd w:id="148"/>
      <w:bookmarkEnd w:id="149"/>
      <w:bookmarkEnd w:id="150"/>
      <w:bookmarkEnd w:id="151"/>
    </w:p>
    <w:p>
      <w:pPr>
        <w:spacing w:line="440" w:lineRule="exact"/>
        <w:ind w:firstLine="480" w:firstLineChars="200"/>
        <w:rPr>
          <w:rFonts w:ascii="宋体" w:hAnsi="宋体" w:cs="宋体"/>
          <w:color w:val="auto"/>
          <w:sz w:val="24"/>
        </w:rPr>
      </w:pPr>
      <w:r>
        <w:rPr>
          <w:rFonts w:hint="eastAsia" w:ascii="宋体" w:hAnsi="宋体" w:cs="宋体"/>
          <w:color w:val="auto"/>
          <w:sz w:val="24"/>
        </w:rPr>
        <w:t>9.1竞标人应完整地填写采购文件中的竞标函格式和竞标报价表。</w:t>
      </w:r>
    </w:p>
    <w:p>
      <w:pPr>
        <w:pStyle w:val="5"/>
        <w:keepNext w:val="0"/>
        <w:keepLines w:val="0"/>
        <w:spacing w:line="440" w:lineRule="exact"/>
        <w:rPr>
          <w:rFonts w:ascii="宋体" w:hAnsi="宋体" w:cs="宋体"/>
          <w:color w:val="auto"/>
          <w:sz w:val="24"/>
          <w:szCs w:val="24"/>
        </w:rPr>
      </w:pPr>
      <w:bookmarkStart w:id="152" w:name="_Toc230625513"/>
      <w:bookmarkStart w:id="153" w:name="_Toc230685487"/>
      <w:bookmarkStart w:id="154" w:name="_Toc23170"/>
      <w:bookmarkStart w:id="155" w:name="_Toc230685671"/>
      <w:bookmarkStart w:id="156" w:name="_Toc298937397"/>
      <w:bookmarkStart w:id="157" w:name="_Toc6275"/>
      <w:bookmarkStart w:id="158" w:name="_Toc230685625"/>
      <w:r>
        <w:rPr>
          <w:rFonts w:hint="eastAsia" w:ascii="宋体" w:hAnsi="宋体" w:cs="宋体"/>
          <w:color w:val="auto"/>
          <w:sz w:val="24"/>
          <w:szCs w:val="24"/>
        </w:rPr>
        <w:t>10.竞标报价</w:t>
      </w:r>
      <w:bookmarkEnd w:id="152"/>
      <w:bookmarkEnd w:id="153"/>
      <w:bookmarkEnd w:id="154"/>
      <w:bookmarkEnd w:id="155"/>
      <w:bookmarkEnd w:id="156"/>
      <w:bookmarkEnd w:id="157"/>
      <w:bookmarkEnd w:id="158"/>
    </w:p>
    <w:p>
      <w:pPr>
        <w:spacing w:line="440" w:lineRule="exact"/>
        <w:ind w:firstLine="480" w:firstLineChars="200"/>
        <w:rPr>
          <w:rFonts w:ascii="宋体" w:hAnsi="宋体" w:cs="宋体"/>
          <w:color w:val="auto"/>
          <w:sz w:val="24"/>
        </w:rPr>
      </w:pPr>
      <w:r>
        <w:rPr>
          <w:rFonts w:hint="eastAsia" w:ascii="宋体" w:hAnsi="宋体" w:cs="宋体"/>
          <w:color w:val="auto"/>
          <w:sz w:val="24"/>
        </w:rPr>
        <w:t>10.1竞标报价：竞标人可就《项目需求》中的服务内容作唯一、完整报价。</w:t>
      </w:r>
    </w:p>
    <w:p>
      <w:pPr>
        <w:spacing w:line="440" w:lineRule="exact"/>
        <w:ind w:firstLine="480" w:firstLineChars="200"/>
        <w:rPr>
          <w:rFonts w:ascii="宋体" w:hAnsi="宋体" w:cs="宋体"/>
          <w:color w:val="auto"/>
          <w:sz w:val="24"/>
        </w:rPr>
      </w:pPr>
      <w:r>
        <w:rPr>
          <w:rFonts w:hint="eastAsia" w:ascii="宋体" w:hAnsi="宋体" w:cs="宋体"/>
          <w:color w:val="auto"/>
          <w:sz w:val="24"/>
        </w:rPr>
        <w:t>10.2竞标人应在竞标报价表上标明单价和总价。如单价和总价不符，以单价累计为准。小写与大写不符的，以大写为准。</w:t>
      </w:r>
      <w:r>
        <w:rPr>
          <w:rFonts w:hint="eastAsia" w:ascii="宋体" w:hAnsi="宋体" w:cs="宋体"/>
          <w:b/>
          <w:bCs/>
          <w:color w:val="auto"/>
          <w:sz w:val="24"/>
        </w:rPr>
        <w:t>如果因竞标人原因引起的报价失误，同时又被谈判时所接受，其后果由竞标人自负。</w:t>
      </w:r>
    </w:p>
    <w:p>
      <w:pPr>
        <w:spacing w:line="440" w:lineRule="exact"/>
        <w:ind w:firstLine="480" w:firstLineChars="200"/>
        <w:rPr>
          <w:rFonts w:ascii="宋体" w:hAnsi="宋体" w:cs="宋体"/>
          <w:color w:val="auto"/>
          <w:sz w:val="24"/>
        </w:rPr>
      </w:pPr>
      <w:r>
        <w:rPr>
          <w:rFonts w:hint="eastAsia" w:ascii="宋体" w:hAnsi="宋体" w:cs="宋体"/>
          <w:color w:val="auto"/>
          <w:sz w:val="24"/>
        </w:rPr>
        <w:t>10.3竞标报价指本项目检测服务所产生的各种费用、税金及其它所有成本费用的总和。</w:t>
      </w:r>
    </w:p>
    <w:p>
      <w:pPr>
        <w:pStyle w:val="5"/>
        <w:keepNext w:val="0"/>
        <w:keepLines w:val="0"/>
        <w:spacing w:line="440" w:lineRule="exact"/>
        <w:rPr>
          <w:rFonts w:ascii="宋体" w:hAnsi="宋体" w:cs="宋体"/>
          <w:color w:val="auto"/>
          <w:sz w:val="24"/>
          <w:szCs w:val="24"/>
        </w:rPr>
      </w:pPr>
      <w:bookmarkStart w:id="159" w:name="_Toc298937398"/>
      <w:bookmarkStart w:id="160" w:name="_Toc30625"/>
      <w:bookmarkStart w:id="161" w:name="_Toc230625514"/>
      <w:bookmarkStart w:id="162" w:name="_Toc230685672"/>
      <w:bookmarkStart w:id="163" w:name="_Toc230685488"/>
      <w:bookmarkStart w:id="164" w:name="_Toc230685626"/>
      <w:bookmarkStart w:id="165" w:name="_Toc6132"/>
      <w:r>
        <w:rPr>
          <w:rFonts w:hint="eastAsia" w:ascii="宋体" w:hAnsi="宋体" w:cs="宋体"/>
          <w:color w:val="auto"/>
          <w:sz w:val="24"/>
          <w:szCs w:val="24"/>
        </w:rPr>
        <w:t>11.竞标货币</w:t>
      </w:r>
      <w:bookmarkEnd w:id="159"/>
      <w:bookmarkEnd w:id="160"/>
      <w:bookmarkEnd w:id="161"/>
      <w:bookmarkEnd w:id="162"/>
      <w:bookmarkEnd w:id="163"/>
      <w:bookmarkEnd w:id="164"/>
      <w:bookmarkEnd w:id="165"/>
    </w:p>
    <w:p>
      <w:pPr>
        <w:spacing w:line="440" w:lineRule="exact"/>
        <w:ind w:firstLine="480" w:firstLineChars="200"/>
        <w:rPr>
          <w:rFonts w:ascii="宋体" w:hAnsi="宋体" w:cs="宋体"/>
          <w:color w:val="auto"/>
          <w:sz w:val="24"/>
        </w:rPr>
      </w:pPr>
      <w:r>
        <w:rPr>
          <w:rFonts w:hint="eastAsia" w:ascii="宋体" w:hAnsi="宋体" w:cs="宋体"/>
          <w:color w:val="auto"/>
          <w:sz w:val="24"/>
        </w:rPr>
        <w:t>11.1竞标应以人民币报价。</w:t>
      </w:r>
    </w:p>
    <w:p>
      <w:pPr>
        <w:pStyle w:val="5"/>
        <w:keepNext w:val="0"/>
        <w:keepLines w:val="0"/>
        <w:spacing w:line="440" w:lineRule="exact"/>
        <w:rPr>
          <w:rFonts w:ascii="宋体" w:hAnsi="宋体" w:cs="宋体"/>
          <w:color w:val="auto"/>
          <w:sz w:val="24"/>
          <w:szCs w:val="24"/>
        </w:rPr>
      </w:pPr>
      <w:bookmarkStart w:id="166" w:name="_Toc2477"/>
      <w:bookmarkStart w:id="167" w:name="_Toc298937399"/>
      <w:bookmarkStart w:id="168" w:name="_Toc230625515"/>
      <w:bookmarkStart w:id="169" w:name="_Toc7238"/>
      <w:bookmarkStart w:id="170" w:name="_Toc230685673"/>
      <w:bookmarkStart w:id="171" w:name="_Toc230685489"/>
      <w:bookmarkStart w:id="172" w:name="_Toc230685627"/>
      <w:r>
        <w:rPr>
          <w:rFonts w:hint="eastAsia" w:ascii="宋体" w:hAnsi="宋体" w:cs="宋体"/>
          <w:color w:val="auto"/>
          <w:sz w:val="24"/>
          <w:szCs w:val="24"/>
        </w:rPr>
        <w:t>12.证明竞标人合格和资格的文件</w:t>
      </w:r>
      <w:bookmarkEnd w:id="166"/>
      <w:bookmarkEnd w:id="167"/>
      <w:bookmarkEnd w:id="168"/>
      <w:bookmarkEnd w:id="169"/>
      <w:bookmarkEnd w:id="170"/>
      <w:bookmarkEnd w:id="171"/>
      <w:bookmarkEnd w:id="172"/>
    </w:p>
    <w:p>
      <w:pPr>
        <w:spacing w:line="440" w:lineRule="exact"/>
        <w:ind w:firstLine="480" w:firstLineChars="200"/>
        <w:rPr>
          <w:rFonts w:ascii="宋体" w:hAnsi="宋体" w:cs="宋体"/>
          <w:color w:val="auto"/>
          <w:sz w:val="24"/>
        </w:rPr>
      </w:pPr>
      <w:r>
        <w:rPr>
          <w:rFonts w:hint="eastAsia" w:ascii="宋体" w:hAnsi="宋体" w:cs="宋体"/>
          <w:color w:val="auto"/>
          <w:sz w:val="24"/>
        </w:rPr>
        <w:t>12.1证明竞标人资格文件包括：</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(1)竞标人有效的“营业执照”最新版副本内页复印件（要求清晰反映法定代表人经营范围，同时要加盖单位公章，必须提供，否则竞标无效）；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(2)企业法定代表人身份证复印件（加盖公章，必须提供，否则竞标无效）；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(3)法定代表人授权委托书原件和委托代理人身份证复印件（委托代理时，加盖公章，必须提供，否则竞标无效）；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(4)省级以上住房城乡建设主管部门颁发的相应建设工程质量检测资质证书复印件和省级以上质量技术监督部门颁发的检验检测机构资质认定证书复印件（加盖公章，必须提供，否则竞标无效）；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(5)竞标人自竞争性谈判公告发布之日起在“信用中国”网站（www.creditchina.gov.cn）和中国政府采购网（http://www.ccgp.gov.cn）上查询竞标人主体信用记录的查询结果截图（加盖单位公章）（格式自拟，必须提供，否则竞标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12.2本项目不接受联合体竞标。</w:t>
      </w:r>
    </w:p>
    <w:p>
      <w:pPr>
        <w:pStyle w:val="5"/>
        <w:keepNext w:val="0"/>
        <w:keepLines w:val="0"/>
        <w:spacing w:line="440" w:lineRule="exact"/>
        <w:rPr>
          <w:rFonts w:ascii="宋体" w:hAnsi="宋体" w:cs="宋体"/>
          <w:color w:val="auto"/>
          <w:sz w:val="24"/>
          <w:szCs w:val="24"/>
        </w:rPr>
      </w:pPr>
      <w:bookmarkStart w:id="173" w:name="_Toc298937400"/>
      <w:bookmarkStart w:id="174" w:name="_Toc15559"/>
      <w:bookmarkStart w:id="175" w:name="_Toc13323"/>
      <w:bookmarkStart w:id="176" w:name="_Toc230685628"/>
      <w:bookmarkStart w:id="177" w:name="_Toc230685674"/>
      <w:bookmarkStart w:id="178" w:name="_Toc230625516"/>
      <w:bookmarkStart w:id="179" w:name="_Toc230685490"/>
      <w:r>
        <w:rPr>
          <w:rFonts w:hint="eastAsia" w:ascii="宋体" w:hAnsi="宋体" w:cs="宋体"/>
          <w:color w:val="auto"/>
          <w:sz w:val="24"/>
          <w:szCs w:val="24"/>
        </w:rPr>
        <w:t>13.证明竞标人的合格性和符合采购文件规定的相关文件</w:t>
      </w:r>
      <w:bookmarkEnd w:id="173"/>
      <w:bookmarkEnd w:id="174"/>
      <w:bookmarkEnd w:id="175"/>
      <w:bookmarkEnd w:id="176"/>
      <w:bookmarkEnd w:id="177"/>
      <w:bookmarkEnd w:id="178"/>
      <w:bookmarkEnd w:id="179"/>
    </w:p>
    <w:p>
      <w:pPr>
        <w:spacing w:line="440" w:lineRule="exact"/>
        <w:ind w:firstLine="480" w:firstLineChars="200"/>
        <w:rPr>
          <w:rFonts w:ascii="宋体" w:hAnsi="宋体" w:cs="宋体"/>
          <w:color w:val="auto"/>
          <w:sz w:val="24"/>
        </w:rPr>
      </w:pPr>
      <w:r>
        <w:rPr>
          <w:rFonts w:hint="eastAsia" w:ascii="宋体" w:hAnsi="宋体" w:cs="宋体"/>
          <w:color w:val="auto"/>
          <w:sz w:val="24"/>
        </w:rPr>
        <w:t>13.1按照本须知第7条规定，竞标人还应提交根据本项目要求提供证明服务和手续合格性的文件及资料。它们可以是：</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1）竞标人2020年度近半年来任意连续三个月的依法纳税的依法缴纳税费或依法免缴税费或其他未欠税的证明复印件；无纳税记录的，应提供由供应商所在地税务部门出具的《依法纳税或依法免税证明》复印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竞标人2020年度近半年来任意连续三个月的依法缴纳社保费的缴费凭证复印件；无缴费记录的，应提供由供应商所在地相关行政部门出具的《依法缴纳或依法免缴社保费证明》复印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3）①供应商经审计的2019年的年度财务状况报告复印件（2019年后新成立的公司按实际情况提供）；②银行出具的资信证明复印件；③财政部门认可的政府采购专业担保机构出具的投标担保函复印件；④提交本公司出具的财务报表（必须提供以上4项的其中一项的复印件）（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（4）竞标函（加盖公章，必须提供，否则竞标无效）；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（5）竞标报价表（加盖公章，必须提供，否则竞标无效）；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（6）参加政府采购活动前三年内在经营活动中没有重大违法记录的书面声明（格式自拟，加盖公章，必须提供，否则竞标无效）；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（7）竞标保证金缴纳证明（加盖公章，必须提供，否则竞标无效）；</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（8）商务响应表（加盖公章，必须提供，否则竞标无效）；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（9）供应商认为需要提供的有关资料（如属于小型、微型或监狱企业的，须提供声明函；如属于残疾人福利性单位的，须提供残疾人福利性单位声明函）；</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（10）项目服务方案（加盖公章，必须提供，否则竞标无效）。</w:t>
      </w:r>
    </w:p>
    <w:p>
      <w:pPr>
        <w:pStyle w:val="5"/>
        <w:keepNext w:val="0"/>
        <w:keepLines w:val="0"/>
        <w:spacing w:line="440" w:lineRule="exact"/>
        <w:rPr>
          <w:rFonts w:ascii="宋体" w:hAnsi="宋体" w:cs="宋体"/>
          <w:color w:val="auto"/>
          <w:sz w:val="24"/>
          <w:szCs w:val="24"/>
        </w:rPr>
      </w:pPr>
      <w:bookmarkStart w:id="180" w:name="_Toc230685675"/>
      <w:bookmarkStart w:id="181" w:name="_Toc14175"/>
      <w:bookmarkStart w:id="182" w:name="_Toc230685491"/>
      <w:bookmarkStart w:id="183" w:name="_Toc298937401"/>
      <w:bookmarkStart w:id="184" w:name="_Toc230685629"/>
      <w:bookmarkStart w:id="185" w:name="_Toc14484"/>
      <w:bookmarkStart w:id="186" w:name="_Toc230625517"/>
      <w:r>
        <w:rPr>
          <w:rFonts w:hint="eastAsia" w:ascii="宋体" w:hAnsi="宋体" w:cs="宋体"/>
          <w:color w:val="auto"/>
          <w:sz w:val="24"/>
          <w:szCs w:val="24"/>
        </w:rPr>
        <w:t>14.竞标的有效期</w:t>
      </w:r>
      <w:bookmarkEnd w:id="180"/>
      <w:bookmarkEnd w:id="181"/>
      <w:bookmarkEnd w:id="182"/>
      <w:bookmarkEnd w:id="183"/>
      <w:bookmarkEnd w:id="184"/>
      <w:bookmarkEnd w:id="185"/>
      <w:bookmarkEnd w:id="186"/>
    </w:p>
    <w:p>
      <w:pPr>
        <w:spacing w:line="440" w:lineRule="exact"/>
        <w:ind w:firstLine="480" w:firstLineChars="200"/>
        <w:rPr>
          <w:rFonts w:ascii="宋体" w:hAnsi="宋体" w:cs="宋体"/>
          <w:color w:val="auto"/>
          <w:sz w:val="24"/>
        </w:rPr>
      </w:pPr>
      <w:r>
        <w:rPr>
          <w:rFonts w:hint="eastAsia" w:ascii="宋体" w:hAnsi="宋体" w:cs="宋体"/>
          <w:color w:val="auto"/>
          <w:sz w:val="24"/>
        </w:rPr>
        <w:t>14.1竞标文件从竞标截止时间起</w:t>
      </w:r>
      <w:r>
        <w:rPr>
          <w:rFonts w:hint="eastAsia" w:ascii="宋体" w:hAnsi="宋体" w:cs="宋体"/>
          <w:color w:val="auto"/>
          <w:sz w:val="24"/>
          <w:u w:val="single"/>
        </w:rPr>
        <w:t>60</w:t>
      </w:r>
      <w:r>
        <w:rPr>
          <w:rFonts w:hint="eastAsia" w:ascii="宋体" w:hAnsi="宋体" w:cs="宋体"/>
          <w:color w:val="auto"/>
          <w:sz w:val="24"/>
        </w:rPr>
        <w:t>天有效。</w:t>
      </w:r>
    </w:p>
    <w:p>
      <w:pPr>
        <w:spacing w:line="440" w:lineRule="exact"/>
        <w:ind w:firstLine="480" w:firstLineChars="200"/>
        <w:rPr>
          <w:rFonts w:ascii="宋体" w:hAnsi="宋体" w:cs="宋体"/>
          <w:color w:val="auto"/>
          <w:sz w:val="24"/>
        </w:rPr>
      </w:pPr>
      <w:r>
        <w:rPr>
          <w:rFonts w:hint="eastAsia" w:ascii="宋体" w:hAnsi="宋体" w:cs="宋体"/>
          <w:color w:val="auto"/>
          <w:sz w:val="24"/>
        </w:rPr>
        <w:t>14.2在特殊情况下，采购代理机构可酌情延长竞标有效期。竞标人可同意或不同意延长竞标文件的有效期，不同意延长竞标文件的有效期的竞标人，其竞标保证金将在原竞标文件的有效期满后5个工作日内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pPr>
        <w:pStyle w:val="5"/>
        <w:keepNext w:val="0"/>
        <w:keepLines w:val="0"/>
        <w:spacing w:line="440" w:lineRule="exact"/>
        <w:rPr>
          <w:rFonts w:ascii="宋体" w:hAnsi="宋体" w:cs="宋体"/>
          <w:color w:val="auto"/>
          <w:sz w:val="24"/>
          <w:szCs w:val="24"/>
        </w:rPr>
      </w:pPr>
      <w:bookmarkStart w:id="187" w:name="_Toc28831"/>
      <w:bookmarkStart w:id="188" w:name="_Toc17877"/>
      <w:bookmarkStart w:id="189" w:name="_Toc298937402"/>
      <w:bookmarkStart w:id="190" w:name="_Toc230685630"/>
      <w:bookmarkStart w:id="191" w:name="_Toc230685676"/>
      <w:bookmarkStart w:id="192" w:name="_Toc230625518"/>
      <w:bookmarkStart w:id="193" w:name="_Toc230685492"/>
      <w:r>
        <w:rPr>
          <w:rFonts w:hint="eastAsia" w:ascii="宋体" w:hAnsi="宋体" w:cs="宋体"/>
          <w:color w:val="auto"/>
          <w:sz w:val="24"/>
          <w:szCs w:val="24"/>
        </w:rPr>
        <w:t>15.竞标文件书写及签名、盖章要求</w:t>
      </w:r>
      <w:bookmarkEnd w:id="187"/>
      <w:bookmarkEnd w:id="188"/>
      <w:bookmarkEnd w:id="189"/>
      <w:bookmarkEnd w:id="190"/>
      <w:bookmarkEnd w:id="191"/>
      <w:bookmarkEnd w:id="192"/>
      <w:bookmarkEnd w:id="193"/>
    </w:p>
    <w:p>
      <w:pPr>
        <w:spacing w:line="440" w:lineRule="exact"/>
        <w:ind w:firstLine="480" w:firstLineChars="200"/>
        <w:rPr>
          <w:rFonts w:ascii="宋体" w:hAnsi="宋体" w:cs="宋体"/>
          <w:color w:val="auto"/>
          <w:sz w:val="24"/>
        </w:rPr>
      </w:pPr>
      <w:r>
        <w:rPr>
          <w:rFonts w:hint="eastAsia" w:ascii="宋体" w:hAnsi="宋体" w:cs="宋体"/>
          <w:color w:val="auto"/>
          <w:sz w:val="24"/>
        </w:rPr>
        <w:t>15.1竞标文件正本须用不褪色的墨水工整书写或打印，修改处应由法定代表人或委托代理人签名和盖公章，否则其竞标无效。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15.2字迹潦草、表达不清或未按要求填写的竞标文件可能将被认定为无效的竞标。</w:t>
      </w:r>
    </w:p>
    <w:p>
      <w:pPr>
        <w:spacing w:line="440" w:lineRule="exact"/>
        <w:ind w:firstLine="480" w:firstLineChars="200"/>
        <w:rPr>
          <w:rFonts w:ascii="宋体" w:hAnsi="宋体" w:cs="宋体"/>
          <w:color w:val="auto"/>
          <w:sz w:val="24"/>
        </w:rPr>
      </w:pPr>
      <w:r>
        <w:rPr>
          <w:rFonts w:hint="eastAsia" w:ascii="宋体" w:hAnsi="宋体" w:cs="宋体"/>
          <w:color w:val="auto"/>
          <w:sz w:val="24"/>
        </w:rPr>
        <w:t>15.3竞标文件应由法定代表人或委托代理人按要求签名和加盖单位全称公章，否则其竞标无效。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15.4竞标文件的份数：正本1份，副本2份，共3份。并在每份文件右上角注明“正本”、“副本”字样，一旦正本和副本不符，以正本为准。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15.5本采购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章。</w:t>
      </w:r>
    </w:p>
    <w:p>
      <w:pPr>
        <w:pStyle w:val="5"/>
        <w:keepNext w:val="0"/>
        <w:keepLines w:val="0"/>
        <w:spacing w:line="440" w:lineRule="exact"/>
        <w:rPr>
          <w:rFonts w:ascii="宋体" w:hAnsi="宋体" w:cs="宋体"/>
          <w:color w:val="auto"/>
          <w:sz w:val="24"/>
          <w:szCs w:val="24"/>
        </w:rPr>
      </w:pPr>
      <w:bookmarkStart w:id="194" w:name="_Toc298937403"/>
      <w:bookmarkStart w:id="195" w:name="_Toc230685631"/>
      <w:bookmarkStart w:id="196" w:name="_Toc230625519"/>
      <w:bookmarkStart w:id="197" w:name="_Toc12773"/>
      <w:bookmarkStart w:id="198" w:name="_Toc15355"/>
      <w:bookmarkStart w:id="199" w:name="_Toc230685677"/>
      <w:bookmarkStart w:id="200" w:name="_Toc230685493"/>
      <w:r>
        <w:rPr>
          <w:rFonts w:hint="eastAsia" w:ascii="宋体" w:hAnsi="宋体" w:cs="宋体"/>
          <w:color w:val="auto"/>
          <w:sz w:val="24"/>
          <w:szCs w:val="24"/>
        </w:rPr>
        <w:t>16.竞标保证金</w:t>
      </w:r>
      <w:bookmarkEnd w:id="194"/>
      <w:bookmarkEnd w:id="195"/>
      <w:bookmarkEnd w:id="196"/>
      <w:bookmarkEnd w:id="197"/>
      <w:bookmarkEnd w:id="198"/>
      <w:bookmarkEnd w:id="199"/>
      <w:bookmarkEnd w:id="200"/>
    </w:p>
    <w:p>
      <w:pPr>
        <w:spacing w:line="440" w:lineRule="exact"/>
        <w:ind w:firstLine="480" w:firstLineChars="200"/>
        <w:rPr>
          <w:rFonts w:ascii="宋体" w:hAnsi="宋体" w:cs="宋体"/>
          <w:color w:val="auto"/>
          <w:sz w:val="24"/>
        </w:rPr>
      </w:pPr>
      <w:r>
        <w:rPr>
          <w:rFonts w:hint="eastAsia" w:ascii="宋体" w:hAnsi="宋体" w:cs="宋体"/>
          <w:color w:val="auto"/>
          <w:sz w:val="24"/>
        </w:rPr>
        <w:t>16.1竞标保证金金额为：（人民币）叁仟伍佰元整（¥3,500.00），须足额缴纳。</w:t>
      </w:r>
    </w:p>
    <w:p>
      <w:pPr>
        <w:spacing w:line="440" w:lineRule="exact"/>
        <w:ind w:firstLine="480" w:firstLineChars="200"/>
        <w:rPr>
          <w:rFonts w:ascii="宋体" w:hAnsi="宋体" w:cs="宋体"/>
          <w:color w:val="auto"/>
          <w:sz w:val="24"/>
        </w:rPr>
      </w:pPr>
      <w:r>
        <w:rPr>
          <w:rFonts w:hint="eastAsia" w:ascii="宋体" w:hAnsi="宋体" w:cs="宋体"/>
          <w:color w:val="auto"/>
          <w:sz w:val="24"/>
        </w:rPr>
        <w:t>16.2交款方式：银行转账，由竞标人按本须知第2</w:t>
      </w:r>
      <w:r>
        <w:rPr>
          <w:rFonts w:hint="eastAsia" w:ascii="宋体" w:hAnsi="宋体" w:cs="宋体"/>
          <w:color w:val="auto"/>
          <w:sz w:val="24"/>
          <w:lang w:val="en-US" w:eastAsia="zh-CN"/>
        </w:rPr>
        <w:t>9</w:t>
      </w:r>
      <w:r>
        <w:rPr>
          <w:rFonts w:hint="eastAsia" w:ascii="宋体" w:hAnsi="宋体" w:cs="宋体"/>
          <w:color w:val="auto"/>
          <w:sz w:val="24"/>
        </w:rPr>
        <w:t>条中明确的开户名称、开户银行、账号，于竞标截止前交到广西建荣工程项目管理有限公司来宾分公司账户上，且将银行转账单复印件按要求放入竞标文件中，否则竞标无效。</w:t>
      </w:r>
    </w:p>
    <w:p>
      <w:pPr>
        <w:spacing w:line="440" w:lineRule="exact"/>
        <w:ind w:firstLine="480" w:firstLineChars="200"/>
        <w:rPr>
          <w:rFonts w:ascii="宋体" w:hAnsi="宋体" w:cs="宋体"/>
          <w:color w:val="auto"/>
          <w:sz w:val="24"/>
        </w:rPr>
      </w:pPr>
      <w:r>
        <w:rPr>
          <w:rFonts w:hint="eastAsia" w:ascii="宋体" w:hAnsi="宋体" w:cs="宋体"/>
          <w:color w:val="auto"/>
          <w:sz w:val="24"/>
        </w:rPr>
        <w:t>16.3办理竞标保证金手续时，请务必在银行进账单或电汇单的用途或空白栏上注明竞标项目名称及项目编号，以免耽误竞标。</w:t>
      </w:r>
    </w:p>
    <w:p>
      <w:pPr>
        <w:spacing w:line="440" w:lineRule="exact"/>
        <w:ind w:firstLine="480" w:firstLineChars="200"/>
        <w:rPr>
          <w:rFonts w:ascii="宋体" w:hAnsi="宋体" w:cs="宋体"/>
          <w:color w:val="auto"/>
          <w:sz w:val="24"/>
        </w:rPr>
      </w:pPr>
      <w:r>
        <w:rPr>
          <w:rFonts w:hint="eastAsia" w:ascii="宋体" w:hAnsi="宋体" w:cs="宋体"/>
          <w:color w:val="auto"/>
          <w:sz w:val="24"/>
        </w:rPr>
        <w:t>16.4本竞标不接受银行保函形式的竞标保证金。</w:t>
      </w:r>
    </w:p>
    <w:p>
      <w:pPr>
        <w:spacing w:line="440" w:lineRule="exact"/>
        <w:ind w:firstLine="480" w:firstLineChars="200"/>
        <w:rPr>
          <w:rFonts w:ascii="宋体" w:hAnsi="宋体" w:cs="宋体"/>
          <w:color w:val="auto"/>
          <w:sz w:val="24"/>
        </w:rPr>
      </w:pPr>
      <w:r>
        <w:rPr>
          <w:rFonts w:hint="eastAsia" w:ascii="宋体" w:hAnsi="宋体" w:cs="宋体"/>
          <w:color w:val="auto"/>
          <w:sz w:val="24"/>
        </w:rPr>
        <w:t>16.5对未按采购文件要求缴纳竞标保证金的竞标文件，采购代理机构将视其为不响应竞标条件而予以拒绝。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16.6未成交竞标人的竞标保证金，将在成交通知书发出后5个工作日内予以退还，不计利息。成交人的竞标保证金在与采购人签订合同，并将</w:t>
      </w:r>
      <w:r>
        <w:rPr>
          <w:rFonts w:hint="eastAsia" w:ascii="宋体" w:hAnsi="宋体" w:cs="宋体"/>
          <w:b/>
          <w:bCs/>
          <w:color w:val="auto"/>
          <w:sz w:val="24"/>
        </w:rPr>
        <w:t>一份合同原件</w:t>
      </w:r>
      <w:r>
        <w:rPr>
          <w:rFonts w:hint="eastAsia" w:ascii="宋体" w:hAnsi="宋体" w:cs="宋体"/>
          <w:color w:val="auto"/>
          <w:sz w:val="24"/>
        </w:rPr>
        <w:t>交至代理机构后退回，不计利息。</w:t>
      </w:r>
    </w:p>
    <w:p>
      <w:pPr>
        <w:pStyle w:val="4"/>
        <w:keepNext w:val="0"/>
        <w:keepLines w:val="0"/>
        <w:spacing w:line="440" w:lineRule="exact"/>
        <w:jc w:val="center"/>
        <w:rPr>
          <w:rFonts w:ascii="宋体" w:hAnsi="宋体" w:eastAsia="宋体" w:cs="宋体"/>
          <w:color w:val="auto"/>
          <w:sz w:val="24"/>
          <w:szCs w:val="24"/>
        </w:rPr>
      </w:pPr>
      <w:bookmarkStart w:id="201" w:name="_Toc298937404"/>
      <w:bookmarkStart w:id="202" w:name="_Toc230685678"/>
      <w:bookmarkStart w:id="203" w:name="_Toc230625520"/>
      <w:bookmarkStart w:id="204" w:name="_Toc29216"/>
      <w:bookmarkStart w:id="205" w:name="_Toc12491"/>
      <w:bookmarkStart w:id="206" w:name="_Toc230685632"/>
      <w:bookmarkStart w:id="207" w:name="_Toc230685494"/>
      <w:r>
        <w:rPr>
          <w:rFonts w:hint="eastAsia" w:ascii="宋体" w:hAnsi="宋体" w:eastAsia="宋体" w:cs="宋体"/>
          <w:color w:val="auto"/>
          <w:sz w:val="24"/>
          <w:szCs w:val="24"/>
        </w:rPr>
        <w:t>四  竞标文件的提交</w:t>
      </w:r>
      <w:bookmarkEnd w:id="201"/>
      <w:bookmarkEnd w:id="202"/>
      <w:bookmarkEnd w:id="203"/>
      <w:bookmarkEnd w:id="204"/>
      <w:bookmarkEnd w:id="205"/>
      <w:bookmarkEnd w:id="206"/>
      <w:bookmarkEnd w:id="207"/>
    </w:p>
    <w:p>
      <w:pPr>
        <w:pStyle w:val="5"/>
        <w:keepNext w:val="0"/>
        <w:keepLines w:val="0"/>
        <w:spacing w:line="440" w:lineRule="exact"/>
        <w:rPr>
          <w:rFonts w:ascii="宋体" w:hAnsi="宋体" w:cs="宋体"/>
          <w:color w:val="auto"/>
          <w:sz w:val="24"/>
          <w:szCs w:val="24"/>
        </w:rPr>
      </w:pPr>
      <w:bookmarkStart w:id="208" w:name="_Toc230685679"/>
      <w:bookmarkStart w:id="209" w:name="_Toc3720"/>
      <w:bookmarkStart w:id="210" w:name="_Toc230685633"/>
      <w:bookmarkStart w:id="211" w:name="_Toc298937405"/>
      <w:bookmarkStart w:id="212" w:name="_Toc230685495"/>
      <w:bookmarkStart w:id="213" w:name="_Toc28404"/>
      <w:bookmarkStart w:id="214" w:name="_Toc230625521"/>
      <w:r>
        <w:rPr>
          <w:rFonts w:hint="eastAsia" w:ascii="宋体" w:hAnsi="宋体" w:cs="宋体"/>
          <w:color w:val="auto"/>
          <w:sz w:val="24"/>
          <w:szCs w:val="24"/>
        </w:rPr>
        <w:t>17.竞标文件的密封与标记</w:t>
      </w:r>
      <w:bookmarkEnd w:id="208"/>
      <w:bookmarkEnd w:id="209"/>
      <w:bookmarkEnd w:id="210"/>
      <w:bookmarkEnd w:id="211"/>
      <w:bookmarkEnd w:id="212"/>
      <w:bookmarkEnd w:id="213"/>
      <w:bookmarkEnd w:id="214"/>
    </w:p>
    <w:p>
      <w:pPr>
        <w:spacing w:line="440" w:lineRule="exact"/>
        <w:ind w:firstLine="480" w:firstLineChars="200"/>
        <w:rPr>
          <w:rFonts w:ascii="宋体" w:hAnsi="宋体" w:cs="宋体"/>
          <w:color w:val="auto"/>
          <w:sz w:val="24"/>
        </w:rPr>
      </w:pPr>
      <w:r>
        <w:rPr>
          <w:rFonts w:hint="eastAsia" w:ascii="宋体" w:hAnsi="宋体" w:cs="宋体"/>
          <w:color w:val="auto"/>
          <w:sz w:val="24"/>
        </w:rPr>
        <w:t>17.1竞标人应将竞标文件正、副本分别装订成册，在每个文本封面上标明“正本”或“副本”，以及项目名称、项目编号、竞标人名称等内容。</w:t>
      </w:r>
    </w:p>
    <w:p>
      <w:pPr>
        <w:spacing w:line="440" w:lineRule="exact"/>
        <w:ind w:firstLine="480" w:firstLineChars="200"/>
        <w:rPr>
          <w:rFonts w:ascii="宋体" w:hAnsi="宋体" w:cs="宋体"/>
          <w:color w:val="auto"/>
          <w:sz w:val="24"/>
        </w:rPr>
      </w:pPr>
      <w:r>
        <w:rPr>
          <w:rFonts w:hint="eastAsia" w:ascii="宋体" w:hAnsi="宋体" w:cs="宋体"/>
          <w:color w:val="auto"/>
          <w:sz w:val="24"/>
        </w:rPr>
        <w:t>17.2竞标人应将竞标文件正、副本装入竞标文件袋（或箱）中进行包装[尽可能装在一个竞标文件袋（或箱）中]，加以密封，并在每一封贴处密封签章（公章、密封章、法定代表人或其委托代理人签名均可）。竞标文件袋（或箱）可由竞标人自行准备。</w:t>
      </w:r>
    </w:p>
    <w:p>
      <w:pPr>
        <w:spacing w:line="440" w:lineRule="exact"/>
        <w:ind w:firstLine="480" w:firstLineChars="200"/>
        <w:rPr>
          <w:rFonts w:ascii="宋体" w:hAnsi="宋体" w:cs="宋体"/>
          <w:color w:val="auto"/>
          <w:sz w:val="24"/>
        </w:rPr>
      </w:pPr>
      <w:r>
        <w:rPr>
          <w:rFonts w:hint="eastAsia" w:ascii="宋体" w:hAnsi="宋体" w:cs="宋体"/>
          <w:color w:val="auto"/>
          <w:sz w:val="24"/>
        </w:rPr>
        <w:t>17.3竞标文件袋（或箱）上应写明：</w:t>
      </w:r>
    </w:p>
    <w:p>
      <w:pPr>
        <w:spacing w:line="440" w:lineRule="exact"/>
        <w:ind w:firstLine="480" w:firstLineChars="200"/>
        <w:rPr>
          <w:rFonts w:ascii="宋体" w:hAnsi="宋体" w:cs="宋体"/>
          <w:color w:val="auto"/>
          <w:sz w:val="24"/>
          <w:u w:val="single"/>
        </w:rPr>
      </w:pPr>
      <w:r>
        <w:rPr>
          <w:rFonts w:hint="eastAsia" w:ascii="宋体" w:hAnsi="宋体" w:cs="宋体"/>
          <w:color w:val="auto"/>
          <w:sz w:val="24"/>
        </w:rPr>
        <w:t>（1）采购代理机构：</w:t>
      </w:r>
      <w:r>
        <w:rPr>
          <w:rFonts w:hint="eastAsia" w:ascii="宋体" w:hAnsi="宋体" w:cs="宋体"/>
          <w:color w:val="auto"/>
          <w:sz w:val="24"/>
          <w:u w:val="single"/>
        </w:rPr>
        <w:t>广西建荣工程项目管理有限公司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（2）项目名称：</w:t>
      </w:r>
      <w:r>
        <w:rPr>
          <w:rFonts w:hint="eastAsia" w:ascii="宋体" w:hAnsi="宋体" w:cs="宋体"/>
          <w:color w:val="auto"/>
          <w:sz w:val="24"/>
          <w:u w:val="single"/>
        </w:rPr>
        <w:t>来宾职业教育中心学校综合专业实训楼项目EPC工程项目检测服务费</w:t>
      </w:r>
    </w:p>
    <w:p>
      <w:pPr>
        <w:spacing w:line="440" w:lineRule="exact"/>
        <w:ind w:firstLine="480" w:firstLineChars="200"/>
        <w:rPr>
          <w:rFonts w:ascii="宋体" w:hAnsi="宋体" w:cs="宋体"/>
          <w:color w:val="auto"/>
          <w:sz w:val="24"/>
        </w:rPr>
      </w:pPr>
      <w:r>
        <w:rPr>
          <w:rFonts w:hint="eastAsia" w:ascii="宋体" w:hAnsi="宋体" w:cs="宋体"/>
          <w:color w:val="auto"/>
          <w:sz w:val="24"/>
        </w:rPr>
        <w:t>（3）项目编号：</w:t>
      </w:r>
      <w:r>
        <w:rPr>
          <w:rFonts w:hint="eastAsia" w:ascii="宋体" w:hAnsi="宋体" w:cs="宋体"/>
          <w:color w:val="auto"/>
          <w:sz w:val="24"/>
          <w:u w:val="single"/>
        </w:rPr>
        <w:t>LBZC2020-J3-00020-GXJR</w:t>
      </w:r>
    </w:p>
    <w:p>
      <w:pPr>
        <w:spacing w:line="440" w:lineRule="exact"/>
        <w:ind w:firstLine="480" w:firstLineChars="200"/>
        <w:rPr>
          <w:rFonts w:ascii="宋体" w:hAnsi="宋体" w:cs="宋体"/>
          <w:color w:val="auto"/>
          <w:sz w:val="24"/>
        </w:rPr>
      </w:pPr>
      <w:r>
        <w:rPr>
          <w:rFonts w:hint="eastAsia" w:ascii="宋体" w:hAnsi="宋体" w:cs="宋体"/>
          <w:color w:val="auto"/>
          <w:sz w:val="24"/>
        </w:rPr>
        <w:t>（4）竞标人：</w:t>
      </w:r>
      <w:r>
        <w:rPr>
          <w:rFonts w:hint="eastAsia" w:ascii="宋体" w:hAnsi="宋体" w:cs="宋体"/>
          <w:color w:val="auto"/>
          <w:sz w:val="24"/>
          <w:u w:val="single"/>
        </w:rPr>
        <w:t xml:space="preserve">                           </w:t>
      </w:r>
    </w:p>
    <w:p>
      <w:pPr>
        <w:spacing w:line="440" w:lineRule="exact"/>
        <w:ind w:firstLine="480" w:firstLineChars="200"/>
        <w:rPr>
          <w:rFonts w:ascii="宋体" w:hAnsi="宋体" w:cs="宋体"/>
          <w:color w:val="auto"/>
          <w:sz w:val="24"/>
        </w:rPr>
      </w:pPr>
      <w:r>
        <w:rPr>
          <w:rFonts w:hint="eastAsia" w:ascii="宋体" w:hAnsi="宋体" w:cs="宋体"/>
          <w:color w:val="auto"/>
          <w:sz w:val="24"/>
        </w:rPr>
        <w:t>（5）竞标截止时间：</w:t>
      </w:r>
      <w:r>
        <w:rPr>
          <w:rFonts w:hint="eastAsia" w:ascii="宋体" w:hAnsi="宋体" w:cs="宋体"/>
          <w:color w:val="auto"/>
          <w:sz w:val="24"/>
          <w:u w:val="single"/>
        </w:rPr>
        <w:t>2020</w:t>
      </w:r>
      <w:r>
        <w:rPr>
          <w:rFonts w:hint="eastAsia" w:ascii="宋体" w:hAnsi="宋体" w:cs="宋体"/>
          <w:color w:val="auto"/>
          <w:sz w:val="24"/>
        </w:rPr>
        <w:t>年</w:t>
      </w:r>
      <w:r>
        <w:rPr>
          <w:rFonts w:hint="eastAsia" w:ascii="宋体" w:hAnsi="宋体" w:cs="宋体"/>
          <w:color w:val="auto"/>
          <w:sz w:val="24"/>
          <w:u w:val="single"/>
        </w:rPr>
        <w:t xml:space="preserve"> 10</w:t>
      </w:r>
      <w:r>
        <w:rPr>
          <w:rFonts w:hint="eastAsia" w:ascii="宋体" w:hAnsi="宋体" w:cs="宋体"/>
          <w:color w:val="auto"/>
          <w:sz w:val="24"/>
        </w:rPr>
        <w:t>月</w:t>
      </w:r>
      <w:r>
        <w:rPr>
          <w:rFonts w:hint="eastAsia" w:ascii="宋体" w:hAnsi="宋体" w:cs="宋体"/>
          <w:color w:val="auto"/>
          <w:sz w:val="24"/>
          <w:u w:val="single"/>
        </w:rPr>
        <w:t xml:space="preserve"> 19 </w:t>
      </w:r>
      <w:r>
        <w:rPr>
          <w:rFonts w:hint="eastAsia" w:ascii="宋体" w:hAnsi="宋体" w:cs="宋体"/>
          <w:color w:val="auto"/>
          <w:sz w:val="24"/>
        </w:rPr>
        <w:t>日</w:t>
      </w:r>
      <w:r>
        <w:rPr>
          <w:rFonts w:hint="eastAsia" w:ascii="宋体" w:hAnsi="宋体" w:cs="宋体"/>
          <w:color w:val="auto"/>
          <w:sz w:val="24"/>
          <w:u w:val="single"/>
        </w:rPr>
        <w:t xml:space="preserve"> 09 </w:t>
      </w:r>
      <w:r>
        <w:rPr>
          <w:rFonts w:hint="eastAsia" w:ascii="宋体" w:hAnsi="宋体" w:cs="宋体"/>
          <w:color w:val="auto"/>
          <w:sz w:val="24"/>
        </w:rPr>
        <w:t>时</w:t>
      </w:r>
      <w:r>
        <w:rPr>
          <w:rFonts w:hint="eastAsia" w:ascii="宋体" w:hAnsi="宋体" w:cs="宋体"/>
          <w:color w:val="auto"/>
          <w:sz w:val="24"/>
          <w:u w:val="single"/>
        </w:rPr>
        <w:t xml:space="preserve"> 30 </w:t>
      </w:r>
      <w:r>
        <w:rPr>
          <w:rFonts w:hint="eastAsia" w:ascii="宋体" w:hAnsi="宋体" w:cs="宋体"/>
          <w:color w:val="auto"/>
          <w:sz w:val="24"/>
        </w:rPr>
        <w:t>分</w:t>
      </w:r>
    </w:p>
    <w:p>
      <w:pPr>
        <w:spacing w:line="440" w:lineRule="exact"/>
        <w:ind w:firstLine="480" w:firstLineChars="200"/>
        <w:rPr>
          <w:rFonts w:ascii="宋体" w:hAnsi="宋体" w:cs="宋体"/>
          <w:color w:val="auto"/>
          <w:sz w:val="24"/>
        </w:rPr>
      </w:pPr>
      <w:r>
        <w:rPr>
          <w:rFonts w:hint="eastAsia" w:ascii="宋体" w:hAnsi="宋体" w:cs="宋体"/>
          <w:color w:val="auto"/>
          <w:sz w:val="24"/>
        </w:rPr>
        <w:t>17.4竞标人在提交竞标文件时，未按本须知要求密封、标记的，广西建荣工程项目管理有限公司有权拒收。</w:t>
      </w:r>
    </w:p>
    <w:p>
      <w:pPr>
        <w:pStyle w:val="5"/>
        <w:keepNext w:val="0"/>
        <w:keepLines w:val="0"/>
        <w:spacing w:line="440" w:lineRule="exact"/>
        <w:rPr>
          <w:rFonts w:ascii="宋体" w:hAnsi="宋体" w:cs="宋体"/>
          <w:color w:val="auto"/>
          <w:sz w:val="24"/>
          <w:szCs w:val="24"/>
        </w:rPr>
      </w:pPr>
      <w:bookmarkStart w:id="215" w:name="_Toc298937406"/>
      <w:bookmarkStart w:id="216" w:name="_Toc230685680"/>
      <w:bookmarkStart w:id="217" w:name="_Toc15088"/>
      <w:bookmarkStart w:id="218" w:name="_Toc230685496"/>
      <w:bookmarkStart w:id="219" w:name="_Toc8924"/>
      <w:bookmarkStart w:id="220" w:name="_Toc230625522"/>
      <w:bookmarkStart w:id="221" w:name="_Toc230685634"/>
      <w:r>
        <w:rPr>
          <w:rFonts w:hint="eastAsia" w:ascii="宋体" w:hAnsi="宋体" w:cs="宋体"/>
          <w:color w:val="auto"/>
          <w:sz w:val="24"/>
          <w:szCs w:val="24"/>
        </w:rPr>
        <w:t>18.竞标截止时间</w:t>
      </w:r>
      <w:bookmarkEnd w:id="215"/>
      <w:bookmarkEnd w:id="216"/>
      <w:bookmarkEnd w:id="217"/>
      <w:bookmarkEnd w:id="218"/>
      <w:bookmarkEnd w:id="219"/>
      <w:bookmarkEnd w:id="220"/>
      <w:bookmarkEnd w:id="221"/>
    </w:p>
    <w:p>
      <w:pPr>
        <w:spacing w:line="440" w:lineRule="exact"/>
        <w:ind w:firstLine="480" w:firstLineChars="200"/>
        <w:rPr>
          <w:rFonts w:ascii="宋体" w:hAnsi="宋体" w:cs="宋体"/>
          <w:color w:val="auto"/>
          <w:sz w:val="24"/>
        </w:rPr>
      </w:pPr>
      <w:r>
        <w:rPr>
          <w:rFonts w:hint="eastAsia" w:ascii="宋体" w:hAnsi="宋体" w:cs="宋体"/>
          <w:color w:val="auto"/>
          <w:sz w:val="24"/>
        </w:rPr>
        <w:t>18.1竞标文件的提交不得迟于本须知前附表第7项规定的截止时间。</w:t>
      </w:r>
    </w:p>
    <w:p>
      <w:pPr>
        <w:spacing w:line="440" w:lineRule="exact"/>
        <w:ind w:firstLine="480" w:firstLineChars="200"/>
        <w:rPr>
          <w:rFonts w:ascii="宋体" w:hAnsi="宋体" w:cs="宋体"/>
          <w:color w:val="auto"/>
          <w:sz w:val="24"/>
        </w:rPr>
      </w:pPr>
      <w:r>
        <w:rPr>
          <w:rFonts w:hint="eastAsia" w:ascii="宋体" w:hAnsi="宋体" w:cs="宋体"/>
          <w:color w:val="auto"/>
          <w:sz w:val="24"/>
        </w:rPr>
        <w:t>18.2竞标人必须在规定时间内将竞标文件送到本须知前附表第7项规定地点，超过竞标截止时间送达的竞标文件为无效竞标文件，采购代理机构将拒收。</w:t>
      </w:r>
      <w:bookmarkStart w:id="222" w:name="_Toc230685497"/>
      <w:bookmarkStart w:id="223" w:name="_Toc230685635"/>
      <w:bookmarkStart w:id="224" w:name="_Toc230625523"/>
      <w:bookmarkStart w:id="225" w:name="_Toc230685681"/>
    </w:p>
    <w:p>
      <w:pPr>
        <w:pStyle w:val="4"/>
        <w:keepNext w:val="0"/>
        <w:keepLines w:val="0"/>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五  谈判与评标</w:t>
      </w:r>
      <w:bookmarkEnd w:id="222"/>
      <w:bookmarkEnd w:id="223"/>
      <w:bookmarkEnd w:id="224"/>
      <w:bookmarkEnd w:id="225"/>
    </w:p>
    <w:p>
      <w:pPr>
        <w:pStyle w:val="5"/>
        <w:keepNext w:val="0"/>
        <w:keepLines w:val="0"/>
        <w:spacing w:line="440" w:lineRule="exact"/>
        <w:rPr>
          <w:rFonts w:ascii="宋体" w:hAnsi="宋体" w:cs="宋体"/>
          <w:color w:val="auto"/>
          <w:sz w:val="24"/>
          <w:szCs w:val="24"/>
        </w:rPr>
      </w:pPr>
      <w:bookmarkStart w:id="226" w:name="_Toc230685636"/>
      <w:bookmarkStart w:id="227" w:name="_Toc12138"/>
      <w:bookmarkStart w:id="228" w:name="_Toc9741"/>
      <w:bookmarkStart w:id="229" w:name="_Toc230625524"/>
      <w:bookmarkStart w:id="230" w:name="_Toc230685682"/>
      <w:bookmarkStart w:id="231" w:name="_Toc298937407"/>
      <w:bookmarkStart w:id="232" w:name="_Toc230685498"/>
      <w:r>
        <w:rPr>
          <w:rFonts w:hint="eastAsia" w:ascii="宋体" w:hAnsi="宋体" w:cs="宋体"/>
          <w:color w:val="auto"/>
          <w:sz w:val="24"/>
          <w:szCs w:val="24"/>
        </w:rPr>
        <w:t>19.谈判</w:t>
      </w:r>
      <w:bookmarkEnd w:id="226"/>
      <w:bookmarkEnd w:id="227"/>
      <w:bookmarkEnd w:id="228"/>
      <w:bookmarkEnd w:id="229"/>
      <w:bookmarkEnd w:id="230"/>
      <w:bookmarkEnd w:id="231"/>
      <w:bookmarkEnd w:id="232"/>
    </w:p>
    <w:p>
      <w:pPr>
        <w:spacing w:line="440" w:lineRule="exact"/>
        <w:ind w:firstLine="480" w:firstLineChars="200"/>
        <w:rPr>
          <w:rFonts w:ascii="宋体" w:hAnsi="宋体" w:cs="宋体"/>
          <w:color w:val="auto"/>
          <w:sz w:val="24"/>
        </w:rPr>
      </w:pPr>
      <w:r>
        <w:rPr>
          <w:rFonts w:hint="eastAsia" w:ascii="宋体" w:hAnsi="宋体" w:cs="宋体"/>
          <w:color w:val="auto"/>
          <w:sz w:val="24"/>
        </w:rPr>
        <w:t>19.1谈判时间及地点：竞标人须知前附表第8项规定的时间为与竞标人谈判时间，具体时间由采购代理机构另行通知。地点：广西建荣工程项目管理有限公司来宾分公司评标室。</w:t>
      </w:r>
    </w:p>
    <w:p>
      <w:pPr>
        <w:spacing w:line="440" w:lineRule="exact"/>
        <w:ind w:firstLine="480" w:firstLineChars="200"/>
        <w:rPr>
          <w:rFonts w:ascii="宋体" w:hAnsi="宋体" w:cs="宋体"/>
          <w:color w:val="auto"/>
          <w:sz w:val="24"/>
        </w:rPr>
      </w:pPr>
      <w:r>
        <w:rPr>
          <w:rFonts w:hint="eastAsia" w:ascii="宋体" w:hAnsi="宋体" w:cs="宋体"/>
          <w:color w:val="auto"/>
          <w:sz w:val="24"/>
        </w:rPr>
        <w:t>19.2谈判小组由采购人的代表和有关专家共三人以上的单数组成。在整个谈判过程中，谈判小组将负责对全部竞标文件进行审查、谈判及评标工作。</w:t>
      </w:r>
    </w:p>
    <w:p>
      <w:pPr>
        <w:spacing w:line="440" w:lineRule="exact"/>
        <w:ind w:firstLine="480" w:firstLineChars="200"/>
        <w:rPr>
          <w:rFonts w:ascii="宋体" w:hAnsi="宋体" w:cs="宋体"/>
          <w:color w:val="auto"/>
          <w:sz w:val="24"/>
        </w:rPr>
      </w:pPr>
      <w:r>
        <w:rPr>
          <w:rFonts w:hint="eastAsia" w:ascii="宋体" w:hAnsi="宋体" w:cs="宋体"/>
          <w:color w:val="auto"/>
          <w:sz w:val="24"/>
        </w:rPr>
        <w:t>19.3采购代理机构将在竞标人须知前附表第8项规定的时间和地点组织谈判小组与各竞标人分别进行谈判。竞标人的法定代表人或其授权委托人必须持证件（法定代表人持本人身份证原件或授权委托人持授权委托书原件及本人身份证原件、保证金缴纳凭证复印件）依时到达现场等候参加谈判，并自觉接受核验上述证件。</w:t>
      </w:r>
    </w:p>
    <w:p>
      <w:pPr>
        <w:spacing w:line="440" w:lineRule="exact"/>
        <w:ind w:firstLine="480" w:firstLineChars="200"/>
        <w:rPr>
          <w:rFonts w:ascii="宋体" w:hAnsi="宋体" w:cs="宋体"/>
          <w:color w:val="auto"/>
          <w:sz w:val="24"/>
        </w:rPr>
      </w:pPr>
      <w:r>
        <w:rPr>
          <w:rFonts w:hint="eastAsia" w:ascii="宋体" w:hAnsi="宋体" w:cs="宋体"/>
          <w:color w:val="auto"/>
          <w:sz w:val="24"/>
        </w:rPr>
        <w:t>19.4竞标人可由1～3人组成参谈组，谈判中竞标人成员之间意见不一致时，以竞标人的法定代表人（或其委托代理人）的意见为准。</w:t>
      </w:r>
    </w:p>
    <w:p>
      <w:pPr>
        <w:spacing w:line="440" w:lineRule="exact"/>
        <w:ind w:firstLine="480" w:firstLineChars="200"/>
        <w:rPr>
          <w:rFonts w:ascii="宋体" w:hAnsi="宋体" w:cs="宋体"/>
          <w:color w:val="auto"/>
          <w:sz w:val="24"/>
        </w:rPr>
      </w:pPr>
      <w:r>
        <w:rPr>
          <w:rFonts w:hint="eastAsia" w:ascii="宋体" w:hAnsi="宋体" w:cs="宋体"/>
          <w:color w:val="auto"/>
          <w:sz w:val="24"/>
        </w:rPr>
        <w:t>19.5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当采购文件存在疑问的地方时，谈判小组应给予代理机构进行澄清说明。</w:t>
      </w:r>
    </w:p>
    <w:p>
      <w:pPr>
        <w:spacing w:line="440" w:lineRule="exact"/>
        <w:ind w:firstLine="480" w:firstLineChars="200"/>
        <w:rPr>
          <w:rFonts w:ascii="宋体" w:hAnsi="宋体" w:cs="宋体"/>
          <w:color w:val="auto"/>
          <w:sz w:val="24"/>
        </w:rPr>
      </w:pPr>
      <w:r>
        <w:rPr>
          <w:rFonts w:hint="eastAsia" w:ascii="宋体" w:hAnsi="宋体" w:cs="宋体"/>
          <w:color w:val="auto"/>
          <w:sz w:val="24"/>
        </w:rPr>
        <w:t>19.6谈判内容应作记录，并由竞标人及谈判小组成员签名确认。</w:t>
      </w:r>
    </w:p>
    <w:p>
      <w:pPr>
        <w:spacing w:line="440" w:lineRule="exact"/>
        <w:ind w:firstLine="480" w:firstLineChars="200"/>
        <w:rPr>
          <w:rFonts w:ascii="宋体" w:hAnsi="宋体" w:cs="宋体"/>
          <w:color w:val="auto"/>
          <w:sz w:val="24"/>
        </w:rPr>
      </w:pPr>
      <w:r>
        <w:rPr>
          <w:rFonts w:hint="eastAsia" w:ascii="宋体" w:hAnsi="宋体" w:cs="宋体"/>
          <w:color w:val="auto"/>
          <w:sz w:val="24"/>
        </w:rPr>
        <w:t>19.7谈判结束后，谈判小组应要求竞标人在约定的时间、地点以书面密封形式提交谈判时要求其就商务和技术条件作出的包含补充、修改、承诺、重新报价等内容的应答文件，应答文件必须由竞标人的法定代表人或委托代理人签名或盖公章，应答文件构成竞标文件的一部分。</w:t>
      </w:r>
    </w:p>
    <w:p>
      <w:pPr>
        <w:spacing w:line="440" w:lineRule="exact"/>
        <w:ind w:firstLine="480" w:firstLineChars="200"/>
        <w:rPr>
          <w:rFonts w:ascii="宋体" w:hAnsi="宋体" w:cs="宋体"/>
          <w:color w:val="auto"/>
          <w:sz w:val="24"/>
        </w:rPr>
      </w:pPr>
      <w:r>
        <w:rPr>
          <w:rFonts w:hint="eastAsia" w:ascii="宋体" w:hAnsi="宋体" w:cs="宋体"/>
          <w:color w:val="auto"/>
          <w:sz w:val="24"/>
        </w:rPr>
        <w:t>19.8谈判小组对各竞标人提交的应答文件统一开启，并进行评审后，认为有必要再次进行谈判的，可再次与竞标人进行谈判，谈判程序和要求按本须知第19条规定执行，直至谈判小组认为没有必要再进行谈判，谈判方可结束。对最后一轮谈判，谈判小组应明确告知竞标人，并要求所有竞标人在规定的时间、地点以书面密封形式提交最终的应答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19.9最终谈判结束后，谈判小组不得再与竞标人进行任何形式的商谈。</w:t>
      </w:r>
    </w:p>
    <w:p>
      <w:pPr>
        <w:spacing w:line="440" w:lineRule="exact"/>
        <w:ind w:firstLine="480" w:firstLineChars="200"/>
        <w:rPr>
          <w:rFonts w:ascii="宋体" w:hAnsi="宋体" w:cs="宋体"/>
          <w:color w:val="auto"/>
          <w:sz w:val="24"/>
        </w:rPr>
      </w:pPr>
      <w:r>
        <w:rPr>
          <w:rFonts w:hint="eastAsia" w:ascii="宋体" w:hAnsi="宋体" w:cs="宋体"/>
          <w:color w:val="auto"/>
          <w:sz w:val="24"/>
        </w:rPr>
        <w:t>19.10谈判的任何一方不得透露与谈判有关的其他竞标人的技术资料、价格和其他信息。</w:t>
      </w:r>
      <w:bookmarkStart w:id="233" w:name="_Toc230625525"/>
      <w:bookmarkStart w:id="234" w:name="_Toc298937408"/>
      <w:bookmarkStart w:id="235" w:name="_Toc230685637"/>
      <w:bookmarkStart w:id="236" w:name="_Toc230685499"/>
      <w:bookmarkStart w:id="237" w:name="_Toc230685683"/>
    </w:p>
    <w:p>
      <w:pPr>
        <w:spacing w:line="440" w:lineRule="exact"/>
        <w:rPr>
          <w:rFonts w:ascii="宋体" w:hAnsi="宋体" w:cs="宋体"/>
          <w:b/>
          <w:color w:val="auto"/>
          <w:sz w:val="24"/>
        </w:rPr>
      </w:pPr>
      <w:r>
        <w:rPr>
          <w:rFonts w:hint="eastAsia" w:ascii="宋体" w:hAnsi="宋体" w:cs="宋体"/>
          <w:b/>
          <w:color w:val="auto"/>
          <w:sz w:val="24"/>
        </w:rPr>
        <w:t>20.评标</w:t>
      </w:r>
      <w:bookmarkEnd w:id="233"/>
      <w:bookmarkEnd w:id="234"/>
      <w:bookmarkEnd w:id="235"/>
      <w:bookmarkEnd w:id="236"/>
      <w:bookmarkEnd w:id="237"/>
      <w:r>
        <w:rPr>
          <w:rFonts w:hint="eastAsia" w:ascii="宋体" w:hAnsi="宋体" w:cs="宋体"/>
          <w:b/>
          <w:color w:val="auto"/>
          <w:sz w:val="24"/>
        </w:rPr>
        <w:t xml:space="preserve"> </w:t>
      </w:r>
    </w:p>
    <w:p>
      <w:pPr>
        <w:spacing w:line="440" w:lineRule="exact"/>
        <w:ind w:firstLine="480" w:firstLineChars="200"/>
        <w:rPr>
          <w:rFonts w:ascii="宋体" w:hAnsi="宋体" w:cs="宋体"/>
          <w:color w:val="auto"/>
          <w:sz w:val="24"/>
        </w:rPr>
      </w:pPr>
      <w:r>
        <w:rPr>
          <w:rFonts w:hint="eastAsia" w:ascii="宋体" w:hAnsi="宋体" w:cs="宋体"/>
          <w:color w:val="auto"/>
          <w:sz w:val="24"/>
        </w:rPr>
        <w:t>20.1本采购项目采用的评标办法为最低评标价法，评标依据为竞争性谈判采购文件和竞标文件及谈判应答文件。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20.2评标工作将采取封闭方式进行，谈判小组成员和有关工作人员不得透露对竞标文件的评审、比较和成交候选供应商的推荐情况以及与评标有关的其他情况。</w:t>
      </w:r>
    </w:p>
    <w:p>
      <w:pPr>
        <w:spacing w:line="440" w:lineRule="exact"/>
        <w:ind w:firstLine="480" w:firstLineChars="200"/>
        <w:rPr>
          <w:rFonts w:ascii="宋体" w:hAnsi="宋体" w:cs="宋体"/>
          <w:color w:val="auto"/>
          <w:sz w:val="24"/>
        </w:rPr>
      </w:pPr>
      <w:r>
        <w:rPr>
          <w:rFonts w:hint="eastAsia" w:ascii="宋体" w:hAnsi="宋体" w:cs="宋体"/>
          <w:color w:val="auto"/>
          <w:sz w:val="24"/>
        </w:rPr>
        <w:t>20.3竞标人在评标过程中，所进行的力图影响评标结果公正性的活动，将可能导致其成交资格被取消。</w:t>
      </w:r>
    </w:p>
    <w:p>
      <w:pPr>
        <w:spacing w:line="440" w:lineRule="exact"/>
        <w:ind w:firstLine="480" w:firstLineChars="200"/>
        <w:rPr>
          <w:rFonts w:ascii="宋体" w:hAnsi="宋体" w:cs="宋体"/>
          <w:color w:val="auto"/>
          <w:sz w:val="24"/>
        </w:rPr>
      </w:pPr>
      <w:r>
        <w:rPr>
          <w:rFonts w:hint="eastAsia" w:ascii="宋体" w:hAnsi="宋体" w:cs="宋体"/>
          <w:color w:val="auto"/>
          <w:sz w:val="24"/>
        </w:rPr>
        <w:t>20.4经谈判后竞标人竞标报价仍超出采购预算金额，则竞标无效。如果经谈判后全部竞标人的竞标报价均超出采购预算金额，采购人不能支付的，由采购单位重新组织采购。</w:t>
      </w:r>
    </w:p>
    <w:p>
      <w:pPr>
        <w:widowControl/>
        <w:tabs>
          <w:tab w:val="left" w:pos="540"/>
        </w:tabs>
        <w:spacing w:line="440" w:lineRule="exact"/>
        <w:ind w:firstLine="470" w:firstLineChars="196"/>
        <w:jc w:val="left"/>
        <w:rPr>
          <w:rFonts w:ascii="宋体" w:hAnsi="宋体" w:cs="宋体"/>
          <w:color w:val="auto"/>
          <w:sz w:val="24"/>
        </w:rPr>
      </w:pPr>
      <w:r>
        <w:rPr>
          <w:rFonts w:hint="eastAsia" w:ascii="宋体" w:hAnsi="宋体" w:cs="宋体"/>
          <w:color w:val="auto"/>
          <w:sz w:val="24"/>
        </w:rPr>
        <w:t>20.5特别说明：</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评审时，取其中通过资格审查后的报价最低一家为有效供应商；当报价相同时，则以项目服务方案最优一家为有效供应商；当报价和项目服务方案均相同时，则由谈判小组集体决定。</w:t>
      </w:r>
    </w:p>
    <w:p>
      <w:pPr>
        <w:widowControl/>
        <w:shd w:val="clear" w:color="auto" w:fill="FFFFFF"/>
        <w:spacing w:line="440" w:lineRule="exact"/>
        <w:jc w:val="left"/>
        <w:rPr>
          <w:rFonts w:ascii="宋体" w:hAnsi="宋体" w:cs="宋体"/>
          <w:b/>
          <w:bCs/>
          <w:color w:val="auto"/>
          <w:sz w:val="24"/>
        </w:rPr>
      </w:pPr>
      <w:bookmarkStart w:id="238" w:name="_Toc230625527"/>
      <w:bookmarkStart w:id="239" w:name="_Toc230685685"/>
      <w:bookmarkStart w:id="240" w:name="_Toc230685639"/>
      <w:bookmarkStart w:id="241" w:name="_Toc230685501"/>
      <w:bookmarkStart w:id="242" w:name="_Toc298937410"/>
      <w:r>
        <w:rPr>
          <w:rFonts w:hint="eastAsia" w:ascii="宋体" w:hAnsi="宋体" w:cs="宋体"/>
          <w:b/>
          <w:bCs/>
          <w:color w:val="auto"/>
          <w:sz w:val="24"/>
        </w:rPr>
        <w:t>21.竞标无效</w:t>
      </w:r>
    </w:p>
    <w:p>
      <w:pPr>
        <w:widowControl/>
        <w:shd w:val="clear" w:color="auto" w:fill="FFFFFF"/>
        <w:spacing w:line="440" w:lineRule="exact"/>
        <w:ind w:firstLine="480" w:firstLineChars="200"/>
        <w:jc w:val="left"/>
        <w:rPr>
          <w:rFonts w:ascii="宋体" w:hAnsi="宋体" w:cs="宋体"/>
          <w:color w:val="auto"/>
          <w:sz w:val="24"/>
        </w:rPr>
      </w:pPr>
      <w:r>
        <w:rPr>
          <w:rFonts w:hint="eastAsia" w:ascii="宋体" w:hAnsi="宋体" w:cs="宋体"/>
          <w:color w:val="auto"/>
          <w:sz w:val="24"/>
        </w:rPr>
        <w:t>21.1 属于下列情况之一者，竞标无效：</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（1）未按本须知第16条款规定提交竞标保证金的；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（2）未按采购文件规定要求密封、标记的，或未提供法定代表人授权委托书（委托代理的）；</w:t>
      </w:r>
    </w:p>
    <w:p>
      <w:pPr>
        <w:snapToGrid w:val="0"/>
        <w:spacing w:line="440" w:lineRule="exact"/>
        <w:ind w:firstLine="480" w:firstLineChars="200"/>
        <w:outlineLvl w:val="4"/>
        <w:rPr>
          <w:rFonts w:ascii="宋体" w:hAnsi="宋体" w:cs="宋体"/>
          <w:color w:val="auto"/>
          <w:sz w:val="24"/>
        </w:rPr>
      </w:pPr>
      <w:r>
        <w:rPr>
          <w:rFonts w:hint="eastAsia" w:ascii="宋体" w:hAnsi="宋体" w:cs="宋体"/>
          <w:color w:val="auto"/>
          <w:sz w:val="24"/>
        </w:rPr>
        <w:t>（3）超越了按照法律法规规定必须获得行政许可或者行政审批的经营范围的；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（4）不具备采购文件规定的资格要求的；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（5）竞标文件未按采购文件的内容和要求编写，或提供虚假材料的；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（6）竞标有效期、服务期限不能满足采购文件要求的；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（7）竞标人未根据“项目需求”规定的竞标范围作出完整唯一报价的；</w:t>
      </w:r>
    </w:p>
    <w:p>
      <w:pPr>
        <w:pStyle w:val="18"/>
        <w:spacing w:line="440" w:lineRule="exact"/>
        <w:ind w:firstLine="480" w:firstLineChars="200"/>
        <w:rPr>
          <w:rFonts w:hAnsi="宋体" w:cs="宋体"/>
          <w:color w:val="auto"/>
          <w:sz w:val="24"/>
          <w:szCs w:val="24"/>
        </w:rPr>
      </w:pPr>
      <w:r>
        <w:rPr>
          <w:rFonts w:hint="eastAsia" w:hAnsi="宋体" w:cs="宋体"/>
          <w:bCs/>
          <w:color w:val="auto"/>
          <w:sz w:val="24"/>
          <w:szCs w:val="24"/>
        </w:rPr>
        <w:t>（8）</w:t>
      </w:r>
      <w:r>
        <w:rPr>
          <w:rFonts w:hint="eastAsia" w:hAnsi="宋体" w:cs="宋体"/>
          <w:color w:val="auto"/>
          <w:sz w:val="24"/>
          <w:szCs w:val="24"/>
        </w:rPr>
        <w:t>未实质性响应采购文件要求或者竞标文件有采购人不能接受的附加条件的；</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（9）未按规定向采购代理机构购买本项目采购文件的（有文件规定除外）；</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（10）在谈判小组规定的时间内未提供响应文件的；</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（11）最终竞标报价超出采购控制价的；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（12）不符合法律、法规和采购文件规定的其他实质性要求和条件的。</w:t>
      </w:r>
    </w:p>
    <w:p>
      <w:pPr>
        <w:widowControl/>
        <w:shd w:val="clear" w:color="auto" w:fill="FFFFFF"/>
        <w:spacing w:line="440" w:lineRule="exact"/>
        <w:ind w:firstLine="480" w:firstLineChars="200"/>
        <w:jc w:val="left"/>
        <w:rPr>
          <w:rFonts w:ascii="宋体" w:hAnsi="宋体" w:cs="宋体"/>
          <w:bCs/>
          <w:color w:val="auto"/>
          <w:sz w:val="24"/>
        </w:rPr>
      </w:pPr>
      <w:r>
        <w:rPr>
          <w:rFonts w:hint="eastAsia" w:ascii="宋体" w:hAnsi="宋体" w:cs="宋体"/>
          <w:color w:val="auto"/>
          <w:sz w:val="24"/>
        </w:rPr>
        <w:t>21.2</w:t>
      </w:r>
      <w:r>
        <w:rPr>
          <w:rFonts w:hint="eastAsia" w:ascii="宋体" w:hAnsi="宋体" w:cs="宋体"/>
          <w:bCs/>
          <w:color w:val="auto"/>
          <w:sz w:val="24"/>
        </w:rPr>
        <w:t>竞标文件如有下列情况之一的视为竞标人相互串通竞标，竞标文件将被视为无效：</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（1）不同竞标人的竞标文件由同一单位或者个人编制；或不同竞标人报名的IP地址一致的；</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（2）不同竞标人委托同一单位或者个人办理竞标事宜；</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（3）不同竞标人的竞标文件载明的项目管理员为同一个人；</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（4）不同竞标人的竞标文件异常一致或者竞标报价呈现规律性差异；</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（5）不同竞标人的竞标文件相互混装；</w:t>
      </w:r>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（6）不同竞标人的竞标保证金从同一单位或者个人账户转出。</w:t>
      </w:r>
    </w:p>
    <w:p>
      <w:pPr>
        <w:snapToGrid w:val="0"/>
        <w:spacing w:line="440" w:lineRule="exact"/>
        <w:outlineLvl w:val="4"/>
        <w:rPr>
          <w:rFonts w:ascii="宋体" w:hAnsi="宋体" w:cs="宋体"/>
          <w:b/>
          <w:color w:val="auto"/>
          <w:sz w:val="24"/>
        </w:rPr>
      </w:pPr>
      <w:r>
        <w:rPr>
          <w:rFonts w:hint="eastAsia" w:ascii="宋体" w:hAnsi="宋体" w:cs="宋体"/>
          <w:b/>
          <w:color w:val="auto"/>
          <w:sz w:val="24"/>
        </w:rPr>
        <w:t>22.</w:t>
      </w:r>
      <w:r>
        <w:rPr>
          <w:rFonts w:hint="eastAsia" w:ascii="宋体" w:hAnsi="宋体" w:cs="宋体"/>
          <w:color w:val="auto"/>
          <w:sz w:val="24"/>
        </w:rPr>
        <w:t xml:space="preserve"> </w:t>
      </w:r>
      <w:r>
        <w:rPr>
          <w:rFonts w:hint="eastAsia" w:ascii="宋体" w:hAnsi="宋体" w:cs="宋体"/>
          <w:b/>
          <w:color w:val="auto"/>
          <w:sz w:val="24"/>
        </w:rPr>
        <w:t>重新开展采购活动</w:t>
      </w:r>
    </w:p>
    <w:p>
      <w:pPr>
        <w:snapToGrid w:val="0"/>
        <w:spacing w:line="440" w:lineRule="exact"/>
        <w:ind w:firstLine="480" w:firstLineChars="200"/>
        <w:outlineLvl w:val="4"/>
        <w:rPr>
          <w:rFonts w:ascii="宋体" w:hAnsi="宋体" w:cs="宋体"/>
          <w:color w:val="auto"/>
          <w:sz w:val="24"/>
        </w:rPr>
      </w:pPr>
      <w:r>
        <w:rPr>
          <w:rFonts w:hint="eastAsia" w:ascii="宋体" w:hAnsi="宋体" w:cs="宋体"/>
          <w:color w:val="auto"/>
          <w:sz w:val="24"/>
        </w:rPr>
        <w:t>出现下列情形之一的，采购人或者采购代理机构应当终止竞争性谈判采购活动，发布项目终止公告并说明原因，重新开展采购活动：</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（1）因情况变化，不再符合规定的竞争性谈判采购方式适用情形的；</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 xml:space="preserve">（2）出现影响采购公正的违法、违规行为的； </w:t>
      </w:r>
    </w:p>
    <w:p>
      <w:pPr>
        <w:snapToGrid w:val="0"/>
        <w:spacing w:line="440" w:lineRule="exact"/>
        <w:ind w:firstLine="470" w:firstLineChars="196"/>
        <w:outlineLvl w:val="4"/>
        <w:rPr>
          <w:rFonts w:ascii="宋体" w:hAnsi="宋体" w:cs="宋体"/>
          <w:color w:val="auto"/>
          <w:sz w:val="24"/>
        </w:rPr>
      </w:pPr>
      <w:r>
        <w:rPr>
          <w:rFonts w:hint="eastAsia" w:ascii="宋体" w:hAnsi="宋体" w:cs="宋体"/>
          <w:color w:val="auto"/>
          <w:sz w:val="24"/>
        </w:rPr>
        <w:t xml:space="preserve">（3）在采购过程中符合竞争要求的供应商或者报价未超过采购预算的供应商不足3家的。 </w:t>
      </w:r>
    </w:p>
    <w:p>
      <w:pPr>
        <w:pStyle w:val="4"/>
        <w:keepNext w:val="0"/>
        <w:keepLines w:val="0"/>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六  签订合同</w:t>
      </w:r>
      <w:bookmarkEnd w:id="238"/>
      <w:bookmarkEnd w:id="239"/>
      <w:bookmarkEnd w:id="240"/>
      <w:bookmarkEnd w:id="241"/>
      <w:bookmarkEnd w:id="242"/>
    </w:p>
    <w:p>
      <w:pPr>
        <w:pStyle w:val="5"/>
        <w:keepNext w:val="0"/>
        <w:keepLines w:val="0"/>
        <w:spacing w:line="440" w:lineRule="exact"/>
        <w:rPr>
          <w:rFonts w:ascii="宋体" w:hAnsi="宋体" w:cs="宋体"/>
          <w:color w:val="auto"/>
          <w:sz w:val="24"/>
          <w:szCs w:val="24"/>
        </w:rPr>
      </w:pPr>
      <w:bookmarkStart w:id="243" w:name="_Toc23196"/>
      <w:bookmarkStart w:id="244" w:name="_Toc230685640"/>
      <w:bookmarkStart w:id="245" w:name="_Toc230625528"/>
      <w:bookmarkStart w:id="246" w:name="_Toc4138"/>
      <w:bookmarkStart w:id="247" w:name="_Toc230685686"/>
      <w:bookmarkStart w:id="248" w:name="_Toc298937411"/>
      <w:bookmarkStart w:id="249" w:name="_Toc230685502"/>
      <w:r>
        <w:rPr>
          <w:rFonts w:hint="eastAsia" w:ascii="宋体" w:hAnsi="宋体" w:cs="宋体"/>
          <w:color w:val="auto"/>
          <w:sz w:val="24"/>
          <w:szCs w:val="24"/>
        </w:rPr>
        <w:t>23.成交通知</w:t>
      </w:r>
      <w:bookmarkEnd w:id="243"/>
      <w:bookmarkEnd w:id="244"/>
      <w:bookmarkEnd w:id="245"/>
      <w:bookmarkEnd w:id="246"/>
      <w:bookmarkEnd w:id="247"/>
      <w:bookmarkEnd w:id="248"/>
      <w:bookmarkEnd w:id="249"/>
    </w:p>
    <w:p>
      <w:pPr>
        <w:spacing w:line="440" w:lineRule="exact"/>
        <w:ind w:firstLine="480" w:firstLineChars="200"/>
        <w:rPr>
          <w:rFonts w:ascii="宋体" w:hAnsi="宋体" w:cs="宋体"/>
          <w:color w:val="auto"/>
          <w:sz w:val="24"/>
        </w:rPr>
      </w:pPr>
      <w:r>
        <w:rPr>
          <w:rFonts w:hint="eastAsia" w:ascii="宋体" w:hAnsi="宋体" w:cs="宋体"/>
          <w:color w:val="auto"/>
          <w:sz w:val="24"/>
        </w:rPr>
        <w:t>23.1采购代理机构将在评标结束五个工作日内将评标结果送采购人，采购人在五个工作日内应当将采购结果报告中推荐的排名第一的成交候选供应商确定为成交人。</w:t>
      </w:r>
    </w:p>
    <w:p>
      <w:pPr>
        <w:spacing w:line="440" w:lineRule="exact"/>
        <w:ind w:firstLine="480" w:firstLineChars="200"/>
        <w:rPr>
          <w:rFonts w:ascii="宋体" w:hAnsi="宋体" w:cs="宋体"/>
          <w:color w:val="auto"/>
          <w:sz w:val="24"/>
        </w:rPr>
      </w:pPr>
      <w:r>
        <w:rPr>
          <w:rFonts w:hint="eastAsia" w:ascii="宋体" w:hAnsi="宋体" w:cs="宋体"/>
          <w:color w:val="auto"/>
          <w:sz w:val="24"/>
        </w:rPr>
        <w:t>23.2成交人确定后，采购代理机构在中国政府采购网、广西壮族自治区政府采购网上发布采购结果公告。</w:t>
      </w:r>
    </w:p>
    <w:p>
      <w:pPr>
        <w:spacing w:line="440" w:lineRule="exact"/>
        <w:ind w:firstLine="480" w:firstLineChars="200"/>
        <w:rPr>
          <w:rFonts w:ascii="宋体" w:hAnsi="宋体" w:cs="宋体"/>
          <w:color w:val="auto"/>
          <w:sz w:val="24"/>
        </w:rPr>
      </w:pPr>
      <w:r>
        <w:rPr>
          <w:rFonts w:hint="eastAsia" w:ascii="宋体" w:hAnsi="宋体" w:cs="宋体"/>
          <w:color w:val="auto"/>
          <w:sz w:val="24"/>
        </w:rPr>
        <w:t>23.3采购代理机构在发布采购结果公告的同时，向成交人发出成交通知书。</w:t>
      </w:r>
    </w:p>
    <w:p>
      <w:pPr>
        <w:spacing w:line="440" w:lineRule="exact"/>
        <w:ind w:firstLine="480" w:firstLineChars="200"/>
        <w:rPr>
          <w:rFonts w:ascii="宋体" w:hAnsi="宋体" w:cs="宋体"/>
          <w:color w:val="auto"/>
          <w:sz w:val="24"/>
        </w:rPr>
      </w:pPr>
      <w:r>
        <w:rPr>
          <w:rFonts w:hint="eastAsia" w:ascii="宋体" w:hAnsi="宋体" w:cs="宋体"/>
          <w:color w:val="auto"/>
          <w:sz w:val="24"/>
        </w:rPr>
        <w:t>23.4采购代理机构无义务向未成交的供应商解释未成交原因和退还竞标文件。</w:t>
      </w:r>
    </w:p>
    <w:p>
      <w:pPr>
        <w:pStyle w:val="5"/>
        <w:keepNext w:val="0"/>
        <w:keepLines w:val="0"/>
        <w:spacing w:line="440" w:lineRule="exact"/>
        <w:rPr>
          <w:rFonts w:ascii="宋体" w:hAnsi="宋体" w:cs="宋体"/>
          <w:color w:val="auto"/>
          <w:sz w:val="24"/>
          <w:szCs w:val="24"/>
        </w:rPr>
      </w:pPr>
      <w:bookmarkStart w:id="250" w:name="_Toc230625529"/>
      <w:bookmarkStart w:id="251" w:name="_Toc230685503"/>
      <w:bookmarkStart w:id="252" w:name="_Toc18788"/>
      <w:bookmarkStart w:id="253" w:name="_Toc298937412"/>
      <w:bookmarkStart w:id="254" w:name="_Toc6697"/>
      <w:bookmarkStart w:id="255" w:name="_Toc230685641"/>
      <w:bookmarkStart w:id="256" w:name="_Toc230685687"/>
      <w:r>
        <w:rPr>
          <w:rFonts w:hint="eastAsia" w:ascii="宋体" w:hAnsi="宋体" w:cs="宋体"/>
          <w:color w:val="auto"/>
          <w:sz w:val="24"/>
          <w:szCs w:val="24"/>
        </w:rPr>
        <w:t>24.合同授予标准</w:t>
      </w:r>
      <w:bookmarkEnd w:id="250"/>
      <w:bookmarkEnd w:id="251"/>
      <w:bookmarkEnd w:id="252"/>
      <w:bookmarkEnd w:id="253"/>
      <w:bookmarkEnd w:id="254"/>
      <w:bookmarkEnd w:id="255"/>
      <w:bookmarkEnd w:id="256"/>
    </w:p>
    <w:p>
      <w:pPr>
        <w:spacing w:line="440" w:lineRule="exact"/>
        <w:ind w:firstLine="480" w:firstLineChars="200"/>
        <w:rPr>
          <w:rFonts w:ascii="宋体" w:hAnsi="宋体" w:cs="宋体"/>
          <w:color w:val="auto"/>
          <w:sz w:val="24"/>
        </w:rPr>
      </w:pPr>
      <w:r>
        <w:rPr>
          <w:rFonts w:hint="eastAsia" w:ascii="宋体" w:hAnsi="宋体" w:cs="宋体"/>
          <w:color w:val="auto"/>
          <w:sz w:val="24"/>
        </w:rPr>
        <w:t>24.1合同将授予被确定为实质上响应采购人需求，具备履行合同能力，采购结果报告中推荐的排名第一的成交候选供应商为成交人。</w:t>
      </w:r>
      <w:bookmarkStart w:id="257" w:name="_Toc230685642"/>
      <w:bookmarkStart w:id="258" w:name="_Toc230685504"/>
      <w:bookmarkStart w:id="259" w:name="_Toc230685688"/>
      <w:bookmarkStart w:id="260" w:name="_Toc298937413"/>
      <w:bookmarkStart w:id="261" w:name="_Toc230625530"/>
    </w:p>
    <w:p>
      <w:pPr>
        <w:pStyle w:val="5"/>
        <w:keepNext w:val="0"/>
        <w:keepLines w:val="0"/>
        <w:spacing w:line="440" w:lineRule="exact"/>
        <w:rPr>
          <w:rFonts w:ascii="宋体" w:hAnsi="宋体" w:cs="宋体"/>
          <w:color w:val="auto"/>
          <w:sz w:val="24"/>
          <w:szCs w:val="24"/>
        </w:rPr>
      </w:pPr>
      <w:bookmarkStart w:id="262" w:name="_Toc17192"/>
      <w:bookmarkStart w:id="263" w:name="_Toc790"/>
      <w:r>
        <w:rPr>
          <w:rFonts w:hint="eastAsia" w:ascii="宋体" w:hAnsi="宋体" w:cs="宋体"/>
          <w:color w:val="auto"/>
          <w:sz w:val="24"/>
          <w:szCs w:val="24"/>
        </w:rPr>
        <w:t>25.签订合同</w:t>
      </w:r>
      <w:bookmarkEnd w:id="257"/>
      <w:bookmarkEnd w:id="258"/>
      <w:bookmarkEnd w:id="259"/>
      <w:bookmarkEnd w:id="260"/>
      <w:bookmarkEnd w:id="261"/>
      <w:bookmarkEnd w:id="262"/>
      <w:bookmarkEnd w:id="263"/>
    </w:p>
    <w:p>
      <w:pPr>
        <w:spacing w:line="440" w:lineRule="exact"/>
        <w:ind w:firstLine="480" w:firstLineChars="200"/>
        <w:rPr>
          <w:rFonts w:ascii="宋体" w:hAnsi="宋体" w:cs="宋体"/>
          <w:color w:val="auto"/>
          <w:sz w:val="24"/>
        </w:rPr>
      </w:pPr>
      <w:r>
        <w:rPr>
          <w:rFonts w:hint="eastAsia" w:ascii="宋体" w:hAnsi="宋体" w:cs="宋体"/>
          <w:color w:val="auto"/>
          <w:sz w:val="24"/>
        </w:rPr>
        <w:t>25.1成交人应按成交通知书规定的时间、地点与采购人签订合同。</w:t>
      </w:r>
    </w:p>
    <w:p>
      <w:pPr>
        <w:spacing w:line="440" w:lineRule="exact"/>
        <w:ind w:firstLine="480" w:firstLineChars="200"/>
        <w:rPr>
          <w:rFonts w:ascii="宋体" w:hAnsi="宋体" w:cs="宋体"/>
          <w:color w:val="auto"/>
          <w:sz w:val="24"/>
        </w:rPr>
      </w:pPr>
      <w:r>
        <w:rPr>
          <w:rFonts w:hint="eastAsia" w:ascii="宋体" w:hAnsi="宋体" w:cs="宋体"/>
          <w:color w:val="auto"/>
          <w:sz w:val="24"/>
        </w:rPr>
        <w:t>25.2如成交人不按成交通知书的规定签订合同，则按成交人违约处理，采购代理机构将没收成交人竞标的全部竞标保证金。</w:t>
      </w:r>
    </w:p>
    <w:p>
      <w:pPr>
        <w:spacing w:line="440" w:lineRule="exact"/>
        <w:ind w:firstLine="480" w:firstLineChars="200"/>
        <w:rPr>
          <w:rFonts w:ascii="宋体" w:hAnsi="宋体" w:cs="宋体"/>
          <w:color w:val="auto"/>
          <w:sz w:val="24"/>
        </w:rPr>
      </w:pPr>
      <w:r>
        <w:rPr>
          <w:rFonts w:hint="eastAsia" w:ascii="宋体" w:hAnsi="宋体" w:cs="宋体"/>
          <w:color w:val="auto"/>
          <w:sz w:val="24"/>
        </w:rPr>
        <w:t>25.3成交人因不可抗力或者自身原因不能履行采购合同的，采购人可以与排名第二的成交候选供应商签订采购合同，以此类推。</w:t>
      </w:r>
    </w:p>
    <w:p>
      <w:pPr>
        <w:pStyle w:val="5"/>
        <w:keepNext w:val="0"/>
        <w:keepLines w:val="0"/>
        <w:spacing w:line="440" w:lineRule="exact"/>
        <w:rPr>
          <w:rFonts w:ascii="宋体" w:hAnsi="宋体" w:cs="宋体"/>
          <w:color w:val="auto"/>
          <w:sz w:val="24"/>
          <w:szCs w:val="24"/>
        </w:rPr>
      </w:pPr>
      <w:bookmarkStart w:id="264" w:name="_Toc32247"/>
      <w:bookmarkStart w:id="265" w:name="_Toc230685505"/>
      <w:bookmarkStart w:id="266" w:name="_Toc230685689"/>
      <w:bookmarkStart w:id="267" w:name="_Toc298937414"/>
      <w:bookmarkStart w:id="268" w:name="_Toc21441"/>
      <w:bookmarkStart w:id="269" w:name="_Toc230625531"/>
      <w:bookmarkStart w:id="270" w:name="_Toc230685643"/>
      <w:r>
        <w:rPr>
          <w:rFonts w:hint="eastAsia" w:ascii="宋体" w:hAnsi="宋体" w:cs="宋体"/>
          <w:color w:val="auto"/>
          <w:sz w:val="24"/>
          <w:szCs w:val="24"/>
        </w:rPr>
        <w:t>26.履约保证金</w:t>
      </w:r>
      <w:bookmarkEnd w:id="264"/>
      <w:bookmarkEnd w:id="265"/>
      <w:bookmarkEnd w:id="266"/>
      <w:bookmarkEnd w:id="267"/>
      <w:bookmarkEnd w:id="268"/>
      <w:bookmarkEnd w:id="269"/>
      <w:bookmarkEnd w:id="270"/>
    </w:p>
    <w:p>
      <w:pPr>
        <w:spacing w:line="440" w:lineRule="exact"/>
        <w:ind w:firstLine="480" w:firstLineChars="200"/>
        <w:rPr>
          <w:rFonts w:ascii="宋体" w:hAnsi="宋体" w:cs="宋体"/>
          <w:color w:val="auto"/>
          <w:sz w:val="24"/>
        </w:rPr>
      </w:pPr>
      <w:r>
        <w:rPr>
          <w:rFonts w:hint="eastAsia" w:ascii="宋体" w:hAnsi="宋体" w:cs="宋体"/>
          <w:color w:val="auto"/>
          <w:sz w:val="24"/>
        </w:rPr>
        <w:t>26.1履约保证金金额为成交价的1%（人民币，四舍五入到元）提供，由成交人按照采购人指定账户转入。</w:t>
      </w:r>
    </w:p>
    <w:p>
      <w:pPr>
        <w:spacing w:line="440" w:lineRule="exact"/>
        <w:ind w:firstLine="480" w:firstLineChars="200"/>
        <w:rPr>
          <w:rFonts w:ascii="宋体" w:hAnsi="宋体" w:cs="宋体"/>
          <w:color w:val="auto"/>
          <w:sz w:val="24"/>
        </w:rPr>
      </w:pPr>
      <w:r>
        <w:rPr>
          <w:rFonts w:hint="eastAsia" w:ascii="宋体" w:hAnsi="宋体" w:cs="宋体"/>
          <w:color w:val="auto"/>
          <w:sz w:val="24"/>
        </w:rPr>
        <w:t>26.2履约保证金作为违约金的一部分及用于补偿采购人因成交人不能完成其合同义务而蒙受的损失。如成交人不按双方签订的合同规定履约，则没收其全部履约保证金，履约保证金不足以赔偿损失的，按实际损失赔偿。</w:t>
      </w:r>
    </w:p>
    <w:p>
      <w:pPr>
        <w:spacing w:line="440" w:lineRule="exact"/>
        <w:ind w:firstLine="480" w:firstLineChars="200"/>
        <w:rPr>
          <w:rFonts w:ascii="宋体" w:hAnsi="宋体" w:cs="宋体"/>
          <w:color w:val="auto"/>
          <w:sz w:val="24"/>
        </w:rPr>
      </w:pPr>
      <w:r>
        <w:rPr>
          <w:rFonts w:hint="eastAsia" w:ascii="宋体" w:hAnsi="宋体" w:cs="宋体"/>
          <w:color w:val="auto"/>
          <w:sz w:val="24"/>
        </w:rPr>
        <w:t>26.3合同履行完毕后履约保证金由采购人在五个工作日内退还（无息）。</w:t>
      </w:r>
    </w:p>
    <w:p>
      <w:pPr>
        <w:pStyle w:val="4"/>
        <w:keepNext w:val="0"/>
        <w:keepLines w:val="0"/>
        <w:spacing w:line="440" w:lineRule="exact"/>
        <w:jc w:val="center"/>
        <w:rPr>
          <w:rFonts w:ascii="宋体" w:hAnsi="宋体" w:eastAsia="宋体" w:cs="宋体"/>
          <w:color w:val="auto"/>
          <w:sz w:val="24"/>
          <w:szCs w:val="24"/>
        </w:rPr>
      </w:pPr>
      <w:bookmarkStart w:id="271" w:name="_Toc230625532"/>
      <w:bookmarkStart w:id="272" w:name="_Toc230685644"/>
      <w:bookmarkStart w:id="273" w:name="_Toc7900"/>
      <w:bookmarkStart w:id="274" w:name="_Toc298937415"/>
      <w:bookmarkStart w:id="275" w:name="_Toc230685690"/>
      <w:bookmarkStart w:id="276" w:name="_Toc230685506"/>
      <w:bookmarkStart w:id="277" w:name="_Toc9702"/>
      <w:r>
        <w:rPr>
          <w:rFonts w:hint="eastAsia" w:ascii="宋体" w:hAnsi="宋体" w:eastAsia="宋体" w:cs="宋体"/>
          <w:color w:val="auto"/>
          <w:sz w:val="24"/>
          <w:szCs w:val="24"/>
        </w:rPr>
        <w:t>七  其他事项</w:t>
      </w:r>
      <w:bookmarkEnd w:id="271"/>
      <w:bookmarkEnd w:id="272"/>
      <w:bookmarkEnd w:id="273"/>
      <w:bookmarkEnd w:id="274"/>
      <w:bookmarkEnd w:id="275"/>
      <w:bookmarkEnd w:id="276"/>
      <w:bookmarkEnd w:id="277"/>
    </w:p>
    <w:p>
      <w:pPr>
        <w:pStyle w:val="5"/>
        <w:keepNext w:val="0"/>
        <w:keepLines w:val="0"/>
        <w:spacing w:line="440" w:lineRule="exact"/>
        <w:rPr>
          <w:rFonts w:ascii="宋体" w:hAnsi="宋体" w:cs="宋体"/>
          <w:color w:val="auto"/>
          <w:sz w:val="24"/>
          <w:szCs w:val="24"/>
        </w:rPr>
      </w:pPr>
      <w:bookmarkStart w:id="278" w:name="_Toc230685691"/>
      <w:bookmarkStart w:id="279" w:name="_Toc230685645"/>
      <w:bookmarkStart w:id="280" w:name="_Toc230685507"/>
      <w:bookmarkStart w:id="281" w:name="_Toc298937416"/>
      <w:bookmarkStart w:id="282" w:name="_Toc10214"/>
      <w:bookmarkStart w:id="283" w:name="_Toc29432"/>
      <w:bookmarkStart w:id="284" w:name="_Toc230625533"/>
      <w:r>
        <w:rPr>
          <w:rFonts w:hint="eastAsia" w:ascii="宋体" w:hAnsi="宋体" w:cs="宋体"/>
          <w:color w:val="auto"/>
          <w:sz w:val="24"/>
          <w:szCs w:val="24"/>
        </w:rPr>
        <w:t>27.代理服务费</w:t>
      </w:r>
      <w:bookmarkEnd w:id="278"/>
      <w:bookmarkEnd w:id="279"/>
      <w:bookmarkEnd w:id="280"/>
      <w:bookmarkEnd w:id="281"/>
      <w:bookmarkEnd w:id="282"/>
      <w:bookmarkEnd w:id="283"/>
      <w:bookmarkEnd w:id="284"/>
    </w:p>
    <w:p>
      <w:pPr>
        <w:pStyle w:val="18"/>
        <w:spacing w:line="440" w:lineRule="exact"/>
        <w:ind w:firstLine="420"/>
        <w:rPr>
          <w:rFonts w:hAnsi="宋体" w:cs="宋体"/>
          <w:color w:val="auto"/>
          <w:sz w:val="24"/>
          <w:szCs w:val="24"/>
        </w:rPr>
      </w:pPr>
      <w:r>
        <w:rPr>
          <w:rFonts w:hint="eastAsia" w:hAnsi="宋体" w:cs="宋体"/>
          <w:color w:val="auto"/>
          <w:sz w:val="24"/>
          <w:szCs w:val="24"/>
        </w:rPr>
        <w:t>27.1本项目代理服务费参照国家发展计划委员会文件计价格（2002）1980号和桂价费[2011]55号文《招标代理服务收费管理暂行办法》（服务类）的收费标准计取，由代理机构向</w:t>
      </w:r>
      <w:r>
        <w:rPr>
          <w:rFonts w:hint="eastAsia" w:hAnsi="宋体" w:cs="宋体"/>
          <w:b/>
          <w:color w:val="auto"/>
          <w:sz w:val="24"/>
          <w:szCs w:val="24"/>
          <w:u w:val="single"/>
        </w:rPr>
        <w:t>成交(中标)人</w:t>
      </w:r>
      <w:r>
        <w:rPr>
          <w:rFonts w:hint="eastAsia" w:hAnsi="宋体" w:cs="宋体"/>
          <w:color w:val="auto"/>
          <w:sz w:val="24"/>
          <w:szCs w:val="24"/>
        </w:rPr>
        <w:t>收取。</w:t>
      </w:r>
    </w:p>
    <w:p>
      <w:pPr>
        <w:pStyle w:val="5"/>
        <w:keepNext w:val="0"/>
        <w:keepLines w:val="0"/>
        <w:spacing w:line="440" w:lineRule="exact"/>
        <w:rPr>
          <w:rFonts w:ascii="宋体" w:hAnsi="宋体" w:cs="宋体"/>
          <w:color w:val="auto"/>
          <w:sz w:val="24"/>
          <w:szCs w:val="24"/>
        </w:rPr>
      </w:pPr>
      <w:bookmarkStart w:id="285" w:name="_Toc230685646"/>
      <w:bookmarkStart w:id="286" w:name="_Toc230625534"/>
      <w:bookmarkStart w:id="287" w:name="_Toc230685692"/>
      <w:bookmarkStart w:id="288" w:name="_Toc230685508"/>
      <w:bookmarkStart w:id="289" w:name="_Toc298937417"/>
      <w:bookmarkStart w:id="290" w:name="_Toc4946"/>
      <w:bookmarkStart w:id="291" w:name="_Toc10409"/>
      <w:r>
        <w:rPr>
          <w:rFonts w:hint="eastAsia" w:ascii="宋体" w:hAnsi="宋体" w:cs="宋体"/>
          <w:color w:val="auto"/>
          <w:sz w:val="24"/>
          <w:szCs w:val="24"/>
        </w:rPr>
        <w:t>28.解释权</w:t>
      </w:r>
      <w:bookmarkEnd w:id="285"/>
      <w:bookmarkEnd w:id="286"/>
      <w:bookmarkEnd w:id="287"/>
      <w:bookmarkEnd w:id="288"/>
      <w:bookmarkEnd w:id="289"/>
      <w:bookmarkEnd w:id="290"/>
      <w:bookmarkEnd w:id="291"/>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28.1本采购文件是根据《中华人民共和国政府采购法》、《政府采购货物或服务招标竞标管理办法》及国家有关法律、法规以及政府采购管理有关规定和参照国际惯例编制，解释权属本采购代理机构。</w:t>
      </w:r>
    </w:p>
    <w:p>
      <w:pPr>
        <w:pStyle w:val="5"/>
        <w:keepNext w:val="0"/>
        <w:keepLines w:val="0"/>
        <w:spacing w:line="440" w:lineRule="exact"/>
        <w:rPr>
          <w:rFonts w:ascii="宋体" w:hAnsi="宋体" w:cs="宋体"/>
          <w:color w:val="auto"/>
          <w:sz w:val="24"/>
          <w:szCs w:val="24"/>
        </w:rPr>
      </w:pPr>
      <w:bookmarkStart w:id="292" w:name="_Toc492"/>
      <w:bookmarkStart w:id="293" w:name="_Toc298937418"/>
      <w:bookmarkStart w:id="294" w:name="_Toc230685509"/>
      <w:bookmarkStart w:id="295" w:name="_Toc230685693"/>
      <w:bookmarkStart w:id="296" w:name="_Toc230685647"/>
      <w:bookmarkStart w:id="297" w:name="_Toc22785"/>
      <w:bookmarkStart w:id="298" w:name="_Toc230625535"/>
      <w:r>
        <w:rPr>
          <w:rFonts w:hint="eastAsia" w:ascii="宋体" w:hAnsi="宋体" w:cs="宋体"/>
          <w:color w:val="auto"/>
          <w:sz w:val="24"/>
          <w:szCs w:val="24"/>
        </w:rPr>
        <w:t>29.有关事宜</w:t>
      </w:r>
      <w:bookmarkEnd w:id="292"/>
      <w:bookmarkEnd w:id="293"/>
      <w:bookmarkEnd w:id="294"/>
      <w:bookmarkEnd w:id="295"/>
      <w:bookmarkEnd w:id="296"/>
      <w:bookmarkEnd w:id="297"/>
      <w:bookmarkEnd w:id="298"/>
    </w:p>
    <w:p>
      <w:pPr>
        <w:pStyle w:val="18"/>
        <w:spacing w:line="440" w:lineRule="exact"/>
        <w:ind w:firstLine="480" w:firstLineChars="200"/>
        <w:rPr>
          <w:rFonts w:hAnsi="宋体" w:cs="宋体"/>
          <w:color w:val="auto"/>
          <w:sz w:val="24"/>
          <w:szCs w:val="24"/>
        </w:rPr>
      </w:pPr>
      <w:r>
        <w:rPr>
          <w:rFonts w:hint="eastAsia" w:hAnsi="宋体" w:cs="宋体"/>
          <w:color w:val="auto"/>
          <w:sz w:val="24"/>
          <w:szCs w:val="24"/>
        </w:rPr>
        <w:t>29.1所有与本采购文件有关的函电请按下列通讯地址联系：</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采购代理机构： 广西建荣工程项目管理有限公司来宾分公司</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 xml:space="preserve">邮政编码：546100 </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开户名称：广西建荣工程项目管理有限公司来宾分公司</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开户银行：广西来宾桂中农村合作银行营业部</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开户账号：2166 1201 0114 1467 86</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联 系 人：孙灿林</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电    话：0772-4224543</w:t>
      </w:r>
    </w:p>
    <w:p>
      <w:pPr>
        <w:pStyle w:val="18"/>
        <w:spacing w:line="440" w:lineRule="exact"/>
        <w:ind w:firstLine="480" w:firstLineChars="200"/>
        <w:rPr>
          <w:rFonts w:hAnsi="宋体" w:cs="宋体"/>
          <w:color w:val="auto"/>
          <w:sz w:val="24"/>
          <w:szCs w:val="24"/>
        </w:rPr>
      </w:pPr>
    </w:p>
    <w:p>
      <w:pPr>
        <w:pStyle w:val="18"/>
        <w:spacing w:line="440" w:lineRule="exact"/>
        <w:rPr>
          <w:rFonts w:hAnsi="宋体"/>
          <w:color w:val="auto"/>
        </w:rPr>
      </w:pPr>
    </w:p>
    <w:p>
      <w:pPr>
        <w:pStyle w:val="18"/>
        <w:spacing w:line="440" w:lineRule="exact"/>
        <w:rPr>
          <w:rFonts w:hAnsi="宋体"/>
          <w:color w:val="auto"/>
        </w:rPr>
      </w:pPr>
    </w:p>
    <w:p>
      <w:pPr>
        <w:pStyle w:val="18"/>
        <w:spacing w:line="440" w:lineRule="exact"/>
        <w:rPr>
          <w:rFonts w:hAnsi="宋体"/>
          <w:color w:val="auto"/>
        </w:rPr>
      </w:pPr>
    </w:p>
    <w:p>
      <w:pPr>
        <w:pStyle w:val="18"/>
        <w:spacing w:line="440" w:lineRule="exact"/>
        <w:rPr>
          <w:rFonts w:hAnsi="宋体"/>
          <w:color w:val="auto"/>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18"/>
        <w:spacing w:line="440" w:lineRule="exact"/>
        <w:rPr>
          <w:rFonts w:hAnsi="宋体"/>
          <w:color w:val="auto"/>
          <w:sz w:val="44"/>
        </w:rPr>
      </w:pPr>
    </w:p>
    <w:p>
      <w:pPr>
        <w:pStyle w:val="3"/>
        <w:keepNext w:val="0"/>
        <w:spacing w:line="440" w:lineRule="exact"/>
        <w:jc w:val="center"/>
        <w:rPr>
          <w:rFonts w:ascii="宋体" w:hAnsi="宋体"/>
          <w:color w:val="auto"/>
          <w:sz w:val="36"/>
          <w:szCs w:val="36"/>
        </w:rPr>
      </w:pPr>
      <w:bookmarkStart w:id="299" w:name="_Toc7018"/>
      <w:bookmarkStart w:id="300" w:name="_Toc230685253"/>
      <w:bookmarkStart w:id="301" w:name="_Toc230685786"/>
      <w:bookmarkStart w:id="302" w:name="_Toc230685648"/>
      <w:bookmarkStart w:id="303" w:name="_Toc5621"/>
      <w:bookmarkStart w:id="304" w:name="_Toc230685694"/>
      <w:bookmarkStart w:id="305" w:name="_Toc230685510"/>
      <w:bookmarkStart w:id="306" w:name="_Toc31472"/>
      <w:r>
        <w:rPr>
          <w:rFonts w:hint="eastAsia" w:ascii="宋体" w:hAnsi="宋体"/>
          <w:color w:val="auto"/>
          <w:sz w:val="36"/>
          <w:szCs w:val="36"/>
        </w:rPr>
        <w:t xml:space="preserve">第二章  </w:t>
      </w:r>
      <w:bookmarkEnd w:id="299"/>
      <w:bookmarkEnd w:id="300"/>
      <w:bookmarkEnd w:id="301"/>
      <w:bookmarkEnd w:id="302"/>
      <w:bookmarkEnd w:id="303"/>
      <w:bookmarkEnd w:id="304"/>
      <w:bookmarkEnd w:id="305"/>
      <w:r>
        <w:rPr>
          <w:rFonts w:hint="eastAsia" w:ascii="宋体" w:hAnsi="宋体"/>
          <w:color w:val="auto"/>
          <w:sz w:val="36"/>
          <w:szCs w:val="36"/>
        </w:rPr>
        <w:t>项目需求</w:t>
      </w:r>
      <w:bookmarkEnd w:id="306"/>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jc w:val="center"/>
        <w:rPr>
          <w:rFonts w:ascii="宋体" w:hAnsi="宋体"/>
          <w:b/>
          <w:color w:val="auto"/>
          <w:sz w:val="32"/>
        </w:rPr>
      </w:pPr>
      <w:r>
        <w:rPr>
          <w:rFonts w:hint="eastAsia" w:ascii="宋体" w:hAnsi="宋体"/>
          <w:b/>
          <w:color w:val="auto"/>
          <w:sz w:val="32"/>
        </w:rPr>
        <w:t>项目需求</w:t>
      </w:r>
    </w:p>
    <w:p>
      <w:pPr>
        <w:spacing w:line="440" w:lineRule="exact"/>
        <w:rPr>
          <w:rFonts w:ascii="宋体" w:hAnsi="宋体" w:cs="宋体"/>
          <w:b/>
          <w:bCs/>
          <w:color w:val="auto"/>
          <w:sz w:val="24"/>
        </w:rPr>
      </w:pPr>
      <w:r>
        <w:rPr>
          <w:rFonts w:hint="eastAsia" w:ascii="宋体" w:hAnsi="宋体" w:cs="宋体"/>
          <w:b/>
          <w:bCs/>
          <w:color w:val="auto"/>
          <w:sz w:val="24"/>
        </w:rPr>
        <w:t>说明：</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1、标★参数或指标为实质性要求，否则竞标无效。</w:t>
      </w:r>
    </w:p>
    <w:p>
      <w:pPr>
        <w:spacing w:line="440" w:lineRule="exact"/>
        <w:ind w:firstLine="482" w:firstLineChars="200"/>
        <w:rPr>
          <w:rFonts w:ascii="宋体" w:hAnsi="宋体" w:cs="宋体"/>
          <w:color w:val="auto"/>
          <w:sz w:val="24"/>
        </w:rPr>
      </w:pPr>
      <w:r>
        <w:rPr>
          <w:rFonts w:hint="eastAsia" w:ascii="宋体" w:hAnsi="宋体" w:cs="宋体"/>
          <w:b/>
          <w:bCs/>
          <w:color w:val="auto"/>
          <w:sz w:val="24"/>
        </w:rPr>
        <w:t>2、采购预算控制价：叁拾贰万柒仟捌佰元整（¥327,800.00）报价超过采购预算控制价为竞标无效。</w:t>
      </w:r>
    </w:p>
    <w:tbl>
      <w:tblPr>
        <w:tblStyle w:val="31"/>
        <w:tblW w:w="10324" w:type="dxa"/>
        <w:tblInd w:w="0" w:type="dxa"/>
        <w:tblLayout w:type="autofit"/>
        <w:tblCellMar>
          <w:top w:w="0" w:type="dxa"/>
          <w:left w:w="0" w:type="dxa"/>
          <w:bottom w:w="0" w:type="dxa"/>
          <w:right w:w="0" w:type="dxa"/>
        </w:tblCellMar>
      </w:tblPr>
      <w:tblGrid>
        <w:gridCol w:w="418"/>
        <w:gridCol w:w="559"/>
        <w:gridCol w:w="1657"/>
        <w:gridCol w:w="1045"/>
        <w:gridCol w:w="4069"/>
        <w:gridCol w:w="757"/>
        <w:gridCol w:w="1819"/>
      </w:tblGrid>
      <w:tr>
        <w:tblPrEx>
          <w:tblCellMar>
            <w:top w:w="0" w:type="dxa"/>
            <w:left w:w="0" w:type="dxa"/>
            <w:bottom w:w="0" w:type="dxa"/>
            <w:right w:w="0" w:type="dxa"/>
          </w:tblCellMar>
        </w:tblPrEx>
        <w:trPr>
          <w:trHeight w:val="575"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检测分项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总数量</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抽样频率（数量）或构件名称</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按设计图纸统计组数</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备注</w:t>
            </w:r>
          </w:p>
        </w:tc>
      </w:tr>
      <w:tr>
        <w:tblPrEx>
          <w:tblCellMar>
            <w:top w:w="0" w:type="dxa"/>
            <w:left w:w="0" w:type="dxa"/>
            <w:bottom w:w="0" w:type="dxa"/>
            <w:right w:w="0" w:type="dxa"/>
          </w:tblCellMar>
        </w:tblPrEx>
        <w:trPr>
          <w:trHeight w:val="76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试验桩</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《建筑基桩检测技术规范》（JGJ106-2014）设计等级为甲级的桩基应采用单桩竖向抗压静载试验的桩数不得少于总桩数的1%且不少于3根。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3根</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r>
      <w:tr>
        <w:tblPrEx>
          <w:tblCellMar>
            <w:top w:w="0" w:type="dxa"/>
            <w:left w:w="0" w:type="dxa"/>
            <w:bottom w:w="0" w:type="dxa"/>
            <w:right w:w="0" w:type="dxa"/>
          </w:tblCellMar>
        </w:tblPrEx>
        <w:trPr>
          <w:trHeight w:val="76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多功能报告厅</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单桩承载力检测</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199</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《建筑基桩检测技术规范》（JGJ106-2014）设计等级为甲级的桩基应采用单桩竖向抗压静载试验的桩数不得少于总桩数的1%且不少于3根。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3根</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单桩竖向承载力特征值为700</w:t>
            </w:r>
            <w:r>
              <w:rPr>
                <w:rStyle w:val="128"/>
                <w:color w:val="auto"/>
                <w:sz w:val="21"/>
                <w:szCs w:val="21"/>
                <w:lang w:bidi="ar"/>
              </w:rPr>
              <w:t>kN，压重反力最大试验值即为1680kN</w:t>
            </w:r>
          </w:p>
        </w:tc>
      </w:tr>
      <w:tr>
        <w:tblPrEx>
          <w:tblCellMar>
            <w:top w:w="0" w:type="dxa"/>
            <w:left w:w="0" w:type="dxa"/>
            <w:bottom w:w="0" w:type="dxa"/>
            <w:right w:w="0" w:type="dxa"/>
          </w:tblCellMar>
        </w:tblPrEx>
        <w:trPr>
          <w:trHeight w:val="76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低应变完整性检测</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199</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《建筑基桩检测技术规范》（JGJ106-2014）设计等级为甲级的桩基应检测桩身完整性数量不少于总桩数的30%，且不应少于20根。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60根</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Cs w:val="21"/>
              </w:rPr>
            </w:pPr>
          </w:p>
        </w:tc>
      </w:tr>
      <w:tr>
        <w:tblPrEx>
          <w:tblCellMar>
            <w:top w:w="0" w:type="dxa"/>
            <w:left w:w="0" w:type="dxa"/>
            <w:bottom w:w="0" w:type="dxa"/>
            <w:right w:w="0" w:type="dxa"/>
          </w:tblCellMar>
        </w:tblPrEx>
        <w:trPr>
          <w:trHeight w:val="76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图书馆</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单桩承载力检测</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46</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《建筑基桩检测技术规范》（JGJ106-2014）设计等级为甲级的桩基应采用单桩竖向抗压静载试验的桩数不得少于总桩数的1%且不少于3根。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3根</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单桩竖向承载力特征值为7910</w:t>
            </w:r>
            <w:r>
              <w:rPr>
                <w:rStyle w:val="128"/>
                <w:color w:val="auto"/>
                <w:sz w:val="21"/>
                <w:szCs w:val="21"/>
                <w:lang w:bidi="ar"/>
              </w:rPr>
              <w:t>kN，压重反力最大试验值即为18984kN</w:t>
            </w:r>
          </w:p>
        </w:tc>
      </w:tr>
      <w:tr>
        <w:tblPrEx>
          <w:tblCellMar>
            <w:top w:w="0" w:type="dxa"/>
            <w:left w:w="0" w:type="dxa"/>
            <w:bottom w:w="0" w:type="dxa"/>
            <w:right w:w="0" w:type="dxa"/>
          </w:tblCellMar>
        </w:tblPrEx>
        <w:trPr>
          <w:trHeight w:val="768" w:hRule="atLeast"/>
        </w:trPr>
        <w:tc>
          <w:tcPr>
            <w:tcW w:w="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低应变完整性检测</w:t>
            </w:r>
          </w:p>
        </w:tc>
        <w:tc>
          <w:tcPr>
            <w:tcW w:w="10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46</w:t>
            </w:r>
          </w:p>
        </w:tc>
        <w:tc>
          <w:tcPr>
            <w:tcW w:w="40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《建筑基桩检测技术规范》（JGJ106-2014）设计等级为甲级的桩基应检测桩身完整性数量不少于总桩数的30%，且不应少于20根。</w:t>
            </w:r>
          </w:p>
        </w:tc>
        <w:tc>
          <w:tcPr>
            <w:tcW w:w="7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20根</w:t>
            </w:r>
          </w:p>
        </w:tc>
        <w:tc>
          <w:tcPr>
            <w:tcW w:w="18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Cs w:val="21"/>
              </w:rPr>
            </w:pPr>
          </w:p>
        </w:tc>
      </w:tr>
      <w:tr>
        <w:tblPrEx>
          <w:tblCellMar>
            <w:top w:w="0" w:type="dxa"/>
            <w:left w:w="0" w:type="dxa"/>
            <w:bottom w:w="0" w:type="dxa"/>
            <w:right w:w="0" w:type="dxa"/>
          </w:tblCellMar>
        </w:tblPrEx>
        <w:trPr>
          <w:trHeight w:val="768" w:hRule="atLeast"/>
        </w:trPr>
        <w:tc>
          <w:tcPr>
            <w:tcW w:w="41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超声波检测</w:t>
            </w: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46</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《建筑基桩检测技术规范》（JGJ106-2014）设计等级为甲级的大直径灌注桩按不少于总桩数的10%的采用超声波透射法检测。</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65" w:hRule="atLeast"/>
        </w:trPr>
        <w:tc>
          <w:tcPr>
            <w:tcW w:w="418"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7</w:t>
            </w:r>
          </w:p>
        </w:tc>
        <w:tc>
          <w:tcPr>
            <w:tcW w:w="559"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主体检测</w:t>
            </w:r>
          </w:p>
        </w:tc>
        <w:tc>
          <w:tcPr>
            <w:tcW w:w="165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钢筋保护层厚度检测</w:t>
            </w: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3127条</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梁</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63条</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92"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1824块</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板</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37块</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365"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楼板厚度</w:t>
            </w: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1824块</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板</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19块</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填充墙砌体拉结筋检测</w:t>
            </w: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3200根</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1至2层墙体</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16"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3200根</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3至5层墙体</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3200根</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6至8层墙体</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3200根</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9至11层墙体</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1" w:hRule="atLeast"/>
        </w:trPr>
        <w:tc>
          <w:tcPr>
            <w:tcW w:w="418"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门窗三性</w:t>
            </w:r>
          </w:p>
        </w:tc>
        <w:tc>
          <w:tcPr>
            <w:tcW w:w="10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8</w:t>
            </w:r>
          </w:p>
        </w:tc>
        <w:tc>
          <w:tcPr>
            <w:tcW w:w="559"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节能检测</w:t>
            </w:r>
          </w:p>
        </w:tc>
        <w:tc>
          <w:tcPr>
            <w:tcW w:w="16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电线</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25"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电缆</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587"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中空玻璃露点试验</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保温砂浆</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01"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挤塑聚苯板</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428"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可见光透射比、遮阳系数</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墙体传热</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w:t>
            </w:r>
          </w:p>
        </w:tc>
        <w:tc>
          <w:tcPr>
            <w:tcW w:w="559" w:type="dxa"/>
            <w:vMerge w:val="restart"/>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建材检测</w:t>
            </w: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砂</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石</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9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水泥</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67"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水泥砂浆配合比</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305"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混合砂浆配合比</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78"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混凝土配合比</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10"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钢筋原材</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84"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钢筋焊接</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16"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砌墙砖</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19"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砂浆试块</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45"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混凝土试块</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44组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25"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防水卷材</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34" w:hRule="atLeast"/>
        </w:trPr>
        <w:tc>
          <w:tcPr>
            <w:tcW w:w="41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土工击实</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2组</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78" w:hRule="atLeast"/>
        </w:trPr>
        <w:tc>
          <w:tcPr>
            <w:tcW w:w="418"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压实度（灌沙法）</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10点</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1309" w:hRule="atLeast"/>
        </w:trPr>
        <w:tc>
          <w:tcPr>
            <w:tcW w:w="41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建筑附属-给水</w:t>
            </w: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管道水压</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15400㎡</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707" w:hRule="atLeast"/>
        </w:trPr>
        <w:tc>
          <w:tcPr>
            <w:tcW w:w="4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w:t>
            </w:r>
          </w:p>
        </w:tc>
        <w:tc>
          <w:tcPr>
            <w:tcW w:w="55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kern w:val="0"/>
                <w:szCs w:val="21"/>
                <w:lang w:bidi="ar"/>
              </w:rPr>
              <w:t>建筑附属-电气</w:t>
            </w: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接地电阻</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15400㎡</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696" w:hRule="atLeast"/>
        </w:trPr>
        <w:tc>
          <w:tcPr>
            <w:tcW w:w="4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p>
        </w:tc>
        <w:tc>
          <w:tcPr>
            <w:tcW w:w="55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6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绝缘电阻</w:t>
            </w:r>
          </w:p>
        </w:tc>
        <w:tc>
          <w:tcPr>
            <w:tcW w:w="104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4069"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15400㎡</w:t>
            </w:r>
          </w:p>
        </w:tc>
        <w:tc>
          <w:tcPr>
            <w:tcW w:w="181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color w:val="auto"/>
                <w:szCs w:val="21"/>
              </w:rPr>
            </w:pPr>
          </w:p>
        </w:tc>
      </w:tr>
      <w:tr>
        <w:tblPrEx>
          <w:tblCellMar>
            <w:top w:w="0" w:type="dxa"/>
            <w:left w:w="0" w:type="dxa"/>
            <w:bottom w:w="0" w:type="dxa"/>
            <w:right w:w="0" w:type="dxa"/>
          </w:tblCellMar>
        </w:tblPrEx>
        <w:trPr>
          <w:trHeight w:val="2075" w:hRule="atLeast"/>
        </w:trPr>
        <w:tc>
          <w:tcPr>
            <w:tcW w:w="10324"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cs="宋体"/>
                <w:b/>
                <w:bCs/>
                <w:color w:val="auto"/>
                <w:sz w:val="24"/>
              </w:rPr>
            </w:pPr>
            <w:r>
              <w:rPr>
                <w:rFonts w:hint="eastAsia" w:ascii="宋体" w:hAnsi="宋体" w:cs="宋体"/>
                <w:b/>
                <w:bCs/>
                <w:color w:val="auto"/>
                <w:sz w:val="24"/>
              </w:rPr>
              <w:t>商务要求：</w:t>
            </w:r>
          </w:p>
          <w:p>
            <w:pPr>
              <w:rPr>
                <w:rFonts w:ascii="宋体" w:hAnsi="宋体" w:cs="宋体"/>
                <w:color w:val="auto"/>
                <w:sz w:val="24"/>
              </w:rPr>
            </w:pPr>
            <w:r>
              <w:rPr>
                <w:rFonts w:hint="eastAsia" w:ascii="宋体" w:hAnsi="宋体" w:cs="宋体"/>
                <w:color w:val="auto"/>
                <w:sz w:val="24"/>
              </w:rPr>
              <w:t>1、合同签订日期：自成交通知书发出之日起10个工作日内</w:t>
            </w:r>
          </w:p>
          <w:p>
            <w:pPr>
              <w:rPr>
                <w:rFonts w:ascii="宋体" w:hAnsi="宋体" w:cs="宋体"/>
                <w:color w:val="auto"/>
                <w:sz w:val="24"/>
              </w:rPr>
            </w:pPr>
            <w:r>
              <w:rPr>
                <w:rFonts w:hint="eastAsia" w:ascii="宋体" w:hAnsi="宋体" w:cs="宋体"/>
                <w:color w:val="auto"/>
                <w:sz w:val="24"/>
              </w:rPr>
              <w:t>2、提交服务成果时间：自合同签订之日起至本项目工程施工结束</w:t>
            </w:r>
          </w:p>
          <w:p>
            <w:pPr>
              <w:rPr>
                <w:color w:val="auto"/>
              </w:rPr>
            </w:pPr>
            <w:r>
              <w:rPr>
                <w:rFonts w:hint="eastAsia" w:ascii="宋体" w:hAnsi="宋体" w:cs="宋体"/>
                <w:color w:val="auto"/>
                <w:sz w:val="24"/>
              </w:rPr>
              <w:t>3、付款方式：（1）预付款：本项目无预付款；（2）检测服务完成桩基检测内容并提交完整的最终检测报告采购人支付暂定合同总价50%；供应商检测服务完毕并验收合格之日起30日内，采购人支付合同价款的100%。</w:t>
            </w:r>
          </w:p>
        </w:tc>
      </w:tr>
    </w:tbl>
    <w:p>
      <w:pPr>
        <w:rPr>
          <w:color w:val="auto"/>
        </w:rPr>
      </w:pPr>
    </w:p>
    <w:p>
      <w:pPr>
        <w:rPr>
          <w:rFonts w:ascii="宋体" w:hAnsi="宋体"/>
          <w:color w:val="auto"/>
        </w:rPr>
      </w:pPr>
      <w:bookmarkStart w:id="307" w:name="_Toc230685695"/>
      <w:bookmarkStart w:id="308" w:name="_Toc230685787"/>
      <w:bookmarkStart w:id="309" w:name="_Toc230685254"/>
      <w:bookmarkStart w:id="310" w:name="_Toc230685649"/>
      <w:bookmarkStart w:id="311" w:name="_Toc230685511"/>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4"/>
        <w:rPr>
          <w:rFonts w:ascii="宋体" w:hAnsi="宋体"/>
          <w:color w:val="auto"/>
        </w:rPr>
      </w:pPr>
    </w:p>
    <w:p>
      <w:pPr>
        <w:rPr>
          <w:rFonts w:ascii="宋体" w:hAnsi="宋体"/>
          <w:color w:val="auto"/>
        </w:rPr>
      </w:pPr>
    </w:p>
    <w:p>
      <w:pPr>
        <w:pStyle w:val="24"/>
        <w:rPr>
          <w:rFonts w:ascii="宋体" w:hAnsi="宋体"/>
          <w:color w:val="auto"/>
        </w:rPr>
      </w:pPr>
    </w:p>
    <w:p>
      <w:pPr>
        <w:rPr>
          <w:rFonts w:ascii="宋体" w:hAnsi="宋体"/>
          <w:color w:val="auto"/>
        </w:rPr>
      </w:pPr>
    </w:p>
    <w:p>
      <w:pPr>
        <w:pStyle w:val="24"/>
        <w:rPr>
          <w:rFonts w:ascii="宋体" w:hAnsi="宋体"/>
          <w:color w:val="auto"/>
        </w:rPr>
      </w:pPr>
    </w:p>
    <w:p>
      <w:pPr>
        <w:rPr>
          <w:rFonts w:ascii="宋体" w:hAnsi="宋体"/>
          <w:color w:val="auto"/>
        </w:rPr>
      </w:pPr>
    </w:p>
    <w:p>
      <w:pPr>
        <w:pStyle w:val="24"/>
        <w:rPr>
          <w:rFonts w:ascii="宋体" w:hAnsi="宋体"/>
          <w:color w:val="auto"/>
        </w:rPr>
      </w:pPr>
    </w:p>
    <w:p>
      <w:pPr>
        <w:rPr>
          <w:rFonts w:ascii="宋体" w:hAnsi="宋体"/>
          <w:color w:val="auto"/>
        </w:rPr>
      </w:pPr>
    </w:p>
    <w:p>
      <w:pPr>
        <w:pStyle w:val="24"/>
        <w:rPr>
          <w:rFonts w:ascii="宋体" w:hAnsi="宋体"/>
          <w:color w:val="auto"/>
        </w:rPr>
      </w:pPr>
    </w:p>
    <w:p>
      <w:pPr>
        <w:rPr>
          <w:rFonts w:ascii="宋体" w:hAnsi="宋体"/>
          <w:color w:val="auto"/>
        </w:rPr>
      </w:pPr>
    </w:p>
    <w:p>
      <w:pPr>
        <w:pStyle w:val="24"/>
        <w:rPr>
          <w:rFonts w:ascii="宋体" w:hAnsi="宋体"/>
          <w:color w:val="auto"/>
        </w:rPr>
      </w:pPr>
    </w:p>
    <w:p>
      <w:pPr>
        <w:rPr>
          <w:color w:val="auto"/>
        </w:rPr>
      </w:pPr>
    </w:p>
    <w:p>
      <w:pPr>
        <w:rPr>
          <w:rFonts w:ascii="宋体" w:hAnsi="宋体"/>
          <w:color w:val="auto"/>
        </w:rPr>
      </w:pPr>
    </w:p>
    <w:p>
      <w:pPr>
        <w:rPr>
          <w:rFonts w:ascii="宋体" w:hAnsi="宋体"/>
          <w:color w:val="auto"/>
        </w:rPr>
      </w:pPr>
    </w:p>
    <w:p>
      <w:pPr>
        <w:rPr>
          <w:rFonts w:ascii="宋体" w:hAnsi="宋体"/>
          <w:color w:val="auto"/>
        </w:rPr>
      </w:pPr>
    </w:p>
    <w:p>
      <w:pPr>
        <w:pStyle w:val="3"/>
        <w:keepNext w:val="0"/>
        <w:spacing w:line="440" w:lineRule="exact"/>
        <w:jc w:val="center"/>
        <w:rPr>
          <w:rFonts w:ascii="宋体" w:hAnsi="宋体"/>
          <w:color w:val="auto"/>
          <w:sz w:val="36"/>
          <w:szCs w:val="36"/>
        </w:rPr>
      </w:pPr>
      <w:bookmarkStart w:id="312" w:name="_Toc13897"/>
      <w:bookmarkStart w:id="313" w:name="_Toc41"/>
      <w:bookmarkStart w:id="314" w:name="_Toc10849"/>
      <w:r>
        <w:rPr>
          <w:rFonts w:hint="eastAsia" w:ascii="宋体" w:hAnsi="宋体"/>
          <w:color w:val="auto"/>
          <w:sz w:val="36"/>
          <w:szCs w:val="36"/>
        </w:rPr>
        <w:t>第三章  合同基本条款</w:t>
      </w:r>
      <w:bookmarkEnd w:id="307"/>
      <w:bookmarkEnd w:id="308"/>
      <w:bookmarkEnd w:id="309"/>
      <w:bookmarkEnd w:id="310"/>
      <w:bookmarkEnd w:id="311"/>
      <w:bookmarkEnd w:id="312"/>
      <w:bookmarkEnd w:id="313"/>
      <w:bookmarkEnd w:id="314"/>
    </w:p>
    <w:p>
      <w:pPr>
        <w:pStyle w:val="18"/>
        <w:rPr>
          <w:rFonts w:hAnsi="宋体"/>
          <w:color w:val="auto"/>
          <w:sz w:val="44"/>
        </w:rPr>
      </w:pPr>
    </w:p>
    <w:p>
      <w:pPr>
        <w:rPr>
          <w:color w:val="auto"/>
        </w:rPr>
      </w:pPr>
    </w:p>
    <w:p>
      <w:pPr>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8"/>
        <w:spacing w:line="360" w:lineRule="exact"/>
        <w:jc w:val="center"/>
        <w:rPr>
          <w:rFonts w:hAnsi="宋体"/>
          <w:b/>
          <w:color w:val="auto"/>
          <w:sz w:val="32"/>
        </w:rPr>
      </w:pPr>
    </w:p>
    <w:p>
      <w:pPr>
        <w:pStyle w:val="18"/>
        <w:spacing w:line="360" w:lineRule="exact"/>
        <w:jc w:val="center"/>
        <w:rPr>
          <w:rFonts w:hAnsi="宋体"/>
          <w:b/>
          <w:color w:val="auto"/>
          <w:sz w:val="32"/>
        </w:rPr>
      </w:pPr>
    </w:p>
    <w:p>
      <w:pPr>
        <w:pStyle w:val="18"/>
        <w:spacing w:line="360" w:lineRule="exact"/>
        <w:jc w:val="center"/>
        <w:rPr>
          <w:rFonts w:hAnsi="宋体"/>
          <w:b/>
          <w:color w:val="auto"/>
          <w:sz w:val="32"/>
        </w:rPr>
      </w:pPr>
    </w:p>
    <w:p>
      <w:pPr>
        <w:pStyle w:val="18"/>
        <w:spacing w:line="400" w:lineRule="exact"/>
        <w:jc w:val="center"/>
        <w:rPr>
          <w:rFonts w:hAnsi="宋体"/>
          <w:b/>
          <w:color w:val="auto"/>
          <w:sz w:val="28"/>
          <w:szCs w:val="28"/>
        </w:rPr>
      </w:pPr>
      <w:r>
        <w:rPr>
          <w:rFonts w:hint="eastAsia" w:hAnsi="宋体"/>
          <w:b/>
          <w:color w:val="auto"/>
          <w:sz w:val="28"/>
          <w:szCs w:val="28"/>
        </w:rPr>
        <w:t>合同基本条款</w:t>
      </w:r>
    </w:p>
    <w:p>
      <w:pPr>
        <w:pStyle w:val="18"/>
        <w:spacing w:line="400" w:lineRule="exact"/>
        <w:jc w:val="center"/>
        <w:rPr>
          <w:rFonts w:hAnsi="宋体"/>
          <w:b/>
          <w:color w:val="auto"/>
          <w:sz w:val="32"/>
        </w:rPr>
      </w:pPr>
    </w:p>
    <w:p>
      <w:pPr>
        <w:pStyle w:val="18"/>
        <w:spacing w:line="440" w:lineRule="exact"/>
        <w:jc w:val="center"/>
        <w:rPr>
          <w:rFonts w:hAnsi="宋体" w:cs="宋体"/>
          <w:b/>
          <w:color w:val="auto"/>
          <w:sz w:val="24"/>
          <w:szCs w:val="24"/>
        </w:rPr>
      </w:pPr>
      <w:r>
        <w:rPr>
          <w:rFonts w:hint="eastAsia" w:hAnsi="宋体" w:cs="宋体"/>
          <w:b/>
          <w:color w:val="auto"/>
          <w:sz w:val="24"/>
          <w:szCs w:val="24"/>
        </w:rPr>
        <w:t>一   说   明</w:t>
      </w:r>
    </w:p>
    <w:p>
      <w:pPr>
        <w:pStyle w:val="18"/>
        <w:spacing w:line="440" w:lineRule="exact"/>
        <w:ind w:firstLine="420"/>
        <w:rPr>
          <w:rFonts w:hAnsi="宋体" w:cs="宋体"/>
          <w:color w:val="auto"/>
          <w:sz w:val="24"/>
          <w:szCs w:val="24"/>
        </w:rPr>
      </w:pPr>
      <w:r>
        <w:rPr>
          <w:rFonts w:hint="eastAsia" w:hAnsi="宋体" w:cs="宋体"/>
          <w:color w:val="auto"/>
          <w:sz w:val="24"/>
          <w:szCs w:val="24"/>
        </w:rPr>
        <w:t>1.1合同基本条款是指买方（以下简称甲方）和成交人（以下简称乙方）应共同遵守的基本原则，并做为双方签约的依据。对于合同的其他条款，双方应本着互谅互让的精神，在谈判中协商解决。</w:t>
      </w:r>
    </w:p>
    <w:p>
      <w:pPr>
        <w:pStyle w:val="18"/>
        <w:spacing w:line="440" w:lineRule="exact"/>
        <w:ind w:firstLine="420"/>
        <w:rPr>
          <w:rFonts w:hAnsi="宋体" w:cs="宋体"/>
          <w:color w:val="auto"/>
          <w:sz w:val="24"/>
          <w:szCs w:val="24"/>
        </w:rPr>
      </w:pPr>
      <w:r>
        <w:rPr>
          <w:rFonts w:hint="eastAsia" w:hAnsi="宋体" w:cs="宋体"/>
          <w:color w:val="auto"/>
          <w:sz w:val="24"/>
          <w:szCs w:val="24"/>
        </w:rPr>
        <w:t>1.2制订《合同基本条款》的依据是：《中华人民共和国合同法》。</w:t>
      </w:r>
      <w:r>
        <w:rPr>
          <w:rFonts w:hint="eastAsia" w:hAnsi="宋体" w:cs="宋体"/>
          <w:color w:val="auto"/>
          <w:sz w:val="24"/>
          <w:szCs w:val="24"/>
        </w:rPr>
        <w:cr/>
      </w:r>
    </w:p>
    <w:p>
      <w:pPr>
        <w:pStyle w:val="18"/>
        <w:spacing w:line="440" w:lineRule="exact"/>
        <w:jc w:val="center"/>
        <w:rPr>
          <w:rFonts w:hAnsi="宋体" w:cs="宋体"/>
          <w:b/>
          <w:color w:val="auto"/>
          <w:sz w:val="24"/>
          <w:szCs w:val="24"/>
        </w:rPr>
      </w:pPr>
      <w:r>
        <w:rPr>
          <w:rFonts w:hint="eastAsia" w:hAnsi="宋体" w:cs="宋体"/>
          <w:b/>
          <w:color w:val="auto"/>
          <w:sz w:val="24"/>
          <w:szCs w:val="24"/>
        </w:rPr>
        <w:t>二   服务条款</w:t>
      </w:r>
    </w:p>
    <w:p>
      <w:pPr>
        <w:pStyle w:val="18"/>
        <w:spacing w:line="440" w:lineRule="exact"/>
        <w:ind w:firstLine="420"/>
        <w:rPr>
          <w:rFonts w:hAnsi="宋体" w:cs="宋体"/>
          <w:color w:val="auto"/>
          <w:sz w:val="24"/>
          <w:szCs w:val="24"/>
        </w:rPr>
      </w:pPr>
      <w:r>
        <w:rPr>
          <w:rFonts w:hint="eastAsia" w:hAnsi="宋体" w:cs="宋体"/>
          <w:color w:val="auto"/>
          <w:sz w:val="24"/>
          <w:szCs w:val="24"/>
        </w:rPr>
        <w:t>2.1甲、乙双方应将采购文件、竞标文件（或响应文件）及评标委员会确认的检测服务的等作为本条款的基础。</w:t>
      </w:r>
    </w:p>
    <w:p>
      <w:pPr>
        <w:pStyle w:val="18"/>
        <w:spacing w:line="440" w:lineRule="exact"/>
        <w:rPr>
          <w:rFonts w:hAnsi="宋体" w:cs="宋体"/>
          <w:color w:val="auto"/>
          <w:sz w:val="24"/>
          <w:szCs w:val="24"/>
        </w:rPr>
      </w:pPr>
    </w:p>
    <w:p>
      <w:pPr>
        <w:pStyle w:val="18"/>
        <w:spacing w:line="440" w:lineRule="exact"/>
        <w:jc w:val="center"/>
        <w:rPr>
          <w:rFonts w:hAnsi="宋体" w:cs="宋体"/>
          <w:b/>
          <w:color w:val="auto"/>
          <w:sz w:val="24"/>
          <w:szCs w:val="24"/>
        </w:rPr>
      </w:pPr>
      <w:r>
        <w:rPr>
          <w:rFonts w:hint="eastAsia" w:hAnsi="宋体" w:cs="宋体"/>
          <w:b/>
          <w:color w:val="auto"/>
          <w:sz w:val="24"/>
          <w:szCs w:val="24"/>
        </w:rPr>
        <w:t>三    技术资料</w:t>
      </w:r>
    </w:p>
    <w:p>
      <w:pPr>
        <w:pStyle w:val="18"/>
        <w:spacing w:line="440" w:lineRule="exact"/>
        <w:ind w:firstLine="420"/>
        <w:rPr>
          <w:rFonts w:hAnsi="宋体" w:cs="宋体"/>
          <w:color w:val="auto"/>
          <w:sz w:val="24"/>
          <w:szCs w:val="24"/>
        </w:rPr>
      </w:pPr>
      <w:r>
        <w:rPr>
          <w:rFonts w:hint="eastAsia" w:hAnsi="宋体" w:cs="宋体"/>
          <w:color w:val="auto"/>
          <w:sz w:val="24"/>
          <w:szCs w:val="24"/>
        </w:rPr>
        <w:t>3.1乙方应在提交成果时按采购文件规定向甲方提供所要求检测的结果或报告等有关竞标人认为有必要提供的其他技术文件资料。</w:t>
      </w:r>
    </w:p>
    <w:p>
      <w:pPr>
        <w:pStyle w:val="18"/>
        <w:spacing w:line="440" w:lineRule="exact"/>
        <w:ind w:firstLine="420"/>
        <w:rPr>
          <w:rFonts w:hAnsi="宋体" w:cs="宋体"/>
          <w:color w:val="auto"/>
          <w:sz w:val="24"/>
          <w:szCs w:val="24"/>
        </w:rPr>
      </w:pPr>
      <w:r>
        <w:rPr>
          <w:rFonts w:hint="eastAsia" w:hAnsi="宋体" w:cs="宋体"/>
          <w:color w:val="auto"/>
          <w:sz w:val="24"/>
          <w:szCs w:val="24"/>
        </w:rPr>
        <w:t>3.2乙方提供的检测服务应有符合国家标准以及行业标准的质量检验证明。</w:t>
      </w:r>
    </w:p>
    <w:p>
      <w:pPr>
        <w:pStyle w:val="18"/>
        <w:spacing w:line="440" w:lineRule="exact"/>
        <w:rPr>
          <w:rFonts w:hAnsi="宋体" w:cs="宋体"/>
          <w:color w:val="auto"/>
          <w:sz w:val="24"/>
          <w:szCs w:val="24"/>
        </w:rPr>
      </w:pPr>
    </w:p>
    <w:p>
      <w:pPr>
        <w:pStyle w:val="18"/>
        <w:spacing w:line="440" w:lineRule="exact"/>
        <w:ind w:firstLine="4050" w:firstLineChars="1681"/>
        <w:rPr>
          <w:rFonts w:hAnsi="宋体" w:cs="宋体"/>
          <w:b/>
          <w:color w:val="auto"/>
          <w:sz w:val="24"/>
          <w:szCs w:val="24"/>
        </w:rPr>
      </w:pPr>
      <w:r>
        <w:rPr>
          <w:rFonts w:hint="eastAsia" w:hAnsi="宋体" w:cs="宋体"/>
          <w:b/>
          <w:color w:val="auto"/>
          <w:sz w:val="24"/>
          <w:szCs w:val="24"/>
        </w:rPr>
        <w:t xml:space="preserve"> 四   付款</w:t>
      </w:r>
    </w:p>
    <w:p>
      <w:pPr>
        <w:pStyle w:val="18"/>
        <w:spacing w:line="440" w:lineRule="exact"/>
        <w:ind w:firstLine="420"/>
        <w:rPr>
          <w:rFonts w:hAnsi="宋体" w:cs="宋体"/>
          <w:color w:val="auto"/>
          <w:sz w:val="24"/>
          <w:szCs w:val="24"/>
        </w:rPr>
      </w:pPr>
      <w:r>
        <w:rPr>
          <w:rFonts w:hint="eastAsia" w:hAnsi="宋体" w:cs="宋体"/>
          <w:color w:val="auto"/>
          <w:sz w:val="24"/>
          <w:szCs w:val="24"/>
        </w:rPr>
        <w:t>4.1 本合同以人民币付款。</w:t>
      </w:r>
    </w:p>
    <w:p>
      <w:pPr>
        <w:pStyle w:val="18"/>
        <w:spacing w:line="440" w:lineRule="exact"/>
        <w:ind w:firstLine="420"/>
        <w:rPr>
          <w:rFonts w:hAnsi="宋体" w:cs="宋体"/>
          <w:color w:val="auto"/>
          <w:sz w:val="24"/>
          <w:szCs w:val="24"/>
        </w:rPr>
      </w:pPr>
      <w:r>
        <w:rPr>
          <w:rFonts w:hint="eastAsia" w:hAnsi="宋体" w:cs="宋体"/>
          <w:color w:val="auto"/>
          <w:sz w:val="24"/>
          <w:szCs w:val="24"/>
        </w:rPr>
        <w:t>4.2 乙方应按照双方签订的合同规定进行检测。检测服务完成后乙方应把相关检测结果的资料提交给甲方，甲方按合同规定审核后付款。</w:t>
      </w:r>
    </w:p>
    <w:p>
      <w:pPr>
        <w:pStyle w:val="18"/>
        <w:spacing w:line="440" w:lineRule="exact"/>
        <w:ind w:firstLine="420"/>
        <w:rPr>
          <w:rFonts w:hAnsi="宋体" w:cs="宋体"/>
          <w:color w:val="auto"/>
          <w:sz w:val="24"/>
          <w:szCs w:val="24"/>
        </w:rPr>
      </w:pPr>
      <w:r>
        <w:rPr>
          <w:rFonts w:hint="eastAsia" w:hAnsi="宋体" w:cs="宋体"/>
          <w:color w:val="auto"/>
          <w:sz w:val="24"/>
          <w:szCs w:val="24"/>
        </w:rPr>
        <w:t>4.3甲方将按下列方式安排付款：</w:t>
      </w:r>
    </w:p>
    <w:p>
      <w:pPr>
        <w:pStyle w:val="18"/>
        <w:spacing w:line="440" w:lineRule="exact"/>
        <w:ind w:firstLine="960" w:firstLineChars="400"/>
        <w:rPr>
          <w:rFonts w:hAnsi="宋体" w:cs="宋体"/>
          <w:color w:val="auto"/>
          <w:sz w:val="24"/>
          <w:szCs w:val="24"/>
        </w:rPr>
      </w:pPr>
      <w:r>
        <w:rPr>
          <w:rFonts w:hint="eastAsia" w:hAnsi="宋体" w:cs="宋体"/>
          <w:color w:val="auto"/>
          <w:sz w:val="24"/>
          <w:szCs w:val="24"/>
        </w:rPr>
        <w:t>详见《第二章 项目需求》的商务要求。</w:t>
      </w:r>
    </w:p>
    <w:p>
      <w:pPr>
        <w:rPr>
          <w:color w:val="auto"/>
        </w:rPr>
      </w:pPr>
    </w:p>
    <w:p>
      <w:pPr>
        <w:pStyle w:val="18"/>
        <w:spacing w:line="440" w:lineRule="exact"/>
        <w:ind w:firstLine="3855" w:firstLineChars="1600"/>
        <w:rPr>
          <w:rFonts w:hAnsi="宋体" w:cs="宋体"/>
          <w:b/>
          <w:color w:val="auto"/>
          <w:sz w:val="24"/>
          <w:szCs w:val="24"/>
        </w:rPr>
      </w:pPr>
      <w:r>
        <w:rPr>
          <w:rFonts w:hint="eastAsia" w:hAnsi="宋体" w:cs="宋体"/>
          <w:b/>
          <w:color w:val="auto"/>
          <w:sz w:val="24"/>
          <w:szCs w:val="24"/>
        </w:rPr>
        <w:t>五   违约责任</w:t>
      </w:r>
    </w:p>
    <w:p>
      <w:pPr>
        <w:pStyle w:val="18"/>
        <w:spacing w:line="440" w:lineRule="exact"/>
        <w:ind w:firstLine="420"/>
        <w:rPr>
          <w:rFonts w:hAnsi="宋体" w:cs="宋体"/>
          <w:color w:val="auto"/>
          <w:sz w:val="24"/>
          <w:szCs w:val="24"/>
        </w:rPr>
      </w:pPr>
      <w:r>
        <w:rPr>
          <w:rFonts w:hint="eastAsia" w:hAnsi="宋体" w:cs="宋体"/>
          <w:color w:val="auto"/>
          <w:sz w:val="24"/>
          <w:szCs w:val="24"/>
        </w:rPr>
        <w:t>5.1甲方无正当理由拒绝检测结果的，每天按合同额的1‰支付违约金。</w:t>
      </w:r>
    </w:p>
    <w:p>
      <w:pPr>
        <w:pStyle w:val="18"/>
        <w:spacing w:line="440" w:lineRule="exact"/>
        <w:ind w:firstLine="420"/>
        <w:rPr>
          <w:rFonts w:hAnsi="宋体" w:cs="宋体"/>
          <w:color w:val="auto"/>
          <w:sz w:val="24"/>
          <w:szCs w:val="24"/>
        </w:rPr>
      </w:pPr>
      <w:r>
        <w:rPr>
          <w:rFonts w:hint="eastAsia" w:hAnsi="宋体" w:cs="宋体"/>
          <w:color w:val="auto"/>
          <w:sz w:val="24"/>
          <w:szCs w:val="24"/>
        </w:rPr>
        <w:t>5.2乙方逾期检测、检测服务要求不合格，甲方没收其履约保证金，同时甲方可以选择下列方式之一处理：</w:t>
      </w:r>
    </w:p>
    <w:p>
      <w:pPr>
        <w:pStyle w:val="18"/>
        <w:spacing w:line="440" w:lineRule="exact"/>
        <w:ind w:firstLine="420"/>
        <w:rPr>
          <w:rFonts w:hAnsi="宋体" w:cs="宋体"/>
          <w:color w:val="auto"/>
          <w:sz w:val="24"/>
          <w:szCs w:val="24"/>
        </w:rPr>
      </w:pPr>
      <w:r>
        <w:rPr>
          <w:rFonts w:hint="eastAsia" w:hAnsi="宋体" w:cs="宋体"/>
          <w:color w:val="auto"/>
          <w:sz w:val="24"/>
          <w:szCs w:val="24"/>
        </w:rPr>
        <w:t>1、解除合同，乙方退还全部货款，按合同总额15%支付违约金。</w:t>
      </w:r>
    </w:p>
    <w:p>
      <w:pPr>
        <w:pStyle w:val="18"/>
        <w:spacing w:line="440" w:lineRule="exact"/>
        <w:ind w:firstLine="420"/>
        <w:rPr>
          <w:rFonts w:hAnsi="宋体" w:cs="宋体"/>
          <w:color w:val="auto"/>
          <w:sz w:val="24"/>
          <w:szCs w:val="24"/>
        </w:rPr>
      </w:pPr>
      <w:r>
        <w:rPr>
          <w:rFonts w:hint="eastAsia" w:hAnsi="宋体" w:cs="宋体"/>
          <w:color w:val="auto"/>
          <w:sz w:val="24"/>
          <w:szCs w:val="24"/>
        </w:rPr>
        <w:t>2、要求乙方继续履行合同，每天按合同额的1‰支付违约金。</w:t>
      </w:r>
    </w:p>
    <w:p>
      <w:pPr>
        <w:pStyle w:val="18"/>
        <w:spacing w:line="440" w:lineRule="exact"/>
        <w:ind w:firstLine="420"/>
        <w:rPr>
          <w:rFonts w:hAnsi="宋体" w:cs="宋体"/>
          <w:color w:val="auto"/>
          <w:sz w:val="24"/>
          <w:szCs w:val="24"/>
        </w:rPr>
      </w:pPr>
      <w:r>
        <w:rPr>
          <w:rFonts w:hint="eastAsia" w:hAnsi="宋体" w:cs="宋体"/>
          <w:color w:val="auto"/>
          <w:sz w:val="24"/>
          <w:szCs w:val="24"/>
        </w:rPr>
        <w:t>5.3其它未尽事宜，双方签订合同时按合同法议定。</w:t>
      </w:r>
    </w:p>
    <w:p>
      <w:pPr>
        <w:rPr>
          <w:color w:val="auto"/>
        </w:rPr>
      </w:pPr>
    </w:p>
    <w:p>
      <w:pPr>
        <w:pStyle w:val="18"/>
        <w:spacing w:line="440" w:lineRule="exact"/>
        <w:jc w:val="center"/>
        <w:rPr>
          <w:rFonts w:hAnsi="宋体" w:cs="宋体"/>
          <w:b/>
          <w:color w:val="auto"/>
          <w:sz w:val="24"/>
          <w:szCs w:val="24"/>
        </w:rPr>
      </w:pPr>
      <w:r>
        <w:rPr>
          <w:rFonts w:hint="eastAsia" w:hAnsi="宋体" w:cs="宋体"/>
          <w:b/>
          <w:color w:val="auto"/>
          <w:sz w:val="24"/>
          <w:szCs w:val="24"/>
        </w:rPr>
        <w:t>六   不可抗力事件处理</w:t>
      </w:r>
    </w:p>
    <w:p>
      <w:pPr>
        <w:pStyle w:val="18"/>
        <w:spacing w:line="440" w:lineRule="exact"/>
        <w:ind w:firstLine="420"/>
        <w:rPr>
          <w:rFonts w:hAnsi="宋体" w:cs="宋体"/>
          <w:color w:val="auto"/>
          <w:sz w:val="24"/>
          <w:szCs w:val="24"/>
        </w:rPr>
      </w:pPr>
      <w:r>
        <w:rPr>
          <w:rFonts w:hint="eastAsia" w:hAnsi="宋体" w:cs="宋体"/>
          <w:color w:val="auto"/>
          <w:sz w:val="24"/>
          <w:szCs w:val="24"/>
        </w:rPr>
        <w:t>6.1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pStyle w:val="18"/>
        <w:spacing w:line="440" w:lineRule="exact"/>
        <w:rPr>
          <w:rFonts w:hAnsi="宋体" w:cs="宋体"/>
          <w:color w:val="auto"/>
          <w:sz w:val="24"/>
          <w:szCs w:val="24"/>
        </w:rPr>
      </w:pPr>
    </w:p>
    <w:p>
      <w:pPr>
        <w:pStyle w:val="18"/>
        <w:spacing w:line="440" w:lineRule="exact"/>
        <w:jc w:val="center"/>
        <w:rPr>
          <w:rFonts w:hAnsi="宋体" w:cs="宋体"/>
          <w:b/>
          <w:color w:val="auto"/>
          <w:sz w:val="24"/>
          <w:szCs w:val="24"/>
        </w:rPr>
      </w:pPr>
      <w:r>
        <w:rPr>
          <w:rFonts w:hint="eastAsia" w:hAnsi="宋体" w:cs="宋体"/>
          <w:b/>
          <w:color w:val="auto"/>
          <w:sz w:val="24"/>
          <w:szCs w:val="24"/>
        </w:rPr>
        <w:t>七   合同纠纷解决</w:t>
      </w:r>
    </w:p>
    <w:p>
      <w:pPr>
        <w:pStyle w:val="18"/>
        <w:spacing w:line="440" w:lineRule="exact"/>
        <w:ind w:firstLine="420"/>
        <w:rPr>
          <w:rFonts w:hAnsi="宋体" w:cs="宋体"/>
          <w:color w:val="auto"/>
          <w:sz w:val="24"/>
          <w:szCs w:val="24"/>
        </w:rPr>
      </w:pPr>
      <w:r>
        <w:rPr>
          <w:rFonts w:hint="eastAsia" w:hAnsi="宋体" w:cs="宋体"/>
          <w:color w:val="auto"/>
          <w:sz w:val="24"/>
          <w:szCs w:val="24"/>
        </w:rPr>
        <w:t>7.1双方在履行合同中所发生的一切纠纷，应通过协商解决。如协商不成，按合同事先约定的条款，向合同履行地仲裁机构申请仲裁或向法院起诉。</w:t>
      </w:r>
    </w:p>
    <w:p>
      <w:pPr>
        <w:pStyle w:val="18"/>
        <w:spacing w:line="440" w:lineRule="exact"/>
        <w:jc w:val="center"/>
        <w:rPr>
          <w:rFonts w:hAnsi="宋体" w:cs="宋体"/>
          <w:b/>
          <w:color w:val="auto"/>
          <w:sz w:val="24"/>
          <w:szCs w:val="24"/>
        </w:rPr>
      </w:pPr>
    </w:p>
    <w:p>
      <w:pPr>
        <w:pStyle w:val="18"/>
        <w:spacing w:line="440" w:lineRule="exact"/>
        <w:jc w:val="center"/>
        <w:rPr>
          <w:rFonts w:hAnsi="宋体" w:cs="宋体"/>
          <w:b/>
          <w:color w:val="auto"/>
          <w:sz w:val="24"/>
          <w:szCs w:val="24"/>
        </w:rPr>
      </w:pPr>
      <w:r>
        <w:rPr>
          <w:rFonts w:hint="eastAsia" w:hAnsi="宋体" w:cs="宋体"/>
          <w:b/>
          <w:color w:val="auto"/>
          <w:sz w:val="24"/>
          <w:szCs w:val="24"/>
        </w:rPr>
        <w:t>八   合同生效及其它</w:t>
      </w:r>
    </w:p>
    <w:p>
      <w:pPr>
        <w:pStyle w:val="18"/>
        <w:spacing w:line="440" w:lineRule="exact"/>
        <w:ind w:firstLine="420"/>
        <w:rPr>
          <w:rFonts w:hAnsi="宋体" w:cs="宋体"/>
          <w:color w:val="auto"/>
          <w:sz w:val="24"/>
          <w:szCs w:val="24"/>
        </w:rPr>
      </w:pPr>
      <w:r>
        <w:rPr>
          <w:rFonts w:hint="eastAsia" w:hAnsi="宋体" w:cs="宋体"/>
          <w:color w:val="auto"/>
          <w:sz w:val="24"/>
          <w:szCs w:val="24"/>
        </w:rPr>
        <w:t>8.1合同经双方法定代表人或委托代理人签名并加盖单位公章之日起生效。合同执行期内，甲乙双方均不得随意变更或解除合同。</w:t>
      </w:r>
    </w:p>
    <w:p>
      <w:pPr>
        <w:pStyle w:val="18"/>
        <w:spacing w:line="440" w:lineRule="exact"/>
        <w:ind w:firstLine="420"/>
        <w:rPr>
          <w:rFonts w:hAnsi="宋体" w:cs="宋体"/>
          <w:color w:val="auto"/>
          <w:sz w:val="24"/>
          <w:szCs w:val="24"/>
        </w:rPr>
      </w:pPr>
      <w:r>
        <w:rPr>
          <w:rFonts w:hint="eastAsia" w:hAnsi="宋体" w:cs="宋体"/>
          <w:color w:val="auto"/>
          <w:sz w:val="24"/>
          <w:szCs w:val="24"/>
        </w:rPr>
        <w:t>8.2合同履行中，如需修改或补充合同内容，由双方协商另签署书面修改或补充协议作为主合同不可分割的一部分。</w:t>
      </w:r>
    </w:p>
    <w:p>
      <w:pPr>
        <w:pStyle w:val="18"/>
        <w:spacing w:line="440" w:lineRule="exact"/>
        <w:ind w:firstLine="420"/>
        <w:rPr>
          <w:rFonts w:hAnsi="宋体" w:cs="宋体"/>
          <w:color w:val="auto"/>
          <w:sz w:val="24"/>
          <w:szCs w:val="24"/>
        </w:rPr>
      </w:pPr>
    </w:p>
    <w:p>
      <w:pPr>
        <w:pStyle w:val="18"/>
        <w:spacing w:line="440" w:lineRule="exact"/>
        <w:rPr>
          <w:rFonts w:hAnsi="宋体" w:cs="宋体"/>
          <w:color w:val="auto"/>
          <w:sz w:val="24"/>
          <w:szCs w:val="24"/>
        </w:rPr>
      </w:pPr>
    </w:p>
    <w:p>
      <w:pPr>
        <w:pStyle w:val="18"/>
        <w:rPr>
          <w:rFonts w:hAnsi="宋体"/>
          <w:color w:val="auto"/>
        </w:rPr>
      </w:pPr>
    </w:p>
    <w:p>
      <w:pPr>
        <w:pStyle w:val="18"/>
        <w:rPr>
          <w:rFonts w:hAnsi="宋体"/>
          <w:color w:val="auto"/>
        </w:rPr>
      </w:pPr>
    </w:p>
    <w:p>
      <w:pPr>
        <w:pStyle w:val="18"/>
        <w:rPr>
          <w:rFonts w:hAnsi="宋体"/>
          <w:color w:val="auto"/>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3"/>
        <w:keepNext w:val="0"/>
        <w:spacing w:line="440" w:lineRule="exact"/>
        <w:jc w:val="center"/>
        <w:rPr>
          <w:rFonts w:ascii="宋体" w:hAnsi="宋体"/>
          <w:b w:val="0"/>
          <w:color w:val="auto"/>
          <w:sz w:val="36"/>
        </w:rPr>
      </w:pPr>
      <w:bookmarkStart w:id="315" w:name="_Toc230685512"/>
      <w:bookmarkStart w:id="316" w:name="_Toc230685788"/>
      <w:bookmarkStart w:id="317" w:name="_Toc230685650"/>
      <w:bookmarkStart w:id="318" w:name="_Toc1548"/>
      <w:bookmarkStart w:id="319" w:name="_Toc27192"/>
      <w:bookmarkStart w:id="320" w:name="_Toc230685255"/>
      <w:bookmarkStart w:id="321" w:name="_Toc230685696"/>
      <w:bookmarkStart w:id="322" w:name="_Toc3613"/>
      <w:r>
        <w:rPr>
          <w:rFonts w:hint="eastAsia" w:ascii="宋体" w:hAnsi="宋体"/>
          <w:color w:val="auto"/>
          <w:sz w:val="36"/>
        </w:rPr>
        <w:t>第四章  合同书格式</w:t>
      </w:r>
      <w:bookmarkEnd w:id="315"/>
      <w:bookmarkEnd w:id="316"/>
      <w:bookmarkEnd w:id="317"/>
      <w:bookmarkEnd w:id="318"/>
      <w:bookmarkEnd w:id="319"/>
      <w:bookmarkEnd w:id="320"/>
      <w:bookmarkEnd w:id="321"/>
      <w:bookmarkEnd w:id="322"/>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20" w:lineRule="exact"/>
        <w:jc w:val="center"/>
        <w:rPr>
          <w:rFonts w:hAnsi="宋体"/>
          <w:b/>
          <w:color w:val="auto"/>
          <w:sz w:val="32"/>
        </w:rPr>
      </w:pPr>
    </w:p>
    <w:p>
      <w:pPr>
        <w:pStyle w:val="18"/>
        <w:spacing w:line="360" w:lineRule="auto"/>
        <w:jc w:val="center"/>
        <w:rPr>
          <w:rFonts w:hAnsi="宋体"/>
          <w:b/>
          <w:color w:val="auto"/>
          <w:sz w:val="28"/>
          <w:szCs w:val="28"/>
        </w:rPr>
      </w:pPr>
      <w:r>
        <w:rPr>
          <w:rFonts w:hint="eastAsia" w:hAnsi="宋体"/>
          <w:b/>
          <w:color w:val="auto"/>
          <w:sz w:val="28"/>
          <w:szCs w:val="28"/>
        </w:rPr>
        <w:t>合 同 书 （格式）</w:t>
      </w:r>
    </w:p>
    <w:p>
      <w:pPr>
        <w:pStyle w:val="18"/>
        <w:spacing w:line="480" w:lineRule="auto"/>
        <w:ind w:firstLine="420"/>
        <w:rPr>
          <w:rFonts w:hAnsi="宋体" w:cs="宋体"/>
          <w:color w:val="auto"/>
          <w:sz w:val="24"/>
          <w:szCs w:val="24"/>
          <w:u w:val="single"/>
        </w:rPr>
      </w:pPr>
      <w:r>
        <w:rPr>
          <w:rFonts w:hint="eastAsia" w:hAnsi="宋体" w:cs="宋体"/>
          <w:color w:val="auto"/>
          <w:sz w:val="24"/>
          <w:szCs w:val="24"/>
        </w:rPr>
        <w:t>合同名称：</w:t>
      </w:r>
      <w:r>
        <w:rPr>
          <w:rFonts w:hint="eastAsia" w:hAnsi="宋体" w:cs="宋体"/>
          <w:color w:val="auto"/>
          <w:sz w:val="24"/>
          <w:szCs w:val="24"/>
          <w:u w:val="single"/>
        </w:rPr>
        <w:t xml:space="preserve">        　　　　　　　　　　　</w:t>
      </w:r>
      <w:r>
        <w:rPr>
          <w:rFonts w:hint="eastAsia" w:hAnsi="宋体" w:cs="宋体"/>
          <w:color w:val="auto"/>
          <w:sz w:val="24"/>
          <w:szCs w:val="24"/>
        </w:rPr>
        <w:t>合同            合同编号：</w:t>
      </w:r>
      <w:r>
        <w:rPr>
          <w:rFonts w:hint="eastAsia" w:hAnsi="宋体" w:cs="宋体"/>
          <w:color w:val="auto"/>
          <w:sz w:val="24"/>
          <w:szCs w:val="24"/>
          <w:u w:val="single"/>
        </w:rPr>
        <w:t xml:space="preserve">              </w:t>
      </w:r>
    </w:p>
    <w:p>
      <w:pPr>
        <w:pStyle w:val="18"/>
        <w:spacing w:line="480" w:lineRule="auto"/>
        <w:ind w:firstLine="420"/>
        <w:rPr>
          <w:rFonts w:hAnsi="宋体" w:cs="宋体"/>
          <w:color w:val="auto"/>
          <w:sz w:val="24"/>
          <w:szCs w:val="24"/>
        </w:rPr>
      </w:pPr>
      <w:r>
        <w:rPr>
          <w:rFonts w:hint="eastAsia" w:hAnsi="宋体" w:cs="宋体"/>
          <w:color w:val="auto"/>
          <w:sz w:val="24"/>
          <w:szCs w:val="24"/>
        </w:rPr>
        <w:t>甲方：</w:t>
      </w:r>
      <w:r>
        <w:rPr>
          <w:rFonts w:hint="eastAsia" w:hAnsi="宋体" w:cs="宋体"/>
          <w:color w:val="auto"/>
          <w:sz w:val="24"/>
          <w:szCs w:val="24"/>
          <w:u w:val="single"/>
        </w:rPr>
        <w:t xml:space="preserve">                                   </w:t>
      </w:r>
      <w:r>
        <w:rPr>
          <w:rFonts w:hint="eastAsia" w:hAnsi="宋体" w:cs="宋体"/>
          <w:color w:val="auto"/>
          <w:sz w:val="24"/>
          <w:szCs w:val="24"/>
        </w:rPr>
        <w:t>（买方）</w:t>
      </w:r>
    </w:p>
    <w:p>
      <w:pPr>
        <w:pStyle w:val="18"/>
        <w:spacing w:line="480" w:lineRule="auto"/>
        <w:ind w:firstLine="420"/>
        <w:rPr>
          <w:rFonts w:hAnsi="宋体" w:cs="宋体"/>
          <w:color w:val="auto"/>
          <w:sz w:val="24"/>
          <w:szCs w:val="24"/>
        </w:rPr>
      </w:pPr>
      <w:r>
        <w:rPr>
          <w:rFonts w:hint="eastAsia" w:hAnsi="宋体" w:cs="宋体"/>
          <w:color w:val="auto"/>
          <w:sz w:val="24"/>
          <w:szCs w:val="24"/>
        </w:rPr>
        <w:t>乙方：</w:t>
      </w:r>
      <w:r>
        <w:rPr>
          <w:rFonts w:hint="eastAsia" w:hAnsi="宋体" w:cs="宋体"/>
          <w:color w:val="auto"/>
          <w:sz w:val="24"/>
          <w:szCs w:val="24"/>
          <w:u w:val="single"/>
        </w:rPr>
        <w:t xml:space="preserve">                                   </w:t>
      </w:r>
      <w:r>
        <w:rPr>
          <w:rFonts w:hint="eastAsia" w:hAnsi="宋体" w:cs="宋体"/>
          <w:color w:val="auto"/>
          <w:sz w:val="24"/>
          <w:szCs w:val="24"/>
        </w:rPr>
        <w:t>（成交人）</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甲乙双方同意按下述条款和条件签署本合同书（以下简称合同）：</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一、合同文件</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1、本合同所附下列文件是构成本合同不可分割的部分：</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⑴ 合同基本条款</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⑵ 竞标人提交的竞标文件部分内容</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⑶ 项目需求</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⑷ 谈判记录及最终报价文件</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⑸ 成交通知书</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⑹</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甲、乙双方商定的补充协议</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2、合同的总金额为（大写）：人民币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3、服务内容及要求：详见“项目需求”。</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4、提交成果时间：详见“项目需求”。</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二、质量标准：按竞标文件中项目服务方案中之有关数据。</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三、合理损耗标准及计算方法：按国家有关规定执行。   </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四、付款方式：按“项目需求”规定 。</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五、本合同解除的条件：按合同基本条款相应条款执行。</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六、违约责任：按合同基本条款相应条款执行。</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七、合同争议的解决方式：本合同在履行过程中发生的争议，由双方当事人协商解决；也可由当地工商行政管理部门调解；协商或调解不成的，按下列第</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种方式解决：</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（一）提交合同履行地仲裁机构仲裁委员会仲裁；</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（二）依法向甲方所在地人民法院起诉。</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八、本合同自双方法定代表人或委托代理人签名并加盖单位公章之日起生效。</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九、其他约定事项：合同履行中，如需修改或补充合同内容，由双方协商另签署书面修改或补充协议作为本合同不可分割的一部分。</w:t>
      </w:r>
    </w:p>
    <w:p>
      <w:pPr>
        <w:pStyle w:val="27"/>
        <w:spacing w:line="480" w:lineRule="auto"/>
        <w:ind w:firstLine="420"/>
        <w:rPr>
          <w:rFonts w:ascii="宋体" w:hAnsi="宋体" w:eastAsia="宋体" w:cs="宋体"/>
          <w:color w:val="auto"/>
          <w:sz w:val="24"/>
          <w:szCs w:val="24"/>
        </w:rPr>
      </w:pPr>
      <w:r>
        <w:rPr>
          <w:rFonts w:hint="eastAsia" w:ascii="宋体" w:hAnsi="宋体" w:eastAsia="宋体" w:cs="宋体"/>
          <w:color w:val="auto"/>
          <w:sz w:val="24"/>
          <w:szCs w:val="24"/>
        </w:rPr>
        <w:t>十、本合同一式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份，采购代理机构一份，自双方法定代表人或委托代理人签名并加盖单位公章之日起生效。</w:t>
      </w:r>
    </w:p>
    <w:p>
      <w:pPr>
        <w:pStyle w:val="27"/>
        <w:spacing w:line="480" w:lineRule="auto"/>
        <w:ind w:firstLine="420"/>
        <w:rPr>
          <w:rFonts w:ascii="宋体" w:hAnsi="宋体" w:eastAsia="宋体" w:cs="宋体"/>
          <w:color w:val="auto"/>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643" w:type="dxa"/>
          </w:tcPr>
          <w:p>
            <w:pPr>
              <w:pStyle w:val="18"/>
              <w:spacing w:line="480" w:lineRule="auto"/>
              <w:jc w:val="center"/>
              <w:rPr>
                <w:rFonts w:hAnsi="宋体" w:cs="宋体"/>
                <w:color w:val="auto"/>
                <w:sz w:val="24"/>
                <w:szCs w:val="24"/>
              </w:rPr>
            </w:pPr>
            <w:r>
              <w:rPr>
                <w:rFonts w:hint="eastAsia" w:hAnsi="宋体" w:cs="宋体"/>
                <w:color w:val="auto"/>
                <w:sz w:val="24"/>
                <w:szCs w:val="24"/>
              </w:rPr>
              <w:t>乙方</w:t>
            </w:r>
          </w:p>
          <w:p>
            <w:pPr>
              <w:pStyle w:val="18"/>
              <w:spacing w:line="480" w:lineRule="auto"/>
              <w:rPr>
                <w:rFonts w:hAnsi="宋体" w:cs="宋体"/>
                <w:color w:val="auto"/>
                <w:sz w:val="24"/>
                <w:szCs w:val="24"/>
              </w:rPr>
            </w:pPr>
          </w:p>
          <w:p>
            <w:pPr>
              <w:pStyle w:val="18"/>
              <w:spacing w:line="480" w:lineRule="auto"/>
              <w:rPr>
                <w:rFonts w:hAnsi="宋体" w:cs="宋体"/>
                <w:color w:val="auto"/>
                <w:sz w:val="24"/>
                <w:szCs w:val="24"/>
              </w:rPr>
            </w:pPr>
            <w:r>
              <w:rPr>
                <w:rFonts w:hint="eastAsia" w:hAnsi="宋体" w:cs="宋体"/>
                <w:color w:val="auto"/>
                <w:sz w:val="24"/>
                <w:szCs w:val="24"/>
              </w:rPr>
              <w:t>乙方（章）：</w:t>
            </w:r>
          </w:p>
          <w:p>
            <w:pPr>
              <w:pStyle w:val="18"/>
              <w:spacing w:line="480" w:lineRule="auto"/>
              <w:rPr>
                <w:rFonts w:hAnsi="宋体" w:cs="宋体"/>
                <w:color w:val="auto"/>
                <w:sz w:val="24"/>
                <w:szCs w:val="24"/>
              </w:rPr>
            </w:pPr>
            <w:r>
              <w:rPr>
                <w:rFonts w:hint="eastAsia" w:hAnsi="宋体" w:cs="宋体"/>
                <w:color w:val="auto"/>
                <w:sz w:val="24"/>
                <w:szCs w:val="24"/>
              </w:rPr>
              <w:t>住所：</w:t>
            </w:r>
          </w:p>
          <w:p>
            <w:pPr>
              <w:pStyle w:val="18"/>
              <w:spacing w:line="480" w:lineRule="auto"/>
              <w:rPr>
                <w:rFonts w:hAnsi="宋体" w:cs="宋体"/>
                <w:color w:val="auto"/>
                <w:sz w:val="24"/>
                <w:szCs w:val="24"/>
              </w:rPr>
            </w:pPr>
            <w:r>
              <w:rPr>
                <w:rFonts w:hint="eastAsia" w:hAnsi="宋体" w:cs="宋体"/>
                <w:color w:val="auto"/>
                <w:sz w:val="24"/>
                <w:szCs w:val="24"/>
              </w:rPr>
              <w:t>法定代表人：</w:t>
            </w:r>
          </w:p>
          <w:p>
            <w:pPr>
              <w:pStyle w:val="18"/>
              <w:spacing w:line="480" w:lineRule="auto"/>
              <w:rPr>
                <w:rFonts w:hAnsi="宋体" w:cs="宋体"/>
                <w:color w:val="auto"/>
                <w:sz w:val="24"/>
                <w:szCs w:val="24"/>
              </w:rPr>
            </w:pPr>
            <w:r>
              <w:rPr>
                <w:rFonts w:hint="eastAsia" w:hAnsi="宋体" w:cs="宋体"/>
                <w:color w:val="auto"/>
                <w:sz w:val="24"/>
                <w:szCs w:val="24"/>
              </w:rPr>
              <w:t>委托代理人：</w:t>
            </w:r>
          </w:p>
          <w:p>
            <w:pPr>
              <w:pStyle w:val="18"/>
              <w:spacing w:line="480" w:lineRule="auto"/>
              <w:rPr>
                <w:rFonts w:hAnsi="宋体" w:cs="宋体"/>
                <w:color w:val="auto"/>
                <w:sz w:val="24"/>
                <w:szCs w:val="24"/>
              </w:rPr>
            </w:pPr>
            <w:r>
              <w:rPr>
                <w:rFonts w:hint="eastAsia" w:hAnsi="宋体" w:cs="宋体"/>
                <w:color w:val="auto"/>
                <w:sz w:val="24"/>
                <w:szCs w:val="24"/>
              </w:rPr>
              <w:t>电话：</w:t>
            </w:r>
          </w:p>
          <w:p>
            <w:pPr>
              <w:pStyle w:val="18"/>
              <w:spacing w:line="480" w:lineRule="auto"/>
              <w:rPr>
                <w:rFonts w:hAnsi="宋体" w:cs="宋体"/>
                <w:color w:val="auto"/>
                <w:sz w:val="24"/>
                <w:szCs w:val="24"/>
              </w:rPr>
            </w:pPr>
            <w:r>
              <w:rPr>
                <w:rFonts w:hint="eastAsia" w:hAnsi="宋体" w:cs="宋体"/>
                <w:color w:val="auto"/>
                <w:sz w:val="24"/>
                <w:szCs w:val="24"/>
              </w:rPr>
              <w:t>传真：</w:t>
            </w:r>
          </w:p>
          <w:p>
            <w:pPr>
              <w:pStyle w:val="18"/>
              <w:spacing w:line="480" w:lineRule="auto"/>
              <w:rPr>
                <w:rFonts w:hAnsi="宋体" w:cs="宋体"/>
                <w:color w:val="auto"/>
                <w:sz w:val="24"/>
                <w:szCs w:val="24"/>
              </w:rPr>
            </w:pPr>
            <w:r>
              <w:rPr>
                <w:rFonts w:hint="eastAsia" w:hAnsi="宋体" w:cs="宋体"/>
                <w:color w:val="auto"/>
                <w:sz w:val="24"/>
                <w:szCs w:val="24"/>
              </w:rPr>
              <w:t>开户银行：</w:t>
            </w:r>
          </w:p>
          <w:p>
            <w:pPr>
              <w:pStyle w:val="18"/>
              <w:spacing w:line="480" w:lineRule="auto"/>
              <w:rPr>
                <w:rFonts w:hAnsi="宋体" w:cs="宋体"/>
                <w:color w:val="auto"/>
                <w:sz w:val="24"/>
                <w:szCs w:val="24"/>
              </w:rPr>
            </w:pPr>
            <w:r>
              <w:rPr>
                <w:rFonts w:hint="eastAsia" w:hAnsi="宋体" w:cs="宋体"/>
                <w:color w:val="auto"/>
                <w:sz w:val="24"/>
                <w:szCs w:val="24"/>
              </w:rPr>
              <w:t>账号：</w:t>
            </w:r>
          </w:p>
          <w:p>
            <w:pPr>
              <w:pStyle w:val="18"/>
              <w:spacing w:line="480" w:lineRule="auto"/>
              <w:rPr>
                <w:rFonts w:hAnsi="宋体" w:cs="宋体"/>
                <w:color w:val="auto"/>
                <w:sz w:val="24"/>
                <w:szCs w:val="24"/>
              </w:rPr>
            </w:pPr>
            <w:r>
              <w:rPr>
                <w:rFonts w:hint="eastAsia" w:hAnsi="宋体" w:cs="宋体"/>
                <w:color w:val="auto"/>
                <w:sz w:val="24"/>
                <w:szCs w:val="24"/>
              </w:rPr>
              <w:t>邮政编码：</w:t>
            </w:r>
          </w:p>
        </w:tc>
        <w:tc>
          <w:tcPr>
            <w:tcW w:w="4643" w:type="dxa"/>
          </w:tcPr>
          <w:p>
            <w:pPr>
              <w:pStyle w:val="18"/>
              <w:spacing w:line="480" w:lineRule="auto"/>
              <w:jc w:val="center"/>
              <w:rPr>
                <w:rFonts w:hAnsi="宋体" w:cs="宋体"/>
                <w:color w:val="auto"/>
                <w:sz w:val="24"/>
                <w:szCs w:val="24"/>
              </w:rPr>
            </w:pPr>
            <w:r>
              <w:rPr>
                <w:rFonts w:hint="eastAsia" w:hAnsi="宋体" w:cs="宋体"/>
                <w:color w:val="auto"/>
                <w:sz w:val="24"/>
                <w:szCs w:val="24"/>
              </w:rPr>
              <w:t>甲方</w:t>
            </w:r>
          </w:p>
          <w:p>
            <w:pPr>
              <w:pStyle w:val="18"/>
              <w:spacing w:line="480" w:lineRule="auto"/>
              <w:rPr>
                <w:rFonts w:hAnsi="宋体" w:cs="宋体"/>
                <w:color w:val="auto"/>
                <w:sz w:val="24"/>
                <w:szCs w:val="24"/>
              </w:rPr>
            </w:pPr>
          </w:p>
          <w:p>
            <w:pPr>
              <w:pStyle w:val="18"/>
              <w:spacing w:line="480" w:lineRule="auto"/>
              <w:rPr>
                <w:rFonts w:hAnsi="宋体" w:cs="宋体"/>
                <w:color w:val="auto"/>
                <w:sz w:val="24"/>
                <w:szCs w:val="24"/>
              </w:rPr>
            </w:pPr>
            <w:r>
              <w:rPr>
                <w:rFonts w:hint="eastAsia" w:hAnsi="宋体" w:cs="宋体"/>
                <w:color w:val="auto"/>
                <w:sz w:val="24"/>
                <w:szCs w:val="24"/>
              </w:rPr>
              <w:t>甲方（章）：</w:t>
            </w:r>
          </w:p>
          <w:p>
            <w:pPr>
              <w:pStyle w:val="18"/>
              <w:spacing w:line="480" w:lineRule="auto"/>
              <w:rPr>
                <w:rFonts w:hAnsi="宋体" w:cs="宋体"/>
                <w:color w:val="auto"/>
                <w:sz w:val="24"/>
                <w:szCs w:val="24"/>
              </w:rPr>
            </w:pPr>
            <w:r>
              <w:rPr>
                <w:rFonts w:hint="eastAsia" w:hAnsi="宋体" w:cs="宋体"/>
                <w:color w:val="auto"/>
                <w:sz w:val="24"/>
                <w:szCs w:val="24"/>
              </w:rPr>
              <w:t>住所：</w:t>
            </w:r>
          </w:p>
          <w:p>
            <w:pPr>
              <w:pStyle w:val="18"/>
              <w:spacing w:line="480" w:lineRule="auto"/>
              <w:rPr>
                <w:rFonts w:hAnsi="宋体" w:cs="宋体"/>
                <w:color w:val="auto"/>
                <w:sz w:val="24"/>
                <w:szCs w:val="24"/>
              </w:rPr>
            </w:pPr>
            <w:r>
              <w:rPr>
                <w:rFonts w:hint="eastAsia" w:hAnsi="宋体" w:cs="宋体"/>
                <w:color w:val="auto"/>
                <w:sz w:val="24"/>
                <w:szCs w:val="24"/>
              </w:rPr>
              <w:t>法定代表人：</w:t>
            </w:r>
          </w:p>
          <w:p>
            <w:pPr>
              <w:pStyle w:val="18"/>
              <w:spacing w:line="480" w:lineRule="auto"/>
              <w:rPr>
                <w:rFonts w:hAnsi="宋体" w:cs="宋体"/>
                <w:color w:val="auto"/>
                <w:sz w:val="24"/>
                <w:szCs w:val="24"/>
              </w:rPr>
            </w:pPr>
            <w:r>
              <w:rPr>
                <w:rFonts w:hint="eastAsia" w:hAnsi="宋体" w:cs="宋体"/>
                <w:color w:val="auto"/>
                <w:sz w:val="24"/>
                <w:szCs w:val="24"/>
              </w:rPr>
              <w:t>委托代理人：</w:t>
            </w:r>
          </w:p>
          <w:p>
            <w:pPr>
              <w:pStyle w:val="18"/>
              <w:spacing w:line="480" w:lineRule="auto"/>
              <w:rPr>
                <w:rFonts w:hAnsi="宋体" w:cs="宋体"/>
                <w:color w:val="auto"/>
                <w:sz w:val="24"/>
                <w:szCs w:val="24"/>
              </w:rPr>
            </w:pPr>
            <w:r>
              <w:rPr>
                <w:rFonts w:hint="eastAsia" w:hAnsi="宋体" w:cs="宋体"/>
                <w:color w:val="auto"/>
                <w:sz w:val="24"/>
                <w:szCs w:val="24"/>
              </w:rPr>
              <w:t>电话：</w:t>
            </w:r>
          </w:p>
          <w:p>
            <w:pPr>
              <w:pStyle w:val="18"/>
              <w:spacing w:line="480" w:lineRule="auto"/>
              <w:rPr>
                <w:rFonts w:hAnsi="宋体" w:cs="宋体"/>
                <w:color w:val="auto"/>
                <w:sz w:val="24"/>
                <w:szCs w:val="24"/>
              </w:rPr>
            </w:pPr>
            <w:r>
              <w:rPr>
                <w:rFonts w:hint="eastAsia" w:hAnsi="宋体" w:cs="宋体"/>
                <w:color w:val="auto"/>
                <w:sz w:val="24"/>
                <w:szCs w:val="24"/>
              </w:rPr>
              <w:t>传真：</w:t>
            </w:r>
          </w:p>
          <w:p>
            <w:pPr>
              <w:pStyle w:val="18"/>
              <w:spacing w:line="480" w:lineRule="auto"/>
              <w:rPr>
                <w:rFonts w:hAnsi="宋体" w:cs="宋体"/>
                <w:color w:val="auto"/>
                <w:sz w:val="24"/>
                <w:szCs w:val="24"/>
              </w:rPr>
            </w:pPr>
            <w:r>
              <w:rPr>
                <w:rFonts w:hint="eastAsia" w:hAnsi="宋体" w:cs="宋体"/>
                <w:color w:val="auto"/>
                <w:sz w:val="24"/>
                <w:szCs w:val="24"/>
              </w:rPr>
              <w:t>开户银行：</w:t>
            </w:r>
          </w:p>
          <w:p>
            <w:pPr>
              <w:pStyle w:val="18"/>
              <w:spacing w:line="480" w:lineRule="auto"/>
              <w:rPr>
                <w:rFonts w:hAnsi="宋体" w:cs="宋体"/>
                <w:color w:val="auto"/>
                <w:sz w:val="24"/>
                <w:szCs w:val="24"/>
              </w:rPr>
            </w:pPr>
            <w:r>
              <w:rPr>
                <w:rFonts w:hint="eastAsia" w:hAnsi="宋体" w:cs="宋体"/>
                <w:color w:val="auto"/>
                <w:sz w:val="24"/>
                <w:szCs w:val="24"/>
              </w:rPr>
              <w:t>账号：</w:t>
            </w:r>
          </w:p>
          <w:p>
            <w:pPr>
              <w:pStyle w:val="18"/>
              <w:spacing w:line="480" w:lineRule="auto"/>
              <w:rPr>
                <w:rFonts w:hAnsi="宋体" w:cs="宋体"/>
                <w:color w:val="auto"/>
                <w:sz w:val="24"/>
                <w:szCs w:val="24"/>
              </w:rPr>
            </w:pPr>
            <w:r>
              <w:rPr>
                <w:rFonts w:hint="eastAsia" w:hAnsi="宋体" w:cs="宋体"/>
                <w:color w:val="auto"/>
                <w:sz w:val="24"/>
                <w:szCs w:val="24"/>
              </w:rPr>
              <w:t>邮政编码：</w:t>
            </w:r>
          </w:p>
        </w:tc>
      </w:tr>
    </w:tbl>
    <w:p>
      <w:pPr>
        <w:pStyle w:val="18"/>
        <w:spacing w:line="480" w:lineRule="auto"/>
        <w:jc w:val="left"/>
        <w:rPr>
          <w:rFonts w:hAnsi="宋体" w:cs="宋体"/>
          <w:color w:val="auto"/>
          <w:sz w:val="24"/>
          <w:szCs w:val="24"/>
        </w:rPr>
      </w:pPr>
      <w:r>
        <w:rPr>
          <w:rFonts w:hint="eastAsia" w:hAnsi="宋体" w:cs="宋体"/>
          <w:color w:val="auto"/>
          <w:sz w:val="24"/>
          <w:szCs w:val="24"/>
        </w:rPr>
        <w:t>合同签订时间：</w:t>
      </w:r>
    </w:p>
    <w:p>
      <w:pPr>
        <w:pStyle w:val="18"/>
        <w:spacing w:line="480" w:lineRule="auto"/>
        <w:jc w:val="left"/>
        <w:rPr>
          <w:rFonts w:hAnsi="宋体"/>
          <w:color w:val="auto"/>
        </w:rPr>
      </w:pPr>
      <w:r>
        <w:rPr>
          <w:rFonts w:hint="eastAsia" w:hAnsi="宋体" w:cs="宋体"/>
          <w:color w:val="auto"/>
          <w:sz w:val="24"/>
          <w:szCs w:val="24"/>
        </w:rPr>
        <w:t xml:space="preserve">合同签订地点：                               </w:t>
      </w:r>
      <w:r>
        <w:rPr>
          <w:rFonts w:hint="eastAsia" w:hAnsi="宋体" w:cs="宋体"/>
          <w:color w:val="auto"/>
          <w:sz w:val="24"/>
          <w:szCs w:val="24"/>
        </w:rPr>
        <w:br w:type="page"/>
      </w: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3"/>
        <w:keepNext w:val="0"/>
        <w:spacing w:line="440" w:lineRule="exact"/>
        <w:jc w:val="center"/>
        <w:rPr>
          <w:rFonts w:ascii="宋体" w:hAnsi="宋体"/>
          <w:color w:val="auto"/>
          <w:sz w:val="36"/>
        </w:rPr>
      </w:pPr>
      <w:bookmarkStart w:id="323" w:name="_Toc4077"/>
      <w:bookmarkStart w:id="324" w:name="_Toc230685513"/>
      <w:bookmarkStart w:id="325" w:name="_Toc230685789"/>
      <w:bookmarkStart w:id="326" w:name="_Toc230685697"/>
      <w:bookmarkStart w:id="327" w:name="_Toc230685651"/>
      <w:bookmarkStart w:id="328" w:name="_Toc230685256"/>
      <w:bookmarkStart w:id="329" w:name="_Toc14256"/>
      <w:bookmarkStart w:id="330" w:name="_Toc4860"/>
      <w:r>
        <w:rPr>
          <w:rFonts w:hint="eastAsia" w:ascii="宋体" w:hAnsi="宋体"/>
          <w:color w:val="auto"/>
          <w:sz w:val="36"/>
        </w:rPr>
        <w:t>第五章  竞标文件格式</w:t>
      </w:r>
      <w:bookmarkEnd w:id="323"/>
      <w:bookmarkEnd w:id="324"/>
      <w:bookmarkEnd w:id="325"/>
      <w:bookmarkEnd w:id="326"/>
      <w:bookmarkEnd w:id="327"/>
      <w:bookmarkEnd w:id="328"/>
      <w:bookmarkEnd w:id="329"/>
      <w:bookmarkEnd w:id="330"/>
    </w:p>
    <w:p>
      <w:pPr>
        <w:pStyle w:val="18"/>
        <w:rPr>
          <w:rFonts w:hAnsi="宋体"/>
          <w:color w:val="auto"/>
        </w:rPr>
      </w:pPr>
    </w:p>
    <w:p>
      <w:pPr>
        <w:pStyle w:val="18"/>
        <w:rPr>
          <w:rFonts w:hAnsi="宋体"/>
          <w:color w:val="auto"/>
        </w:rPr>
      </w:pPr>
    </w:p>
    <w:p>
      <w:pPr>
        <w:pStyle w:val="18"/>
        <w:spacing w:line="360" w:lineRule="auto"/>
        <w:ind w:firstLine="357" w:firstLineChars="170"/>
        <w:rPr>
          <w:rFonts w:hAnsi="宋体"/>
          <w:b/>
          <w:color w:val="auto"/>
          <w:sz w:val="32"/>
        </w:rPr>
      </w:pPr>
      <w:r>
        <w:rPr>
          <w:rFonts w:hAnsi="宋体"/>
          <w:color w:val="auto"/>
        </w:rPr>
        <w:br w:type="page"/>
      </w: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sz w:val="32"/>
        </w:rPr>
      </w:pPr>
    </w:p>
    <w:p>
      <w:pPr>
        <w:pStyle w:val="18"/>
        <w:jc w:val="center"/>
        <w:rPr>
          <w:rFonts w:hAnsi="宋体"/>
          <w:b/>
          <w:bCs/>
          <w:color w:val="auto"/>
          <w:sz w:val="32"/>
        </w:rPr>
      </w:pPr>
      <w:r>
        <w:rPr>
          <w:rFonts w:hint="eastAsia" w:hAnsi="宋体"/>
          <w:color w:val="auto"/>
          <w:sz w:val="32"/>
        </w:rPr>
        <w:t>一、</w:t>
      </w:r>
      <w:r>
        <w:rPr>
          <w:rFonts w:hint="eastAsia" w:hAnsi="宋体"/>
          <w:b/>
          <w:bCs/>
          <w:color w:val="auto"/>
          <w:sz w:val="32"/>
        </w:rPr>
        <w:t>商务部分</w:t>
      </w:r>
    </w:p>
    <w:p>
      <w:pPr>
        <w:pStyle w:val="18"/>
        <w:jc w:val="center"/>
        <w:rPr>
          <w:rFonts w:hAnsi="宋体"/>
          <w:color w:val="auto"/>
          <w:sz w:val="32"/>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jc w:val="center"/>
        <w:rPr>
          <w:rFonts w:hAnsi="宋体"/>
          <w:color w:val="auto"/>
        </w:rPr>
      </w:pPr>
    </w:p>
    <w:p>
      <w:pPr>
        <w:pStyle w:val="18"/>
        <w:rPr>
          <w:rFonts w:hAnsi="宋体"/>
          <w:color w:val="auto"/>
        </w:rPr>
      </w:pPr>
    </w:p>
    <w:p>
      <w:pPr>
        <w:pStyle w:val="18"/>
        <w:jc w:val="center"/>
        <w:rPr>
          <w:rFonts w:hAnsi="宋体"/>
          <w:color w:val="auto"/>
        </w:rPr>
      </w:pPr>
      <w:r>
        <w:rPr>
          <w:rFonts w:hint="eastAsia" w:hAnsi="宋体"/>
          <w:b/>
          <w:color w:val="auto"/>
          <w:sz w:val="32"/>
        </w:rPr>
        <w:t>1、竞 标 函 格 式</w:t>
      </w:r>
    </w:p>
    <w:p>
      <w:pPr>
        <w:pStyle w:val="18"/>
        <w:spacing w:line="440" w:lineRule="exact"/>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广西建荣工程项目管理有限公司</w:t>
      </w:r>
    </w:p>
    <w:p>
      <w:pPr>
        <w:pStyle w:val="18"/>
        <w:spacing w:line="440" w:lineRule="exact"/>
        <w:ind w:firstLine="480" w:firstLineChars="200"/>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rPr>
        <w:t xml:space="preserve">                        </w:t>
      </w:r>
      <w:r>
        <w:rPr>
          <w:rFonts w:hint="eastAsia" w:hAnsi="宋体"/>
          <w:color w:val="auto"/>
          <w:sz w:val="24"/>
          <w:szCs w:val="24"/>
        </w:rPr>
        <w:t>项目采购文件，项目编号：</w:t>
      </w:r>
      <w:r>
        <w:rPr>
          <w:rFonts w:hint="eastAsia" w:hAnsi="宋体"/>
          <w:color w:val="auto"/>
          <w:sz w:val="24"/>
          <w:szCs w:val="24"/>
          <w:u w:val="single"/>
        </w:rPr>
        <w:t xml:space="preserve">              </w:t>
      </w:r>
      <w:r>
        <w:rPr>
          <w:rFonts w:hint="eastAsia" w:hAnsi="宋体"/>
          <w:color w:val="auto"/>
          <w:sz w:val="24"/>
          <w:szCs w:val="24"/>
        </w:rPr>
        <w:t>，正式授权下述签名人</w:t>
      </w:r>
      <w:r>
        <w:rPr>
          <w:rFonts w:hint="eastAsia" w:hAnsi="宋体"/>
          <w:color w:val="auto"/>
          <w:sz w:val="24"/>
          <w:szCs w:val="24"/>
          <w:u w:val="single"/>
        </w:rPr>
        <w:t xml:space="preserve">            </w:t>
      </w:r>
      <w:r>
        <w:rPr>
          <w:rFonts w:hint="eastAsia" w:hAnsi="宋体"/>
          <w:color w:val="auto"/>
          <w:sz w:val="24"/>
          <w:szCs w:val="24"/>
        </w:rPr>
        <w:t>（姓名和职务）代表竞标人</w:t>
      </w:r>
      <w:r>
        <w:rPr>
          <w:rFonts w:hint="eastAsia" w:hAnsi="宋体"/>
          <w:color w:val="auto"/>
          <w:sz w:val="24"/>
          <w:szCs w:val="24"/>
          <w:u w:val="single"/>
        </w:rPr>
        <w:t xml:space="preserve">                       （</w:t>
      </w:r>
      <w:r>
        <w:rPr>
          <w:rFonts w:hint="eastAsia" w:hAnsi="宋体"/>
          <w:color w:val="auto"/>
          <w:sz w:val="24"/>
          <w:szCs w:val="24"/>
        </w:rPr>
        <w:t>竞标人名称），提交下述竞标文件正本1份，副本2份。</w:t>
      </w:r>
    </w:p>
    <w:p>
      <w:pPr>
        <w:pStyle w:val="18"/>
        <w:spacing w:line="440" w:lineRule="exact"/>
        <w:ind w:firstLine="420"/>
        <w:rPr>
          <w:rFonts w:hAnsi="宋体"/>
          <w:color w:val="auto"/>
          <w:sz w:val="24"/>
          <w:szCs w:val="24"/>
        </w:rPr>
      </w:pPr>
      <w:r>
        <w:rPr>
          <w:rFonts w:hint="eastAsia" w:hAnsi="宋体"/>
          <w:color w:val="auto"/>
          <w:sz w:val="24"/>
          <w:szCs w:val="24"/>
        </w:rPr>
        <w:t>一、竞标报价表；</w:t>
      </w:r>
    </w:p>
    <w:p>
      <w:pPr>
        <w:pStyle w:val="18"/>
        <w:spacing w:line="440" w:lineRule="exact"/>
        <w:ind w:firstLine="420"/>
        <w:rPr>
          <w:rFonts w:hAnsi="宋体"/>
          <w:color w:val="auto"/>
          <w:sz w:val="24"/>
          <w:szCs w:val="24"/>
        </w:rPr>
      </w:pPr>
      <w:r>
        <w:rPr>
          <w:rFonts w:hint="eastAsia" w:hAnsi="宋体"/>
          <w:color w:val="auto"/>
          <w:sz w:val="24"/>
          <w:szCs w:val="24"/>
        </w:rPr>
        <w:t>二、竞标人认为有必要提供的其他技术文件；</w:t>
      </w:r>
    </w:p>
    <w:p>
      <w:pPr>
        <w:pStyle w:val="18"/>
        <w:spacing w:line="440" w:lineRule="exact"/>
        <w:ind w:firstLine="420"/>
        <w:rPr>
          <w:rFonts w:hAnsi="宋体"/>
          <w:color w:val="auto"/>
          <w:sz w:val="24"/>
          <w:szCs w:val="24"/>
        </w:rPr>
      </w:pPr>
      <w:r>
        <w:rPr>
          <w:rFonts w:hint="eastAsia" w:hAnsi="宋体"/>
          <w:color w:val="auto"/>
          <w:sz w:val="24"/>
          <w:szCs w:val="24"/>
        </w:rPr>
        <w:t>三、项目服务方案；</w:t>
      </w:r>
    </w:p>
    <w:p>
      <w:pPr>
        <w:pStyle w:val="18"/>
        <w:spacing w:line="440" w:lineRule="exact"/>
        <w:ind w:firstLine="420"/>
        <w:rPr>
          <w:rFonts w:hAnsi="宋体"/>
          <w:color w:val="auto"/>
          <w:sz w:val="24"/>
          <w:szCs w:val="24"/>
        </w:rPr>
      </w:pPr>
      <w:r>
        <w:rPr>
          <w:rFonts w:hint="eastAsia" w:hAnsi="宋体"/>
          <w:color w:val="auto"/>
          <w:sz w:val="24"/>
          <w:szCs w:val="24"/>
        </w:rPr>
        <w:t>四、竞标人资格证明文件；</w:t>
      </w:r>
    </w:p>
    <w:p>
      <w:pPr>
        <w:pStyle w:val="18"/>
        <w:spacing w:line="440" w:lineRule="exact"/>
        <w:ind w:firstLine="420"/>
        <w:rPr>
          <w:rFonts w:hAnsi="宋体"/>
          <w:color w:val="auto"/>
          <w:sz w:val="24"/>
          <w:szCs w:val="24"/>
        </w:rPr>
      </w:pPr>
      <w:r>
        <w:rPr>
          <w:rFonts w:hint="eastAsia" w:hAnsi="宋体"/>
          <w:color w:val="auto"/>
          <w:sz w:val="24"/>
          <w:szCs w:val="24"/>
        </w:rPr>
        <w:t>五、竞标保证金；</w:t>
      </w:r>
    </w:p>
    <w:p>
      <w:pPr>
        <w:pStyle w:val="18"/>
        <w:spacing w:line="440" w:lineRule="exact"/>
        <w:ind w:firstLine="420"/>
        <w:rPr>
          <w:rFonts w:hAnsi="宋体"/>
          <w:color w:val="auto"/>
          <w:sz w:val="24"/>
          <w:szCs w:val="24"/>
        </w:rPr>
      </w:pPr>
      <w:r>
        <w:rPr>
          <w:rFonts w:hint="eastAsia" w:hAnsi="宋体"/>
          <w:color w:val="auto"/>
          <w:sz w:val="24"/>
          <w:szCs w:val="24"/>
        </w:rPr>
        <w:t>六、其他。</w:t>
      </w:r>
    </w:p>
    <w:p>
      <w:pPr>
        <w:pStyle w:val="18"/>
        <w:spacing w:line="440" w:lineRule="exact"/>
        <w:ind w:firstLine="480" w:firstLineChars="200"/>
        <w:rPr>
          <w:rFonts w:hAnsi="宋体"/>
          <w:color w:val="auto"/>
          <w:sz w:val="24"/>
          <w:szCs w:val="24"/>
        </w:rPr>
      </w:pPr>
      <w:r>
        <w:rPr>
          <w:rFonts w:hint="eastAsia" w:hAnsi="宋体"/>
          <w:color w:val="auto"/>
          <w:sz w:val="24"/>
          <w:szCs w:val="24"/>
        </w:rPr>
        <w:t>据此函，签名人兹宣布同意如下：</w:t>
      </w:r>
    </w:p>
    <w:p>
      <w:pPr>
        <w:pStyle w:val="18"/>
        <w:spacing w:line="440" w:lineRule="exact"/>
        <w:ind w:firstLine="480" w:firstLineChars="200"/>
        <w:rPr>
          <w:rFonts w:hAnsi="宋体"/>
          <w:color w:val="auto"/>
          <w:sz w:val="24"/>
          <w:szCs w:val="24"/>
        </w:rPr>
      </w:pPr>
      <w:r>
        <w:rPr>
          <w:rFonts w:hint="eastAsia" w:hAnsi="宋体"/>
          <w:color w:val="auto"/>
          <w:sz w:val="24"/>
          <w:szCs w:val="24"/>
        </w:rPr>
        <w:t>⑴按采购文件项目需求和竞标报价表,竞标总报价人民币（大写）</w:t>
      </w:r>
      <w:r>
        <w:rPr>
          <w:rFonts w:hint="eastAsia" w:hAnsi="宋体"/>
          <w:color w:val="auto"/>
          <w:sz w:val="24"/>
          <w:szCs w:val="24"/>
          <w:u w:val="single"/>
        </w:rPr>
        <w:t xml:space="preserve">        </w:t>
      </w:r>
      <w:r>
        <w:rPr>
          <w:rFonts w:hint="eastAsia" w:hAnsi="宋体"/>
          <w:color w:val="auto"/>
          <w:sz w:val="24"/>
          <w:szCs w:val="24"/>
        </w:rPr>
        <w:t>(￥</w:t>
      </w:r>
      <w:r>
        <w:rPr>
          <w:rFonts w:hint="eastAsia" w:hAnsi="宋体"/>
          <w:color w:val="auto"/>
          <w:sz w:val="24"/>
          <w:szCs w:val="24"/>
          <w:u w:val="single"/>
        </w:rPr>
        <w:t xml:space="preserve">      </w:t>
      </w:r>
      <w:r>
        <w:rPr>
          <w:rFonts w:hint="eastAsia" w:hAnsi="宋体"/>
          <w:color w:val="auto"/>
          <w:sz w:val="24"/>
          <w:szCs w:val="24"/>
        </w:rPr>
        <w:t xml:space="preserve"> ) ，提交服务成果时间：自合同签订之日起至</w:t>
      </w:r>
      <w:r>
        <w:rPr>
          <w:rFonts w:hint="eastAsia" w:hAnsi="宋体"/>
          <w:color w:val="auto"/>
          <w:sz w:val="24"/>
          <w:szCs w:val="24"/>
          <w:u w:val="single"/>
        </w:rPr>
        <w:t xml:space="preserve">              </w:t>
      </w:r>
      <w:r>
        <w:rPr>
          <w:rFonts w:hint="eastAsia" w:hAnsi="宋体"/>
          <w:color w:val="auto"/>
          <w:sz w:val="24"/>
          <w:szCs w:val="24"/>
        </w:rPr>
        <w:t>结束。</w:t>
      </w:r>
    </w:p>
    <w:p>
      <w:pPr>
        <w:pStyle w:val="18"/>
        <w:spacing w:line="440" w:lineRule="exact"/>
        <w:ind w:firstLine="480" w:firstLineChars="200"/>
        <w:rPr>
          <w:rFonts w:hAnsi="宋体"/>
          <w:color w:val="auto"/>
          <w:sz w:val="24"/>
          <w:szCs w:val="24"/>
        </w:rPr>
      </w:pPr>
      <w:r>
        <w:rPr>
          <w:rFonts w:hint="eastAsia" w:hAnsi="宋体"/>
          <w:color w:val="auto"/>
          <w:sz w:val="24"/>
          <w:szCs w:val="24"/>
        </w:rPr>
        <w:t>⑵我们根据谈判采购文件的规定，承担完成合同的责任和义务。</w:t>
      </w:r>
    </w:p>
    <w:p>
      <w:pPr>
        <w:pStyle w:val="18"/>
        <w:spacing w:line="440" w:lineRule="exact"/>
        <w:ind w:firstLine="480" w:firstLineChars="200"/>
        <w:rPr>
          <w:rFonts w:hAnsi="宋体"/>
          <w:color w:val="auto"/>
          <w:sz w:val="24"/>
          <w:szCs w:val="24"/>
        </w:rPr>
      </w:pPr>
      <w:r>
        <w:rPr>
          <w:rFonts w:hint="eastAsia" w:hAnsi="宋体"/>
          <w:color w:val="auto"/>
          <w:sz w:val="24"/>
          <w:szCs w:val="24"/>
        </w:rPr>
        <w:t>⑶我们已详细审查全部采购文件，包括修改文件（如有的话）和有关附件，将自行承担因对全部采购文件理解不正确或误解而产生的相应后果。</w:t>
      </w:r>
    </w:p>
    <w:p>
      <w:pPr>
        <w:pStyle w:val="18"/>
        <w:spacing w:line="440" w:lineRule="exact"/>
        <w:ind w:firstLine="480" w:firstLineChars="200"/>
        <w:rPr>
          <w:rFonts w:hAnsi="宋体"/>
          <w:color w:val="auto"/>
          <w:sz w:val="24"/>
          <w:szCs w:val="24"/>
        </w:rPr>
      </w:pPr>
      <w:r>
        <w:rPr>
          <w:rFonts w:hint="eastAsia" w:hAnsi="宋体"/>
          <w:color w:val="auto"/>
          <w:sz w:val="24"/>
          <w:szCs w:val="24"/>
        </w:rPr>
        <w:t>⑷我们同意在竞标人须知规定的截标日期起遵循本竞标文件，并在竞标人须知第14条规定的竞标有效期满之前均具有约束力，并有可能成交。</w:t>
      </w:r>
    </w:p>
    <w:p>
      <w:pPr>
        <w:pStyle w:val="18"/>
        <w:spacing w:line="440" w:lineRule="exact"/>
        <w:ind w:firstLine="420"/>
        <w:rPr>
          <w:rFonts w:hAnsi="宋体"/>
          <w:color w:val="auto"/>
          <w:sz w:val="24"/>
          <w:szCs w:val="24"/>
        </w:rPr>
      </w:pPr>
      <w:r>
        <w:rPr>
          <w:rFonts w:hint="eastAsia" w:hAnsi="宋体"/>
          <w:color w:val="auto"/>
          <w:sz w:val="24"/>
          <w:szCs w:val="24"/>
        </w:rPr>
        <w:t>⑸如果在竞标截止时间后的竞标有效期内撤回竞标或者有其他违约行为，我们的竞标保证金可被贵方全部没收。</w:t>
      </w:r>
    </w:p>
    <w:p>
      <w:pPr>
        <w:pStyle w:val="18"/>
        <w:spacing w:line="440" w:lineRule="exact"/>
        <w:ind w:firstLine="420"/>
        <w:rPr>
          <w:rFonts w:hAnsi="宋体"/>
          <w:color w:val="auto"/>
          <w:sz w:val="24"/>
          <w:szCs w:val="24"/>
        </w:rPr>
      </w:pPr>
      <w:r>
        <w:rPr>
          <w:rFonts w:hint="eastAsia" w:hAnsi="宋体"/>
          <w:color w:val="auto"/>
          <w:sz w:val="24"/>
          <w:szCs w:val="24"/>
        </w:rPr>
        <w:t>⑹我们同意提供按照贵方可能要求的与本竞标有关的一切数据或资料，完全理解贵方不一定要接受最低的报价或收到的任何竞标。</w:t>
      </w:r>
    </w:p>
    <w:p>
      <w:pPr>
        <w:pStyle w:val="18"/>
        <w:spacing w:line="440" w:lineRule="exact"/>
        <w:ind w:firstLine="420"/>
        <w:rPr>
          <w:rFonts w:hAnsi="宋体"/>
          <w:color w:val="auto"/>
          <w:sz w:val="24"/>
          <w:szCs w:val="24"/>
        </w:rPr>
      </w:pPr>
      <w:r>
        <w:rPr>
          <w:rFonts w:hint="eastAsia" w:hAnsi="宋体"/>
          <w:color w:val="auto"/>
          <w:sz w:val="24"/>
          <w:szCs w:val="24"/>
        </w:rPr>
        <w:t>与本竞标有关的正式通讯地址为：</w:t>
      </w:r>
    </w:p>
    <w:p>
      <w:pPr>
        <w:pStyle w:val="18"/>
        <w:spacing w:line="400" w:lineRule="exact"/>
        <w:ind w:firstLine="420"/>
        <w:rPr>
          <w:rFonts w:hAnsi="宋体"/>
          <w:color w:val="auto"/>
          <w:sz w:val="24"/>
          <w:szCs w:val="24"/>
        </w:rPr>
      </w:pPr>
      <w:r>
        <w:rPr>
          <w:rFonts w:hint="eastAsia" w:hAnsi="宋体"/>
          <w:color w:val="auto"/>
          <w:sz w:val="24"/>
          <w:szCs w:val="24"/>
        </w:rPr>
        <w:t>地址：</w:t>
      </w:r>
      <w:r>
        <w:rPr>
          <w:rFonts w:hint="eastAsia" w:hAnsi="宋体"/>
          <w:color w:val="auto"/>
          <w:sz w:val="24"/>
          <w:szCs w:val="24"/>
          <w:u w:val="single"/>
        </w:rPr>
        <w:t xml:space="preserve">                                </w:t>
      </w:r>
      <w:r>
        <w:rPr>
          <w:rFonts w:hint="eastAsia" w:hAnsi="宋体"/>
          <w:color w:val="auto"/>
          <w:sz w:val="24"/>
          <w:szCs w:val="24"/>
        </w:rPr>
        <w:t xml:space="preserve"> 邮政编码：</w:t>
      </w:r>
      <w:r>
        <w:rPr>
          <w:rFonts w:hint="eastAsia" w:hAnsi="宋体"/>
          <w:color w:val="auto"/>
          <w:sz w:val="24"/>
          <w:szCs w:val="24"/>
          <w:u w:val="single"/>
        </w:rPr>
        <w:t xml:space="preserve">             </w:t>
      </w:r>
    </w:p>
    <w:p>
      <w:pPr>
        <w:pStyle w:val="18"/>
        <w:spacing w:line="400" w:lineRule="exact"/>
        <w:ind w:firstLine="420"/>
        <w:rPr>
          <w:rFonts w:hAnsi="宋体"/>
          <w:color w:val="auto"/>
          <w:sz w:val="24"/>
          <w:szCs w:val="24"/>
          <w:u w:val="single"/>
        </w:rPr>
      </w:pPr>
      <w:r>
        <w:rPr>
          <w:rFonts w:hint="eastAsia" w:hAnsi="宋体"/>
          <w:color w:val="auto"/>
          <w:sz w:val="24"/>
          <w:szCs w:val="24"/>
        </w:rPr>
        <w:t>电话、电报、传真或电传：</w:t>
      </w:r>
      <w:r>
        <w:rPr>
          <w:rFonts w:hint="eastAsia" w:hAnsi="宋体"/>
          <w:color w:val="auto"/>
          <w:sz w:val="24"/>
          <w:szCs w:val="24"/>
          <w:u w:val="single"/>
        </w:rPr>
        <w:t xml:space="preserve">                                      </w:t>
      </w:r>
    </w:p>
    <w:p>
      <w:pPr>
        <w:pStyle w:val="18"/>
        <w:spacing w:line="400" w:lineRule="exact"/>
        <w:ind w:firstLine="420"/>
        <w:rPr>
          <w:rFonts w:hAnsi="宋体"/>
          <w:color w:val="auto"/>
          <w:sz w:val="24"/>
          <w:szCs w:val="24"/>
          <w:u w:val="single"/>
        </w:rPr>
      </w:pPr>
      <w:r>
        <w:rPr>
          <w:rFonts w:hint="eastAsia" w:hAnsi="宋体"/>
          <w:color w:val="auto"/>
          <w:sz w:val="24"/>
          <w:szCs w:val="24"/>
        </w:rPr>
        <w:t>开户名称：</w:t>
      </w:r>
      <w:r>
        <w:rPr>
          <w:rFonts w:hint="eastAsia" w:hAnsi="宋体"/>
          <w:color w:val="auto"/>
          <w:sz w:val="24"/>
          <w:szCs w:val="24"/>
          <w:u w:val="single"/>
        </w:rPr>
        <w:t xml:space="preserve">                                                    </w:t>
      </w:r>
    </w:p>
    <w:p>
      <w:pPr>
        <w:pStyle w:val="18"/>
        <w:spacing w:line="400" w:lineRule="exact"/>
        <w:ind w:firstLine="420"/>
        <w:rPr>
          <w:rFonts w:hAnsi="宋体"/>
          <w:color w:val="auto"/>
          <w:sz w:val="24"/>
          <w:szCs w:val="24"/>
          <w:u w:val="single"/>
        </w:rPr>
      </w:pPr>
      <w:r>
        <w:rPr>
          <w:rFonts w:hint="eastAsia" w:hAnsi="宋体"/>
          <w:color w:val="auto"/>
          <w:sz w:val="24"/>
          <w:szCs w:val="24"/>
        </w:rPr>
        <w:t>开户银行：</w:t>
      </w:r>
      <w:r>
        <w:rPr>
          <w:rFonts w:hint="eastAsia" w:hAnsi="宋体"/>
          <w:color w:val="auto"/>
          <w:sz w:val="24"/>
          <w:szCs w:val="24"/>
          <w:u w:val="single"/>
        </w:rPr>
        <w:t xml:space="preserve">                                                    </w:t>
      </w:r>
    </w:p>
    <w:p>
      <w:pPr>
        <w:pStyle w:val="18"/>
        <w:spacing w:line="400" w:lineRule="exact"/>
        <w:ind w:firstLine="420"/>
        <w:rPr>
          <w:rFonts w:hAnsi="宋体"/>
          <w:color w:val="auto"/>
          <w:sz w:val="24"/>
          <w:szCs w:val="24"/>
          <w:u w:val="single"/>
        </w:rPr>
      </w:pPr>
      <w:r>
        <w:rPr>
          <w:rFonts w:hint="eastAsia" w:hAnsi="宋体"/>
          <w:color w:val="auto"/>
          <w:sz w:val="24"/>
          <w:szCs w:val="24"/>
        </w:rPr>
        <w:t>账号：</w:t>
      </w:r>
      <w:r>
        <w:rPr>
          <w:rFonts w:hint="eastAsia" w:hAnsi="宋体"/>
          <w:color w:val="auto"/>
          <w:sz w:val="24"/>
          <w:szCs w:val="24"/>
          <w:u w:val="single"/>
        </w:rPr>
        <w:t xml:space="preserve">                                                        </w:t>
      </w:r>
    </w:p>
    <w:p>
      <w:pPr>
        <w:pStyle w:val="18"/>
        <w:spacing w:line="400" w:lineRule="exact"/>
        <w:ind w:firstLine="420"/>
        <w:rPr>
          <w:rFonts w:hAnsi="宋体"/>
          <w:color w:val="auto"/>
          <w:sz w:val="24"/>
          <w:szCs w:val="24"/>
        </w:rPr>
      </w:pPr>
      <w:r>
        <w:rPr>
          <w:rFonts w:hint="eastAsia" w:hAnsi="宋体"/>
          <w:color w:val="auto"/>
          <w:sz w:val="24"/>
          <w:szCs w:val="24"/>
        </w:rPr>
        <w:t>法定代表人或委托代理人签名：</w:t>
      </w:r>
      <w:r>
        <w:rPr>
          <w:rFonts w:hint="eastAsia" w:hAnsi="宋体"/>
          <w:color w:val="auto"/>
          <w:sz w:val="24"/>
          <w:szCs w:val="24"/>
          <w:u w:val="single"/>
        </w:rPr>
        <w:t xml:space="preserve">                                  </w:t>
      </w:r>
    </w:p>
    <w:p>
      <w:pPr>
        <w:pStyle w:val="18"/>
        <w:spacing w:line="400" w:lineRule="exact"/>
        <w:ind w:firstLine="420"/>
        <w:rPr>
          <w:rFonts w:hAnsi="宋体"/>
          <w:color w:val="auto"/>
          <w:sz w:val="24"/>
          <w:szCs w:val="24"/>
        </w:rPr>
      </w:pPr>
      <w:r>
        <w:rPr>
          <w:rFonts w:hint="eastAsia" w:hAnsi="宋体"/>
          <w:color w:val="auto"/>
          <w:sz w:val="24"/>
          <w:szCs w:val="24"/>
        </w:rPr>
        <w:t>竞标人（盖公章）：</w:t>
      </w:r>
      <w:r>
        <w:rPr>
          <w:rFonts w:hint="eastAsia" w:hAnsi="宋体"/>
          <w:color w:val="auto"/>
          <w:sz w:val="24"/>
          <w:szCs w:val="24"/>
          <w:u w:val="single"/>
        </w:rPr>
        <w:t xml:space="preserve">                                             </w:t>
      </w:r>
    </w:p>
    <w:p>
      <w:pPr>
        <w:pStyle w:val="18"/>
        <w:spacing w:line="400" w:lineRule="exact"/>
        <w:ind w:firstLine="420"/>
        <w:rPr>
          <w:rFonts w:hAnsi="宋体"/>
          <w:color w:val="auto"/>
          <w:sz w:val="24"/>
          <w:szCs w:val="24"/>
        </w:rPr>
      </w:pPr>
      <w:r>
        <w:rPr>
          <w:rFonts w:hint="eastAsia" w:hAnsi="宋体"/>
          <w:color w:val="auto"/>
          <w:sz w:val="24"/>
          <w:szCs w:val="24"/>
        </w:rPr>
        <w:t>日期：</w:t>
      </w:r>
      <w:r>
        <w:rPr>
          <w:rFonts w:hint="eastAsia" w:hAnsi="宋体"/>
          <w:color w:val="auto"/>
          <w:sz w:val="24"/>
          <w:szCs w:val="24"/>
          <w:u w:val="single"/>
        </w:rPr>
        <w:t xml:space="preserve">                                                        </w:t>
      </w:r>
    </w:p>
    <w:p>
      <w:pPr>
        <w:pStyle w:val="18"/>
        <w:spacing w:line="400" w:lineRule="exact"/>
        <w:ind w:firstLine="420"/>
        <w:jc w:val="center"/>
        <w:rPr>
          <w:rFonts w:hAnsi="宋体"/>
          <w:b/>
          <w:bCs/>
          <w:color w:val="auto"/>
          <w:sz w:val="30"/>
        </w:rPr>
        <w:sectPr>
          <w:headerReference r:id="rId4" w:type="default"/>
          <w:footerReference r:id="rId5" w:type="default"/>
          <w:pgSz w:w="11906" w:h="16838"/>
          <w:pgMar w:top="1134" w:right="1134" w:bottom="1134" w:left="1134" w:header="720" w:footer="720" w:gutter="0"/>
          <w:pgNumType w:start="1"/>
          <w:cols w:space="720" w:num="1"/>
          <w:docGrid w:type="lines" w:linePitch="312" w:charSpace="0"/>
        </w:sectPr>
      </w:pPr>
    </w:p>
    <w:p>
      <w:pPr>
        <w:pStyle w:val="18"/>
        <w:spacing w:line="400" w:lineRule="exact"/>
        <w:ind w:firstLine="420"/>
        <w:jc w:val="center"/>
        <w:rPr>
          <w:rFonts w:hAnsi="宋体"/>
          <w:b/>
          <w:bCs/>
          <w:color w:val="auto"/>
          <w:sz w:val="30"/>
        </w:rPr>
      </w:pPr>
      <w:r>
        <w:rPr>
          <w:rFonts w:hint="eastAsia" w:hAnsi="宋体"/>
          <w:b/>
          <w:bCs/>
          <w:color w:val="auto"/>
          <w:sz w:val="30"/>
        </w:rPr>
        <w:t>2、竞标报价表格式</w:t>
      </w:r>
    </w:p>
    <w:p>
      <w:pPr>
        <w:pStyle w:val="18"/>
        <w:ind w:firstLine="85" w:firstLineChars="50"/>
        <w:rPr>
          <w:rFonts w:hAnsi="宋体"/>
          <w:color w:val="auto"/>
          <w:spacing w:val="-20"/>
        </w:rPr>
      </w:pPr>
      <w:r>
        <w:rPr>
          <w:rFonts w:hint="eastAsia" w:hAnsi="宋体"/>
          <w:color w:val="auto"/>
          <w:spacing w:val="-20"/>
          <w:u w:val="single"/>
        </w:rPr>
        <w:t xml:space="preserve"> </w:t>
      </w:r>
    </w:p>
    <w:tbl>
      <w:tblPr>
        <w:tblStyle w:val="3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43"/>
        <w:gridCol w:w="2268"/>
        <w:gridCol w:w="1417"/>
        <w:gridCol w:w="1134"/>
        <w:gridCol w:w="1711"/>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700" w:type="dxa"/>
            <w:tcBorders>
              <w:bottom w:val="single" w:color="auto" w:sz="4" w:space="0"/>
            </w:tcBorders>
            <w:vAlign w:val="center"/>
          </w:tcPr>
          <w:p>
            <w:pPr>
              <w:pStyle w:val="18"/>
              <w:spacing w:line="440" w:lineRule="exact"/>
              <w:jc w:val="center"/>
              <w:rPr>
                <w:rFonts w:hAnsi="宋体" w:cs="宋体"/>
                <w:color w:val="auto"/>
                <w:spacing w:val="-20"/>
                <w:sz w:val="24"/>
                <w:szCs w:val="24"/>
              </w:rPr>
            </w:pPr>
            <w:r>
              <w:rPr>
                <w:rFonts w:hint="eastAsia" w:hAnsi="宋体" w:cs="宋体"/>
                <w:color w:val="auto"/>
                <w:spacing w:val="-20"/>
                <w:sz w:val="24"/>
                <w:szCs w:val="24"/>
              </w:rPr>
              <w:t>序号</w:t>
            </w:r>
          </w:p>
        </w:tc>
        <w:tc>
          <w:tcPr>
            <w:tcW w:w="1843" w:type="dxa"/>
            <w:tcBorders>
              <w:bottom w:val="single" w:color="auto" w:sz="4" w:space="0"/>
            </w:tcBorders>
            <w:vAlign w:val="center"/>
          </w:tcPr>
          <w:p>
            <w:pPr>
              <w:pStyle w:val="18"/>
              <w:spacing w:line="440" w:lineRule="exact"/>
              <w:jc w:val="center"/>
              <w:rPr>
                <w:rFonts w:hAnsi="宋体" w:cs="宋体"/>
                <w:color w:val="auto"/>
                <w:spacing w:val="-20"/>
                <w:sz w:val="24"/>
                <w:szCs w:val="24"/>
              </w:rPr>
            </w:pPr>
            <w:r>
              <w:rPr>
                <w:rFonts w:hint="eastAsia" w:hAnsi="宋体" w:cs="宋体"/>
                <w:color w:val="auto"/>
                <w:spacing w:val="-20"/>
                <w:sz w:val="24"/>
                <w:szCs w:val="24"/>
              </w:rPr>
              <w:t>检测分项</w:t>
            </w:r>
          </w:p>
        </w:tc>
        <w:tc>
          <w:tcPr>
            <w:tcW w:w="2268" w:type="dxa"/>
            <w:tcBorders>
              <w:bottom w:val="single" w:color="auto" w:sz="4" w:space="0"/>
            </w:tcBorders>
            <w:vAlign w:val="center"/>
          </w:tcPr>
          <w:p>
            <w:pPr>
              <w:pStyle w:val="18"/>
              <w:spacing w:line="440" w:lineRule="exact"/>
              <w:jc w:val="center"/>
              <w:rPr>
                <w:rFonts w:hAnsi="宋体" w:cs="宋体"/>
                <w:color w:val="auto"/>
                <w:spacing w:val="-20"/>
                <w:sz w:val="24"/>
                <w:szCs w:val="24"/>
              </w:rPr>
            </w:pPr>
            <w:r>
              <w:rPr>
                <w:rFonts w:hint="eastAsia" w:hAnsi="宋体" w:cs="宋体"/>
                <w:color w:val="auto"/>
                <w:spacing w:val="-20"/>
                <w:sz w:val="24"/>
                <w:szCs w:val="24"/>
              </w:rPr>
              <w:t>抽样频率（数量）或构件名称</w:t>
            </w:r>
          </w:p>
        </w:tc>
        <w:tc>
          <w:tcPr>
            <w:tcW w:w="1417" w:type="dxa"/>
            <w:tcBorders>
              <w:bottom w:val="single" w:color="auto" w:sz="4" w:space="0"/>
            </w:tcBorders>
            <w:vAlign w:val="center"/>
          </w:tcPr>
          <w:p>
            <w:pPr>
              <w:pStyle w:val="18"/>
              <w:spacing w:line="440" w:lineRule="exact"/>
              <w:jc w:val="center"/>
              <w:rPr>
                <w:rFonts w:hAnsi="宋体" w:cs="宋体"/>
                <w:color w:val="auto"/>
                <w:spacing w:val="-20"/>
                <w:sz w:val="24"/>
                <w:szCs w:val="24"/>
              </w:rPr>
            </w:pPr>
            <w:r>
              <w:rPr>
                <w:rFonts w:hint="eastAsia" w:hAnsi="宋体" w:cs="宋体"/>
                <w:color w:val="auto"/>
                <w:spacing w:val="-20"/>
                <w:sz w:val="24"/>
                <w:szCs w:val="24"/>
              </w:rPr>
              <w:t>检测数量</w:t>
            </w:r>
          </w:p>
          <w:p>
            <w:pPr>
              <w:pStyle w:val="18"/>
              <w:spacing w:line="440" w:lineRule="exact"/>
              <w:jc w:val="center"/>
              <w:rPr>
                <w:rFonts w:hAnsi="宋体" w:cs="宋体"/>
                <w:color w:val="auto"/>
                <w:sz w:val="24"/>
                <w:szCs w:val="24"/>
              </w:rPr>
            </w:pPr>
            <w:r>
              <w:rPr>
                <w:rFonts w:hint="eastAsia" w:hAnsi="宋体" w:cs="宋体"/>
                <w:color w:val="auto"/>
                <w:sz w:val="24"/>
                <w:szCs w:val="24"/>
              </w:rPr>
              <w:t>①</w:t>
            </w:r>
          </w:p>
        </w:tc>
        <w:tc>
          <w:tcPr>
            <w:tcW w:w="1134" w:type="dxa"/>
            <w:tcBorders>
              <w:bottom w:val="single" w:color="auto" w:sz="4" w:space="0"/>
            </w:tcBorders>
            <w:vAlign w:val="center"/>
          </w:tcPr>
          <w:p>
            <w:pPr>
              <w:pStyle w:val="18"/>
              <w:spacing w:line="440" w:lineRule="exact"/>
              <w:jc w:val="center"/>
              <w:rPr>
                <w:rFonts w:hAnsi="宋体" w:cs="宋体"/>
                <w:color w:val="auto"/>
                <w:sz w:val="24"/>
                <w:szCs w:val="24"/>
              </w:rPr>
            </w:pPr>
            <w:r>
              <w:rPr>
                <w:rFonts w:hint="eastAsia" w:hAnsi="宋体" w:cs="宋体"/>
                <w:color w:val="auto"/>
                <w:sz w:val="24"/>
                <w:szCs w:val="24"/>
              </w:rPr>
              <w:t>单价</w:t>
            </w:r>
          </w:p>
          <w:p>
            <w:pPr>
              <w:pStyle w:val="18"/>
              <w:spacing w:line="440" w:lineRule="exact"/>
              <w:jc w:val="center"/>
              <w:rPr>
                <w:rFonts w:hAnsi="宋体" w:cs="宋体"/>
                <w:color w:val="auto"/>
                <w:sz w:val="24"/>
                <w:szCs w:val="24"/>
              </w:rPr>
            </w:pPr>
            <w:r>
              <w:rPr>
                <w:rFonts w:hint="eastAsia" w:hAnsi="宋体" w:cs="宋体"/>
                <w:color w:val="auto"/>
                <w:sz w:val="24"/>
                <w:szCs w:val="24"/>
              </w:rPr>
              <w:t>②</w:t>
            </w:r>
          </w:p>
        </w:tc>
        <w:tc>
          <w:tcPr>
            <w:tcW w:w="1711" w:type="dxa"/>
            <w:tcBorders>
              <w:bottom w:val="single" w:color="auto" w:sz="4" w:space="0"/>
            </w:tcBorders>
            <w:vAlign w:val="center"/>
          </w:tcPr>
          <w:p>
            <w:pPr>
              <w:pStyle w:val="18"/>
              <w:spacing w:line="440" w:lineRule="exact"/>
              <w:jc w:val="center"/>
              <w:rPr>
                <w:rFonts w:hAnsi="宋体" w:cs="宋体"/>
                <w:color w:val="auto"/>
                <w:sz w:val="24"/>
                <w:szCs w:val="24"/>
              </w:rPr>
            </w:pPr>
            <w:r>
              <w:rPr>
                <w:rFonts w:hint="eastAsia" w:hAnsi="宋体" w:cs="宋体"/>
                <w:color w:val="auto"/>
                <w:sz w:val="24"/>
                <w:szCs w:val="24"/>
              </w:rPr>
              <w:t>单项合计</w:t>
            </w:r>
          </w:p>
          <w:p>
            <w:pPr>
              <w:pStyle w:val="18"/>
              <w:spacing w:line="440" w:lineRule="exact"/>
              <w:jc w:val="center"/>
              <w:rPr>
                <w:rFonts w:hAnsi="宋体" w:cs="宋体"/>
                <w:color w:val="auto"/>
                <w:sz w:val="24"/>
                <w:szCs w:val="24"/>
              </w:rPr>
            </w:pPr>
            <w:r>
              <w:rPr>
                <w:rFonts w:hint="eastAsia" w:hAnsi="宋体" w:cs="宋体"/>
                <w:color w:val="auto"/>
                <w:sz w:val="24"/>
                <w:szCs w:val="24"/>
              </w:rPr>
              <w:t>（元）</w:t>
            </w:r>
          </w:p>
          <w:p>
            <w:pPr>
              <w:pStyle w:val="18"/>
              <w:spacing w:line="440" w:lineRule="exact"/>
              <w:jc w:val="center"/>
              <w:rPr>
                <w:rFonts w:hAnsi="宋体" w:cs="宋体"/>
                <w:color w:val="auto"/>
                <w:sz w:val="24"/>
                <w:szCs w:val="24"/>
              </w:rPr>
            </w:pPr>
            <w:r>
              <w:rPr>
                <w:rFonts w:hint="eastAsia" w:hAnsi="宋体" w:cs="宋体"/>
                <w:color w:val="auto"/>
                <w:sz w:val="24"/>
                <w:szCs w:val="24"/>
              </w:rPr>
              <w:t>③=①×②</w:t>
            </w:r>
          </w:p>
        </w:tc>
        <w:tc>
          <w:tcPr>
            <w:tcW w:w="1113" w:type="dxa"/>
            <w:tcBorders>
              <w:bottom w:val="single" w:color="auto" w:sz="4" w:space="0"/>
            </w:tcBorders>
            <w:vAlign w:val="center"/>
          </w:tcPr>
          <w:p>
            <w:pPr>
              <w:pStyle w:val="18"/>
              <w:spacing w:line="440" w:lineRule="exact"/>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1</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snapToGrid w:val="0"/>
              <w:spacing w:line="440" w:lineRule="exact"/>
              <w:jc w:val="center"/>
              <w:rPr>
                <w:rFonts w:ascii="宋体" w:hAnsi="宋体" w:cs="宋体"/>
                <w:color w:val="auto"/>
                <w:sz w:val="24"/>
              </w:rPr>
            </w:pPr>
          </w:p>
        </w:tc>
        <w:tc>
          <w:tcPr>
            <w:tcW w:w="1417" w:type="dxa"/>
            <w:vAlign w:val="center"/>
          </w:tcPr>
          <w:p>
            <w:pPr>
              <w:snapToGrid w:val="0"/>
              <w:spacing w:line="440" w:lineRule="exact"/>
              <w:jc w:val="center"/>
              <w:rPr>
                <w:rFonts w:ascii="宋体" w:hAnsi="宋体" w:cs="宋体"/>
                <w:color w:val="auto"/>
                <w:sz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2</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snapToGrid w:val="0"/>
              <w:spacing w:line="440" w:lineRule="exact"/>
              <w:jc w:val="center"/>
              <w:rPr>
                <w:rFonts w:ascii="宋体" w:hAnsi="宋体" w:cs="宋体"/>
                <w:color w:val="auto"/>
                <w:sz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3</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snapToGrid w:val="0"/>
              <w:spacing w:line="440" w:lineRule="exact"/>
              <w:jc w:val="center"/>
              <w:rPr>
                <w:rFonts w:ascii="宋体" w:hAnsi="宋体" w:cs="宋体"/>
                <w:color w:val="auto"/>
                <w:sz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4</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pStyle w:val="18"/>
              <w:spacing w:line="440" w:lineRule="exact"/>
              <w:rPr>
                <w:rFonts w:hAnsi="宋体" w:cs="宋体"/>
                <w:color w:val="auto"/>
                <w:sz w:val="24"/>
                <w:szCs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5</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pStyle w:val="18"/>
              <w:spacing w:line="440" w:lineRule="exact"/>
              <w:rPr>
                <w:rFonts w:hAnsi="宋体" w:cs="宋体"/>
                <w:color w:val="auto"/>
                <w:sz w:val="24"/>
                <w:szCs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6</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pStyle w:val="18"/>
              <w:spacing w:line="440" w:lineRule="exact"/>
              <w:rPr>
                <w:rFonts w:hAnsi="宋体" w:cs="宋体"/>
                <w:color w:val="auto"/>
                <w:sz w:val="24"/>
                <w:szCs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pStyle w:val="18"/>
              <w:spacing w:line="440" w:lineRule="exact"/>
              <w:rPr>
                <w:rFonts w:hAnsi="宋体" w:cs="宋体"/>
                <w:color w:val="auto"/>
                <w:sz w:val="24"/>
                <w:szCs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0" w:type="dxa"/>
            <w:vAlign w:val="center"/>
          </w:tcPr>
          <w:p>
            <w:pPr>
              <w:spacing w:line="440" w:lineRule="exact"/>
              <w:jc w:val="center"/>
              <w:rPr>
                <w:rFonts w:ascii="宋体" w:hAnsi="宋体" w:cs="宋体"/>
                <w:color w:val="auto"/>
                <w:sz w:val="24"/>
              </w:rPr>
            </w:pPr>
            <w:r>
              <w:rPr>
                <w:rFonts w:hint="eastAsia" w:ascii="宋体" w:hAnsi="宋体" w:cs="宋体"/>
                <w:color w:val="auto"/>
                <w:sz w:val="24"/>
              </w:rPr>
              <w:t>N</w:t>
            </w:r>
          </w:p>
        </w:tc>
        <w:tc>
          <w:tcPr>
            <w:tcW w:w="1843" w:type="dxa"/>
            <w:vAlign w:val="center"/>
          </w:tcPr>
          <w:p>
            <w:pPr>
              <w:spacing w:line="440" w:lineRule="exact"/>
              <w:jc w:val="center"/>
              <w:rPr>
                <w:rFonts w:ascii="宋体" w:hAnsi="宋体" w:cs="宋体"/>
                <w:color w:val="auto"/>
                <w:sz w:val="24"/>
              </w:rPr>
            </w:pPr>
          </w:p>
        </w:tc>
        <w:tc>
          <w:tcPr>
            <w:tcW w:w="2268" w:type="dxa"/>
            <w:vAlign w:val="center"/>
          </w:tcPr>
          <w:p>
            <w:pPr>
              <w:pStyle w:val="18"/>
              <w:spacing w:line="440" w:lineRule="exact"/>
              <w:rPr>
                <w:rFonts w:hAnsi="宋体" w:cs="宋体"/>
                <w:color w:val="auto"/>
                <w:sz w:val="24"/>
                <w:szCs w:val="24"/>
              </w:rPr>
            </w:pPr>
          </w:p>
        </w:tc>
        <w:tc>
          <w:tcPr>
            <w:tcW w:w="1417" w:type="dxa"/>
            <w:vAlign w:val="center"/>
          </w:tcPr>
          <w:p>
            <w:pPr>
              <w:pStyle w:val="18"/>
              <w:spacing w:line="440" w:lineRule="exact"/>
              <w:rPr>
                <w:rFonts w:hAnsi="宋体" w:cs="宋体"/>
                <w:color w:val="auto"/>
                <w:sz w:val="24"/>
                <w:szCs w:val="24"/>
              </w:rPr>
            </w:pPr>
          </w:p>
        </w:tc>
        <w:tc>
          <w:tcPr>
            <w:tcW w:w="1134" w:type="dxa"/>
            <w:vAlign w:val="center"/>
          </w:tcPr>
          <w:p>
            <w:pPr>
              <w:pStyle w:val="18"/>
              <w:spacing w:line="440" w:lineRule="exact"/>
              <w:rPr>
                <w:rFonts w:hAnsi="宋体" w:cs="宋体"/>
                <w:color w:val="auto"/>
                <w:sz w:val="24"/>
                <w:szCs w:val="24"/>
              </w:rPr>
            </w:pPr>
          </w:p>
        </w:tc>
        <w:tc>
          <w:tcPr>
            <w:tcW w:w="1711" w:type="dxa"/>
            <w:vAlign w:val="center"/>
          </w:tcPr>
          <w:p>
            <w:pPr>
              <w:pStyle w:val="18"/>
              <w:spacing w:line="440" w:lineRule="exact"/>
              <w:rPr>
                <w:rFonts w:hAnsi="宋体" w:cs="宋体"/>
                <w:color w:val="auto"/>
                <w:sz w:val="24"/>
                <w:szCs w:val="24"/>
              </w:rPr>
            </w:pPr>
          </w:p>
        </w:tc>
        <w:tc>
          <w:tcPr>
            <w:tcW w:w="1113" w:type="dxa"/>
            <w:vAlign w:val="center"/>
          </w:tcPr>
          <w:p>
            <w:pPr>
              <w:pStyle w:val="18"/>
              <w:spacing w:line="440" w:lineRule="exact"/>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0186" w:type="dxa"/>
            <w:gridSpan w:val="7"/>
            <w:vAlign w:val="center"/>
          </w:tcPr>
          <w:p>
            <w:pPr>
              <w:pStyle w:val="18"/>
              <w:spacing w:line="440" w:lineRule="exact"/>
              <w:rPr>
                <w:rFonts w:hAnsi="宋体" w:cs="宋体"/>
                <w:color w:val="auto"/>
                <w:spacing w:val="-6"/>
                <w:sz w:val="24"/>
                <w:szCs w:val="24"/>
              </w:rPr>
            </w:pPr>
            <w:r>
              <w:rPr>
                <w:rFonts w:hint="eastAsia" w:hAnsi="宋体" w:cs="宋体"/>
                <w:color w:val="auto"/>
                <w:spacing w:val="-6"/>
                <w:sz w:val="24"/>
                <w:szCs w:val="24"/>
              </w:rPr>
              <w:t>竞标总报价（人民币大写）：</w:t>
            </w:r>
            <w:r>
              <w:rPr>
                <w:rFonts w:hint="eastAsia" w:hAnsi="宋体" w:cs="宋体"/>
                <w:color w:val="auto"/>
                <w:spacing w:val="-6"/>
                <w:sz w:val="24"/>
                <w:szCs w:val="24"/>
                <w:u w:val="single"/>
              </w:rPr>
              <w:t xml:space="preserve">                                           </w:t>
            </w:r>
            <w:r>
              <w:rPr>
                <w:rFonts w:hint="eastAsia" w:hAnsi="宋体" w:cs="宋体"/>
                <w:color w:val="auto"/>
                <w:spacing w:val="-6"/>
                <w:sz w:val="24"/>
                <w:szCs w:val="24"/>
              </w:rPr>
              <w:t xml:space="preserve"> （￥</w:t>
            </w:r>
            <w:r>
              <w:rPr>
                <w:rFonts w:hint="eastAsia" w:hAnsi="宋体" w:cs="宋体"/>
                <w:color w:val="auto"/>
                <w:spacing w:val="-6"/>
                <w:sz w:val="24"/>
                <w:szCs w:val="24"/>
                <w:u w:val="single"/>
              </w:rPr>
              <w:t xml:space="preserve">              </w:t>
            </w:r>
            <w:r>
              <w:rPr>
                <w:rFonts w:hint="eastAsia" w:hAnsi="宋体" w:cs="宋体"/>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0186" w:type="dxa"/>
            <w:gridSpan w:val="7"/>
            <w:vAlign w:val="center"/>
          </w:tcPr>
          <w:p>
            <w:pPr>
              <w:pStyle w:val="18"/>
              <w:spacing w:line="440" w:lineRule="exact"/>
              <w:rPr>
                <w:rFonts w:hAnsi="宋体" w:cs="宋体"/>
                <w:color w:val="auto"/>
                <w:spacing w:val="-6"/>
                <w:sz w:val="24"/>
                <w:szCs w:val="24"/>
              </w:rPr>
            </w:pPr>
            <w:r>
              <w:rPr>
                <w:rFonts w:hint="eastAsia" w:hAnsi="宋体" w:cs="宋体"/>
                <w:color w:val="auto"/>
                <w:spacing w:val="-6"/>
                <w:sz w:val="24"/>
                <w:szCs w:val="24"/>
              </w:rPr>
              <w:t>提交服务成果时间：自签订合同之日起至</w:t>
            </w:r>
            <w:r>
              <w:rPr>
                <w:rFonts w:hint="eastAsia" w:hAnsi="宋体" w:cs="宋体"/>
                <w:color w:val="auto"/>
                <w:spacing w:val="-6"/>
                <w:sz w:val="24"/>
                <w:szCs w:val="24"/>
                <w:u w:val="single"/>
              </w:rPr>
              <w:t xml:space="preserve">                                  </w:t>
            </w:r>
            <w:r>
              <w:rPr>
                <w:rFonts w:hint="eastAsia" w:hAnsi="宋体" w:cs="宋体"/>
                <w:color w:val="auto"/>
                <w:spacing w:val="-6"/>
                <w:sz w:val="24"/>
                <w:szCs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0186" w:type="dxa"/>
            <w:gridSpan w:val="7"/>
            <w:vAlign w:val="center"/>
          </w:tcPr>
          <w:p>
            <w:pPr>
              <w:pStyle w:val="18"/>
              <w:spacing w:line="440" w:lineRule="exact"/>
              <w:rPr>
                <w:rFonts w:hAnsi="宋体" w:cs="宋体"/>
                <w:color w:val="auto"/>
                <w:spacing w:val="-6"/>
                <w:sz w:val="24"/>
                <w:szCs w:val="24"/>
              </w:rPr>
            </w:pPr>
            <w:r>
              <w:rPr>
                <w:rFonts w:hint="eastAsia" w:hAnsi="宋体" w:cs="宋体"/>
                <w:color w:val="auto"/>
                <w:spacing w:val="-6"/>
                <w:sz w:val="24"/>
                <w:szCs w:val="24"/>
              </w:rPr>
              <w:t>竞标报价包括本项目检测服务所产生的各种费用、税金及其它所有成本费用的总和。</w:t>
            </w:r>
          </w:p>
        </w:tc>
      </w:tr>
    </w:tbl>
    <w:p>
      <w:pPr>
        <w:pStyle w:val="18"/>
        <w:rPr>
          <w:rFonts w:hAnsi="宋体"/>
          <w:color w:val="auto"/>
        </w:rPr>
      </w:pPr>
    </w:p>
    <w:p>
      <w:pPr>
        <w:pStyle w:val="18"/>
        <w:rPr>
          <w:rFonts w:hAnsi="宋体"/>
          <w:color w:val="auto"/>
        </w:rPr>
      </w:pPr>
    </w:p>
    <w:p>
      <w:pPr>
        <w:pStyle w:val="18"/>
        <w:jc w:val="center"/>
        <w:rPr>
          <w:rFonts w:hAnsi="宋体"/>
          <w:color w:val="auto"/>
        </w:rPr>
      </w:pPr>
    </w:p>
    <w:p>
      <w:pPr>
        <w:pStyle w:val="18"/>
        <w:rPr>
          <w:rFonts w:hAnsi="宋体"/>
          <w:color w:val="auto"/>
          <w:sz w:val="24"/>
          <w:szCs w:val="24"/>
          <w:u w:val="single"/>
        </w:rPr>
      </w:pPr>
      <w:r>
        <w:rPr>
          <w:rFonts w:hint="eastAsia" w:hAnsi="宋体"/>
          <w:color w:val="auto"/>
          <w:sz w:val="24"/>
          <w:szCs w:val="24"/>
        </w:rPr>
        <w:t>竞标人（盖公章）：</w:t>
      </w:r>
      <w:r>
        <w:rPr>
          <w:rFonts w:hint="eastAsia" w:hAnsi="宋体"/>
          <w:color w:val="auto"/>
          <w:sz w:val="24"/>
          <w:szCs w:val="24"/>
          <w:u w:val="single"/>
        </w:rPr>
        <w:t xml:space="preserve">                　　　　　　　　 </w:t>
      </w:r>
    </w:p>
    <w:p>
      <w:pPr>
        <w:pStyle w:val="18"/>
        <w:jc w:val="center"/>
        <w:rPr>
          <w:rFonts w:hAnsi="宋体"/>
          <w:color w:val="auto"/>
          <w:sz w:val="24"/>
          <w:szCs w:val="24"/>
        </w:rPr>
      </w:pPr>
    </w:p>
    <w:p>
      <w:pPr>
        <w:pStyle w:val="18"/>
        <w:rPr>
          <w:rFonts w:hAnsi="宋体"/>
          <w:color w:val="auto"/>
          <w:sz w:val="24"/>
          <w:szCs w:val="24"/>
        </w:rPr>
      </w:pPr>
    </w:p>
    <w:p>
      <w:pPr>
        <w:pStyle w:val="18"/>
        <w:rPr>
          <w:rFonts w:hAnsi="宋体"/>
          <w:color w:val="auto"/>
          <w:sz w:val="24"/>
          <w:szCs w:val="24"/>
          <w:u w:val="single"/>
        </w:rPr>
      </w:pPr>
      <w:r>
        <w:rPr>
          <w:rFonts w:hint="eastAsia" w:hAnsi="宋体"/>
          <w:color w:val="auto"/>
          <w:sz w:val="24"/>
          <w:szCs w:val="24"/>
        </w:rPr>
        <w:t>法定代表人或委托代理人签名：</w:t>
      </w:r>
      <w:r>
        <w:rPr>
          <w:rFonts w:hint="eastAsia" w:hAnsi="宋体"/>
          <w:color w:val="auto"/>
          <w:sz w:val="24"/>
          <w:szCs w:val="24"/>
          <w:u w:val="single"/>
        </w:rPr>
        <w:t xml:space="preserve">                    　</w:t>
      </w:r>
    </w:p>
    <w:p>
      <w:pPr>
        <w:pStyle w:val="18"/>
        <w:jc w:val="center"/>
        <w:rPr>
          <w:rFonts w:hAnsi="宋体"/>
          <w:color w:val="auto"/>
          <w:sz w:val="24"/>
          <w:szCs w:val="24"/>
          <w:u w:val="single"/>
        </w:rPr>
      </w:pPr>
    </w:p>
    <w:p>
      <w:pPr>
        <w:pStyle w:val="18"/>
        <w:jc w:val="center"/>
        <w:rPr>
          <w:rFonts w:hAnsi="宋体"/>
          <w:color w:val="auto"/>
          <w:sz w:val="24"/>
          <w:szCs w:val="24"/>
          <w:u w:val="single"/>
        </w:rPr>
      </w:pPr>
    </w:p>
    <w:p>
      <w:pPr>
        <w:pStyle w:val="18"/>
        <w:rPr>
          <w:rFonts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p>
    <w:p>
      <w:pPr>
        <w:pStyle w:val="18"/>
        <w:rPr>
          <w:rFonts w:hAnsi="宋体"/>
          <w:color w:val="auto"/>
          <w:sz w:val="24"/>
          <w:szCs w:val="24"/>
          <w:u w:val="single"/>
        </w:rPr>
      </w:pPr>
    </w:p>
    <w:p>
      <w:pPr>
        <w:spacing w:line="540" w:lineRule="exact"/>
        <w:jc w:val="center"/>
        <w:rPr>
          <w:rFonts w:ascii="宋体" w:hAnsi="宋体"/>
          <w:b/>
          <w:bCs/>
          <w:color w:val="auto"/>
          <w:sz w:val="30"/>
        </w:rPr>
      </w:pPr>
      <w:r>
        <w:rPr>
          <w:rFonts w:ascii="宋体" w:hAnsi="宋体"/>
          <w:b/>
          <w:color w:val="auto"/>
          <w:sz w:val="30"/>
        </w:rPr>
        <w:br w:type="page"/>
      </w:r>
      <w:r>
        <w:rPr>
          <w:rFonts w:hint="eastAsia" w:ascii="宋体" w:hAnsi="宋体"/>
          <w:b/>
          <w:color w:val="auto"/>
          <w:sz w:val="30"/>
        </w:rPr>
        <w:t>3．竞标保证金缴纳证明</w:t>
      </w:r>
      <w:r>
        <w:rPr>
          <w:rFonts w:hint="eastAsia" w:ascii="宋体" w:hAnsi="宋体"/>
          <w:b/>
          <w:bCs/>
          <w:color w:val="auto"/>
          <w:sz w:val="30"/>
        </w:rPr>
        <w:t>格式</w:t>
      </w:r>
    </w:p>
    <w:p>
      <w:pPr>
        <w:spacing w:line="540" w:lineRule="exact"/>
        <w:jc w:val="center"/>
        <w:rPr>
          <w:rFonts w:ascii="宋体" w:hAnsi="宋体"/>
          <w:color w:val="auto"/>
          <w:sz w:val="30"/>
        </w:rPr>
      </w:pPr>
      <w:r>
        <w:rPr>
          <w:rFonts w:hint="eastAsia" w:ascii="宋体" w:hAnsi="宋体"/>
          <w:b/>
          <w:color w:val="auto"/>
          <w:sz w:val="30"/>
        </w:rPr>
        <w:t>（复印件）</w:t>
      </w:r>
    </w:p>
    <w:p>
      <w:pPr>
        <w:pStyle w:val="18"/>
        <w:spacing w:line="420" w:lineRule="exact"/>
        <w:ind w:firstLine="420"/>
        <w:rPr>
          <w:rFonts w:hAnsi="宋体"/>
          <w:b/>
          <w:color w:val="auto"/>
          <w:sz w:val="32"/>
        </w:rPr>
      </w:pPr>
      <w:r>
        <w:rPr>
          <w:rFonts w:hAnsi="宋体"/>
          <w:color w:val="auto"/>
        </w:rPr>
        <w:br w:type="page"/>
      </w:r>
    </w:p>
    <w:p>
      <w:pPr>
        <w:spacing w:line="540" w:lineRule="exact"/>
        <w:jc w:val="center"/>
        <w:rPr>
          <w:rFonts w:ascii="宋体" w:hAnsi="宋体"/>
          <w:b/>
          <w:bCs/>
          <w:color w:val="auto"/>
          <w:sz w:val="30"/>
        </w:rPr>
      </w:pPr>
      <w:r>
        <w:rPr>
          <w:rFonts w:hint="eastAsia" w:ascii="宋体" w:hAnsi="宋体"/>
          <w:b/>
          <w:color w:val="auto"/>
          <w:sz w:val="30"/>
        </w:rPr>
        <w:t>4、竞标人资格证明文件</w:t>
      </w:r>
      <w:r>
        <w:rPr>
          <w:rFonts w:hint="eastAsia" w:ascii="宋体" w:hAnsi="宋体"/>
          <w:b/>
          <w:bCs/>
          <w:color w:val="auto"/>
          <w:sz w:val="30"/>
        </w:rPr>
        <w:t>格式</w:t>
      </w:r>
    </w:p>
    <w:p>
      <w:pPr>
        <w:pStyle w:val="18"/>
        <w:spacing w:before="240" w:line="560" w:lineRule="exact"/>
        <w:jc w:val="center"/>
        <w:rPr>
          <w:rFonts w:hAnsi="宋体"/>
          <w:bCs/>
          <w:color w:val="auto"/>
          <w:sz w:val="24"/>
        </w:rPr>
      </w:pPr>
      <w:r>
        <w:rPr>
          <w:rFonts w:hint="eastAsia" w:hAnsi="宋体"/>
          <w:bCs/>
          <w:color w:val="auto"/>
          <w:sz w:val="24"/>
        </w:rPr>
        <w:t>（竞标人按竞标人须知第12条要求提供）</w:t>
      </w:r>
    </w:p>
    <w:p>
      <w:pPr>
        <w:pStyle w:val="18"/>
        <w:spacing w:before="240" w:line="560" w:lineRule="exact"/>
        <w:ind w:firstLine="480" w:firstLineChars="200"/>
        <w:rPr>
          <w:rFonts w:hAnsi="宋体"/>
          <w:bCs/>
          <w:color w:val="auto"/>
          <w:sz w:val="24"/>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420" w:lineRule="exact"/>
        <w:rPr>
          <w:rFonts w:hAnsi="宋体"/>
          <w:b/>
          <w:color w:val="auto"/>
          <w:sz w:val="32"/>
        </w:rPr>
      </w:pPr>
    </w:p>
    <w:p>
      <w:pPr>
        <w:pStyle w:val="18"/>
        <w:spacing w:line="560" w:lineRule="exact"/>
        <w:ind w:firstLine="3313" w:firstLineChars="1100"/>
        <w:rPr>
          <w:rFonts w:hAnsi="宋体"/>
          <w:b/>
          <w:color w:val="auto"/>
          <w:sz w:val="30"/>
        </w:rPr>
      </w:pPr>
      <w:r>
        <w:rPr>
          <w:rFonts w:hAnsi="宋体"/>
          <w:b/>
          <w:color w:val="auto"/>
          <w:sz w:val="30"/>
        </w:rPr>
        <w:br w:type="page"/>
      </w:r>
      <w:r>
        <w:rPr>
          <w:rFonts w:hint="eastAsia" w:hAnsi="宋体"/>
          <w:b/>
          <w:color w:val="auto"/>
          <w:sz w:val="30"/>
        </w:rPr>
        <w:t>5、法定代表人授权委托书格式</w:t>
      </w:r>
    </w:p>
    <w:p>
      <w:pPr>
        <w:pStyle w:val="18"/>
        <w:rPr>
          <w:rFonts w:hAnsi="宋体"/>
          <w:color w:val="auto"/>
        </w:rPr>
      </w:pPr>
    </w:p>
    <w:p>
      <w:pPr>
        <w:pStyle w:val="18"/>
        <w:spacing w:line="480" w:lineRule="exact"/>
        <w:ind w:firstLine="420"/>
        <w:rPr>
          <w:rFonts w:hAnsi="宋体"/>
          <w:color w:val="auto"/>
          <w:sz w:val="24"/>
          <w:szCs w:val="24"/>
          <w:u w:val="single"/>
        </w:rPr>
      </w:pPr>
      <w:r>
        <w:rPr>
          <w:rFonts w:hint="eastAsia" w:hAnsi="宋体"/>
          <w:color w:val="auto"/>
          <w:sz w:val="24"/>
          <w:szCs w:val="24"/>
        </w:rPr>
        <w:t>兹授权</w:t>
      </w:r>
      <w:r>
        <w:rPr>
          <w:rFonts w:hint="eastAsia" w:hAnsi="宋体"/>
          <w:color w:val="auto"/>
          <w:sz w:val="24"/>
          <w:szCs w:val="24"/>
          <w:u w:val="single"/>
        </w:rPr>
        <w:t xml:space="preserve">         </w:t>
      </w:r>
      <w:r>
        <w:rPr>
          <w:rFonts w:hint="eastAsia" w:hAnsi="宋体"/>
          <w:color w:val="auto"/>
          <w:sz w:val="24"/>
          <w:szCs w:val="24"/>
        </w:rPr>
        <w:t>同志为我方参加</w:t>
      </w:r>
      <w:r>
        <w:rPr>
          <w:rFonts w:hint="eastAsia" w:hAnsi="宋体"/>
          <w:color w:val="auto"/>
          <w:sz w:val="24"/>
          <w:szCs w:val="24"/>
          <w:u w:val="single"/>
        </w:rPr>
        <w:t xml:space="preserve">                   </w:t>
      </w:r>
      <w:r>
        <w:rPr>
          <w:rFonts w:hint="eastAsia" w:hAnsi="宋体"/>
          <w:color w:val="auto"/>
          <w:sz w:val="24"/>
          <w:szCs w:val="24"/>
        </w:rPr>
        <w:t>项目竞标（项目编号</w:t>
      </w:r>
      <w:r>
        <w:rPr>
          <w:rFonts w:hint="eastAsia" w:hAnsi="宋体"/>
          <w:color w:val="auto"/>
          <w:sz w:val="24"/>
          <w:szCs w:val="24"/>
          <w:u w:val="single"/>
        </w:rPr>
        <w:t xml:space="preserve">：               </w:t>
      </w:r>
      <w:r>
        <w:rPr>
          <w:rFonts w:hint="eastAsia" w:hAnsi="宋体"/>
          <w:color w:val="auto"/>
          <w:sz w:val="24"/>
          <w:szCs w:val="24"/>
        </w:rPr>
        <w:t>）的竞标代理人，其代理权限为：</w:t>
      </w:r>
      <w:r>
        <w:rPr>
          <w:rFonts w:hint="eastAsia" w:hAnsi="宋体"/>
          <w:color w:val="auto"/>
          <w:sz w:val="24"/>
          <w:szCs w:val="24"/>
          <w:u w:val="single"/>
        </w:rPr>
        <w:t xml:space="preserve">                                                                                                                            </w:t>
      </w:r>
    </w:p>
    <w:p>
      <w:pPr>
        <w:pStyle w:val="18"/>
        <w:spacing w:line="480" w:lineRule="exact"/>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w:t>
      </w:r>
    </w:p>
    <w:p>
      <w:pPr>
        <w:pStyle w:val="18"/>
        <w:spacing w:line="480" w:lineRule="exact"/>
        <w:rPr>
          <w:rFonts w:hAnsi="宋体"/>
          <w:color w:val="auto"/>
          <w:sz w:val="24"/>
          <w:szCs w:val="24"/>
        </w:rPr>
      </w:pPr>
    </w:p>
    <w:p>
      <w:pPr>
        <w:pStyle w:val="18"/>
        <w:spacing w:line="480" w:lineRule="exact"/>
        <w:ind w:firstLine="420"/>
        <w:rPr>
          <w:rFonts w:hAnsi="宋体"/>
          <w:color w:val="auto"/>
          <w:sz w:val="24"/>
          <w:szCs w:val="24"/>
        </w:rPr>
      </w:pPr>
      <w:r>
        <w:rPr>
          <w:rFonts w:hint="eastAsia" w:hAnsi="宋体"/>
          <w:color w:val="auto"/>
          <w:sz w:val="24"/>
          <w:szCs w:val="24"/>
        </w:rPr>
        <w:t>代理期限从    年    月   日至    年    月    日止</w:t>
      </w:r>
    </w:p>
    <w:p>
      <w:pPr>
        <w:pStyle w:val="18"/>
        <w:spacing w:line="480" w:lineRule="exact"/>
        <w:rPr>
          <w:rFonts w:hAnsi="宋体"/>
          <w:color w:val="auto"/>
          <w:sz w:val="24"/>
          <w:szCs w:val="24"/>
        </w:rPr>
      </w:pPr>
    </w:p>
    <w:p>
      <w:pPr>
        <w:pStyle w:val="18"/>
        <w:spacing w:line="480" w:lineRule="exact"/>
        <w:ind w:firstLine="420"/>
        <w:rPr>
          <w:rFonts w:hAnsi="宋体"/>
          <w:color w:val="auto"/>
          <w:sz w:val="24"/>
          <w:szCs w:val="24"/>
        </w:rPr>
      </w:pPr>
      <w:r>
        <w:rPr>
          <w:rFonts w:hint="eastAsia" w:hAnsi="宋体"/>
          <w:color w:val="auto"/>
          <w:sz w:val="24"/>
          <w:szCs w:val="24"/>
        </w:rPr>
        <w:t>委托单位：              （公章）        法定代表人：         （签字或盖章）</w:t>
      </w:r>
    </w:p>
    <w:p>
      <w:pPr>
        <w:pStyle w:val="18"/>
        <w:spacing w:line="480" w:lineRule="exact"/>
        <w:ind w:firstLine="420"/>
        <w:rPr>
          <w:rFonts w:hAnsi="宋体"/>
          <w:color w:val="auto"/>
          <w:sz w:val="24"/>
          <w:szCs w:val="24"/>
        </w:rPr>
      </w:pPr>
    </w:p>
    <w:p>
      <w:pPr>
        <w:pStyle w:val="18"/>
        <w:spacing w:line="480" w:lineRule="exact"/>
        <w:ind w:firstLine="420"/>
        <w:rPr>
          <w:rFonts w:hAnsi="宋体"/>
          <w:color w:val="auto"/>
          <w:sz w:val="24"/>
          <w:szCs w:val="24"/>
        </w:rPr>
      </w:pPr>
      <w:r>
        <w:rPr>
          <w:rFonts w:hint="eastAsia" w:hAnsi="宋体"/>
          <w:color w:val="auto"/>
          <w:sz w:val="24"/>
          <w:szCs w:val="24"/>
        </w:rPr>
        <w:t>签发日期：    年      月     日</w:t>
      </w:r>
    </w:p>
    <w:p>
      <w:pPr>
        <w:pStyle w:val="18"/>
        <w:spacing w:line="480" w:lineRule="exact"/>
        <w:rPr>
          <w:rFonts w:hAnsi="宋体"/>
          <w:color w:val="auto"/>
          <w:sz w:val="24"/>
          <w:szCs w:val="24"/>
        </w:rPr>
      </w:pPr>
      <w:r>
        <w:rPr>
          <w:rFonts w:hint="eastAsia" w:hAnsi="宋体"/>
          <w:color w:val="auto"/>
          <w:sz w:val="24"/>
          <w:szCs w:val="24"/>
        </w:rPr>
        <w:t xml:space="preserve">                                                                                                                                                                                        </w:t>
      </w:r>
    </w:p>
    <w:p>
      <w:pPr>
        <w:pStyle w:val="18"/>
        <w:spacing w:line="480" w:lineRule="exact"/>
        <w:rPr>
          <w:rFonts w:hAnsi="宋体"/>
          <w:color w:val="auto"/>
          <w:sz w:val="24"/>
          <w:szCs w:val="24"/>
        </w:rPr>
      </w:pPr>
      <w:r>
        <w:rPr>
          <w:rFonts w:hAnsi="宋体"/>
          <w:color w:val="auto"/>
          <w:sz w:val="24"/>
          <w:szCs w:val="24"/>
        </w:rPr>
        <mc:AlternateContent>
          <mc:Choice Requires="wps">
            <w:drawing>
              <wp:anchor distT="18034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Line 8"/>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0pt;height:0pt;width:483pt;mso-wrap-distance-bottom:0pt;mso-wrap-distance-top:14.2pt;z-index:25165721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wH&#10;VPfQAAAAAgEAAA8AAAAAAAAAAQAgAAAAIgAAAGRycy9kb3ducmV2LnhtbFBLAQIUABQAAAAIAIdO&#10;4kCpw8cFuQEAAH8DAAAOAAAAAAAAAAEAIAAAAB8BAABkcnMvZTJvRG9jLnhtbFBLBQYAAAAABgAG&#10;AFkBAABKBQAAAAA=&#10;">
                <v:fill on="f" focussize="0,0"/>
                <v:stroke color="#000000" joinstyle="round"/>
                <v:imagedata o:title=""/>
                <o:lock v:ext="edit" aspectratio="f"/>
                <w10:wrap type="topAndBottom"/>
              </v:line>
            </w:pict>
          </mc:Fallback>
        </mc:AlternateContent>
      </w:r>
      <w:r>
        <w:rPr>
          <w:rFonts w:hint="eastAsia" w:hAnsi="宋体"/>
          <w:color w:val="auto"/>
          <w:sz w:val="24"/>
          <w:szCs w:val="24"/>
        </w:rPr>
        <w:t xml:space="preserve">    附：代理人工作单位：                      职务：</w:t>
      </w:r>
    </w:p>
    <w:p>
      <w:pPr>
        <w:pStyle w:val="18"/>
        <w:spacing w:line="480" w:lineRule="exact"/>
        <w:ind w:firstLine="420"/>
        <w:rPr>
          <w:rFonts w:hAnsi="宋体"/>
          <w:color w:val="auto"/>
          <w:sz w:val="24"/>
          <w:szCs w:val="24"/>
        </w:rPr>
      </w:pPr>
      <w:r>
        <w:rPr>
          <w:rFonts w:hint="eastAsia" w:hAnsi="宋体"/>
          <w:color w:val="auto"/>
          <w:sz w:val="24"/>
          <w:szCs w:val="24"/>
        </w:rPr>
        <w:t xml:space="preserve">    身份证号码：                           性别：           </w:t>
      </w:r>
    </w:p>
    <w:p>
      <w:pPr>
        <w:pStyle w:val="18"/>
        <w:spacing w:line="480" w:lineRule="exact"/>
        <w:rPr>
          <w:rFonts w:hAnsi="宋体"/>
          <w:color w:val="auto"/>
          <w:sz w:val="24"/>
          <w:szCs w:val="24"/>
        </w:rPr>
      </w:pPr>
    </w:p>
    <w:p>
      <w:pPr>
        <w:pStyle w:val="18"/>
        <w:spacing w:line="480" w:lineRule="exact"/>
        <w:ind w:firstLine="420"/>
        <w:rPr>
          <w:rFonts w:hAnsi="宋体"/>
          <w:color w:val="auto"/>
          <w:sz w:val="24"/>
          <w:szCs w:val="24"/>
        </w:rPr>
      </w:pPr>
      <w:r>
        <w:rPr>
          <w:rFonts w:hint="eastAsia" w:hAnsi="宋体"/>
          <w:color w:val="auto"/>
          <w:sz w:val="24"/>
          <w:szCs w:val="24"/>
        </w:rPr>
        <w:t>说明：</w:t>
      </w:r>
    </w:p>
    <w:p>
      <w:pPr>
        <w:pStyle w:val="18"/>
        <w:spacing w:line="480" w:lineRule="exact"/>
        <w:ind w:firstLine="735"/>
        <w:rPr>
          <w:rFonts w:hAnsi="宋体"/>
          <w:color w:val="auto"/>
          <w:sz w:val="24"/>
          <w:szCs w:val="24"/>
        </w:rPr>
      </w:pPr>
      <w:r>
        <w:rPr>
          <w:rFonts w:hint="eastAsia" w:hAnsi="宋体"/>
          <w:color w:val="auto"/>
          <w:sz w:val="24"/>
          <w:szCs w:val="24"/>
        </w:rPr>
        <w:t>1、法定代表人授权委托书所签发的代理期限必须涵盖代理人所有签名为有效的时间。</w:t>
      </w:r>
    </w:p>
    <w:p>
      <w:pPr>
        <w:pStyle w:val="18"/>
        <w:spacing w:line="480" w:lineRule="exact"/>
        <w:ind w:firstLine="735"/>
        <w:rPr>
          <w:rFonts w:hAnsi="宋体"/>
          <w:color w:val="auto"/>
          <w:sz w:val="24"/>
          <w:szCs w:val="24"/>
        </w:rPr>
      </w:pPr>
      <w:r>
        <w:rPr>
          <w:rFonts w:hint="eastAsia" w:hAnsi="宋体"/>
          <w:color w:val="auto"/>
          <w:sz w:val="24"/>
          <w:szCs w:val="24"/>
        </w:rPr>
        <w:t>2、委托书内容填写要明确，文字要工整清楚，涂改无效。</w:t>
      </w:r>
    </w:p>
    <w:p>
      <w:pPr>
        <w:pStyle w:val="18"/>
        <w:spacing w:line="480" w:lineRule="exact"/>
        <w:ind w:firstLine="735"/>
        <w:rPr>
          <w:rFonts w:hAnsi="宋体"/>
          <w:color w:val="auto"/>
          <w:sz w:val="24"/>
          <w:szCs w:val="24"/>
        </w:rPr>
      </w:pPr>
      <w:r>
        <w:rPr>
          <w:rFonts w:hint="eastAsia" w:hAnsi="宋体"/>
          <w:color w:val="auto"/>
          <w:sz w:val="24"/>
          <w:szCs w:val="24"/>
        </w:rPr>
        <w:t>3、委托书不得转借、转让，不得买卖。</w:t>
      </w:r>
    </w:p>
    <w:p>
      <w:pPr>
        <w:pStyle w:val="18"/>
        <w:spacing w:line="480" w:lineRule="exact"/>
        <w:ind w:firstLine="735"/>
        <w:rPr>
          <w:rFonts w:hAnsi="宋体"/>
          <w:color w:val="auto"/>
          <w:sz w:val="24"/>
          <w:szCs w:val="24"/>
        </w:rPr>
      </w:pPr>
      <w:r>
        <w:rPr>
          <w:rFonts w:hint="eastAsia" w:hAnsi="宋体"/>
          <w:color w:val="auto"/>
          <w:sz w:val="24"/>
          <w:szCs w:val="24"/>
        </w:rPr>
        <w:t>4、代理人根据授权范围，以委托单位的名义签订合同，并将此委托书提交给对方作为合同附件。</w:t>
      </w:r>
    </w:p>
    <w:p>
      <w:pPr>
        <w:pStyle w:val="18"/>
        <w:spacing w:line="420" w:lineRule="exact"/>
        <w:ind w:firstLine="420"/>
        <w:rPr>
          <w:rFonts w:hAnsi="宋体"/>
          <w:b/>
          <w:color w:val="auto"/>
          <w:sz w:val="24"/>
          <w:szCs w:val="24"/>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spacing w:line="540" w:lineRule="exact"/>
        <w:jc w:val="center"/>
        <w:rPr>
          <w:rFonts w:ascii="宋体" w:hAnsi="宋体"/>
          <w:b/>
          <w:bCs/>
          <w:color w:val="auto"/>
          <w:sz w:val="30"/>
        </w:rPr>
      </w:pPr>
      <w:r>
        <w:rPr>
          <w:rFonts w:hint="eastAsia" w:ascii="宋体" w:hAnsi="宋体"/>
          <w:b/>
          <w:color w:val="auto"/>
          <w:sz w:val="30"/>
        </w:rPr>
        <w:t>6、竞标人的合格性和符合采购文件规定的相关文件</w:t>
      </w:r>
      <w:r>
        <w:rPr>
          <w:rFonts w:hint="eastAsia" w:ascii="宋体" w:hAnsi="宋体"/>
          <w:b/>
          <w:bCs/>
          <w:color w:val="auto"/>
          <w:sz w:val="30"/>
        </w:rPr>
        <w:t>格式</w:t>
      </w:r>
    </w:p>
    <w:p>
      <w:pPr>
        <w:pStyle w:val="18"/>
        <w:spacing w:line="560" w:lineRule="exact"/>
        <w:jc w:val="center"/>
        <w:rPr>
          <w:rFonts w:hAnsi="宋体"/>
          <w:bCs/>
          <w:color w:val="auto"/>
          <w:sz w:val="24"/>
        </w:rPr>
      </w:pPr>
      <w:r>
        <w:rPr>
          <w:rFonts w:hint="eastAsia" w:hAnsi="宋体"/>
          <w:bCs/>
          <w:color w:val="auto"/>
          <w:sz w:val="24"/>
        </w:rPr>
        <w:t>（竞标人按竞标人须知第13条要求提供）</w:t>
      </w:r>
    </w:p>
    <w:p>
      <w:pPr>
        <w:pStyle w:val="18"/>
        <w:spacing w:line="560" w:lineRule="exact"/>
        <w:ind w:firstLine="420"/>
        <w:rPr>
          <w:rFonts w:hAnsi="宋体"/>
          <w:color w:val="auto"/>
          <w:sz w:val="24"/>
        </w:rPr>
      </w:pPr>
    </w:p>
    <w:p>
      <w:pPr>
        <w:pStyle w:val="18"/>
        <w:spacing w:line="560" w:lineRule="exact"/>
        <w:ind w:firstLine="420"/>
        <w:rPr>
          <w:rFonts w:hAnsi="宋体"/>
          <w:color w:val="auto"/>
          <w:sz w:val="24"/>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rPr>
          <w:rFonts w:hAnsi="宋体"/>
          <w:color w:val="auto"/>
          <w:u w:val="single"/>
        </w:rPr>
      </w:pPr>
    </w:p>
    <w:p>
      <w:pPr>
        <w:rPr>
          <w:rFonts w:hAnsi="宋体"/>
          <w:color w:val="auto"/>
          <w:u w:val="single"/>
        </w:rPr>
      </w:pPr>
    </w:p>
    <w:p>
      <w:pPr>
        <w:pStyle w:val="2"/>
        <w:rPr>
          <w:rFonts w:hAnsi="宋体"/>
          <w:color w:val="auto"/>
          <w:u w:val="single"/>
        </w:rPr>
      </w:pPr>
    </w:p>
    <w:p>
      <w:pPr>
        <w:rPr>
          <w:rFonts w:hAnsi="宋体"/>
          <w:color w:val="auto"/>
          <w:u w:val="single"/>
        </w:rPr>
      </w:pPr>
    </w:p>
    <w:p>
      <w:pPr>
        <w:pStyle w:val="2"/>
        <w:rPr>
          <w:rFonts w:hAnsi="宋体"/>
          <w:color w:val="auto"/>
          <w:u w:val="single"/>
        </w:rPr>
      </w:pPr>
    </w:p>
    <w:p>
      <w:pPr>
        <w:rPr>
          <w:rFonts w:hAnsi="宋体"/>
          <w:color w:val="auto"/>
          <w:u w:val="single"/>
        </w:rPr>
      </w:pPr>
    </w:p>
    <w:p>
      <w:pPr>
        <w:pStyle w:val="2"/>
        <w:rPr>
          <w:rFonts w:hAnsi="宋体"/>
          <w:color w:val="auto"/>
          <w:u w:val="single"/>
        </w:rPr>
      </w:pPr>
    </w:p>
    <w:p>
      <w:pPr>
        <w:rPr>
          <w:rFonts w:hAnsi="宋体"/>
          <w:color w:val="auto"/>
          <w:u w:val="single"/>
        </w:rPr>
      </w:pPr>
    </w:p>
    <w:p>
      <w:pPr>
        <w:pStyle w:val="2"/>
        <w:rPr>
          <w:color w:val="auto"/>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rPr>
          <w:rFonts w:hAnsi="宋体"/>
          <w:color w:val="auto"/>
          <w:u w:val="single"/>
        </w:rPr>
      </w:pPr>
    </w:p>
    <w:p>
      <w:pPr>
        <w:pStyle w:val="18"/>
        <w:spacing w:line="420" w:lineRule="exact"/>
        <w:ind w:firstLine="420"/>
        <w:jc w:val="center"/>
        <w:rPr>
          <w:rFonts w:hAnsi="宋体"/>
          <w:b/>
          <w:color w:val="auto"/>
          <w:sz w:val="30"/>
        </w:rPr>
      </w:pPr>
    </w:p>
    <w:p>
      <w:pPr>
        <w:pStyle w:val="18"/>
        <w:spacing w:line="420" w:lineRule="exact"/>
        <w:ind w:firstLine="420"/>
        <w:jc w:val="center"/>
        <w:rPr>
          <w:rFonts w:hAnsi="宋体"/>
          <w:b/>
          <w:color w:val="auto"/>
          <w:sz w:val="30"/>
        </w:rPr>
      </w:pPr>
      <w:r>
        <w:rPr>
          <w:rFonts w:hint="eastAsia" w:hAnsi="宋体"/>
          <w:b/>
          <w:color w:val="auto"/>
          <w:sz w:val="30"/>
        </w:rPr>
        <w:t>7、商务响应表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559"/>
        <w:gridCol w:w="726"/>
        <w:gridCol w:w="2196"/>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8"/>
              <w:spacing w:line="440" w:lineRule="exact"/>
              <w:jc w:val="center"/>
              <w:rPr>
                <w:rFonts w:hAnsi="宋体"/>
                <w:color w:val="auto"/>
                <w:sz w:val="24"/>
                <w:szCs w:val="24"/>
              </w:rPr>
            </w:pPr>
            <w:r>
              <w:rPr>
                <w:rFonts w:hint="eastAsia" w:hAnsi="宋体"/>
                <w:color w:val="auto"/>
                <w:sz w:val="24"/>
                <w:szCs w:val="24"/>
              </w:rPr>
              <w:t>检测分项</w:t>
            </w:r>
          </w:p>
        </w:tc>
        <w:tc>
          <w:tcPr>
            <w:tcW w:w="1559" w:type="dxa"/>
            <w:vAlign w:val="center"/>
          </w:tcPr>
          <w:p>
            <w:pPr>
              <w:pStyle w:val="18"/>
              <w:spacing w:line="440" w:lineRule="exact"/>
              <w:jc w:val="center"/>
              <w:rPr>
                <w:rFonts w:hAnsi="宋体"/>
                <w:color w:val="auto"/>
                <w:sz w:val="24"/>
                <w:szCs w:val="24"/>
              </w:rPr>
            </w:pPr>
            <w:r>
              <w:rPr>
                <w:rFonts w:hint="eastAsia" w:hAnsi="宋体"/>
                <w:color w:val="auto"/>
                <w:sz w:val="24"/>
                <w:szCs w:val="24"/>
              </w:rPr>
              <w:t>采购文件要求</w:t>
            </w:r>
          </w:p>
        </w:tc>
        <w:tc>
          <w:tcPr>
            <w:tcW w:w="726" w:type="dxa"/>
            <w:vAlign w:val="center"/>
          </w:tcPr>
          <w:p>
            <w:pPr>
              <w:pStyle w:val="18"/>
              <w:spacing w:line="440" w:lineRule="exact"/>
              <w:jc w:val="center"/>
              <w:rPr>
                <w:rFonts w:hAnsi="宋体"/>
                <w:color w:val="auto"/>
                <w:sz w:val="24"/>
                <w:szCs w:val="24"/>
              </w:rPr>
            </w:pPr>
            <w:r>
              <w:rPr>
                <w:rFonts w:hint="eastAsia" w:hAnsi="宋体"/>
                <w:color w:val="auto"/>
                <w:sz w:val="24"/>
                <w:szCs w:val="24"/>
              </w:rPr>
              <w:t>是否响应</w:t>
            </w:r>
          </w:p>
        </w:tc>
        <w:tc>
          <w:tcPr>
            <w:tcW w:w="2196" w:type="dxa"/>
            <w:vAlign w:val="center"/>
          </w:tcPr>
          <w:p>
            <w:pPr>
              <w:pStyle w:val="18"/>
              <w:spacing w:line="440" w:lineRule="exact"/>
              <w:jc w:val="center"/>
              <w:rPr>
                <w:rFonts w:hAnsi="宋体"/>
                <w:color w:val="auto"/>
                <w:sz w:val="24"/>
                <w:szCs w:val="24"/>
              </w:rPr>
            </w:pPr>
            <w:r>
              <w:rPr>
                <w:rFonts w:hint="eastAsia" w:hAnsi="宋体"/>
                <w:color w:val="auto"/>
                <w:sz w:val="24"/>
                <w:szCs w:val="24"/>
              </w:rPr>
              <w:t>竞标人的承诺或说明</w:t>
            </w:r>
          </w:p>
        </w:tc>
        <w:tc>
          <w:tcPr>
            <w:tcW w:w="2181" w:type="dxa"/>
            <w:vAlign w:val="center"/>
          </w:tcPr>
          <w:p>
            <w:pPr>
              <w:pStyle w:val="18"/>
              <w:spacing w:line="440" w:lineRule="exact"/>
              <w:jc w:val="center"/>
              <w:rPr>
                <w:rFonts w:hAnsi="宋体"/>
                <w:color w:val="auto"/>
                <w:sz w:val="24"/>
                <w:szCs w:val="24"/>
              </w:rPr>
            </w:pPr>
            <w:r>
              <w:rPr>
                <w:rFonts w:hint="eastAsia" w:hAnsi="宋体"/>
                <w:color w:val="auto"/>
                <w:sz w:val="24"/>
                <w:szCs w:val="24"/>
              </w:rPr>
              <w:t>是否满足采购文件的所有要求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74" w:type="dxa"/>
            <w:vAlign w:val="center"/>
          </w:tcPr>
          <w:p>
            <w:pPr>
              <w:pStyle w:val="18"/>
              <w:spacing w:line="440" w:lineRule="exact"/>
              <w:jc w:val="center"/>
              <w:rPr>
                <w:rFonts w:hAnsi="宋体"/>
                <w:color w:val="auto"/>
                <w:sz w:val="24"/>
                <w:szCs w:val="24"/>
              </w:rPr>
            </w:pPr>
          </w:p>
        </w:tc>
        <w:tc>
          <w:tcPr>
            <w:tcW w:w="1559" w:type="dxa"/>
            <w:vMerge w:val="restart"/>
            <w:vAlign w:val="center"/>
          </w:tcPr>
          <w:p>
            <w:pPr>
              <w:pStyle w:val="18"/>
              <w:spacing w:line="440" w:lineRule="exact"/>
              <w:jc w:val="center"/>
              <w:rPr>
                <w:rFonts w:hAnsi="宋体"/>
                <w:color w:val="auto"/>
                <w:sz w:val="24"/>
                <w:szCs w:val="24"/>
              </w:rPr>
            </w:pPr>
            <w:r>
              <w:rPr>
                <w:rFonts w:hint="eastAsia" w:hAnsi="宋体"/>
                <w:color w:val="auto"/>
                <w:sz w:val="24"/>
                <w:szCs w:val="24"/>
              </w:rPr>
              <w:t>详见“项目需求”</w:t>
            </w: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74" w:type="dxa"/>
            <w:vAlign w:val="center"/>
          </w:tcPr>
          <w:p>
            <w:pPr>
              <w:pStyle w:val="18"/>
              <w:spacing w:line="440" w:lineRule="exact"/>
              <w:jc w:val="center"/>
              <w:rPr>
                <w:rFonts w:hAnsi="宋体"/>
                <w:color w:val="auto"/>
                <w:sz w:val="24"/>
                <w:szCs w:val="24"/>
              </w:rPr>
            </w:pPr>
          </w:p>
        </w:tc>
        <w:tc>
          <w:tcPr>
            <w:tcW w:w="1559" w:type="dxa"/>
            <w:vMerge w:val="continue"/>
            <w:vAlign w:val="center"/>
          </w:tcPr>
          <w:p>
            <w:pPr>
              <w:pStyle w:val="18"/>
              <w:spacing w:line="440" w:lineRule="exact"/>
              <w:jc w:val="center"/>
              <w:rPr>
                <w:rFonts w:hAnsi="宋体"/>
                <w:color w:val="auto"/>
                <w:sz w:val="24"/>
                <w:szCs w:val="24"/>
              </w:rPr>
            </w:pP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74" w:type="dxa"/>
            <w:vAlign w:val="center"/>
          </w:tcPr>
          <w:p>
            <w:pPr>
              <w:pStyle w:val="18"/>
              <w:spacing w:line="440" w:lineRule="exact"/>
              <w:jc w:val="center"/>
              <w:rPr>
                <w:rFonts w:hAnsi="宋体"/>
                <w:color w:val="auto"/>
                <w:sz w:val="24"/>
                <w:szCs w:val="24"/>
              </w:rPr>
            </w:pPr>
          </w:p>
        </w:tc>
        <w:tc>
          <w:tcPr>
            <w:tcW w:w="1559" w:type="dxa"/>
            <w:vMerge w:val="continue"/>
            <w:vAlign w:val="center"/>
          </w:tcPr>
          <w:p>
            <w:pPr>
              <w:pStyle w:val="18"/>
              <w:spacing w:line="440" w:lineRule="exact"/>
              <w:jc w:val="center"/>
              <w:rPr>
                <w:rFonts w:hAnsi="宋体"/>
                <w:color w:val="auto"/>
                <w:sz w:val="24"/>
                <w:szCs w:val="24"/>
              </w:rPr>
            </w:pP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74" w:type="dxa"/>
            <w:vAlign w:val="center"/>
          </w:tcPr>
          <w:p>
            <w:pPr>
              <w:pStyle w:val="18"/>
              <w:spacing w:line="440" w:lineRule="exact"/>
              <w:jc w:val="center"/>
              <w:rPr>
                <w:rFonts w:hAnsi="宋体"/>
                <w:color w:val="auto"/>
                <w:sz w:val="24"/>
                <w:szCs w:val="24"/>
              </w:rPr>
            </w:pPr>
          </w:p>
        </w:tc>
        <w:tc>
          <w:tcPr>
            <w:tcW w:w="1559" w:type="dxa"/>
            <w:vMerge w:val="continue"/>
            <w:vAlign w:val="center"/>
          </w:tcPr>
          <w:p>
            <w:pPr>
              <w:pStyle w:val="18"/>
              <w:spacing w:line="440" w:lineRule="exact"/>
              <w:jc w:val="center"/>
              <w:rPr>
                <w:rFonts w:hAnsi="宋体"/>
                <w:color w:val="auto"/>
                <w:sz w:val="24"/>
                <w:szCs w:val="24"/>
              </w:rPr>
            </w:pP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74" w:type="dxa"/>
            <w:vAlign w:val="center"/>
          </w:tcPr>
          <w:p>
            <w:pPr>
              <w:pStyle w:val="18"/>
              <w:spacing w:line="440" w:lineRule="exact"/>
              <w:jc w:val="center"/>
              <w:rPr>
                <w:rFonts w:hAnsi="宋体"/>
                <w:color w:val="auto"/>
                <w:sz w:val="24"/>
                <w:szCs w:val="24"/>
              </w:rPr>
            </w:pPr>
            <w:r>
              <w:rPr>
                <w:rFonts w:hint="eastAsia" w:hAnsi="宋体"/>
                <w:color w:val="auto"/>
                <w:sz w:val="24"/>
                <w:szCs w:val="24"/>
              </w:rPr>
              <w:t>······</w:t>
            </w:r>
          </w:p>
        </w:tc>
        <w:tc>
          <w:tcPr>
            <w:tcW w:w="1559" w:type="dxa"/>
            <w:vMerge w:val="continue"/>
            <w:vAlign w:val="center"/>
          </w:tcPr>
          <w:p>
            <w:pPr>
              <w:pStyle w:val="18"/>
              <w:spacing w:line="440" w:lineRule="exact"/>
              <w:jc w:val="center"/>
              <w:rPr>
                <w:rFonts w:hAnsi="宋体"/>
                <w:color w:val="auto"/>
                <w:sz w:val="24"/>
                <w:szCs w:val="24"/>
              </w:rPr>
            </w:pP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74" w:type="dxa"/>
            <w:vAlign w:val="center"/>
          </w:tcPr>
          <w:p>
            <w:pPr>
              <w:pStyle w:val="18"/>
              <w:spacing w:line="440" w:lineRule="exact"/>
              <w:jc w:val="center"/>
              <w:rPr>
                <w:rFonts w:hAnsi="宋体"/>
                <w:color w:val="auto"/>
                <w:sz w:val="24"/>
                <w:szCs w:val="24"/>
              </w:rPr>
            </w:pPr>
            <w:r>
              <w:rPr>
                <w:rFonts w:hint="eastAsia" w:hAnsi="宋体"/>
                <w:color w:val="auto"/>
                <w:sz w:val="24"/>
                <w:szCs w:val="24"/>
              </w:rPr>
              <w:t>商务要求</w:t>
            </w:r>
          </w:p>
        </w:tc>
        <w:tc>
          <w:tcPr>
            <w:tcW w:w="1559" w:type="dxa"/>
            <w:vMerge w:val="continue"/>
            <w:vAlign w:val="center"/>
          </w:tcPr>
          <w:p>
            <w:pPr>
              <w:pStyle w:val="18"/>
              <w:spacing w:line="440" w:lineRule="exact"/>
              <w:jc w:val="center"/>
              <w:rPr>
                <w:rFonts w:hAnsi="宋体"/>
                <w:color w:val="auto"/>
                <w:sz w:val="24"/>
                <w:szCs w:val="24"/>
              </w:rPr>
            </w:pPr>
          </w:p>
        </w:tc>
        <w:tc>
          <w:tcPr>
            <w:tcW w:w="726" w:type="dxa"/>
            <w:vAlign w:val="center"/>
          </w:tcPr>
          <w:p>
            <w:pPr>
              <w:pStyle w:val="18"/>
              <w:spacing w:line="440" w:lineRule="exact"/>
              <w:jc w:val="center"/>
              <w:rPr>
                <w:rFonts w:hAnsi="宋体"/>
                <w:color w:val="auto"/>
                <w:sz w:val="24"/>
                <w:szCs w:val="24"/>
              </w:rPr>
            </w:pPr>
          </w:p>
        </w:tc>
        <w:tc>
          <w:tcPr>
            <w:tcW w:w="2196" w:type="dxa"/>
            <w:vAlign w:val="center"/>
          </w:tcPr>
          <w:p>
            <w:pPr>
              <w:pStyle w:val="18"/>
              <w:spacing w:line="440" w:lineRule="exact"/>
              <w:jc w:val="center"/>
              <w:rPr>
                <w:rFonts w:hAnsi="宋体"/>
                <w:color w:val="auto"/>
                <w:sz w:val="24"/>
                <w:szCs w:val="24"/>
              </w:rPr>
            </w:pPr>
          </w:p>
        </w:tc>
        <w:tc>
          <w:tcPr>
            <w:tcW w:w="2181" w:type="dxa"/>
            <w:vAlign w:val="center"/>
          </w:tcPr>
          <w:p>
            <w:pPr>
              <w:pStyle w:val="18"/>
              <w:spacing w:line="440" w:lineRule="exact"/>
              <w:jc w:val="center"/>
              <w:rPr>
                <w:rFonts w:hAnsi="宋体"/>
                <w:color w:val="auto"/>
                <w:sz w:val="24"/>
                <w:szCs w:val="24"/>
              </w:rPr>
            </w:pPr>
          </w:p>
        </w:tc>
      </w:tr>
    </w:tbl>
    <w:p>
      <w:pPr>
        <w:pStyle w:val="18"/>
        <w:spacing w:before="240"/>
        <w:rPr>
          <w:rFonts w:hAnsi="宋体"/>
          <w:b/>
          <w:color w:val="auto"/>
        </w:rPr>
      </w:pPr>
      <w:r>
        <w:rPr>
          <w:rFonts w:hint="eastAsia" w:hAnsi="宋体"/>
          <w:b/>
          <w:color w:val="auto"/>
        </w:rPr>
        <w:t>注：</w:t>
      </w:r>
    </w:p>
    <w:p>
      <w:pPr>
        <w:pStyle w:val="18"/>
        <w:numPr>
          <w:ilvl w:val="0"/>
          <w:numId w:val="2"/>
        </w:numPr>
        <w:spacing w:before="240"/>
        <w:rPr>
          <w:rFonts w:hAnsi="宋体"/>
          <w:bCs/>
          <w:color w:val="auto"/>
          <w:sz w:val="24"/>
          <w:szCs w:val="24"/>
        </w:rPr>
      </w:pPr>
      <w:r>
        <w:rPr>
          <w:rFonts w:hint="eastAsia" w:hAnsi="宋体"/>
          <w:bCs/>
          <w:color w:val="auto"/>
          <w:sz w:val="24"/>
          <w:szCs w:val="24"/>
        </w:rPr>
        <w:t>竞标商务响应表由竞标人按照竞标文件“项目需求”内容一一对应进行填写。</w:t>
      </w:r>
    </w:p>
    <w:p>
      <w:pPr>
        <w:pStyle w:val="18"/>
        <w:numPr>
          <w:ilvl w:val="0"/>
          <w:numId w:val="2"/>
        </w:numPr>
        <w:spacing w:before="240"/>
        <w:rPr>
          <w:rFonts w:hAnsi="宋体"/>
          <w:bCs/>
          <w:color w:val="auto"/>
          <w:sz w:val="24"/>
          <w:szCs w:val="24"/>
        </w:rPr>
      </w:pPr>
      <w:r>
        <w:rPr>
          <w:rFonts w:hint="eastAsia" w:hAnsi="宋体"/>
          <w:bCs/>
          <w:color w:val="auto"/>
          <w:sz w:val="24"/>
          <w:szCs w:val="24"/>
        </w:rPr>
        <w:t>竞标承诺或说明与采购文件要求相同的为响应，竞标承诺或说明与采购文件要求不相同的为不响应。</w:t>
      </w:r>
    </w:p>
    <w:p>
      <w:pPr>
        <w:pStyle w:val="18"/>
        <w:spacing w:before="240"/>
        <w:rPr>
          <w:rFonts w:hAnsi="宋体"/>
          <w:bCs/>
          <w:color w:val="auto"/>
          <w:sz w:val="24"/>
          <w:szCs w:val="24"/>
        </w:rPr>
      </w:pPr>
      <w:r>
        <w:rPr>
          <w:rFonts w:hint="eastAsia" w:hAnsi="宋体"/>
          <w:bCs/>
          <w:color w:val="auto"/>
          <w:sz w:val="24"/>
          <w:szCs w:val="24"/>
        </w:rPr>
        <w:t xml:space="preserve">                        </w:t>
      </w:r>
    </w:p>
    <w:p>
      <w:pPr>
        <w:pStyle w:val="18"/>
        <w:rPr>
          <w:rFonts w:hAnsi="宋体"/>
          <w:color w:val="auto"/>
          <w:sz w:val="24"/>
          <w:szCs w:val="24"/>
          <w:u w:val="single"/>
        </w:rPr>
      </w:pPr>
      <w:r>
        <w:rPr>
          <w:rFonts w:hint="eastAsia" w:hAnsi="宋体"/>
          <w:color w:val="auto"/>
          <w:sz w:val="24"/>
          <w:szCs w:val="24"/>
        </w:rPr>
        <w:t>竞标人（盖公章）：</w:t>
      </w:r>
      <w:r>
        <w:rPr>
          <w:rFonts w:hint="eastAsia" w:hAnsi="宋体"/>
          <w:color w:val="auto"/>
          <w:sz w:val="24"/>
          <w:szCs w:val="24"/>
          <w:u w:val="single"/>
        </w:rPr>
        <w:t xml:space="preserve">                　　　　　　　　 </w:t>
      </w:r>
    </w:p>
    <w:p>
      <w:pPr>
        <w:pStyle w:val="18"/>
        <w:rPr>
          <w:rFonts w:hAnsi="宋体"/>
          <w:color w:val="auto"/>
          <w:sz w:val="24"/>
          <w:szCs w:val="24"/>
        </w:rPr>
      </w:pPr>
    </w:p>
    <w:p>
      <w:pPr>
        <w:pStyle w:val="18"/>
        <w:rPr>
          <w:rFonts w:hAnsi="宋体"/>
          <w:color w:val="auto"/>
          <w:sz w:val="24"/>
          <w:szCs w:val="24"/>
          <w:u w:val="single"/>
        </w:rPr>
      </w:pPr>
      <w:r>
        <w:rPr>
          <w:rFonts w:hint="eastAsia" w:hAnsi="宋体"/>
          <w:color w:val="auto"/>
          <w:sz w:val="24"/>
          <w:szCs w:val="24"/>
        </w:rPr>
        <w:t>法定代表人或委托代理人签名：</w:t>
      </w:r>
      <w:r>
        <w:rPr>
          <w:rFonts w:hint="eastAsia" w:hAnsi="宋体"/>
          <w:color w:val="auto"/>
          <w:sz w:val="24"/>
          <w:szCs w:val="24"/>
          <w:u w:val="single"/>
        </w:rPr>
        <w:t xml:space="preserve">                    　</w:t>
      </w:r>
    </w:p>
    <w:p>
      <w:pPr>
        <w:pStyle w:val="18"/>
        <w:spacing w:before="240"/>
        <w:jc w:val="left"/>
        <w:rPr>
          <w:rFonts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p>
    <w:p>
      <w:pPr>
        <w:pStyle w:val="18"/>
        <w:spacing w:line="420" w:lineRule="exact"/>
        <w:ind w:firstLine="420"/>
        <w:rPr>
          <w:rFonts w:hAnsi="宋体"/>
          <w:b/>
          <w:color w:val="auto"/>
          <w:sz w:val="24"/>
          <w:szCs w:val="24"/>
        </w:rPr>
      </w:pPr>
      <w:r>
        <w:rPr>
          <w:rFonts w:hAnsi="宋体"/>
          <w:b/>
          <w:color w:val="auto"/>
          <w:sz w:val="24"/>
          <w:szCs w:val="24"/>
        </w:rPr>
        <w:br w:type="page"/>
      </w:r>
    </w:p>
    <w:p>
      <w:pPr>
        <w:pStyle w:val="18"/>
        <w:ind w:firstLine="422" w:firstLineChars="200"/>
        <w:outlineLvl w:val="2"/>
        <w:rPr>
          <w:b/>
          <w:bCs/>
          <w:color w:val="auto"/>
        </w:rPr>
      </w:pPr>
      <w:r>
        <w:rPr>
          <w:rFonts w:hint="eastAsia"/>
          <w:b/>
          <w:bCs/>
          <w:color w:val="auto"/>
        </w:rPr>
        <w:t>如为小型、微型企业的请提供下列声明函,如不是小型、微型企业的，不用提供下列声明函</w:t>
      </w:r>
      <w:r>
        <w:rPr>
          <w:rFonts w:hint="eastAsia"/>
          <w:b/>
          <w:bCs/>
          <w:color w:val="auto"/>
          <w:szCs w:val="21"/>
        </w:rPr>
        <w:t>：</w:t>
      </w:r>
    </w:p>
    <w:p>
      <w:pPr>
        <w:pStyle w:val="18"/>
        <w:outlineLvl w:val="2"/>
        <w:rPr>
          <w:b/>
          <w:bCs/>
          <w:color w:val="auto"/>
        </w:rPr>
      </w:pPr>
    </w:p>
    <w:p>
      <w:pPr>
        <w:pStyle w:val="28"/>
        <w:shd w:val="clear" w:color="auto" w:fill="FFFFFF"/>
        <w:spacing w:after="240" w:line="360" w:lineRule="atLeast"/>
        <w:ind w:firstLine="480"/>
        <w:jc w:val="center"/>
        <w:rPr>
          <w:b/>
          <w:bCs/>
          <w:color w:val="auto"/>
          <w:sz w:val="28"/>
          <w:szCs w:val="28"/>
        </w:rPr>
      </w:pPr>
      <w:r>
        <w:rPr>
          <w:b/>
          <w:bCs/>
          <w:color w:val="auto"/>
          <w:sz w:val="28"/>
          <w:szCs w:val="28"/>
        </w:rPr>
        <w:t>中小企业声明函</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本公司郑重声明，根据《政府采购促进中小企业发展暂行办法》（财库[2011]181号）的规定，本公司为______（请填写：小型、微型）企业。即，本公司同时满足以下条件：</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1.根据《工业和信息化部、国家统计局、国家发展和改革委员会、财政部关于印发中小企业划型标准规定的通知》（工信部联企业[2011]300号）规定的划分标准，本公司为______（请填写：小型、微型）企业。</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2.本公司参加</w:t>
      </w:r>
      <w:r>
        <w:rPr>
          <w:rFonts w:hint="eastAsia" w:asciiTheme="minorEastAsia" w:hAnsiTheme="minorEastAsia" w:eastAsiaTheme="minorEastAsia" w:cstheme="minorEastAsia"/>
          <w:color w:val="auto"/>
          <w:u w:val="single"/>
        </w:rPr>
        <w:t>（采购人名称）</w:t>
      </w:r>
      <w:r>
        <w:rPr>
          <w:rFonts w:hint="eastAsia" w:asciiTheme="minorEastAsia" w:hAnsiTheme="minorEastAsia" w:eastAsiaTheme="minorEastAsia" w:cstheme="minorEastAsia"/>
          <w:color w:val="auto"/>
        </w:rPr>
        <w:t>单位的</w:t>
      </w:r>
      <w:r>
        <w:rPr>
          <w:rFonts w:hint="eastAsia" w:asciiTheme="minorEastAsia" w:hAnsiTheme="minorEastAsia" w:eastAsiaTheme="minorEastAsia" w:cstheme="minorEastAsia"/>
          <w:color w:val="auto"/>
          <w:u w:val="single"/>
        </w:rPr>
        <w:t>（项目名称）</w:t>
      </w:r>
      <w:r>
        <w:rPr>
          <w:rFonts w:hint="eastAsia" w:asciiTheme="minorEastAsia" w:hAnsiTheme="minorEastAsia" w:eastAsiaTheme="minorEastAsia" w:cstheme="minorEastAsia"/>
          <w:color w:val="auto"/>
        </w:rPr>
        <w:t>项目采购活动，由本企业承担本工程。</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本公司对上述声明的真实性负责。如有虚假，将依法承担相应责任。</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p>
    <w:p>
      <w:pPr>
        <w:pStyle w:val="28"/>
        <w:shd w:val="clear" w:color="auto" w:fill="FFFFFF"/>
        <w:spacing w:after="240" w:line="50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企业名称（盖公章）：</w:t>
      </w:r>
    </w:p>
    <w:p>
      <w:pPr>
        <w:pStyle w:val="18"/>
        <w:spacing w:line="500" w:lineRule="exact"/>
        <w:ind w:firstLine="1788" w:firstLineChars="745"/>
        <w:jc w:val="center"/>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bookmarkStart w:id="331" w:name="_Toc482723266"/>
      <w:r>
        <w:rPr>
          <w:rFonts w:hint="eastAsia" w:asciiTheme="minorEastAsia" w:hAnsiTheme="minorEastAsia" w:eastAsiaTheme="minorEastAsia" w:cstheme="minorEastAsia"/>
          <w:color w:val="auto"/>
          <w:sz w:val="24"/>
          <w:szCs w:val="24"/>
        </w:rPr>
        <w:t>日期：</w:t>
      </w:r>
      <w:bookmarkEnd w:id="331"/>
    </w:p>
    <w:p>
      <w:pPr>
        <w:tabs>
          <w:tab w:val="left" w:pos="1095"/>
        </w:tabs>
        <w:spacing w:line="500" w:lineRule="exact"/>
        <w:rPr>
          <w:rFonts w:asciiTheme="minorEastAsia" w:hAnsiTheme="minorEastAsia" w:eastAsiaTheme="minorEastAsia" w:cstheme="minorEastAsia"/>
          <w:bCs/>
          <w:color w:val="auto"/>
          <w:kern w:val="0"/>
          <w:sz w:val="24"/>
        </w:rPr>
      </w:pPr>
    </w:p>
    <w:p>
      <w:pPr>
        <w:tabs>
          <w:tab w:val="left" w:pos="4860"/>
        </w:tabs>
        <w:spacing w:line="500" w:lineRule="exact"/>
        <w:ind w:right="30"/>
        <w:jc w:val="left"/>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z w:val="24"/>
        </w:rPr>
        <w:t>备注：成交人的本声明函将在公布采购结果时一同公布，接受社会公众的监督，请供应商根据自己的真实情况出具本声明函。</w:t>
      </w:r>
    </w:p>
    <w:p>
      <w:pPr>
        <w:tabs>
          <w:tab w:val="left" w:pos="1095"/>
        </w:tabs>
        <w:spacing w:line="500" w:lineRule="exact"/>
        <w:rPr>
          <w:rFonts w:asciiTheme="minorEastAsia" w:hAnsiTheme="minorEastAsia" w:eastAsiaTheme="minorEastAsia" w:cstheme="minorEastAsia"/>
          <w:b/>
          <w:color w:val="auto"/>
          <w:kern w:val="0"/>
          <w:sz w:val="24"/>
          <w:u w:val="single"/>
        </w:rPr>
      </w:pPr>
    </w:p>
    <w:p>
      <w:pPr>
        <w:autoSpaceDE w:val="0"/>
        <w:autoSpaceDN w:val="0"/>
        <w:adjustRightInd w:val="0"/>
        <w:jc w:val="center"/>
        <w:outlineLvl w:val="0"/>
        <w:rPr>
          <w:rFonts w:ascii="华文中宋"/>
          <w:b/>
          <w:color w:val="auto"/>
          <w:kern w:val="0"/>
          <w:sz w:val="28"/>
          <w:szCs w:val="28"/>
        </w:rPr>
      </w:pPr>
    </w:p>
    <w:p>
      <w:pPr>
        <w:autoSpaceDE w:val="0"/>
        <w:autoSpaceDN w:val="0"/>
        <w:adjustRightInd w:val="0"/>
        <w:jc w:val="center"/>
        <w:outlineLvl w:val="0"/>
        <w:rPr>
          <w:rFonts w:ascii="华文中宋"/>
          <w:b/>
          <w:color w:val="auto"/>
          <w:kern w:val="0"/>
          <w:sz w:val="28"/>
          <w:szCs w:val="28"/>
        </w:rPr>
      </w:pPr>
    </w:p>
    <w:p>
      <w:pPr>
        <w:snapToGrid w:val="0"/>
        <w:spacing w:before="50" w:after="50" w:line="360" w:lineRule="auto"/>
        <w:jc w:val="left"/>
        <w:rPr>
          <w:rFonts w:ascii="宋体" w:hAnsi="宋体"/>
          <w:b/>
          <w:color w:val="auto"/>
          <w:szCs w:val="21"/>
        </w:rPr>
      </w:pPr>
      <w:r>
        <w:rPr>
          <w:rFonts w:ascii="宋体" w:hAnsi="宋体"/>
          <w:b/>
          <w:color w:val="auto"/>
          <w:szCs w:val="21"/>
        </w:rPr>
        <w:br w:type="page"/>
      </w:r>
    </w:p>
    <w:p>
      <w:pPr>
        <w:snapToGrid w:val="0"/>
        <w:spacing w:before="50" w:after="50" w:line="360" w:lineRule="auto"/>
        <w:jc w:val="left"/>
        <w:rPr>
          <w:rFonts w:ascii="宋体" w:hAnsi="宋体"/>
          <w:b/>
          <w:color w:val="auto"/>
          <w:spacing w:val="6"/>
          <w:sz w:val="32"/>
          <w:szCs w:val="32"/>
        </w:rPr>
      </w:pPr>
      <w:r>
        <w:rPr>
          <w:rFonts w:hint="eastAsia" w:ascii="宋体" w:hAnsi="宋体"/>
          <w:b/>
          <w:color w:val="auto"/>
          <w:sz w:val="24"/>
        </w:rPr>
        <w:t>供应商符合监狱企业标准的，按《财政部、司法部关于政府采购支持监狱企业发展有关问题的通知》（财库〔2014〕68号）要求，提供有效监狱企业声明函。（不属于监狱企业的不用提供）</w:t>
      </w:r>
    </w:p>
    <w:p>
      <w:pPr>
        <w:spacing w:line="588" w:lineRule="exact"/>
        <w:jc w:val="center"/>
        <w:rPr>
          <w:rFonts w:ascii="宋体" w:hAnsi="宋体"/>
          <w:b/>
          <w:color w:val="auto"/>
          <w:spacing w:val="6"/>
          <w:sz w:val="30"/>
          <w:szCs w:val="30"/>
        </w:rPr>
      </w:pPr>
      <w:r>
        <w:rPr>
          <w:rFonts w:hint="eastAsia" w:ascii="宋体" w:hAnsi="宋体"/>
          <w:b/>
          <w:color w:val="auto"/>
          <w:spacing w:val="6"/>
          <w:sz w:val="32"/>
          <w:szCs w:val="32"/>
        </w:rPr>
        <w:t>监狱企业声明函（格式）</w:t>
      </w:r>
    </w:p>
    <w:p>
      <w:pPr>
        <w:spacing w:line="500" w:lineRule="exact"/>
        <w:ind w:firstLine="504" w:firstLineChars="200"/>
        <w:rPr>
          <w:rFonts w:asciiTheme="minorEastAsia" w:hAnsiTheme="minorEastAsia" w:eastAsiaTheme="minorEastAsia" w:cstheme="minorEastAsia"/>
          <w:color w:val="auto"/>
          <w:spacing w:val="6"/>
          <w:sz w:val="24"/>
        </w:rPr>
      </w:pP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本公司郑重声明，根据</w:t>
      </w:r>
      <w:r>
        <w:rPr>
          <w:rFonts w:hint="eastAsia" w:asciiTheme="minorEastAsia" w:hAnsiTheme="minorEastAsia" w:eastAsiaTheme="minorEastAsia" w:cstheme="minorEastAsia"/>
          <w:color w:val="auto"/>
          <w:sz w:val="24"/>
        </w:rPr>
        <w:t>《财政部、司法部关于政府采购支持监狱企业发展有关问题的通知》（财库〔2014〕68号）</w:t>
      </w:r>
      <w:r>
        <w:rPr>
          <w:rFonts w:hint="eastAsia" w:asciiTheme="minorEastAsia" w:hAnsiTheme="minorEastAsia" w:eastAsiaTheme="minorEastAsia" w:cstheme="minorEastAsia"/>
          <w:color w:val="auto"/>
          <w:spacing w:val="6"/>
          <w:sz w:val="24"/>
        </w:rPr>
        <w:t>的规定，本公司为</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（请填写：监狱）企业。即本公司同时满足以下条件：</w:t>
      </w:r>
    </w:p>
    <w:p>
      <w:pPr>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2、我公司参加政府采购活动时，视同小型、微型企业，提供由省级以上监狱管理局、戒毒管理局（含新疆生产建设兵团）出具的属于监狱企业的证明文件。</w:t>
      </w:r>
    </w:p>
    <w:p>
      <w:pPr>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pPr>
        <w:spacing w:line="500" w:lineRule="exact"/>
        <w:ind w:firstLine="504" w:firstLineChars="200"/>
        <w:rPr>
          <w:rFonts w:asciiTheme="minorEastAsia" w:hAnsiTheme="minorEastAsia" w:eastAsiaTheme="minorEastAsia" w:cstheme="minorEastAsia"/>
          <w:color w:val="auto"/>
          <w:spacing w:val="6"/>
          <w:sz w:val="24"/>
        </w:rPr>
      </w:pPr>
    </w:p>
    <w:p>
      <w:pPr>
        <w:spacing w:line="500" w:lineRule="exact"/>
        <w:ind w:firstLine="504" w:firstLineChars="200"/>
        <w:rPr>
          <w:rFonts w:asciiTheme="minorEastAsia" w:hAnsiTheme="minorEastAsia" w:eastAsiaTheme="minorEastAsia" w:cstheme="minorEastAsia"/>
          <w:color w:val="auto"/>
          <w:spacing w:val="6"/>
          <w:sz w:val="24"/>
        </w:rPr>
      </w:pPr>
    </w:p>
    <w:p>
      <w:pPr>
        <w:tabs>
          <w:tab w:val="left" w:pos="4860"/>
        </w:tabs>
        <w:spacing w:line="500" w:lineRule="exact"/>
        <w:ind w:right="1560" w:firstLine="504" w:firstLineChars="200"/>
        <w:jc w:val="center"/>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 xml:space="preserve">               企业名称（盖章）： </w:t>
      </w:r>
    </w:p>
    <w:p>
      <w:pPr>
        <w:tabs>
          <w:tab w:val="left" w:pos="4860"/>
        </w:tabs>
        <w:spacing w:line="500" w:lineRule="exact"/>
        <w:ind w:right="1560" w:firstLine="504" w:firstLineChars="200"/>
        <w:jc w:val="center"/>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 xml:space="preserve">                    日  期：    年   月   日              </w:t>
      </w:r>
    </w:p>
    <w:p>
      <w:pPr>
        <w:spacing w:line="500" w:lineRule="exact"/>
        <w:rPr>
          <w:rFonts w:asciiTheme="minorEastAsia" w:hAnsiTheme="minorEastAsia" w:eastAsiaTheme="minorEastAsia" w:cstheme="minorEastAsia"/>
          <w:color w:val="auto"/>
          <w:spacing w:val="6"/>
          <w:sz w:val="24"/>
        </w:rPr>
      </w:pP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注：</w:t>
      </w: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1.供应商符合监狱标准的，按财库〔2014〕68号的要求，必须应当提供省级以上监狱管理局、戒毒管理局（含新疆生产建设兵团）出具的属于监狱企业的证明文件。供谈判小组评审。（如有请提供，原件备查）</w:t>
      </w: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2.成交人的本声明函将在公布采购结果时一同公布，接受社会公众的监督，请供应商根据自己的真实情况出具本声明函。</w:t>
      </w:r>
    </w:p>
    <w:p>
      <w:pPr>
        <w:autoSpaceDE w:val="0"/>
        <w:autoSpaceDN w:val="0"/>
        <w:adjustRightInd w:val="0"/>
        <w:outlineLvl w:val="0"/>
        <w:rPr>
          <w:rFonts w:ascii="华文中宋"/>
          <w:b/>
          <w:color w:val="auto"/>
          <w:kern w:val="0"/>
          <w:sz w:val="28"/>
          <w:szCs w:val="28"/>
        </w:rPr>
      </w:pPr>
    </w:p>
    <w:p>
      <w:pPr>
        <w:spacing w:line="588" w:lineRule="exact"/>
        <w:rPr>
          <w:rFonts w:ascii="仿宋_GB2312" w:eastAsia="仿宋_GB2312"/>
          <w:b/>
          <w:color w:val="auto"/>
          <w:spacing w:val="6"/>
          <w:sz w:val="32"/>
          <w:szCs w:val="32"/>
        </w:rPr>
      </w:pPr>
      <w:r>
        <w:rPr>
          <w:rFonts w:hint="eastAsia" w:ascii="华文中宋"/>
          <w:b/>
          <w:color w:val="auto"/>
          <w:kern w:val="0"/>
          <w:sz w:val="28"/>
          <w:szCs w:val="28"/>
        </w:rPr>
        <w:t>供应商不属于残疾人福利性单位的，不用提供此声明函。</w:t>
      </w:r>
    </w:p>
    <w:p>
      <w:pPr>
        <w:spacing w:line="588" w:lineRule="exact"/>
        <w:jc w:val="center"/>
        <w:rPr>
          <w:rFonts w:ascii="仿宋_GB2312" w:eastAsia="仿宋_GB2312"/>
          <w:b/>
          <w:color w:val="auto"/>
          <w:spacing w:val="6"/>
          <w:sz w:val="32"/>
          <w:szCs w:val="32"/>
        </w:rPr>
      </w:pPr>
    </w:p>
    <w:p>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残疾人福利性单位声明函</w:t>
      </w:r>
    </w:p>
    <w:p>
      <w:pPr>
        <w:spacing w:line="588" w:lineRule="exact"/>
        <w:rPr>
          <w:rFonts w:ascii="仿宋_GB2312" w:eastAsia="仿宋_GB2312"/>
          <w:b/>
          <w:color w:val="auto"/>
          <w:spacing w:val="6"/>
          <w:sz w:val="30"/>
          <w:szCs w:val="30"/>
        </w:rPr>
      </w:pP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rPr>
        <w:t>〔2017〕 141</w:t>
      </w:r>
      <w:r>
        <w:rPr>
          <w:rFonts w:hint="eastAsia" w:asciiTheme="minorEastAsia" w:hAnsiTheme="minorEastAsia" w:eastAsiaTheme="minorEastAsia" w:cstheme="minorEastAsia"/>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spacing w:line="500" w:lineRule="exact"/>
        <w:ind w:firstLine="504" w:firstLineChars="200"/>
        <w:rPr>
          <w:rFonts w:asciiTheme="minorEastAsia" w:hAnsiTheme="minorEastAsia" w:eastAsiaTheme="minorEastAsia" w:cstheme="minorEastAsia"/>
          <w:color w:val="auto"/>
          <w:spacing w:val="6"/>
          <w:sz w:val="24"/>
        </w:rPr>
      </w:pPr>
    </w:p>
    <w:p>
      <w:pPr>
        <w:spacing w:line="500" w:lineRule="exact"/>
        <w:ind w:firstLine="504" w:firstLineChars="200"/>
        <w:rPr>
          <w:rFonts w:asciiTheme="minorEastAsia" w:hAnsiTheme="minorEastAsia" w:eastAsiaTheme="minorEastAsia" w:cstheme="minorEastAsia"/>
          <w:color w:val="auto"/>
          <w:spacing w:val="6"/>
          <w:sz w:val="24"/>
        </w:rPr>
      </w:pPr>
    </w:p>
    <w:p>
      <w:pPr>
        <w:tabs>
          <w:tab w:val="left" w:pos="4860"/>
        </w:tabs>
        <w:spacing w:line="500" w:lineRule="exact"/>
        <w:ind w:right="1560" w:firstLine="504" w:firstLineChars="200"/>
        <w:jc w:val="center"/>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单位名称（盖章）：</w:t>
      </w:r>
    </w:p>
    <w:p>
      <w:pPr>
        <w:tabs>
          <w:tab w:val="left" w:pos="4860"/>
        </w:tabs>
        <w:spacing w:line="500" w:lineRule="exact"/>
        <w:ind w:right="1560" w:firstLine="504" w:firstLineChars="200"/>
        <w:jc w:val="center"/>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日  期：</w:t>
      </w:r>
    </w:p>
    <w:p>
      <w:pPr>
        <w:tabs>
          <w:tab w:val="left" w:pos="4860"/>
        </w:tabs>
        <w:spacing w:line="500" w:lineRule="exact"/>
        <w:ind w:right="1560"/>
        <w:jc w:val="left"/>
        <w:rPr>
          <w:rFonts w:asciiTheme="minorEastAsia" w:hAnsiTheme="minorEastAsia" w:eastAsiaTheme="minorEastAsia" w:cstheme="minorEastAsia"/>
          <w:color w:val="auto"/>
          <w:sz w:val="24"/>
        </w:rPr>
      </w:pPr>
    </w:p>
    <w:p>
      <w:pPr>
        <w:tabs>
          <w:tab w:val="left" w:pos="4860"/>
        </w:tabs>
        <w:spacing w:line="500" w:lineRule="exact"/>
        <w:ind w:right="30"/>
        <w:jc w:val="left"/>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z w:val="24"/>
        </w:rPr>
        <w:t>备注：成交人的本声明函将在公布采购结果时一同公布，接受社会公众的监督，请供应商根据自己的真实情况出具本声明函</w:t>
      </w: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rPr>
          <w:rFonts w:hAnsi="宋体"/>
          <w:b/>
          <w:color w:val="auto"/>
          <w:sz w:val="32"/>
        </w:rPr>
      </w:pPr>
    </w:p>
    <w:p>
      <w:pPr>
        <w:pStyle w:val="2"/>
        <w:rPr>
          <w:rFonts w:hAnsi="宋体"/>
          <w:b/>
          <w:color w:val="auto"/>
          <w:sz w:val="32"/>
        </w:rPr>
      </w:pPr>
    </w:p>
    <w:p>
      <w:pPr>
        <w:rPr>
          <w:rFonts w:hAnsi="宋体"/>
          <w:b/>
          <w:color w:val="auto"/>
          <w:sz w:val="32"/>
        </w:rPr>
      </w:pPr>
    </w:p>
    <w:p>
      <w:pPr>
        <w:pStyle w:val="2"/>
        <w:rPr>
          <w:rFonts w:hAnsi="宋体"/>
          <w:b/>
          <w:color w:val="auto"/>
          <w:sz w:val="32"/>
        </w:rPr>
      </w:pPr>
    </w:p>
    <w:p>
      <w:pPr>
        <w:rPr>
          <w:rFonts w:hAnsi="宋体"/>
          <w:b/>
          <w:color w:val="auto"/>
          <w:sz w:val="32"/>
        </w:rPr>
      </w:pPr>
    </w:p>
    <w:p>
      <w:pPr>
        <w:pStyle w:val="2"/>
        <w:rPr>
          <w:rFonts w:hAnsi="宋体"/>
          <w:b/>
          <w:color w:val="auto"/>
          <w:sz w:val="32"/>
        </w:rPr>
      </w:pPr>
    </w:p>
    <w:p>
      <w:pPr>
        <w:rPr>
          <w:color w:val="auto"/>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jc w:val="center"/>
        <w:rPr>
          <w:rFonts w:hAnsi="宋体"/>
          <w:b/>
          <w:color w:val="auto"/>
          <w:sz w:val="32"/>
        </w:rPr>
      </w:pPr>
      <w:r>
        <w:rPr>
          <w:rFonts w:hint="eastAsia" w:hAnsi="宋体"/>
          <w:b/>
          <w:color w:val="auto"/>
          <w:sz w:val="32"/>
        </w:rPr>
        <w:t>二、技术部分</w:t>
      </w: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rPr>
          <w:rFonts w:hAnsi="宋体"/>
          <w:b/>
          <w:color w:val="auto"/>
          <w:sz w:val="32"/>
        </w:rPr>
      </w:pPr>
    </w:p>
    <w:p>
      <w:pPr>
        <w:pStyle w:val="2"/>
        <w:rPr>
          <w:rFonts w:hAnsi="宋体"/>
          <w:color w:val="auto"/>
          <w:sz w:val="32"/>
        </w:rPr>
      </w:pPr>
    </w:p>
    <w:p>
      <w:pPr>
        <w:rPr>
          <w:color w:val="auto"/>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pStyle w:val="18"/>
        <w:spacing w:line="420" w:lineRule="exact"/>
        <w:ind w:firstLine="420"/>
        <w:rPr>
          <w:rFonts w:hAnsi="宋体"/>
          <w:b/>
          <w:color w:val="auto"/>
          <w:sz w:val="32"/>
        </w:rPr>
      </w:pPr>
    </w:p>
    <w:p>
      <w:pPr>
        <w:rPr>
          <w:rFonts w:hAnsi="宋体"/>
          <w:b/>
          <w:color w:val="auto"/>
          <w:sz w:val="32"/>
        </w:rPr>
      </w:pPr>
    </w:p>
    <w:p>
      <w:pPr>
        <w:pStyle w:val="2"/>
        <w:rPr>
          <w:rFonts w:hAnsi="宋体"/>
          <w:color w:val="auto"/>
          <w:sz w:val="32"/>
        </w:rPr>
      </w:pPr>
    </w:p>
    <w:p>
      <w:pPr>
        <w:rPr>
          <w:rFonts w:hAnsi="宋体"/>
          <w:b/>
          <w:color w:val="auto"/>
          <w:sz w:val="32"/>
        </w:rPr>
      </w:pPr>
    </w:p>
    <w:p>
      <w:pPr>
        <w:pStyle w:val="2"/>
        <w:rPr>
          <w:color w:val="auto"/>
        </w:rPr>
      </w:pPr>
    </w:p>
    <w:p>
      <w:pPr>
        <w:pStyle w:val="18"/>
        <w:spacing w:before="240"/>
        <w:jc w:val="center"/>
        <w:rPr>
          <w:rFonts w:hAnsi="宋体"/>
          <w:b/>
          <w:color w:val="auto"/>
          <w:sz w:val="30"/>
          <w:u w:val="single"/>
        </w:rPr>
      </w:pPr>
      <w:r>
        <w:rPr>
          <w:rFonts w:hint="eastAsia" w:hAnsi="宋体"/>
          <w:b/>
          <w:color w:val="auto"/>
          <w:sz w:val="30"/>
        </w:rPr>
        <w:t>1、 项目服务方案</w:t>
      </w:r>
    </w:p>
    <w:p>
      <w:pPr>
        <w:pStyle w:val="18"/>
        <w:spacing w:before="240"/>
        <w:ind w:firstLine="3722" w:firstLineChars="1236"/>
        <w:rPr>
          <w:rFonts w:hAnsi="宋体"/>
          <w:b/>
          <w:color w:val="auto"/>
          <w:sz w:val="30"/>
        </w:rPr>
      </w:pPr>
    </w:p>
    <w:p>
      <w:pPr>
        <w:pStyle w:val="18"/>
        <w:spacing w:before="240"/>
        <w:ind w:firstLine="3722" w:firstLineChars="1236"/>
        <w:rPr>
          <w:rFonts w:hAnsi="宋体"/>
          <w:b/>
          <w:color w:val="auto"/>
          <w:sz w:val="30"/>
        </w:rPr>
      </w:pPr>
    </w:p>
    <w:p>
      <w:pPr>
        <w:pStyle w:val="18"/>
        <w:spacing w:before="240"/>
        <w:ind w:firstLine="3722" w:firstLineChars="1236"/>
        <w:rPr>
          <w:rFonts w:hAnsi="宋体"/>
          <w:b/>
          <w:color w:val="auto"/>
          <w:sz w:val="30"/>
        </w:rPr>
      </w:pPr>
    </w:p>
    <w:p>
      <w:pPr>
        <w:pStyle w:val="18"/>
        <w:spacing w:before="240"/>
        <w:ind w:firstLine="840" w:firstLineChars="279"/>
        <w:jc w:val="center"/>
        <w:rPr>
          <w:rFonts w:hAnsi="宋体"/>
          <w:b/>
          <w:color w:val="auto"/>
          <w:sz w:val="30"/>
        </w:rPr>
      </w:pPr>
      <w:r>
        <w:rPr>
          <w:rFonts w:hint="eastAsia" w:hAnsi="宋体"/>
          <w:b/>
          <w:color w:val="auto"/>
          <w:sz w:val="30"/>
        </w:rPr>
        <w:t>2、竞标人认为有必要提供的其他技术文件</w:t>
      </w:r>
    </w:p>
    <w:p>
      <w:pPr>
        <w:pStyle w:val="18"/>
        <w:jc w:val="center"/>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rPr>
          <w:rFonts w:hAnsi="宋体"/>
          <w:bCs/>
          <w:color w:val="auto"/>
        </w:rPr>
      </w:pPr>
    </w:p>
    <w:p>
      <w:pPr>
        <w:pStyle w:val="18"/>
        <w:spacing w:before="240"/>
        <w:jc w:val="center"/>
        <w:rPr>
          <w:rFonts w:hAnsi="宋体"/>
          <w:b/>
          <w:color w:val="auto"/>
          <w:sz w:val="32"/>
        </w:rPr>
      </w:pPr>
      <w:r>
        <w:rPr>
          <w:rFonts w:hint="eastAsia" w:hAnsi="宋体"/>
          <w:b/>
          <w:color w:val="auto"/>
          <w:sz w:val="32"/>
        </w:rPr>
        <w:t>三、其他</w:t>
      </w: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center"/>
        <w:rPr>
          <w:rFonts w:hAnsi="宋体"/>
          <w:b/>
          <w:color w:val="auto"/>
          <w:sz w:val="32"/>
        </w:rPr>
      </w:pPr>
    </w:p>
    <w:p>
      <w:pPr>
        <w:pStyle w:val="18"/>
        <w:jc w:val="left"/>
        <w:rPr>
          <w:rFonts w:hAnsi="宋体"/>
          <w:b/>
          <w:color w:val="auto"/>
        </w:rPr>
      </w:pPr>
    </w:p>
    <w:p>
      <w:pPr>
        <w:pStyle w:val="18"/>
        <w:jc w:val="left"/>
        <w:rPr>
          <w:rFonts w:hAnsi="宋体"/>
          <w:b/>
          <w:color w:val="auto"/>
        </w:rPr>
      </w:pPr>
    </w:p>
    <w:p>
      <w:pPr>
        <w:pStyle w:val="18"/>
        <w:jc w:val="left"/>
        <w:rPr>
          <w:rFonts w:hAnsi="宋体"/>
          <w:color w:val="auto"/>
        </w:rPr>
      </w:pPr>
    </w:p>
    <w:p>
      <w:pPr>
        <w:pStyle w:val="18"/>
        <w:jc w:val="left"/>
        <w:rPr>
          <w:rFonts w:hAnsi="宋体"/>
          <w:color w:val="auto"/>
        </w:rPr>
      </w:pPr>
    </w:p>
    <w:p>
      <w:pPr>
        <w:pStyle w:val="18"/>
        <w:jc w:val="left"/>
        <w:rPr>
          <w:rFonts w:hAnsi="宋体"/>
          <w:color w:val="auto"/>
        </w:rPr>
      </w:pPr>
    </w:p>
    <w:p>
      <w:pPr>
        <w:pStyle w:val="18"/>
        <w:jc w:val="left"/>
        <w:rPr>
          <w:rFonts w:hAnsi="宋体"/>
          <w:color w:val="auto"/>
        </w:rPr>
      </w:pPr>
    </w:p>
    <w:p>
      <w:pPr>
        <w:pStyle w:val="18"/>
        <w:jc w:val="left"/>
        <w:rPr>
          <w:rFonts w:hAnsi="宋体"/>
          <w:color w:val="auto"/>
        </w:rPr>
      </w:pPr>
    </w:p>
    <w:p>
      <w:pPr>
        <w:pStyle w:val="18"/>
        <w:rPr>
          <w:rFonts w:hAnsi="宋体"/>
          <w:color w:val="auto"/>
        </w:rPr>
      </w:pPr>
    </w:p>
    <w:p>
      <w:pPr>
        <w:pStyle w:val="18"/>
        <w:rPr>
          <w:rFonts w:hAnsi="宋体"/>
          <w:color w:val="auto"/>
        </w:rPr>
      </w:pPr>
    </w:p>
    <w:p>
      <w:pPr>
        <w:pStyle w:val="18"/>
        <w:rPr>
          <w:rFonts w:hAnsi="宋体"/>
          <w:color w:val="auto"/>
        </w:rPr>
      </w:pPr>
    </w:p>
    <w:p>
      <w:pPr>
        <w:pStyle w:val="18"/>
        <w:rPr>
          <w:rFonts w:hAnsi="宋体"/>
          <w:color w:val="auto"/>
        </w:rPr>
      </w:pPr>
    </w:p>
    <w:p>
      <w:pPr>
        <w:pStyle w:val="18"/>
        <w:rPr>
          <w:rFonts w:hAnsi="宋体"/>
          <w:color w:val="auto"/>
        </w:rPr>
      </w:pPr>
    </w:p>
    <w:p>
      <w:pPr>
        <w:pStyle w:val="18"/>
        <w:rPr>
          <w:rFonts w:hAnsi="宋体"/>
          <w:color w:val="auto"/>
        </w:rPr>
      </w:pPr>
    </w:p>
    <w:p>
      <w:pPr>
        <w:rPr>
          <w:rFonts w:ascii="宋体" w:hAnsi="宋体"/>
          <w:color w:val="auto"/>
          <w:u w:val="single"/>
        </w:rPr>
      </w:pPr>
    </w:p>
    <w:p>
      <w:pPr>
        <w:spacing w:line="540" w:lineRule="exact"/>
        <w:jc w:val="center"/>
        <w:rPr>
          <w:rFonts w:ascii="宋体" w:hAnsi="宋体"/>
          <w:color w:val="auto"/>
          <w:sz w:val="44"/>
        </w:rPr>
      </w:pPr>
    </w:p>
    <w:p>
      <w:pPr>
        <w:spacing w:line="540" w:lineRule="exact"/>
        <w:jc w:val="center"/>
        <w:rPr>
          <w:rFonts w:ascii="宋体" w:hAnsi="宋体"/>
          <w:color w:val="auto"/>
          <w:sz w:val="44"/>
        </w:rPr>
      </w:pPr>
    </w:p>
    <w:p>
      <w:pPr>
        <w:spacing w:line="540" w:lineRule="exact"/>
        <w:jc w:val="center"/>
        <w:rPr>
          <w:rFonts w:ascii="宋体" w:hAnsi="宋体"/>
          <w:color w:val="auto"/>
          <w:sz w:val="44"/>
        </w:rPr>
      </w:pPr>
    </w:p>
    <w:p>
      <w:pPr>
        <w:pStyle w:val="24"/>
        <w:rPr>
          <w:rFonts w:ascii="宋体" w:hAnsi="宋体"/>
          <w:color w:val="auto"/>
          <w:sz w:val="44"/>
        </w:rPr>
      </w:pPr>
    </w:p>
    <w:p>
      <w:pPr>
        <w:rPr>
          <w:rFonts w:ascii="宋体" w:hAnsi="宋体"/>
          <w:color w:val="auto"/>
          <w:sz w:val="44"/>
        </w:rPr>
      </w:pPr>
    </w:p>
    <w:p>
      <w:pPr>
        <w:pStyle w:val="24"/>
        <w:rPr>
          <w:rFonts w:ascii="宋体" w:hAnsi="宋体"/>
          <w:color w:val="auto"/>
          <w:sz w:val="44"/>
        </w:rPr>
      </w:pPr>
    </w:p>
    <w:p>
      <w:pPr>
        <w:rPr>
          <w:rFonts w:ascii="宋体" w:hAnsi="宋体"/>
          <w:color w:val="auto"/>
          <w:sz w:val="44"/>
        </w:rPr>
      </w:pPr>
    </w:p>
    <w:p>
      <w:pPr>
        <w:pStyle w:val="24"/>
        <w:ind w:left="0" w:firstLine="0"/>
        <w:rPr>
          <w:color w:val="auto"/>
        </w:rPr>
      </w:pPr>
    </w:p>
    <w:p>
      <w:pPr>
        <w:pStyle w:val="2"/>
        <w:rPr>
          <w:color w:val="auto"/>
        </w:rPr>
      </w:pPr>
    </w:p>
    <w:p>
      <w:pPr>
        <w:spacing w:line="540" w:lineRule="exact"/>
        <w:jc w:val="center"/>
        <w:rPr>
          <w:rFonts w:hint="eastAsia" w:ascii="宋体" w:hAnsi="宋体"/>
          <w:color w:val="auto"/>
          <w:sz w:val="44"/>
        </w:rPr>
      </w:pPr>
    </w:p>
    <w:p>
      <w:pPr>
        <w:pStyle w:val="2"/>
        <w:rPr>
          <w:color w:val="auto"/>
        </w:rPr>
      </w:pPr>
    </w:p>
    <w:p>
      <w:pPr>
        <w:pStyle w:val="3"/>
        <w:keepNext w:val="0"/>
        <w:spacing w:line="440" w:lineRule="exact"/>
        <w:jc w:val="center"/>
        <w:rPr>
          <w:rFonts w:ascii="宋体" w:hAnsi="宋体"/>
          <w:color w:val="auto"/>
          <w:sz w:val="36"/>
          <w:szCs w:val="36"/>
        </w:rPr>
      </w:pPr>
      <w:bookmarkStart w:id="332" w:name="_Toc31700"/>
      <w:r>
        <w:rPr>
          <w:rFonts w:hint="eastAsia" w:ascii="宋体" w:hAnsi="宋体"/>
          <w:color w:val="auto"/>
          <w:sz w:val="36"/>
          <w:szCs w:val="36"/>
        </w:rPr>
        <w:t>第六章  评标办法</w:t>
      </w:r>
      <w:bookmarkEnd w:id="332"/>
    </w:p>
    <w:p>
      <w:pPr>
        <w:spacing w:line="540" w:lineRule="exact"/>
        <w:jc w:val="center"/>
        <w:rPr>
          <w:rFonts w:ascii="宋体" w:hAnsi="宋体"/>
          <w:color w:val="auto"/>
          <w:sz w:val="44"/>
        </w:rPr>
      </w:pPr>
    </w:p>
    <w:p>
      <w:pPr>
        <w:pStyle w:val="2"/>
        <w:rPr>
          <w:rFonts w:ascii="宋体" w:hAnsi="宋体"/>
          <w:color w:val="auto"/>
          <w:sz w:val="44"/>
        </w:rPr>
      </w:pPr>
    </w:p>
    <w:p>
      <w:pPr>
        <w:rPr>
          <w:rFonts w:ascii="宋体" w:hAnsi="宋体"/>
          <w:color w:val="auto"/>
          <w:sz w:val="44"/>
        </w:rPr>
      </w:pPr>
    </w:p>
    <w:p>
      <w:pPr>
        <w:pStyle w:val="2"/>
        <w:rPr>
          <w:rFonts w:ascii="宋体" w:hAnsi="宋体"/>
          <w:color w:val="auto"/>
          <w:sz w:val="44"/>
        </w:rPr>
      </w:pPr>
    </w:p>
    <w:p>
      <w:pPr>
        <w:pStyle w:val="2"/>
        <w:rPr>
          <w:color w:val="auto"/>
        </w:rPr>
      </w:pPr>
    </w:p>
    <w:p>
      <w:pPr>
        <w:pStyle w:val="2"/>
        <w:rPr>
          <w:rFonts w:ascii="宋体" w:hAnsi="宋体"/>
          <w:color w:val="auto"/>
          <w:sz w:val="44"/>
        </w:rPr>
      </w:pPr>
    </w:p>
    <w:p>
      <w:pPr>
        <w:rPr>
          <w:rFonts w:ascii="宋体" w:hAnsi="宋体"/>
          <w:color w:val="auto"/>
          <w:sz w:val="44"/>
        </w:rPr>
      </w:pPr>
    </w:p>
    <w:p>
      <w:pPr>
        <w:rPr>
          <w:color w:val="auto"/>
        </w:rPr>
      </w:pPr>
    </w:p>
    <w:p>
      <w:pPr>
        <w:pStyle w:val="2"/>
        <w:rPr>
          <w:color w:val="auto"/>
        </w:rPr>
      </w:pPr>
    </w:p>
    <w:p>
      <w:pPr>
        <w:rPr>
          <w:color w:val="auto"/>
        </w:rPr>
      </w:pPr>
    </w:p>
    <w:p>
      <w:pPr>
        <w:jc w:val="center"/>
        <w:rPr>
          <w:rFonts w:hint="eastAsia"/>
          <w:b/>
          <w:bCs/>
          <w:color w:val="auto"/>
          <w:sz w:val="30"/>
          <w:szCs w:val="30"/>
        </w:rPr>
      </w:pPr>
      <w:bookmarkStart w:id="333" w:name="_Toc230685514"/>
      <w:bookmarkStart w:id="334" w:name="_Toc298937424"/>
      <w:bookmarkStart w:id="335" w:name="_Toc230685791"/>
      <w:bookmarkStart w:id="336" w:name="_Toc230685515"/>
      <w:bookmarkStart w:id="337" w:name="_Toc590"/>
      <w:bookmarkStart w:id="338" w:name="_Toc230685699"/>
      <w:bookmarkStart w:id="339" w:name="_Toc230685698"/>
      <w:bookmarkStart w:id="340" w:name="_Toc230685258"/>
      <w:bookmarkStart w:id="341" w:name="_Toc230685257"/>
      <w:bookmarkStart w:id="342" w:name="_Toc230625548"/>
      <w:bookmarkStart w:id="343" w:name="_Toc16271"/>
      <w:bookmarkStart w:id="344" w:name="_Toc230685653"/>
      <w:bookmarkStart w:id="345" w:name="_Toc230685652"/>
      <w:bookmarkStart w:id="346" w:name="_Toc230685790"/>
    </w:p>
    <w:p>
      <w:pPr>
        <w:jc w:val="center"/>
        <w:rPr>
          <w:color w:val="auto"/>
        </w:rPr>
      </w:pPr>
      <w:r>
        <w:rPr>
          <w:rFonts w:hint="eastAsia"/>
          <w:b/>
          <w:bCs/>
          <w:color w:val="auto"/>
          <w:sz w:val="30"/>
          <w:szCs w:val="30"/>
        </w:rPr>
        <w:t>评 标 办 法</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18"/>
        <w:spacing w:line="440" w:lineRule="exact"/>
        <w:ind w:firstLine="480" w:firstLineChars="200"/>
        <w:rPr>
          <w:rFonts w:hAnsi="宋体"/>
          <w:color w:val="auto"/>
          <w:sz w:val="24"/>
          <w:szCs w:val="24"/>
        </w:rPr>
      </w:pPr>
      <w:r>
        <w:rPr>
          <w:rFonts w:hint="eastAsia" w:hAnsi="宋体"/>
          <w:color w:val="auto"/>
          <w:sz w:val="24"/>
          <w:szCs w:val="24"/>
        </w:rPr>
        <w:t>一、本项目采用的评标方法为：最低评标价法。</w:t>
      </w:r>
    </w:p>
    <w:p>
      <w:pPr>
        <w:pStyle w:val="18"/>
        <w:spacing w:line="440" w:lineRule="exact"/>
        <w:ind w:firstLine="480" w:firstLineChars="200"/>
        <w:rPr>
          <w:rFonts w:hAnsi="宋体"/>
          <w:color w:val="auto"/>
          <w:sz w:val="24"/>
          <w:szCs w:val="24"/>
        </w:rPr>
      </w:pPr>
      <w:r>
        <w:rPr>
          <w:rFonts w:hint="eastAsia" w:hAnsi="宋体"/>
          <w:color w:val="auto"/>
          <w:sz w:val="24"/>
          <w:szCs w:val="24"/>
        </w:rPr>
        <w:t>二、评标原则：</w:t>
      </w:r>
    </w:p>
    <w:p>
      <w:pPr>
        <w:pStyle w:val="18"/>
        <w:spacing w:line="440" w:lineRule="exact"/>
        <w:ind w:firstLine="480" w:firstLineChars="200"/>
        <w:rPr>
          <w:rFonts w:hAnsi="宋体"/>
          <w:color w:val="auto"/>
          <w:sz w:val="24"/>
          <w:szCs w:val="24"/>
        </w:rPr>
      </w:pPr>
      <w:r>
        <w:rPr>
          <w:rFonts w:hint="eastAsia" w:hAnsi="宋体"/>
          <w:color w:val="auto"/>
          <w:sz w:val="24"/>
          <w:szCs w:val="24"/>
        </w:rPr>
        <w:t>（一）谈判小组的构成：本采购项目的谈判小组分别由依法组成的评审专家、采购人代表等三人以上单数组成，其中专家人数不少于成员总数的三分之二。</w:t>
      </w:r>
    </w:p>
    <w:p>
      <w:pPr>
        <w:pStyle w:val="18"/>
        <w:spacing w:line="440" w:lineRule="exact"/>
        <w:ind w:firstLine="480" w:firstLineChars="200"/>
        <w:rPr>
          <w:rFonts w:hAnsi="宋体"/>
          <w:color w:val="auto"/>
          <w:sz w:val="24"/>
          <w:szCs w:val="24"/>
        </w:rPr>
      </w:pPr>
      <w:r>
        <w:rPr>
          <w:rFonts w:hint="eastAsia" w:hAnsi="宋体"/>
          <w:color w:val="auto"/>
          <w:sz w:val="24"/>
          <w:szCs w:val="24"/>
        </w:rPr>
        <w:t>（二）评标依据：以采购文件、竞标文件或响应文件为评定依据。</w:t>
      </w:r>
    </w:p>
    <w:p>
      <w:pPr>
        <w:pStyle w:val="18"/>
        <w:spacing w:line="440" w:lineRule="exact"/>
        <w:ind w:firstLine="480" w:firstLineChars="200"/>
        <w:rPr>
          <w:rFonts w:hAnsi="宋体"/>
          <w:color w:val="auto"/>
          <w:sz w:val="24"/>
          <w:szCs w:val="24"/>
        </w:rPr>
      </w:pPr>
      <w:r>
        <w:rPr>
          <w:rFonts w:hint="eastAsia" w:hAnsi="宋体"/>
          <w:color w:val="auto"/>
          <w:sz w:val="24"/>
          <w:szCs w:val="24"/>
        </w:rPr>
        <w:t>（三）评标方法：在质量和服务均能满足采购文件实质性响应要求的前提下，按最后报价由低到高排列成交候选供应商顺序（报价相同时，依次按检测资质等级高的优先、检测范围广的优先、检测人员配备多的优先、服务方案详细优先的顺序排列），并依照次序确定成交人。</w:t>
      </w:r>
    </w:p>
    <w:p>
      <w:pPr>
        <w:pStyle w:val="18"/>
        <w:spacing w:line="440" w:lineRule="exact"/>
        <w:ind w:firstLine="480" w:firstLineChars="200"/>
        <w:rPr>
          <w:rFonts w:hAnsi="宋体"/>
          <w:color w:val="auto"/>
          <w:sz w:val="24"/>
          <w:szCs w:val="24"/>
        </w:rPr>
      </w:pPr>
      <w:r>
        <w:rPr>
          <w:rFonts w:hint="eastAsia" w:hAnsi="宋体"/>
          <w:color w:val="auto"/>
          <w:sz w:val="24"/>
          <w:szCs w:val="24"/>
        </w:rPr>
        <w:t>（四）按照《政府采购促进中小企业发展暂行办法》（财库[2011]181号）、《关于我区政府采购支持监狱企业发展有关问题的通知》（桂财采[2015]24号）、《三部门联合发布关于促进残疾人就业政府采购政策的通知》（财库〔2017〕141号），竞标单位认定为小型和微型企业的（以响应文件提供的符合规定的有关证明材料为准），对竞标价给予</w:t>
      </w:r>
      <w:r>
        <w:rPr>
          <w:rFonts w:hint="eastAsia" w:hAnsi="宋体"/>
          <w:color w:val="auto"/>
          <w:sz w:val="24"/>
          <w:szCs w:val="24"/>
          <w:lang w:val="en-US" w:eastAsia="zh-CN"/>
        </w:rPr>
        <w:t>10</w:t>
      </w:r>
      <w:r>
        <w:rPr>
          <w:rFonts w:hint="eastAsia" w:hAnsi="宋体"/>
          <w:color w:val="auto"/>
          <w:sz w:val="24"/>
          <w:szCs w:val="24"/>
        </w:rPr>
        <w:t>%的扣除，扣除后的价格为评标报价，即评标报价=最终竞标报价×（1-</w:t>
      </w:r>
      <w:r>
        <w:rPr>
          <w:rFonts w:hint="eastAsia" w:hAnsi="宋体"/>
          <w:color w:val="auto"/>
          <w:sz w:val="24"/>
          <w:szCs w:val="24"/>
          <w:lang w:val="en-US" w:eastAsia="zh-CN"/>
        </w:rPr>
        <w:t>10</w:t>
      </w:r>
      <w:r>
        <w:rPr>
          <w:rFonts w:hint="eastAsia" w:hAnsi="宋体"/>
          <w:color w:val="auto"/>
          <w:sz w:val="24"/>
          <w:szCs w:val="24"/>
        </w:rPr>
        <w:t>%）；</w:t>
      </w:r>
      <w:r>
        <w:rPr>
          <w:rFonts w:hint="eastAsia" w:hAnsi="宋体"/>
          <w:color w:val="auto"/>
          <w:sz w:val="24"/>
          <w:szCs w:val="24"/>
          <w:lang w:eastAsia="zh-CN"/>
        </w:rPr>
        <w:t>本项目不接受联合体投标</w:t>
      </w:r>
      <w:bookmarkStart w:id="347" w:name="_GoBack"/>
      <w:bookmarkEnd w:id="347"/>
      <w:r>
        <w:rPr>
          <w:rFonts w:hint="eastAsia" w:hAnsi="宋体"/>
          <w:color w:val="auto"/>
          <w:sz w:val="24"/>
          <w:szCs w:val="24"/>
        </w:rPr>
        <w:t>。</w:t>
      </w:r>
    </w:p>
    <w:p>
      <w:pPr>
        <w:pStyle w:val="18"/>
        <w:spacing w:line="440" w:lineRule="exact"/>
        <w:ind w:firstLine="480" w:firstLineChars="200"/>
        <w:rPr>
          <w:rFonts w:hAnsi="宋体"/>
          <w:color w:val="auto"/>
          <w:sz w:val="24"/>
          <w:szCs w:val="24"/>
        </w:rPr>
      </w:pPr>
      <w:r>
        <w:rPr>
          <w:rFonts w:hint="eastAsia" w:hAnsi="宋体"/>
          <w:color w:val="auto"/>
          <w:sz w:val="24"/>
          <w:szCs w:val="24"/>
        </w:rPr>
        <w:t>（五）评审标准</w:t>
      </w:r>
    </w:p>
    <w:p>
      <w:pPr>
        <w:pStyle w:val="18"/>
        <w:spacing w:line="440" w:lineRule="exact"/>
        <w:ind w:firstLine="480" w:firstLineChars="200"/>
        <w:rPr>
          <w:rFonts w:hAnsi="宋体"/>
          <w:color w:val="auto"/>
          <w:sz w:val="24"/>
          <w:szCs w:val="24"/>
        </w:rPr>
      </w:pPr>
      <w:r>
        <w:rPr>
          <w:rFonts w:hint="eastAsia" w:hAnsi="宋体"/>
          <w:color w:val="auto"/>
          <w:sz w:val="24"/>
          <w:szCs w:val="24"/>
        </w:rPr>
        <w:t>1、资格评审</w:t>
      </w:r>
    </w:p>
    <w:p>
      <w:pPr>
        <w:pStyle w:val="18"/>
        <w:spacing w:line="440" w:lineRule="exact"/>
        <w:ind w:firstLine="480" w:firstLineChars="200"/>
        <w:rPr>
          <w:rFonts w:hAnsi="宋体"/>
          <w:color w:val="auto"/>
          <w:sz w:val="24"/>
          <w:szCs w:val="24"/>
        </w:rPr>
      </w:pPr>
      <w:r>
        <w:rPr>
          <w:rFonts w:hAnsi="宋体"/>
          <w:color w:val="auto"/>
          <w:sz w:val="24"/>
          <w:szCs w:val="24"/>
        </w:rPr>
        <w:t>(1)竞标人有效的“营业执照”最新版副本内页复印件；</w:t>
      </w:r>
    </w:p>
    <w:p>
      <w:pPr>
        <w:pStyle w:val="18"/>
        <w:spacing w:line="440" w:lineRule="exact"/>
        <w:ind w:firstLine="480" w:firstLineChars="200"/>
        <w:rPr>
          <w:rFonts w:hAnsi="宋体"/>
          <w:color w:val="auto"/>
          <w:sz w:val="24"/>
          <w:szCs w:val="24"/>
        </w:rPr>
      </w:pPr>
      <w:r>
        <w:rPr>
          <w:rFonts w:hAnsi="宋体"/>
          <w:color w:val="auto"/>
          <w:sz w:val="24"/>
          <w:szCs w:val="24"/>
        </w:rPr>
        <w:t>(2)企业法定代表人身份证复印件；</w:t>
      </w:r>
    </w:p>
    <w:p>
      <w:pPr>
        <w:pStyle w:val="18"/>
        <w:spacing w:line="440" w:lineRule="exact"/>
        <w:ind w:firstLine="480" w:firstLineChars="200"/>
        <w:rPr>
          <w:rFonts w:hAnsi="宋体"/>
          <w:color w:val="auto"/>
          <w:sz w:val="24"/>
          <w:szCs w:val="24"/>
        </w:rPr>
      </w:pPr>
      <w:r>
        <w:rPr>
          <w:rFonts w:hAnsi="宋体"/>
          <w:color w:val="auto"/>
          <w:sz w:val="24"/>
          <w:szCs w:val="24"/>
        </w:rPr>
        <w:t>(3)法定代表人授权委托书原件和委托代理人身份证复印件；</w:t>
      </w:r>
    </w:p>
    <w:p>
      <w:pPr>
        <w:pStyle w:val="18"/>
        <w:spacing w:line="440" w:lineRule="exact"/>
        <w:ind w:firstLine="480" w:firstLineChars="200"/>
        <w:rPr>
          <w:rFonts w:hAnsi="宋体"/>
          <w:color w:val="auto"/>
          <w:sz w:val="24"/>
          <w:szCs w:val="24"/>
        </w:rPr>
      </w:pPr>
      <w:r>
        <w:rPr>
          <w:rFonts w:hAnsi="宋体"/>
          <w:color w:val="auto"/>
          <w:sz w:val="24"/>
          <w:szCs w:val="24"/>
        </w:rPr>
        <w:t>(4)省级以上住房城乡建设主管部门颁发的相应建设工程质量检测资质证书复印件和省级以上质量技术监督部门颁发的检验检测机构资质认定证书复印件；</w:t>
      </w:r>
    </w:p>
    <w:p>
      <w:pPr>
        <w:pStyle w:val="18"/>
        <w:spacing w:line="440" w:lineRule="exact"/>
        <w:ind w:firstLine="480" w:firstLineChars="200"/>
        <w:rPr>
          <w:rFonts w:hAnsi="宋体"/>
          <w:color w:val="auto"/>
          <w:sz w:val="24"/>
          <w:szCs w:val="24"/>
        </w:rPr>
      </w:pPr>
      <w:r>
        <w:rPr>
          <w:rFonts w:hAnsi="宋体"/>
          <w:color w:val="auto"/>
          <w:sz w:val="24"/>
          <w:szCs w:val="24"/>
        </w:rPr>
        <w:t>(5)竞标人自竞争性谈判公告发布之日起在“信用中国”网站（www.creditchina.gov.cn）和中国政府采购网（http://www.ccgp.gov.cn）上查询竞标人主体信用记录的查询结果截图。</w:t>
      </w:r>
    </w:p>
    <w:p>
      <w:pPr>
        <w:pStyle w:val="18"/>
        <w:spacing w:line="440" w:lineRule="exact"/>
        <w:ind w:firstLine="480" w:firstLineChars="200"/>
        <w:rPr>
          <w:rFonts w:hAnsi="宋体"/>
          <w:color w:val="auto"/>
          <w:sz w:val="24"/>
          <w:szCs w:val="24"/>
        </w:rPr>
      </w:pPr>
      <w:r>
        <w:rPr>
          <w:rFonts w:hint="eastAsia" w:hAnsi="宋体"/>
          <w:color w:val="auto"/>
          <w:sz w:val="24"/>
          <w:szCs w:val="24"/>
        </w:rPr>
        <w:t>2、符合或商务评审</w:t>
      </w:r>
    </w:p>
    <w:p>
      <w:pPr>
        <w:pStyle w:val="18"/>
        <w:spacing w:line="440" w:lineRule="exact"/>
        <w:ind w:firstLine="480" w:firstLineChars="200"/>
        <w:rPr>
          <w:rFonts w:hAnsi="宋体"/>
          <w:color w:val="auto"/>
          <w:sz w:val="24"/>
          <w:szCs w:val="24"/>
        </w:rPr>
      </w:pPr>
      <w:r>
        <w:rPr>
          <w:rFonts w:hAnsi="宋体"/>
          <w:color w:val="auto"/>
          <w:sz w:val="24"/>
          <w:szCs w:val="24"/>
        </w:rPr>
        <w:t>（1）竞标人2020年度近半年来任意连续三个月的依法纳税的依法缴纳税费或依法免缴税费或其他未欠税的证明复印件；无纳税记录的，应提供由供应商所在地税务部门出具的《依法纳税或依法免税证明》复印件；</w:t>
      </w:r>
    </w:p>
    <w:p>
      <w:pPr>
        <w:pStyle w:val="18"/>
        <w:spacing w:line="440" w:lineRule="exact"/>
        <w:ind w:firstLine="480" w:firstLineChars="200"/>
        <w:rPr>
          <w:rFonts w:hAnsi="宋体"/>
          <w:color w:val="auto"/>
          <w:sz w:val="24"/>
          <w:szCs w:val="24"/>
        </w:rPr>
      </w:pPr>
      <w:r>
        <w:rPr>
          <w:rFonts w:hAnsi="宋体"/>
          <w:color w:val="auto"/>
          <w:sz w:val="24"/>
          <w:szCs w:val="24"/>
        </w:rPr>
        <w:t>（2）竞标人2020年度近半年来任意连续三个月的依法缴纳社保费的缴费凭证复印件；无缴费记录的，应提供由供应商所在地相关行政部门出具的《依法缴纳或依法免缴社保费证明》复印件；</w:t>
      </w:r>
    </w:p>
    <w:p>
      <w:pPr>
        <w:pStyle w:val="18"/>
        <w:spacing w:line="440" w:lineRule="exact"/>
        <w:ind w:firstLine="480" w:firstLineChars="200"/>
        <w:rPr>
          <w:rFonts w:hAnsi="宋体"/>
          <w:color w:val="auto"/>
          <w:sz w:val="24"/>
          <w:szCs w:val="24"/>
        </w:rPr>
      </w:pPr>
      <w:r>
        <w:rPr>
          <w:rFonts w:hAnsi="宋体"/>
          <w:color w:val="auto"/>
          <w:sz w:val="24"/>
          <w:szCs w:val="24"/>
        </w:rPr>
        <w:t>（3）①供应商经审计的2019年的年度财务状况报告复印件（2019年后新成立的公司按实际情况提供）；②银行出具的资信证明复印件；③财政部门认可的政府采购专业担保机构出具的投标担保函复印件；④提交本公司出具的财务报表（必须提供以上4项的其中一项的复印件）；</w:t>
      </w:r>
    </w:p>
    <w:p>
      <w:pPr>
        <w:pStyle w:val="18"/>
        <w:spacing w:line="440" w:lineRule="exact"/>
        <w:ind w:firstLine="480" w:firstLineChars="200"/>
        <w:rPr>
          <w:rFonts w:hAnsi="宋体"/>
          <w:color w:val="auto"/>
          <w:sz w:val="24"/>
          <w:szCs w:val="24"/>
        </w:rPr>
      </w:pPr>
      <w:r>
        <w:rPr>
          <w:rFonts w:hAnsi="宋体"/>
          <w:color w:val="auto"/>
          <w:sz w:val="24"/>
          <w:szCs w:val="24"/>
        </w:rPr>
        <w:t>（4）竞标函；</w:t>
      </w:r>
    </w:p>
    <w:p>
      <w:pPr>
        <w:pStyle w:val="18"/>
        <w:spacing w:line="440" w:lineRule="exact"/>
        <w:ind w:firstLine="480" w:firstLineChars="200"/>
        <w:rPr>
          <w:rFonts w:hAnsi="宋体"/>
          <w:color w:val="auto"/>
          <w:sz w:val="24"/>
          <w:szCs w:val="24"/>
        </w:rPr>
      </w:pPr>
      <w:r>
        <w:rPr>
          <w:rFonts w:hAnsi="宋体"/>
          <w:color w:val="auto"/>
          <w:sz w:val="24"/>
          <w:szCs w:val="24"/>
        </w:rPr>
        <w:t>（5）竞标报价表；</w:t>
      </w:r>
    </w:p>
    <w:p>
      <w:pPr>
        <w:pStyle w:val="18"/>
        <w:spacing w:line="440" w:lineRule="exact"/>
        <w:ind w:firstLine="480" w:firstLineChars="200"/>
        <w:rPr>
          <w:rFonts w:hAnsi="宋体"/>
          <w:color w:val="auto"/>
          <w:sz w:val="24"/>
          <w:szCs w:val="24"/>
        </w:rPr>
      </w:pPr>
      <w:r>
        <w:rPr>
          <w:rFonts w:hAnsi="宋体"/>
          <w:color w:val="auto"/>
          <w:sz w:val="24"/>
          <w:szCs w:val="24"/>
        </w:rPr>
        <w:t>（6）参加政府采购活动前三年内在经营活动中没有重大违法记录的书面声明；</w:t>
      </w:r>
    </w:p>
    <w:p>
      <w:pPr>
        <w:pStyle w:val="18"/>
        <w:spacing w:line="440" w:lineRule="exact"/>
        <w:ind w:firstLine="480" w:firstLineChars="200"/>
        <w:rPr>
          <w:rFonts w:hAnsi="宋体"/>
          <w:color w:val="auto"/>
          <w:sz w:val="24"/>
          <w:szCs w:val="24"/>
        </w:rPr>
      </w:pPr>
      <w:r>
        <w:rPr>
          <w:rFonts w:hAnsi="宋体"/>
          <w:color w:val="auto"/>
          <w:sz w:val="24"/>
          <w:szCs w:val="24"/>
        </w:rPr>
        <w:t>（7）竞标保证金缴纳证明；</w:t>
      </w:r>
    </w:p>
    <w:p>
      <w:pPr>
        <w:pStyle w:val="18"/>
        <w:spacing w:line="440" w:lineRule="exact"/>
        <w:ind w:firstLine="480" w:firstLineChars="200"/>
        <w:rPr>
          <w:rFonts w:hAnsi="宋体"/>
          <w:color w:val="auto"/>
          <w:sz w:val="24"/>
          <w:szCs w:val="24"/>
        </w:rPr>
      </w:pPr>
      <w:r>
        <w:rPr>
          <w:rFonts w:hAnsi="宋体"/>
          <w:color w:val="auto"/>
          <w:sz w:val="24"/>
          <w:szCs w:val="24"/>
        </w:rPr>
        <w:t>（8）商务响应表；</w:t>
      </w:r>
    </w:p>
    <w:p>
      <w:pPr>
        <w:pStyle w:val="18"/>
        <w:spacing w:line="440" w:lineRule="exact"/>
        <w:ind w:firstLine="480" w:firstLineChars="200"/>
        <w:rPr>
          <w:rFonts w:hAnsi="宋体"/>
          <w:color w:val="auto"/>
          <w:sz w:val="24"/>
          <w:szCs w:val="24"/>
        </w:rPr>
      </w:pPr>
      <w:r>
        <w:rPr>
          <w:rFonts w:hAnsi="宋体"/>
          <w:color w:val="auto"/>
          <w:sz w:val="24"/>
          <w:szCs w:val="24"/>
        </w:rPr>
        <w:t>（</w:t>
      </w:r>
      <w:r>
        <w:rPr>
          <w:rFonts w:hint="eastAsia" w:hAnsi="宋体"/>
          <w:color w:val="auto"/>
          <w:sz w:val="24"/>
          <w:szCs w:val="24"/>
        </w:rPr>
        <w:t>9</w:t>
      </w:r>
      <w:r>
        <w:rPr>
          <w:rFonts w:hAnsi="宋体"/>
          <w:color w:val="auto"/>
          <w:sz w:val="24"/>
          <w:szCs w:val="24"/>
        </w:rPr>
        <w:t>）《</w:t>
      </w:r>
      <w:r>
        <w:rPr>
          <w:rFonts w:hint="eastAsia" w:hAnsi="宋体"/>
          <w:color w:val="auto"/>
          <w:sz w:val="24"/>
          <w:szCs w:val="24"/>
        </w:rPr>
        <w:t>项目需求</w:t>
      </w:r>
      <w:r>
        <w:rPr>
          <w:rFonts w:hAnsi="宋体"/>
          <w:color w:val="auto"/>
          <w:sz w:val="24"/>
          <w:szCs w:val="24"/>
        </w:rPr>
        <w:t>》要求提供的；</w:t>
      </w:r>
    </w:p>
    <w:p>
      <w:pPr>
        <w:pStyle w:val="18"/>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0</w:t>
      </w:r>
      <w:r>
        <w:rPr>
          <w:rFonts w:hAnsi="宋体"/>
          <w:color w:val="auto"/>
          <w:sz w:val="24"/>
          <w:szCs w:val="24"/>
        </w:rPr>
        <w:t>）</w:t>
      </w:r>
      <w:r>
        <w:rPr>
          <w:rFonts w:hint="eastAsia" w:hAnsi="宋体"/>
          <w:color w:val="auto"/>
          <w:sz w:val="24"/>
          <w:szCs w:val="24"/>
        </w:rPr>
        <w:t>项目服务方案；</w:t>
      </w:r>
    </w:p>
    <w:p>
      <w:pPr>
        <w:pStyle w:val="18"/>
        <w:spacing w:line="440" w:lineRule="exact"/>
        <w:ind w:firstLine="480" w:firstLineChars="200"/>
        <w:rPr>
          <w:rFonts w:hAnsi="宋体"/>
          <w:color w:val="auto"/>
          <w:sz w:val="24"/>
          <w:szCs w:val="24"/>
        </w:rPr>
      </w:pPr>
      <w:r>
        <w:rPr>
          <w:rFonts w:hint="eastAsia" w:hAnsi="宋体"/>
          <w:color w:val="auto"/>
          <w:sz w:val="24"/>
          <w:szCs w:val="24"/>
        </w:rPr>
        <w:t>（11）其他无效竞标的情况；</w:t>
      </w:r>
    </w:p>
    <w:p>
      <w:pPr>
        <w:pStyle w:val="18"/>
        <w:spacing w:line="440" w:lineRule="exact"/>
        <w:ind w:firstLine="480" w:firstLineChars="200"/>
        <w:rPr>
          <w:rFonts w:hAnsi="宋体"/>
          <w:color w:val="auto"/>
          <w:sz w:val="24"/>
          <w:szCs w:val="24"/>
        </w:rPr>
      </w:pPr>
      <w:r>
        <w:rPr>
          <w:rFonts w:hAnsi="宋体"/>
          <w:color w:val="auto"/>
          <w:sz w:val="24"/>
          <w:szCs w:val="24"/>
        </w:rPr>
        <w:t>（</w:t>
      </w:r>
      <w:r>
        <w:rPr>
          <w:rFonts w:hint="eastAsia" w:hAnsi="宋体"/>
          <w:color w:val="auto"/>
          <w:sz w:val="24"/>
          <w:szCs w:val="24"/>
        </w:rPr>
        <w:t>12</w:t>
      </w:r>
      <w:r>
        <w:rPr>
          <w:rFonts w:hAnsi="宋体"/>
          <w:color w:val="auto"/>
          <w:sz w:val="24"/>
          <w:szCs w:val="24"/>
        </w:rPr>
        <w:t>）供应商认为需要提供的有关资料（如属于小型、微型或监狱企业的，须提供声明函；如属于残疾人福利性单位的，须提供残疾人福利性单位声明函）；</w:t>
      </w:r>
      <w:r>
        <w:rPr>
          <w:rFonts w:hint="eastAsia" w:hAnsi="宋体"/>
          <w:color w:val="auto"/>
          <w:sz w:val="24"/>
          <w:szCs w:val="24"/>
        </w:rPr>
        <w:t>如有请提供。</w:t>
      </w:r>
    </w:p>
    <w:p>
      <w:pPr>
        <w:pStyle w:val="18"/>
        <w:spacing w:line="440" w:lineRule="exact"/>
        <w:ind w:firstLine="480" w:firstLineChars="200"/>
        <w:rPr>
          <w:rFonts w:hAnsi="宋体"/>
          <w:color w:val="auto"/>
          <w:sz w:val="24"/>
          <w:szCs w:val="24"/>
        </w:rPr>
      </w:pPr>
      <w:r>
        <w:rPr>
          <w:rFonts w:hint="eastAsia" w:hAnsi="宋体"/>
          <w:color w:val="auto"/>
          <w:sz w:val="24"/>
          <w:szCs w:val="24"/>
        </w:rPr>
        <w:t>三、成交候选供应商推荐原则</w:t>
      </w:r>
    </w:p>
    <w:p>
      <w:pPr>
        <w:pStyle w:val="18"/>
        <w:spacing w:line="440" w:lineRule="exact"/>
        <w:ind w:firstLine="480" w:firstLineChars="200"/>
        <w:rPr>
          <w:rFonts w:hAnsi="宋体"/>
          <w:color w:val="auto"/>
          <w:sz w:val="24"/>
          <w:szCs w:val="24"/>
        </w:rPr>
      </w:pPr>
      <w:r>
        <w:rPr>
          <w:rFonts w:hint="eastAsia" w:hAnsi="宋体"/>
          <w:color w:val="auto"/>
          <w:sz w:val="24"/>
          <w:szCs w:val="24"/>
        </w:rPr>
        <w:t>(一) 在质量和服务均能满足采购文件实质性响应要求的前提下，按最后报价由低到高排列并推荐前三名为成交候选供应商（报价相同时，依次按检测资质等级高的优先、检测范围广的优先、检测人员配备多的优先、服务方案详细优先的顺序排列），并依照次序确定成交人。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w:t>
      </w:r>
    </w:p>
    <w:p>
      <w:pPr>
        <w:pStyle w:val="18"/>
        <w:spacing w:line="440" w:lineRule="exact"/>
        <w:ind w:firstLine="480" w:firstLineChars="200"/>
        <w:rPr>
          <w:rFonts w:hAnsi="宋体"/>
          <w:color w:val="auto"/>
          <w:sz w:val="24"/>
          <w:szCs w:val="24"/>
        </w:rPr>
      </w:pPr>
      <w:r>
        <w:rPr>
          <w:rFonts w:hint="eastAsia" w:hAnsi="宋体"/>
          <w:color w:val="auto"/>
          <w:sz w:val="24"/>
          <w:szCs w:val="24"/>
        </w:rPr>
        <w:t>（二) 谈判小组认为，某竞标人的有效竞标报价或者某些分项报价明显不合理或者低于成本，有可能影响检测服务质量和不能诚信履约的，应要求其在规定的期限内提供书面文件予以解释说明，并提交相关证明材料；否则，谈判小组可以取消该竞标人的成交候选资格，按顺序由排在后面的成交候选人递补，以此类推。</w:t>
      </w:r>
    </w:p>
    <w:p>
      <w:pPr>
        <w:pStyle w:val="18"/>
        <w:jc w:val="left"/>
        <w:rPr>
          <w:rFonts w:hAnsi="宋体" w:cs="宋体"/>
          <w:b/>
          <w:color w:val="auto"/>
        </w:rPr>
      </w:pPr>
    </w:p>
    <w:p>
      <w:pPr>
        <w:pStyle w:val="18"/>
        <w:jc w:val="left"/>
        <w:rPr>
          <w:rFonts w:hAnsi="宋体" w:cs="宋体"/>
          <w:color w:val="auto"/>
          <w:szCs w:val="21"/>
        </w:rPr>
      </w:pPr>
      <w:r>
        <w:rPr>
          <w:rFonts w:hint="eastAsia" w:hAnsi="宋体" w:cs="宋体"/>
          <w:b/>
          <w:color w:val="auto"/>
        </w:rPr>
        <w:t>附表一：</w:t>
      </w:r>
    </w:p>
    <w:p>
      <w:pPr>
        <w:jc w:val="center"/>
        <w:rPr>
          <w:rFonts w:ascii="宋体" w:hAnsi="宋体" w:cs="宋体"/>
          <w:b/>
          <w:color w:val="auto"/>
          <w:sz w:val="32"/>
        </w:rPr>
      </w:pPr>
      <w:r>
        <w:rPr>
          <w:rFonts w:hint="eastAsia" w:ascii="宋体" w:hAnsi="宋体" w:cs="宋体"/>
          <w:b/>
          <w:color w:val="auto"/>
          <w:sz w:val="32"/>
        </w:rPr>
        <w:t>招标代理服务收费标准</w:t>
      </w:r>
    </w:p>
    <w:tbl>
      <w:tblPr>
        <w:tblStyle w:val="31"/>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448" w:type="dxa"/>
          </w:tcPr>
          <w:p>
            <w:pPr>
              <w:ind w:firstLine="1275"/>
              <w:rPr>
                <w:rFonts w:ascii="宋体" w:hAnsi="宋体" w:cs="宋体"/>
                <w:b/>
                <w:color w:val="auto"/>
              </w:rPr>
            </w:pPr>
            <w:r>
              <w:rPr>
                <w:color w:val="auto"/>
                <w:sz w:val="20"/>
              </w:rPr>
              <mc:AlternateContent>
                <mc:Choice Requires="wps">
                  <w:drawing>
                    <wp:anchor distT="0" distB="0" distL="114300" distR="114300" simplePos="0" relativeHeight="251664384" behindDoc="0" locked="0" layoutInCell="1" allowOverlap="1">
                      <wp:simplePos x="0" y="0"/>
                      <wp:positionH relativeFrom="column">
                        <wp:posOffset>434975</wp:posOffset>
                      </wp:positionH>
                      <wp:positionV relativeFrom="paragraph">
                        <wp:posOffset>7620</wp:posOffset>
                      </wp:positionV>
                      <wp:extent cx="1038225" cy="1228725"/>
                      <wp:effectExtent l="3810" t="3175" r="5715" b="6350"/>
                      <wp:wrapNone/>
                      <wp:docPr id="8" name="直线 5"/>
                      <wp:cNvGraphicFramePr/>
                      <a:graphic xmlns:a="http://schemas.openxmlformats.org/drawingml/2006/main">
                        <a:graphicData uri="http://schemas.microsoft.com/office/word/2010/wordprocessingShape">
                          <wps:wsp>
                            <wps:cNvCnPr/>
                            <wps:spPr>
                              <a:xfrm>
                                <a:off x="0" y="0"/>
                                <a:ext cx="1038225" cy="12287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34.25pt;margin-top:0.6pt;height:96.75pt;width:81.75pt;z-index:251664384;mso-width-relative:page;mso-height-relative:page;" filled="f" stroked="t" coordsize="21600,21600" o:gfxdata="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bAi51gAAAAgBAAAPAAAAAAAAAAEAIAAAACIAAABkcnMvZG93bnJl&#10;di54bWxQSwECFAAUAAAACACHTuJAmjaOI8YBAACH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cs="宋体"/>
                <w:b/>
                <w:color w:val="auto"/>
                <w:sz w:val="20"/>
              </w:rPr>
              <mc:AlternateContent>
                <mc:Choice Requires="wps">
                  <w:drawing>
                    <wp:anchor distT="0" distB="0" distL="114300" distR="114300" simplePos="0" relativeHeight="251662336" behindDoc="0" locked="0" layoutInCell="0" allowOverlap="1">
                      <wp:simplePos x="0" y="0"/>
                      <wp:positionH relativeFrom="column">
                        <wp:posOffset>-10884535</wp:posOffset>
                      </wp:positionH>
                      <wp:positionV relativeFrom="paragraph">
                        <wp:posOffset>-14709140</wp:posOffset>
                      </wp:positionV>
                      <wp:extent cx="1341120" cy="969645"/>
                      <wp:effectExtent l="2540" t="3810" r="8890" b="17145"/>
                      <wp:wrapNone/>
                      <wp:docPr id="6" name="直线 90"/>
                      <wp:cNvGraphicFramePr/>
                      <a:graphic xmlns:a="http://schemas.openxmlformats.org/drawingml/2006/main">
                        <a:graphicData uri="http://schemas.microsoft.com/office/word/2010/wordprocessingShape">
                          <wps:wsp>
                            <wps:cNvCnPr/>
                            <wps:spPr>
                              <a:xfrm flipH="1" flipV="1">
                                <a:off x="0" y="0"/>
                                <a:ext cx="1566545" cy="8547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0" o:spid="_x0000_s1026" o:spt="20" style="position:absolute;left:0pt;flip:x y;margin-left:-857.05pt;margin-top:-1158.2pt;height:76.35pt;width:105.6pt;z-index:251662336;mso-width-relative:page;mso-height-relative:page;" filled="f" stroked="t" coordsize="21600,21600" o:allowincell="f" o:gfxdata="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it/xN0AAAATAQAA&#10;DwAAAAAAAAABACAAAAAiAAAAZHJzL2Rvd25yZXYueG1sUEsBAhQAFAAAAAgAh07iQAuKgIbbAQAA&#10;qQMAAA4AAAAAAAAAAQAgAAAAL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0"/>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直线 8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9"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uR037VAAAACQEAAA8AAAAAAAAAAQAgAAAAIgAAAGRycy9kb3ducmV2&#10;LnhtbFBLAQIUABQAAAAIAIdO4kDgfXirxgEAAIwDAAAOAAAAAAAAAAEAIAAAACQBAABkcnMvZTJv&#10;RG9jLnhtbFBLBQYAAAAABgAGAFkBAABcBQAAAAA=&#10;">
                      <v:fill on="f" focussize="0,0"/>
                      <v:stroke color="#000000" joinstyle="round"/>
                      <v:imagedata o:title=""/>
                      <o:lock v:ext="edit" aspectratio="f"/>
                    </v:line>
                  </w:pict>
                </mc:Fallback>
              </mc:AlternateContent>
            </w:r>
            <w:r>
              <w:rPr>
                <w:rFonts w:hint="eastAsia" w:ascii="宋体" w:hAnsi="宋体" w:cs="宋体"/>
                <w:b/>
                <w:color w:val="auto"/>
              </w:rPr>
              <w:t>服</w:t>
            </w:r>
          </w:p>
          <w:p>
            <w:pPr>
              <w:ind w:firstLine="211"/>
              <w:rPr>
                <w:rFonts w:ascii="宋体" w:hAnsi="宋体" w:cs="宋体"/>
                <w:b/>
                <w:color w:val="auto"/>
              </w:rPr>
            </w:pPr>
            <w:r>
              <w:rPr>
                <w:rFonts w:hint="eastAsia" w:ascii="宋体" w:hAnsi="宋体" w:cs="宋体"/>
                <w:b/>
                <w:color w:val="auto"/>
              </w:rPr>
              <w:t>费　　　　　务</w:t>
            </w:r>
          </w:p>
          <w:p>
            <w:pPr>
              <w:ind w:firstLine="1004"/>
              <w:rPr>
                <w:rFonts w:ascii="宋体" w:hAnsi="宋体" w:cs="宋体"/>
                <w:b/>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73025</wp:posOffset>
                      </wp:positionV>
                      <wp:extent cx="1552575" cy="762000"/>
                      <wp:effectExtent l="1905" t="4445" r="7620" b="14605"/>
                      <wp:wrapNone/>
                      <wp:docPr id="7" name="直线 8"/>
                      <wp:cNvGraphicFramePr/>
                      <a:graphic xmlns:a="http://schemas.openxmlformats.org/drawingml/2006/main">
                        <a:graphicData uri="http://schemas.microsoft.com/office/word/2010/wordprocessingShape">
                          <wps:wsp>
                            <wps:cNvCnPr/>
                            <wps:spPr>
                              <a:xfrm>
                                <a:off x="0" y="0"/>
                                <a:ext cx="1552575" cy="762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4.75pt;margin-top:5.75pt;height:60pt;width:122.25pt;z-index:251663360;mso-width-relative:page;mso-height-relative:page;" filled="f" stroked="t" coordsize="21600,21600" o:gfxdata="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6o0VzVAAAACQEAAA8AAAAAAAAAAQAgAAAAIgAAAGRycy9kb3du&#10;cmV2LnhtbFBLAQIUABQAAAAIAIdO4kDGVAcFyQEAAIYDAAAOAAAAAAAAAAEAIAAAACQBAABkcnMv&#10;ZTJvRG9jLnhtbFBLBQYAAAAABgAGAFkBAABfBQAAAAA=&#10;">
                      <v:fill on="f" focussize="0,0"/>
                      <v:stroke color="#000000" joinstyle="round"/>
                      <v:imagedata o:title=""/>
                      <o:lock v:ext="edit" aspectratio="f"/>
                    </v:line>
                  </w:pict>
                </mc:Fallback>
              </mc:AlternateContent>
            </w:r>
            <w:r>
              <w:rPr>
                <w:rFonts w:hint="eastAsia" w:ascii="宋体" w:hAnsi="宋体" w:cs="宋体"/>
                <w:b/>
                <w:color w:val="auto"/>
              </w:rPr>
              <w:t>　　　类</w:t>
            </w:r>
          </w:p>
          <w:p>
            <w:pPr>
              <w:ind w:firstLine="1054"/>
              <w:rPr>
                <w:rFonts w:ascii="宋体" w:hAnsi="宋体" w:cs="宋体"/>
                <w:b/>
                <w:color w:val="auto"/>
              </w:rPr>
            </w:pPr>
            <w:r>
              <w:rPr>
                <w:rFonts w:hint="eastAsia" w:ascii="宋体" w:hAnsi="宋体" w:cs="宋体"/>
                <w:b/>
                <w:color w:val="auto"/>
              </w:rPr>
              <w:t>率　　　型</w:t>
            </w:r>
          </w:p>
          <w:p>
            <w:pPr>
              <w:ind w:firstLine="1054"/>
              <w:rPr>
                <w:rFonts w:ascii="宋体" w:hAnsi="宋体" w:cs="宋体"/>
                <w:b/>
                <w:color w:val="auto"/>
              </w:rPr>
            </w:pPr>
            <w:r>
              <w:rPr>
                <w:rFonts w:hint="eastAsia" w:ascii="宋体" w:hAnsi="宋体" w:cs="宋体"/>
                <w:b/>
                <w:color w:val="auto"/>
              </w:rPr>
              <w:t>　　　　</w:t>
            </w:r>
          </w:p>
          <w:p>
            <w:pPr>
              <w:rPr>
                <w:rFonts w:ascii="宋体" w:hAnsi="宋体" w:cs="宋体"/>
                <w:b/>
                <w:color w:val="auto"/>
              </w:rPr>
            </w:pPr>
            <w:r>
              <w:rPr>
                <w:rFonts w:hint="eastAsia" w:ascii="宋体" w:hAnsi="宋体" w:cs="宋体"/>
                <w:b/>
                <w:color w:val="auto"/>
              </w:rPr>
              <w:t>中标金额（万元）</w:t>
            </w:r>
          </w:p>
        </w:tc>
        <w:tc>
          <w:tcPr>
            <w:tcW w:w="1980" w:type="dxa"/>
            <w:vAlign w:val="center"/>
          </w:tcPr>
          <w:p>
            <w:pPr>
              <w:jc w:val="center"/>
              <w:rPr>
                <w:rFonts w:ascii="宋体" w:hAnsi="宋体" w:cs="宋体"/>
                <w:b/>
                <w:color w:val="auto"/>
              </w:rPr>
            </w:pPr>
            <w:r>
              <w:rPr>
                <w:rFonts w:hint="eastAsia" w:ascii="宋体" w:hAnsi="宋体" w:cs="宋体"/>
                <w:b/>
                <w:color w:val="auto"/>
              </w:rPr>
              <w:t>货物招标</w:t>
            </w:r>
          </w:p>
        </w:tc>
        <w:tc>
          <w:tcPr>
            <w:tcW w:w="1980" w:type="dxa"/>
            <w:vAlign w:val="center"/>
          </w:tcPr>
          <w:p>
            <w:pPr>
              <w:jc w:val="center"/>
              <w:rPr>
                <w:rFonts w:ascii="宋体" w:hAnsi="宋体" w:cs="宋体"/>
                <w:b/>
                <w:color w:val="auto"/>
              </w:rPr>
            </w:pPr>
            <w:r>
              <w:rPr>
                <w:rFonts w:hint="eastAsia" w:ascii="宋体" w:hAnsi="宋体" w:cs="宋体"/>
                <w:b/>
                <w:color w:val="auto"/>
              </w:rPr>
              <w:t>服务招标</w:t>
            </w:r>
          </w:p>
        </w:tc>
        <w:tc>
          <w:tcPr>
            <w:tcW w:w="1980" w:type="dxa"/>
            <w:vAlign w:val="center"/>
          </w:tcPr>
          <w:p>
            <w:pPr>
              <w:jc w:val="center"/>
              <w:rPr>
                <w:rFonts w:ascii="宋体" w:hAnsi="宋体" w:cs="宋体"/>
                <w:b/>
                <w:color w:val="auto"/>
              </w:rPr>
            </w:pPr>
            <w:r>
              <w:rPr>
                <w:rFonts w:hint="eastAsia" w:ascii="宋体" w:hAnsi="宋体" w:cs="宋体"/>
                <w:b/>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100以下</w:t>
            </w:r>
          </w:p>
        </w:tc>
        <w:tc>
          <w:tcPr>
            <w:tcW w:w="1980" w:type="dxa"/>
            <w:vAlign w:val="center"/>
          </w:tcPr>
          <w:p>
            <w:pPr>
              <w:jc w:val="center"/>
              <w:rPr>
                <w:rFonts w:ascii="宋体" w:hAnsi="宋体" w:cs="宋体"/>
                <w:color w:val="auto"/>
                <w:sz w:val="24"/>
              </w:rPr>
            </w:pPr>
            <w:r>
              <w:rPr>
                <w:rFonts w:hint="eastAsia" w:ascii="宋体" w:hAnsi="宋体" w:cs="宋体"/>
                <w:color w:val="auto"/>
                <w:sz w:val="24"/>
              </w:rPr>
              <w:t>1.5%</w:t>
            </w:r>
          </w:p>
        </w:tc>
        <w:tc>
          <w:tcPr>
            <w:tcW w:w="1980" w:type="dxa"/>
            <w:vAlign w:val="center"/>
          </w:tcPr>
          <w:p>
            <w:pPr>
              <w:jc w:val="center"/>
              <w:rPr>
                <w:rFonts w:ascii="宋体" w:hAnsi="宋体" w:cs="宋体"/>
                <w:color w:val="auto"/>
                <w:sz w:val="24"/>
              </w:rPr>
            </w:pPr>
            <w:r>
              <w:rPr>
                <w:rFonts w:hint="eastAsia" w:ascii="宋体" w:hAnsi="宋体" w:cs="宋体"/>
                <w:color w:val="auto"/>
                <w:sz w:val="24"/>
              </w:rPr>
              <w:t>1.5%</w:t>
            </w:r>
          </w:p>
        </w:tc>
        <w:tc>
          <w:tcPr>
            <w:tcW w:w="1980" w:type="dxa"/>
            <w:vAlign w:val="center"/>
          </w:tcPr>
          <w:p>
            <w:pPr>
              <w:jc w:val="center"/>
              <w:rPr>
                <w:rFonts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100-500</w:t>
            </w:r>
          </w:p>
        </w:tc>
        <w:tc>
          <w:tcPr>
            <w:tcW w:w="1980" w:type="dxa"/>
            <w:vAlign w:val="center"/>
          </w:tcPr>
          <w:p>
            <w:pPr>
              <w:jc w:val="center"/>
              <w:rPr>
                <w:rFonts w:ascii="宋体" w:hAnsi="宋体" w:cs="宋体"/>
                <w:color w:val="auto"/>
                <w:sz w:val="24"/>
              </w:rPr>
            </w:pPr>
            <w:r>
              <w:rPr>
                <w:rFonts w:hint="eastAsia" w:ascii="宋体" w:hAnsi="宋体" w:cs="宋体"/>
                <w:color w:val="auto"/>
                <w:sz w:val="24"/>
              </w:rPr>
              <w:t>1.1%</w:t>
            </w:r>
          </w:p>
        </w:tc>
        <w:tc>
          <w:tcPr>
            <w:tcW w:w="1980" w:type="dxa"/>
            <w:vAlign w:val="center"/>
          </w:tcPr>
          <w:p>
            <w:pPr>
              <w:jc w:val="center"/>
              <w:rPr>
                <w:rFonts w:ascii="宋体" w:hAnsi="宋体" w:cs="宋体"/>
                <w:color w:val="auto"/>
                <w:sz w:val="24"/>
              </w:rPr>
            </w:pPr>
            <w:r>
              <w:rPr>
                <w:rFonts w:hint="eastAsia" w:ascii="宋体" w:hAnsi="宋体" w:cs="宋体"/>
                <w:color w:val="auto"/>
                <w:sz w:val="24"/>
              </w:rPr>
              <w:t>0.8%</w:t>
            </w:r>
          </w:p>
        </w:tc>
        <w:tc>
          <w:tcPr>
            <w:tcW w:w="1980" w:type="dxa"/>
            <w:vAlign w:val="center"/>
          </w:tcPr>
          <w:p>
            <w:pPr>
              <w:jc w:val="center"/>
              <w:rPr>
                <w:rFonts w:ascii="宋体" w:hAnsi="宋体" w:cs="宋体"/>
                <w:color w:val="auto"/>
                <w:sz w:val="24"/>
              </w:rPr>
            </w:pPr>
            <w:r>
              <w:rPr>
                <w:rFonts w:hint="eastAsia" w:ascii="宋体" w:hAnsi="宋体" w:cs="宋体"/>
                <w:color w:val="auto"/>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500-1000</w:t>
            </w:r>
          </w:p>
        </w:tc>
        <w:tc>
          <w:tcPr>
            <w:tcW w:w="1980" w:type="dxa"/>
            <w:vAlign w:val="center"/>
          </w:tcPr>
          <w:p>
            <w:pPr>
              <w:jc w:val="center"/>
              <w:rPr>
                <w:rFonts w:ascii="宋体" w:hAnsi="宋体" w:cs="宋体"/>
                <w:color w:val="auto"/>
                <w:sz w:val="24"/>
              </w:rPr>
            </w:pPr>
            <w:r>
              <w:rPr>
                <w:rFonts w:hint="eastAsia" w:ascii="宋体" w:hAnsi="宋体" w:cs="宋体"/>
                <w:color w:val="auto"/>
                <w:sz w:val="24"/>
              </w:rPr>
              <w:t>0.8%</w:t>
            </w:r>
          </w:p>
        </w:tc>
        <w:tc>
          <w:tcPr>
            <w:tcW w:w="1980" w:type="dxa"/>
            <w:vAlign w:val="center"/>
          </w:tcPr>
          <w:p>
            <w:pPr>
              <w:jc w:val="center"/>
              <w:rPr>
                <w:rFonts w:ascii="宋体" w:hAnsi="宋体" w:cs="宋体"/>
                <w:color w:val="auto"/>
                <w:sz w:val="24"/>
              </w:rPr>
            </w:pPr>
            <w:r>
              <w:rPr>
                <w:rFonts w:hint="eastAsia" w:ascii="宋体" w:hAnsi="宋体" w:cs="宋体"/>
                <w:color w:val="auto"/>
                <w:sz w:val="24"/>
              </w:rPr>
              <w:t>0.45%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1000-5000</w:t>
            </w:r>
          </w:p>
        </w:tc>
        <w:tc>
          <w:tcPr>
            <w:tcW w:w="1980" w:type="dxa"/>
            <w:vAlign w:val="center"/>
          </w:tcPr>
          <w:p>
            <w:pPr>
              <w:jc w:val="center"/>
              <w:rPr>
                <w:rFonts w:ascii="宋体" w:hAnsi="宋体" w:cs="宋体"/>
                <w:color w:val="auto"/>
                <w:sz w:val="24"/>
              </w:rPr>
            </w:pPr>
            <w:r>
              <w:rPr>
                <w:rFonts w:hint="eastAsia" w:ascii="宋体" w:hAnsi="宋体" w:cs="宋体"/>
                <w:color w:val="auto"/>
                <w:sz w:val="24"/>
              </w:rPr>
              <w:t>0.5%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0.25%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5000-10000</w:t>
            </w:r>
          </w:p>
        </w:tc>
        <w:tc>
          <w:tcPr>
            <w:tcW w:w="1980" w:type="dxa"/>
            <w:vAlign w:val="center"/>
          </w:tcPr>
          <w:p>
            <w:pPr>
              <w:jc w:val="center"/>
              <w:rPr>
                <w:rFonts w:ascii="宋体" w:hAnsi="宋体" w:cs="宋体"/>
                <w:color w:val="auto"/>
                <w:sz w:val="24"/>
              </w:rPr>
            </w:pPr>
            <w:r>
              <w:rPr>
                <w:rFonts w:hint="eastAsia" w:ascii="宋体" w:hAnsi="宋体" w:cs="宋体"/>
                <w:color w:val="auto"/>
                <w:sz w:val="24"/>
              </w:rPr>
              <w:t>0.25%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0.1%</w:t>
            </w:r>
          </w:p>
        </w:tc>
        <w:tc>
          <w:tcPr>
            <w:tcW w:w="1980" w:type="dxa"/>
            <w:vAlign w:val="center"/>
          </w:tcPr>
          <w:p>
            <w:pPr>
              <w:jc w:val="center"/>
              <w:rPr>
                <w:rFonts w:ascii="宋体" w:hAnsi="宋体" w:cs="宋体"/>
                <w:color w:val="auto"/>
                <w:sz w:val="24"/>
              </w:rPr>
            </w:pPr>
            <w:r>
              <w:rPr>
                <w:rFonts w:hint="eastAsia" w:ascii="宋体" w:hAnsi="宋体" w:cs="宋体"/>
                <w:color w:val="auto"/>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10000-100000</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0.05%</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8" w:type="dxa"/>
            <w:vAlign w:val="center"/>
          </w:tcPr>
          <w:p>
            <w:pPr>
              <w:jc w:val="center"/>
              <w:rPr>
                <w:rFonts w:ascii="宋体" w:hAnsi="宋体" w:cs="宋体"/>
                <w:color w:val="auto"/>
                <w:sz w:val="24"/>
              </w:rPr>
            </w:pPr>
            <w:r>
              <w:rPr>
                <w:rFonts w:hint="eastAsia" w:ascii="宋体" w:hAnsi="宋体" w:cs="宋体"/>
                <w:color w:val="auto"/>
                <w:sz w:val="24"/>
              </w:rPr>
              <w:t>1000000以上</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0.01%</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0.01%</w:t>
            </w:r>
          </w:p>
        </w:tc>
        <w:tc>
          <w:tcPr>
            <w:tcW w:w="1980" w:type="dxa"/>
            <w:vAlign w:val="center"/>
          </w:tcPr>
          <w:p>
            <w:pPr>
              <w:jc w:val="center"/>
              <w:rPr>
                <w:rFonts w:ascii="宋体" w:hAnsi="宋体" w:cs="宋体"/>
                <w:color w:val="auto"/>
                <w:sz w:val="24"/>
              </w:rPr>
            </w:pPr>
            <w:r>
              <w:rPr>
                <w:rFonts w:hint="eastAsia" w:ascii="宋体" w:hAnsi="宋体" w:cs="宋体"/>
                <w:color w:val="auto"/>
                <w:sz w:val="24"/>
              </w:rPr>
              <w:t>0.01%</w:t>
            </w:r>
          </w:p>
        </w:tc>
      </w:tr>
    </w:tbl>
    <w:p>
      <w:pPr>
        <w:spacing w:line="440" w:lineRule="exact"/>
        <w:ind w:firstLine="560" w:firstLineChars="200"/>
        <w:jc w:val="center"/>
        <w:rPr>
          <w:rFonts w:ascii="宋体" w:hAnsi="宋体" w:cs="宋体"/>
          <w:color w:val="auto"/>
          <w:sz w:val="28"/>
          <w:szCs w:val="28"/>
        </w:rPr>
      </w:pPr>
    </w:p>
    <w:p>
      <w:pPr>
        <w:pStyle w:val="18"/>
        <w:spacing w:line="420" w:lineRule="exact"/>
        <w:ind w:firstLine="420"/>
        <w:rPr>
          <w:rFonts w:hAnsi="宋体" w:cs="宋体"/>
          <w:color w:val="auto"/>
          <w:sz w:val="24"/>
        </w:rPr>
      </w:pPr>
      <w:r>
        <w:rPr>
          <w:rFonts w:hint="eastAsia" w:hAnsi="宋体" w:cs="宋体"/>
          <w:color w:val="auto"/>
          <w:sz w:val="24"/>
        </w:rPr>
        <w:t>注：招标代理服务收费按差额定率累进法计算。</w:t>
      </w:r>
    </w:p>
    <w:p>
      <w:pPr>
        <w:pStyle w:val="18"/>
        <w:spacing w:line="420" w:lineRule="exact"/>
        <w:ind w:firstLine="420"/>
        <w:jc w:val="center"/>
        <w:rPr>
          <w:rFonts w:hAnsi="宋体" w:cs="宋体"/>
          <w:color w:val="auto"/>
          <w:sz w:val="24"/>
        </w:rPr>
      </w:pPr>
      <w:r>
        <w:rPr>
          <w:rFonts w:hint="eastAsia" w:hAnsi="宋体" w:cs="宋体"/>
          <w:b/>
          <w:color w:val="auto"/>
          <w:sz w:val="24"/>
        </w:rPr>
        <w:t>例如一：</w:t>
      </w:r>
      <w:r>
        <w:rPr>
          <w:rFonts w:hint="eastAsia" w:hAnsi="宋体" w:cs="宋体"/>
          <w:color w:val="auto"/>
          <w:sz w:val="24"/>
        </w:rPr>
        <w:t>某货物招标代理业务中标金额为6000万元，计算招标代理服务收费额如下：</w:t>
      </w:r>
    </w:p>
    <w:p>
      <w:pPr>
        <w:pStyle w:val="18"/>
        <w:spacing w:line="420" w:lineRule="exact"/>
        <w:ind w:firstLine="420"/>
        <w:jc w:val="center"/>
        <w:rPr>
          <w:rFonts w:hAnsi="宋体" w:cs="宋体"/>
          <w:color w:val="auto"/>
          <w:sz w:val="24"/>
        </w:rPr>
      </w:pPr>
      <w:r>
        <w:rPr>
          <w:rFonts w:hint="eastAsia" w:hAnsi="宋体" w:cs="宋体"/>
          <w:color w:val="auto"/>
          <w:sz w:val="24"/>
        </w:rPr>
        <w:t>100万元×1.5%=1.5万元</w:t>
      </w:r>
    </w:p>
    <w:p>
      <w:pPr>
        <w:pStyle w:val="18"/>
        <w:spacing w:line="420" w:lineRule="exact"/>
        <w:ind w:firstLine="420"/>
        <w:jc w:val="center"/>
        <w:rPr>
          <w:rFonts w:hAnsi="宋体" w:cs="宋体"/>
          <w:color w:val="auto"/>
          <w:sz w:val="24"/>
        </w:rPr>
      </w:pPr>
      <w:r>
        <w:rPr>
          <w:rFonts w:hint="eastAsia" w:hAnsi="宋体" w:cs="宋体"/>
          <w:color w:val="auto"/>
          <w:sz w:val="24"/>
        </w:rPr>
        <w:t>（500-100）万元×1.1%=4.4万元</w:t>
      </w:r>
    </w:p>
    <w:p>
      <w:pPr>
        <w:pStyle w:val="18"/>
        <w:spacing w:line="420" w:lineRule="exact"/>
        <w:ind w:firstLine="420"/>
        <w:jc w:val="center"/>
        <w:rPr>
          <w:rFonts w:hAnsi="宋体" w:cs="宋体"/>
          <w:color w:val="auto"/>
          <w:sz w:val="24"/>
        </w:rPr>
      </w:pPr>
      <w:r>
        <w:rPr>
          <w:rFonts w:hint="eastAsia" w:hAnsi="宋体" w:cs="宋体"/>
          <w:color w:val="auto"/>
          <w:sz w:val="24"/>
        </w:rPr>
        <w:t>（1000-500）万元×0.8%=4万元</w:t>
      </w:r>
    </w:p>
    <w:p>
      <w:pPr>
        <w:pStyle w:val="18"/>
        <w:spacing w:line="420" w:lineRule="exact"/>
        <w:ind w:firstLine="420"/>
        <w:jc w:val="center"/>
        <w:rPr>
          <w:rFonts w:hAnsi="宋体" w:cs="宋体"/>
          <w:color w:val="auto"/>
          <w:sz w:val="24"/>
        </w:rPr>
      </w:pPr>
      <w:r>
        <w:rPr>
          <w:rFonts w:hint="eastAsia" w:hAnsi="宋体" w:cs="宋体"/>
          <w:color w:val="auto"/>
          <w:sz w:val="24"/>
        </w:rPr>
        <w:t>（5000-1000）万元×0.5%=20万元</w:t>
      </w:r>
    </w:p>
    <w:p>
      <w:pPr>
        <w:pStyle w:val="18"/>
        <w:spacing w:line="420" w:lineRule="exact"/>
        <w:ind w:firstLine="420"/>
        <w:jc w:val="center"/>
        <w:rPr>
          <w:rFonts w:hAnsi="宋体" w:cs="宋体"/>
          <w:color w:val="auto"/>
          <w:sz w:val="24"/>
        </w:rPr>
      </w:pPr>
      <w:r>
        <w:rPr>
          <w:rFonts w:hint="eastAsia" w:hAnsi="宋体" w:cs="宋体"/>
          <w:color w:val="auto"/>
          <w:sz w:val="24"/>
        </w:rPr>
        <w:t>（6000-5000）万元×0.25%=2.5万元</w:t>
      </w:r>
    </w:p>
    <w:p>
      <w:pPr>
        <w:pStyle w:val="18"/>
        <w:spacing w:line="420" w:lineRule="exact"/>
        <w:jc w:val="center"/>
        <w:rPr>
          <w:rFonts w:hAnsi="宋体" w:cs="宋体"/>
          <w:color w:val="auto"/>
          <w:sz w:val="24"/>
        </w:rPr>
      </w:pPr>
      <w:r>
        <w:rPr>
          <w:rFonts w:hint="eastAsia" w:hAnsi="宋体" w:cs="宋体"/>
          <w:color w:val="auto"/>
          <w:sz w:val="24"/>
        </w:rPr>
        <w:t>合计收费=1.5+4.4+4+20+2.5=32.4万元</w:t>
      </w:r>
    </w:p>
    <w:p>
      <w:pPr>
        <w:spacing w:line="420" w:lineRule="exact"/>
        <w:jc w:val="center"/>
        <w:rPr>
          <w:rFonts w:ascii="宋体" w:hAnsi="宋体" w:cs="宋体"/>
          <w:color w:val="auto"/>
          <w:sz w:val="24"/>
        </w:rPr>
      </w:pPr>
    </w:p>
    <w:p>
      <w:pPr>
        <w:spacing w:line="420" w:lineRule="exact"/>
        <w:jc w:val="center"/>
        <w:rPr>
          <w:rFonts w:ascii="宋体" w:hAnsi="宋体" w:cs="宋体"/>
          <w:color w:val="auto"/>
          <w:sz w:val="24"/>
        </w:rPr>
      </w:pPr>
      <w:r>
        <w:rPr>
          <w:rFonts w:hint="eastAsia" w:ascii="宋体" w:hAnsi="宋体" w:cs="宋体"/>
          <w:b/>
          <w:color w:val="auto"/>
          <w:sz w:val="24"/>
        </w:rPr>
        <w:t>例如二：</w:t>
      </w:r>
      <w:r>
        <w:rPr>
          <w:rFonts w:hint="eastAsia" w:ascii="宋体" w:hAnsi="宋体" w:cs="宋体"/>
          <w:color w:val="auto"/>
          <w:sz w:val="24"/>
        </w:rPr>
        <w:t>中标金额为21000000元按工程类收费标准如下：</w:t>
      </w:r>
    </w:p>
    <w:p>
      <w:pPr>
        <w:spacing w:line="420" w:lineRule="exact"/>
        <w:ind w:firstLine="3400" w:firstLineChars="1417"/>
        <w:rPr>
          <w:rFonts w:ascii="宋体" w:hAnsi="宋体" w:cs="宋体"/>
          <w:color w:val="auto"/>
          <w:sz w:val="24"/>
        </w:rPr>
      </w:pPr>
      <w:r>
        <w:rPr>
          <w:rFonts w:hint="eastAsia" w:ascii="宋体" w:hAnsi="宋体" w:cs="宋体"/>
          <w:color w:val="auto"/>
          <w:sz w:val="24"/>
        </w:rPr>
        <w:t>①100万×1%=1万元</w:t>
      </w:r>
    </w:p>
    <w:p>
      <w:pPr>
        <w:spacing w:line="420" w:lineRule="exact"/>
        <w:ind w:firstLine="3400" w:firstLineChars="1417"/>
        <w:rPr>
          <w:rFonts w:ascii="宋体" w:hAnsi="宋体" w:cs="宋体"/>
          <w:color w:val="auto"/>
          <w:sz w:val="24"/>
        </w:rPr>
      </w:pPr>
      <w:r>
        <w:rPr>
          <w:rFonts w:hint="eastAsia" w:ascii="宋体" w:hAnsi="宋体" w:cs="宋体"/>
          <w:color w:val="auto"/>
          <w:sz w:val="24"/>
        </w:rPr>
        <w:t>②（500-100）万元×0.7%=2.8万元</w:t>
      </w:r>
    </w:p>
    <w:p>
      <w:pPr>
        <w:spacing w:line="420" w:lineRule="exact"/>
        <w:ind w:firstLine="3400" w:firstLineChars="1417"/>
        <w:rPr>
          <w:rFonts w:ascii="宋体" w:hAnsi="宋体" w:cs="宋体"/>
          <w:color w:val="auto"/>
          <w:sz w:val="24"/>
        </w:rPr>
      </w:pPr>
      <w:r>
        <w:rPr>
          <w:rFonts w:hint="eastAsia" w:ascii="宋体" w:hAnsi="宋体" w:cs="宋体"/>
          <w:color w:val="auto"/>
          <w:sz w:val="24"/>
        </w:rPr>
        <w:t>③（1000-500）万元×0.55%=2.75万元</w:t>
      </w:r>
    </w:p>
    <w:p>
      <w:pPr>
        <w:spacing w:line="420" w:lineRule="exact"/>
        <w:ind w:firstLine="3400" w:firstLineChars="1417"/>
        <w:rPr>
          <w:rFonts w:ascii="宋体" w:hAnsi="宋体" w:cs="宋体"/>
          <w:color w:val="auto"/>
          <w:sz w:val="24"/>
        </w:rPr>
      </w:pPr>
      <w:r>
        <w:rPr>
          <w:rFonts w:hint="eastAsia" w:ascii="宋体" w:hAnsi="宋体" w:cs="宋体"/>
          <w:color w:val="auto"/>
          <w:sz w:val="24"/>
        </w:rPr>
        <w:t>④（2100-1000）万元×0.35%=3.85万元</w:t>
      </w:r>
    </w:p>
    <w:p>
      <w:pPr>
        <w:spacing w:line="420" w:lineRule="exact"/>
        <w:ind w:firstLine="3400" w:firstLineChars="1417"/>
        <w:rPr>
          <w:rFonts w:hAnsi="宋体"/>
          <w:color w:val="auto"/>
          <w:sz w:val="24"/>
        </w:rPr>
      </w:pPr>
      <w:r>
        <w:rPr>
          <w:rFonts w:hint="eastAsia" w:ascii="宋体" w:hAnsi="宋体" w:cs="宋体"/>
          <w:color w:val="auto"/>
          <w:sz w:val="24"/>
        </w:rPr>
        <w:t>合计：①+②+③+④=10.4万元</w:t>
      </w:r>
    </w:p>
    <w:sectPr>
      <w:pgSz w:w="11906" w:h="16838"/>
      <w:pgMar w:top="1418"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TT) Regular">
    <w:altName w:val="Times New Roman"/>
    <w:panose1 w:val="00000000000000000000"/>
    <w:charset w:val="00"/>
    <w:family w:val="auto"/>
    <w:pitch w:val="default"/>
    <w:sig w:usb0="00000000" w:usb1="00000000" w:usb2="00000000" w:usb3="00000000" w:csb0="00000001" w:csb1="00000000"/>
  </w:font>
  <w:font w:name="华文黑体 Light">
    <w:altName w:val="黑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jc w:val="center"/>
      <w:rPr>
        <w:rStyle w:val="35"/>
      </w:rPr>
    </w:pPr>
    <w:r>
      <w:fldChar w:fldCharType="begin"/>
    </w:r>
    <w:r>
      <w:rPr>
        <w:rStyle w:val="35"/>
      </w:rPr>
      <w:instrText xml:space="preserve">PAGE  </w:instrText>
    </w:r>
    <w:r>
      <w:fldChar w:fldCharType="separate"/>
    </w:r>
    <w:r>
      <w:rPr>
        <w:rStyle w:val="35"/>
      </w:rPr>
      <w:t>21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40" w:lineRule="exact"/>
      <w:ind w:right="-388" w:rightChars="-185"/>
      <w:rPr>
        <w:rFonts w:ascii="宋体" w:hAnsi="宋体" w:cs="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40" w:lineRule="exact"/>
      <w:ind w:leftChars="-95" w:right="-1008" w:rightChars="-480" w:hanging="199" w:hangingChars="95"/>
      <w:rPr>
        <w:rFonts w:ascii="宋体" w:hAnsi="宋体" w:cs="宋体"/>
        <w:szCs w:val="21"/>
        <w:u w:val="single"/>
      </w:rPr>
    </w:pPr>
    <w:r>
      <w:rPr>
        <w:rFonts w:hint="eastAsia" w:ascii="宋体" w:hAnsi="宋体" w:cs="宋体"/>
        <w:szCs w:val="21"/>
        <w:u w:val="single"/>
      </w:rPr>
      <w:drawing>
        <wp:inline distT="0" distB="0" distL="0" distR="0">
          <wp:extent cx="279400" cy="245745"/>
          <wp:effectExtent l="0" t="0" r="6350" b="1905"/>
          <wp:docPr id="10" name="图片 1" descr="EBIAJU8R4S%SYKN}7~47V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BIAJU8R4S%SYKN}7~47V3N"/>
                  <pic:cNvPicPr>
                    <a:picLocks noChangeAspect="1" noChangeArrowheads="1"/>
                  </pic:cNvPicPr>
                </pic:nvPicPr>
                <pic:blipFill>
                  <a:blip r:embed="rId1"/>
                  <a:srcRect/>
                  <a:stretch>
                    <a:fillRect/>
                  </a:stretch>
                </pic:blipFill>
                <pic:spPr>
                  <a:xfrm>
                    <a:off x="0" y="0"/>
                    <a:ext cx="279400" cy="245745"/>
                  </a:xfrm>
                  <a:prstGeom prst="rect">
                    <a:avLst/>
                  </a:prstGeom>
                  <a:noFill/>
                  <a:ln w="9525">
                    <a:noFill/>
                    <a:miter lim="800000"/>
                    <a:headEnd/>
                    <a:tailEnd/>
                  </a:ln>
                </pic:spPr>
              </pic:pic>
            </a:graphicData>
          </a:graphic>
        </wp:inline>
      </w:drawing>
    </w:r>
    <w:r>
      <w:rPr>
        <w:rFonts w:hint="eastAsia" w:ascii="宋体" w:hAnsi="宋体" w:cs="宋体"/>
        <w:sz w:val="18"/>
        <w:szCs w:val="18"/>
        <w:u w:val="single"/>
      </w:rPr>
      <w:t>广西建荣工程项目管理有限公司  来宾职业教育中心学校综合专业实训楼项目EPC工程项目检测服务费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1BF05C5"/>
    <w:multiLevelType w:val="singleLevel"/>
    <w:tmpl w:val="61BF05C5"/>
    <w:lvl w:ilvl="0" w:tentative="0">
      <w:start w:val="1"/>
      <w:numFmt w:val="bullet"/>
      <w:pStyle w:val="12"/>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D7"/>
    <w:rsid w:val="000005A3"/>
    <w:rsid w:val="000008F5"/>
    <w:rsid w:val="00000E29"/>
    <w:rsid w:val="00004694"/>
    <w:rsid w:val="00004D14"/>
    <w:rsid w:val="00004FED"/>
    <w:rsid w:val="000052D9"/>
    <w:rsid w:val="00006AED"/>
    <w:rsid w:val="00006FA1"/>
    <w:rsid w:val="00007DB3"/>
    <w:rsid w:val="0001051E"/>
    <w:rsid w:val="00012902"/>
    <w:rsid w:val="000136C1"/>
    <w:rsid w:val="00013FB1"/>
    <w:rsid w:val="00015696"/>
    <w:rsid w:val="00015AA4"/>
    <w:rsid w:val="00021275"/>
    <w:rsid w:val="00021871"/>
    <w:rsid w:val="000220E7"/>
    <w:rsid w:val="000272BC"/>
    <w:rsid w:val="000309BF"/>
    <w:rsid w:val="00030B92"/>
    <w:rsid w:val="00031958"/>
    <w:rsid w:val="00033844"/>
    <w:rsid w:val="00033A2C"/>
    <w:rsid w:val="00033B7A"/>
    <w:rsid w:val="00035926"/>
    <w:rsid w:val="00035C26"/>
    <w:rsid w:val="00035FA0"/>
    <w:rsid w:val="00036AAE"/>
    <w:rsid w:val="00037AB3"/>
    <w:rsid w:val="00037D08"/>
    <w:rsid w:val="00040614"/>
    <w:rsid w:val="000409DB"/>
    <w:rsid w:val="00040A09"/>
    <w:rsid w:val="0004182C"/>
    <w:rsid w:val="0004264F"/>
    <w:rsid w:val="00042B29"/>
    <w:rsid w:val="00043371"/>
    <w:rsid w:val="00044180"/>
    <w:rsid w:val="000452CB"/>
    <w:rsid w:val="00046737"/>
    <w:rsid w:val="00046A07"/>
    <w:rsid w:val="00046A9E"/>
    <w:rsid w:val="00046CFA"/>
    <w:rsid w:val="00046DA6"/>
    <w:rsid w:val="000477D6"/>
    <w:rsid w:val="00047C3C"/>
    <w:rsid w:val="00047DD2"/>
    <w:rsid w:val="00050409"/>
    <w:rsid w:val="00052D02"/>
    <w:rsid w:val="00053810"/>
    <w:rsid w:val="00053F33"/>
    <w:rsid w:val="000558B2"/>
    <w:rsid w:val="0006001C"/>
    <w:rsid w:val="000603EB"/>
    <w:rsid w:val="000604E8"/>
    <w:rsid w:val="0006061A"/>
    <w:rsid w:val="00060D91"/>
    <w:rsid w:val="000620DC"/>
    <w:rsid w:val="00063B7B"/>
    <w:rsid w:val="00063FA5"/>
    <w:rsid w:val="0006487E"/>
    <w:rsid w:val="00064D7D"/>
    <w:rsid w:val="000674CF"/>
    <w:rsid w:val="00067534"/>
    <w:rsid w:val="00067DDD"/>
    <w:rsid w:val="00070399"/>
    <w:rsid w:val="00070EB2"/>
    <w:rsid w:val="00071667"/>
    <w:rsid w:val="00073AC1"/>
    <w:rsid w:val="000741A7"/>
    <w:rsid w:val="00075A8C"/>
    <w:rsid w:val="00076126"/>
    <w:rsid w:val="00077E14"/>
    <w:rsid w:val="00080A9F"/>
    <w:rsid w:val="00084522"/>
    <w:rsid w:val="00084DB5"/>
    <w:rsid w:val="000852E6"/>
    <w:rsid w:val="00085C06"/>
    <w:rsid w:val="00085C2D"/>
    <w:rsid w:val="00085E11"/>
    <w:rsid w:val="000872AA"/>
    <w:rsid w:val="00087657"/>
    <w:rsid w:val="000901B1"/>
    <w:rsid w:val="00090F21"/>
    <w:rsid w:val="00090F62"/>
    <w:rsid w:val="00091FE2"/>
    <w:rsid w:val="0009262E"/>
    <w:rsid w:val="00092A29"/>
    <w:rsid w:val="00092BA8"/>
    <w:rsid w:val="00094620"/>
    <w:rsid w:val="00094B3F"/>
    <w:rsid w:val="00096716"/>
    <w:rsid w:val="00097A2A"/>
    <w:rsid w:val="00097F59"/>
    <w:rsid w:val="000A11A0"/>
    <w:rsid w:val="000A15C9"/>
    <w:rsid w:val="000A228B"/>
    <w:rsid w:val="000A2F88"/>
    <w:rsid w:val="000A3ADA"/>
    <w:rsid w:val="000A529E"/>
    <w:rsid w:val="000A7243"/>
    <w:rsid w:val="000A76CA"/>
    <w:rsid w:val="000B0B98"/>
    <w:rsid w:val="000B1371"/>
    <w:rsid w:val="000B1BD4"/>
    <w:rsid w:val="000B1C7B"/>
    <w:rsid w:val="000B1FD0"/>
    <w:rsid w:val="000B2AF3"/>
    <w:rsid w:val="000B35BC"/>
    <w:rsid w:val="000B555D"/>
    <w:rsid w:val="000B5E89"/>
    <w:rsid w:val="000B6140"/>
    <w:rsid w:val="000B62F4"/>
    <w:rsid w:val="000B7666"/>
    <w:rsid w:val="000C0FE1"/>
    <w:rsid w:val="000C1809"/>
    <w:rsid w:val="000C38B6"/>
    <w:rsid w:val="000C43F1"/>
    <w:rsid w:val="000C64F7"/>
    <w:rsid w:val="000C7293"/>
    <w:rsid w:val="000D079D"/>
    <w:rsid w:val="000D0970"/>
    <w:rsid w:val="000D0CCD"/>
    <w:rsid w:val="000D1891"/>
    <w:rsid w:val="000D1BB7"/>
    <w:rsid w:val="000D1DC1"/>
    <w:rsid w:val="000D27C3"/>
    <w:rsid w:val="000D34C5"/>
    <w:rsid w:val="000D34F9"/>
    <w:rsid w:val="000D4669"/>
    <w:rsid w:val="000D5F5A"/>
    <w:rsid w:val="000D6728"/>
    <w:rsid w:val="000D76B7"/>
    <w:rsid w:val="000E07AF"/>
    <w:rsid w:val="000E15B5"/>
    <w:rsid w:val="000E2657"/>
    <w:rsid w:val="000E2E8F"/>
    <w:rsid w:val="000E318D"/>
    <w:rsid w:val="000E48FD"/>
    <w:rsid w:val="000E4E86"/>
    <w:rsid w:val="000E500F"/>
    <w:rsid w:val="000E51C5"/>
    <w:rsid w:val="000E5FCD"/>
    <w:rsid w:val="000E7103"/>
    <w:rsid w:val="000E7988"/>
    <w:rsid w:val="000F2EBF"/>
    <w:rsid w:val="000F387F"/>
    <w:rsid w:val="000F4384"/>
    <w:rsid w:val="000F45ED"/>
    <w:rsid w:val="000F4854"/>
    <w:rsid w:val="000F4897"/>
    <w:rsid w:val="000F499D"/>
    <w:rsid w:val="000F5951"/>
    <w:rsid w:val="000F67A3"/>
    <w:rsid w:val="000F6AA5"/>
    <w:rsid w:val="000F6AE7"/>
    <w:rsid w:val="000F6BB4"/>
    <w:rsid w:val="000F6F38"/>
    <w:rsid w:val="000F7FE0"/>
    <w:rsid w:val="001008E9"/>
    <w:rsid w:val="0010250F"/>
    <w:rsid w:val="00103BEF"/>
    <w:rsid w:val="00105985"/>
    <w:rsid w:val="001059B6"/>
    <w:rsid w:val="00105CBD"/>
    <w:rsid w:val="00106347"/>
    <w:rsid w:val="00106CF2"/>
    <w:rsid w:val="00110019"/>
    <w:rsid w:val="001100A8"/>
    <w:rsid w:val="00111581"/>
    <w:rsid w:val="00112B85"/>
    <w:rsid w:val="00112E58"/>
    <w:rsid w:val="00113008"/>
    <w:rsid w:val="0011396F"/>
    <w:rsid w:val="00114AC2"/>
    <w:rsid w:val="00114D22"/>
    <w:rsid w:val="0011501B"/>
    <w:rsid w:val="00115068"/>
    <w:rsid w:val="00115AF2"/>
    <w:rsid w:val="001166F6"/>
    <w:rsid w:val="00117C56"/>
    <w:rsid w:val="001215A7"/>
    <w:rsid w:val="00122100"/>
    <w:rsid w:val="0012324B"/>
    <w:rsid w:val="0012340A"/>
    <w:rsid w:val="00123422"/>
    <w:rsid w:val="00124620"/>
    <w:rsid w:val="0012525E"/>
    <w:rsid w:val="001257B9"/>
    <w:rsid w:val="001265DE"/>
    <w:rsid w:val="00126616"/>
    <w:rsid w:val="001306F9"/>
    <w:rsid w:val="00132369"/>
    <w:rsid w:val="00132A18"/>
    <w:rsid w:val="00133440"/>
    <w:rsid w:val="0013384A"/>
    <w:rsid w:val="00133F73"/>
    <w:rsid w:val="0013586B"/>
    <w:rsid w:val="00136119"/>
    <w:rsid w:val="00136E87"/>
    <w:rsid w:val="0014015C"/>
    <w:rsid w:val="0014132F"/>
    <w:rsid w:val="00141DF4"/>
    <w:rsid w:val="00142653"/>
    <w:rsid w:val="00142944"/>
    <w:rsid w:val="001429F8"/>
    <w:rsid w:val="00143516"/>
    <w:rsid w:val="00144B1A"/>
    <w:rsid w:val="0014565C"/>
    <w:rsid w:val="00145703"/>
    <w:rsid w:val="00145BA6"/>
    <w:rsid w:val="00145FB5"/>
    <w:rsid w:val="00150CFB"/>
    <w:rsid w:val="0015253A"/>
    <w:rsid w:val="0015271B"/>
    <w:rsid w:val="001531B9"/>
    <w:rsid w:val="00154F99"/>
    <w:rsid w:val="0015598A"/>
    <w:rsid w:val="001578CB"/>
    <w:rsid w:val="001579D6"/>
    <w:rsid w:val="00164797"/>
    <w:rsid w:val="001666B6"/>
    <w:rsid w:val="00166B28"/>
    <w:rsid w:val="00170A56"/>
    <w:rsid w:val="001716F7"/>
    <w:rsid w:val="00171FD0"/>
    <w:rsid w:val="00173620"/>
    <w:rsid w:val="001739F5"/>
    <w:rsid w:val="00174593"/>
    <w:rsid w:val="00176509"/>
    <w:rsid w:val="001773B4"/>
    <w:rsid w:val="00177963"/>
    <w:rsid w:val="001804B6"/>
    <w:rsid w:val="0018139B"/>
    <w:rsid w:val="001817CE"/>
    <w:rsid w:val="00181DF4"/>
    <w:rsid w:val="001826BA"/>
    <w:rsid w:val="00182F0A"/>
    <w:rsid w:val="00184234"/>
    <w:rsid w:val="001843A4"/>
    <w:rsid w:val="00184433"/>
    <w:rsid w:val="00184869"/>
    <w:rsid w:val="001854C8"/>
    <w:rsid w:val="001855AC"/>
    <w:rsid w:val="00185EF7"/>
    <w:rsid w:val="00187817"/>
    <w:rsid w:val="00187D77"/>
    <w:rsid w:val="00191266"/>
    <w:rsid w:val="0019170A"/>
    <w:rsid w:val="0019260D"/>
    <w:rsid w:val="00193D6B"/>
    <w:rsid w:val="00194D4B"/>
    <w:rsid w:val="00196525"/>
    <w:rsid w:val="00197BC6"/>
    <w:rsid w:val="001A0653"/>
    <w:rsid w:val="001A0E5D"/>
    <w:rsid w:val="001A240F"/>
    <w:rsid w:val="001A248C"/>
    <w:rsid w:val="001A310B"/>
    <w:rsid w:val="001A36FE"/>
    <w:rsid w:val="001A3F59"/>
    <w:rsid w:val="001A434F"/>
    <w:rsid w:val="001A49CB"/>
    <w:rsid w:val="001A5A52"/>
    <w:rsid w:val="001A649A"/>
    <w:rsid w:val="001A70F2"/>
    <w:rsid w:val="001A73D3"/>
    <w:rsid w:val="001B0911"/>
    <w:rsid w:val="001B0CAA"/>
    <w:rsid w:val="001B1312"/>
    <w:rsid w:val="001B14F8"/>
    <w:rsid w:val="001B1D41"/>
    <w:rsid w:val="001B2AD3"/>
    <w:rsid w:val="001B3EBB"/>
    <w:rsid w:val="001B55F2"/>
    <w:rsid w:val="001C0A1A"/>
    <w:rsid w:val="001C20FA"/>
    <w:rsid w:val="001C2ADC"/>
    <w:rsid w:val="001C2BCF"/>
    <w:rsid w:val="001C43FB"/>
    <w:rsid w:val="001C51DC"/>
    <w:rsid w:val="001C5FD9"/>
    <w:rsid w:val="001C625E"/>
    <w:rsid w:val="001C7BE2"/>
    <w:rsid w:val="001D03D5"/>
    <w:rsid w:val="001D182D"/>
    <w:rsid w:val="001D18E2"/>
    <w:rsid w:val="001D26CC"/>
    <w:rsid w:val="001D3CF0"/>
    <w:rsid w:val="001D60A0"/>
    <w:rsid w:val="001D63C2"/>
    <w:rsid w:val="001D6BB4"/>
    <w:rsid w:val="001D75CE"/>
    <w:rsid w:val="001E08AE"/>
    <w:rsid w:val="001E25CB"/>
    <w:rsid w:val="001E2751"/>
    <w:rsid w:val="001E27A0"/>
    <w:rsid w:val="001E2C4B"/>
    <w:rsid w:val="001E2E58"/>
    <w:rsid w:val="001E4214"/>
    <w:rsid w:val="001E4554"/>
    <w:rsid w:val="001E4CE7"/>
    <w:rsid w:val="001E4E51"/>
    <w:rsid w:val="001E5317"/>
    <w:rsid w:val="001E5CBF"/>
    <w:rsid w:val="001E66DF"/>
    <w:rsid w:val="001E6FA4"/>
    <w:rsid w:val="001E7FD6"/>
    <w:rsid w:val="001F015F"/>
    <w:rsid w:val="001F35B2"/>
    <w:rsid w:val="001F58B8"/>
    <w:rsid w:val="001F5BB9"/>
    <w:rsid w:val="001F6245"/>
    <w:rsid w:val="001F631B"/>
    <w:rsid w:val="001F6736"/>
    <w:rsid w:val="001F67F4"/>
    <w:rsid w:val="00200B41"/>
    <w:rsid w:val="00201D5B"/>
    <w:rsid w:val="00201FED"/>
    <w:rsid w:val="00204AF8"/>
    <w:rsid w:val="00205B44"/>
    <w:rsid w:val="002119BF"/>
    <w:rsid w:val="002120BD"/>
    <w:rsid w:val="002120FF"/>
    <w:rsid w:val="002125D8"/>
    <w:rsid w:val="00213B77"/>
    <w:rsid w:val="00213E9F"/>
    <w:rsid w:val="002158C6"/>
    <w:rsid w:val="00216B61"/>
    <w:rsid w:val="00216E6A"/>
    <w:rsid w:val="00217538"/>
    <w:rsid w:val="00217C12"/>
    <w:rsid w:val="0022130F"/>
    <w:rsid w:val="002250D4"/>
    <w:rsid w:val="00225163"/>
    <w:rsid w:val="00227E68"/>
    <w:rsid w:val="00227ED9"/>
    <w:rsid w:val="00230085"/>
    <w:rsid w:val="0023042B"/>
    <w:rsid w:val="00230A4A"/>
    <w:rsid w:val="0023103E"/>
    <w:rsid w:val="00231571"/>
    <w:rsid w:val="00232CC5"/>
    <w:rsid w:val="00234A73"/>
    <w:rsid w:val="00234D8E"/>
    <w:rsid w:val="0023694C"/>
    <w:rsid w:val="00236CC7"/>
    <w:rsid w:val="00236D09"/>
    <w:rsid w:val="00237D27"/>
    <w:rsid w:val="002401D4"/>
    <w:rsid w:val="002403F8"/>
    <w:rsid w:val="00240D68"/>
    <w:rsid w:val="002410CA"/>
    <w:rsid w:val="002411F0"/>
    <w:rsid w:val="00241A34"/>
    <w:rsid w:val="0024293A"/>
    <w:rsid w:val="00242C2A"/>
    <w:rsid w:val="002439C8"/>
    <w:rsid w:val="002445BB"/>
    <w:rsid w:val="00244905"/>
    <w:rsid w:val="00247493"/>
    <w:rsid w:val="002517F8"/>
    <w:rsid w:val="00251871"/>
    <w:rsid w:val="002535EF"/>
    <w:rsid w:val="00253D8F"/>
    <w:rsid w:val="00254228"/>
    <w:rsid w:val="00254957"/>
    <w:rsid w:val="00256350"/>
    <w:rsid w:val="0025670D"/>
    <w:rsid w:val="00256AA6"/>
    <w:rsid w:val="002577C7"/>
    <w:rsid w:val="0026005C"/>
    <w:rsid w:val="002615C3"/>
    <w:rsid w:val="00261FCD"/>
    <w:rsid w:val="00262805"/>
    <w:rsid w:val="00263F05"/>
    <w:rsid w:val="00264C19"/>
    <w:rsid w:val="0026588F"/>
    <w:rsid w:val="00265B95"/>
    <w:rsid w:val="00266983"/>
    <w:rsid w:val="002670E6"/>
    <w:rsid w:val="00267310"/>
    <w:rsid w:val="0026772E"/>
    <w:rsid w:val="00267EFC"/>
    <w:rsid w:val="00270C92"/>
    <w:rsid w:val="0027206B"/>
    <w:rsid w:val="0027317C"/>
    <w:rsid w:val="00274312"/>
    <w:rsid w:val="00275F64"/>
    <w:rsid w:val="002765A3"/>
    <w:rsid w:val="0027710F"/>
    <w:rsid w:val="002776EF"/>
    <w:rsid w:val="00280C64"/>
    <w:rsid w:val="0028181D"/>
    <w:rsid w:val="00281C1F"/>
    <w:rsid w:val="00281CE4"/>
    <w:rsid w:val="00282E6C"/>
    <w:rsid w:val="00283174"/>
    <w:rsid w:val="00283952"/>
    <w:rsid w:val="00283BE3"/>
    <w:rsid w:val="00286C38"/>
    <w:rsid w:val="00286D63"/>
    <w:rsid w:val="00290B07"/>
    <w:rsid w:val="002910E4"/>
    <w:rsid w:val="00292887"/>
    <w:rsid w:val="00292CF8"/>
    <w:rsid w:val="00292D58"/>
    <w:rsid w:val="002935F5"/>
    <w:rsid w:val="002941CC"/>
    <w:rsid w:val="002942EB"/>
    <w:rsid w:val="00294F81"/>
    <w:rsid w:val="00296C05"/>
    <w:rsid w:val="00296D71"/>
    <w:rsid w:val="00297876"/>
    <w:rsid w:val="002A014F"/>
    <w:rsid w:val="002A157F"/>
    <w:rsid w:val="002A217F"/>
    <w:rsid w:val="002A2B13"/>
    <w:rsid w:val="002A2BEB"/>
    <w:rsid w:val="002A33F0"/>
    <w:rsid w:val="002A3A3D"/>
    <w:rsid w:val="002A3D53"/>
    <w:rsid w:val="002A574A"/>
    <w:rsid w:val="002A5AD3"/>
    <w:rsid w:val="002A5FAB"/>
    <w:rsid w:val="002A667B"/>
    <w:rsid w:val="002A7373"/>
    <w:rsid w:val="002A7911"/>
    <w:rsid w:val="002A7F76"/>
    <w:rsid w:val="002B0F7C"/>
    <w:rsid w:val="002B1152"/>
    <w:rsid w:val="002B232F"/>
    <w:rsid w:val="002B2FA8"/>
    <w:rsid w:val="002B3A13"/>
    <w:rsid w:val="002B45F5"/>
    <w:rsid w:val="002B48AD"/>
    <w:rsid w:val="002B50AF"/>
    <w:rsid w:val="002B63B3"/>
    <w:rsid w:val="002B747A"/>
    <w:rsid w:val="002B7DEF"/>
    <w:rsid w:val="002C01F7"/>
    <w:rsid w:val="002C17A1"/>
    <w:rsid w:val="002C4386"/>
    <w:rsid w:val="002C43EF"/>
    <w:rsid w:val="002C5638"/>
    <w:rsid w:val="002C64EB"/>
    <w:rsid w:val="002D1D03"/>
    <w:rsid w:val="002D2DAC"/>
    <w:rsid w:val="002D2FCA"/>
    <w:rsid w:val="002D43BD"/>
    <w:rsid w:val="002D554D"/>
    <w:rsid w:val="002D6027"/>
    <w:rsid w:val="002D61E9"/>
    <w:rsid w:val="002D634D"/>
    <w:rsid w:val="002D6769"/>
    <w:rsid w:val="002D6B4D"/>
    <w:rsid w:val="002D716D"/>
    <w:rsid w:val="002D747B"/>
    <w:rsid w:val="002E074F"/>
    <w:rsid w:val="002E1E29"/>
    <w:rsid w:val="002E2046"/>
    <w:rsid w:val="002E24EF"/>
    <w:rsid w:val="002E3806"/>
    <w:rsid w:val="002E5462"/>
    <w:rsid w:val="002E547F"/>
    <w:rsid w:val="002E6610"/>
    <w:rsid w:val="002E7043"/>
    <w:rsid w:val="002E7B3E"/>
    <w:rsid w:val="002E7BA2"/>
    <w:rsid w:val="002F02D1"/>
    <w:rsid w:val="002F0943"/>
    <w:rsid w:val="002F113E"/>
    <w:rsid w:val="002F1257"/>
    <w:rsid w:val="002F2B1B"/>
    <w:rsid w:val="002F3665"/>
    <w:rsid w:val="002F4ADC"/>
    <w:rsid w:val="002F4B95"/>
    <w:rsid w:val="002F51F8"/>
    <w:rsid w:val="002F68F8"/>
    <w:rsid w:val="002F6A0E"/>
    <w:rsid w:val="002F780B"/>
    <w:rsid w:val="002F7BAB"/>
    <w:rsid w:val="003006DA"/>
    <w:rsid w:val="0030110D"/>
    <w:rsid w:val="00301850"/>
    <w:rsid w:val="00302364"/>
    <w:rsid w:val="003034ED"/>
    <w:rsid w:val="003044F4"/>
    <w:rsid w:val="00305247"/>
    <w:rsid w:val="00306EDA"/>
    <w:rsid w:val="00310630"/>
    <w:rsid w:val="00310D0D"/>
    <w:rsid w:val="00310EF6"/>
    <w:rsid w:val="00311EE8"/>
    <w:rsid w:val="0031260D"/>
    <w:rsid w:val="00312871"/>
    <w:rsid w:val="00312A61"/>
    <w:rsid w:val="00312C6E"/>
    <w:rsid w:val="00312D24"/>
    <w:rsid w:val="0031398B"/>
    <w:rsid w:val="003155BA"/>
    <w:rsid w:val="00315DB7"/>
    <w:rsid w:val="00315F55"/>
    <w:rsid w:val="003166F6"/>
    <w:rsid w:val="00317AAA"/>
    <w:rsid w:val="00317B2A"/>
    <w:rsid w:val="00317D5F"/>
    <w:rsid w:val="00320749"/>
    <w:rsid w:val="00321850"/>
    <w:rsid w:val="00323026"/>
    <w:rsid w:val="003242B4"/>
    <w:rsid w:val="003249E6"/>
    <w:rsid w:val="00324F3B"/>
    <w:rsid w:val="0032583A"/>
    <w:rsid w:val="00325B66"/>
    <w:rsid w:val="003264F0"/>
    <w:rsid w:val="00326681"/>
    <w:rsid w:val="00327389"/>
    <w:rsid w:val="00331033"/>
    <w:rsid w:val="00331154"/>
    <w:rsid w:val="003311E7"/>
    <w:rsid w:val="0033263F"/>
    <w:rsid w:val="00332AC6"/>
    <w:rsid w:val="00332F76"/>
    <w:rsid w:val="00333725"/>
    <w:rsid w:val="003342D8"/>
    <w:rsid w:val="003345D7"/>
    <w:rsid w:val="00334B2B"/>
    <w:rsid w:val="003361E7"/>
    <w:rsid w:val="00337AB2"/>
    <w:rsid w:val="00340707"/>
    <w:rsid w:val="00340791"/>
    <w:rsid w:val="00340AD1"/>
    <w:rsid w:val="003410D5"/>
    <w:rsid w:val="0034241D"/>
    <w:rsid w:val="00342FA9"/>
    <w:rsid w:val="003453C5"/>
    <w:rsid w:val="003454F8"/>
    <w:rsid w:val="00345993"/>
    <w:rsid w:val="00345ED4"/>
    <w:rsid w:val="00346742"/>
    <w:rsid w:val="00347749"/>
    <w:rsid w:val="00347FED"/>
    <w:rsid w:val="003510D0"/>
    <w:rsid w:val="00351244"/>
    <w:rsid w:val="0035180E"/>
    <w:rsid w:val="0035184D"/>
    <w:rsid w:val="00352706"/>
    <w:rsid w:val="003536B4"/>
    <w:rsid w:val="003537FF"/>
    <w:rsid w:val="003539ED"/>
    <w:rsid w:val="00355077"/>
    <w:rsid w:val="0035552C"/>
    <w:rsid w:val="00356BFD"/>
    <w:rsid w:val="00356FA2"/>
    <w:rsid w:val="003613EC"/>
    <w:rsid w:val="00361519"/>
    <w:rsid w:val="003628C0"/>
    <w:rsid w:val="003629DC"/>
    <w:rsid w:val="00362A8C"/>
    <w:rsid w:val="00363668"/>
    <w:rsid w:val="00364AE2"/>
    <w:rsid w:val="003656F1"/>
    <w:rsid w:val="00367D58"/>
    <w:rsid w:val="00370E62"/>
    <w:rsid w:val="00372547"/>
    <w:rsid w:val="0037392C"/>
    <w:rsid w:val="003739B3"/>
    <w:rsid w:val="00374DCC"/>
    <w:rsid w:val="00375211"/>
    <w:rsid w:val="00375252"/>
    <w:rsid w:val="00375800"/>
    <w:rsid w:val="00376470"/>
    <w:rsid w:val="00377084"/>
    <w:rsid w:val="0037727C"/>
    <w:rsid w:val="00377765"/>
    <w:rsid w:val="00380D98"/>
    <w:rsid w:val="00381058"/>
    <w:rsid w:val="00382432"/>
    <w:rsid w:val="00384B85"/>
    <w:rsid w:val="00385035"/>
    <w:rsid w:val="003850E1"/>
    <w:rsid w:val="00385E89"/>
    <w:rsid w:val="003860F2"/>
    <w:rsid w:val="0038629D"/>
    <w:rsid w:val="00386AA5"/>
    <w:rsid w:val="00387CB3"/>
    <w:rsid w:val="0039075C"/>
    <w:rsid w:val="00390A2F"/>
    <w:rsid w:val="00391101"/>
    <w:rsid w:val="003913E2"/>
    <w:rsid w:val="00391747"/>
    <w:rsid w:val="00391A81"/>
    <w:rsid w:val="00391EC3"/>
    <w:rsid w:val="00393961"/>
    <w:rsid w:val="00394CEA"/>
    <w:rsid w:val="00394F9D"/>
    <w:rsid w:val="003958EF"/>
    <w:rsid w:val="003965C9"/>
    <w:rsid w:val="003969EE"/>
    <w:rsid w:val="00397836"/>
    <w:rsid w:val="00397E82"/>
    <w:rsid w:val="003A0785"/>
    <w:rsid w:val="003A15A1"/>
    <w:rsid w:val="003A22A1"/>
    <w:rsid w:val="003A2EDC"/>
    <w:rsid w:val="003A32C0"/>
    <w:rsid w:val="003A3ABB"/>
    <w:rsid w:val="003A458E"/>
    <w:rsid w:val="003A4E75"/>
    <w:rsid w:val="003A6DE9"/>
    <w:rsid w:val="003B1556"/>
    <w:rsid w:val="003B2F9A"/>
    <w:rsid w:val="003B3A62"/>
    <w:rsid w:val="003B3DEA"/>
    <w:rsid w:val="003B452F"/>
    <w:rsid w:val="003B454B"/>
    <w:rsid w:val="003B4A79"/>
    <w:rsid w:val="003B55C6"/>
    <w:rsid w:val="003B56EF"/>
    <w:rsid w:val="003B75F0"/>
    <w:rsid w:val="003B7C71"/>
    <w:rsid w:val="003C0BB2"/>
    <w:rsid w:val="003C146B"/>
    <w:rsid w:val="003C18FB"/>
    <w:rsid w:val="003C1AB2"/>
    <w:rsid w:val="003C1DFB"/>
    <w:rsid w:val="003C229E"/>
    <w:rsid w:val="003C57C7"/>
    <w:rsid w:val="003C5ACE"/>
    <w:rsid w:val="003C5B6E"/>
    <w:rsid w:val="003C65DD"/>
    <w:rsid w:val="003C6C7D"/>
    <w:rsid w:val="003C6D61"/>
    <w:rsid w:val="003D0197"/>
    <w:rsid w:val="003D0204"/>
    <w:rsid w:val="003D0536"/>
    <w:rsid w:val="003D1033"/>
    <w:rsid w:val="003D109F"/>
    <w:rsid w:val="003D27AA"/>
    <w:rsid w:val="003D2A6A"/>
    <w:rsid w:val="003D3E79"/>
    <w:rsid w:val="003D3E89"/>
    <w:rsid w:val="003D4C4A"/>
    <w:rsid w:val="003D51D9"/>
    <w:rsid w:val="003D521D"/>
    <w:rsid w:val="003D6A11"/>
    <w:rsid w:val="003D6EDF"/>
    <w:rsid w:val="003D7902"/>
    <w:rsid w:val="003E106A"/>
    <w:rsid w:val="003E137B"/>
    <w:rsid w:val="003E1E64"/>
    <w:rsid w:val="003E2369"/>
    <w:rsid w:val="003E2C89"/>
    <w:rsid w:val="003E2DE8"/>
    <w:rsid w:val="003E2E89"/>
    <w:rsid w:val="003E391A"/>
    <w:rsid w:val="003E4681"/>
    <w:rsid w:val="003E5BD0"/>
    <w:rsid w:val="003E643E"/>
    <w:rsid w:val="003E7FE4"/>
    <w:rsid w:val="003F1DE2"/>
    <w:rsid w:val="003F236A"/>
    <w:rsid w:val="003F23AB"/>
    <w:rsid w:val="003F2F5A"/>
    <w:rsid w:val="003F35E8"/>
    <w:rsid w:val="003F3CC1"/>
    <w:rsid w:val="003F4331"/>
    <w:rsid w:val="003F6190"/>
    <w:rsid w:val="003F65FA"/>
    <w:rsid w:val="003F7531"/>
    <w:rsid w:val="00400A2D"/>
    <w:rsid w:val="00400AB7"/>
    <w:rsid w:val="00400D7F"/>
    <w:rsid w:val="004024AF"/>
    <w:rsid w:val="0040283D"/>
    <w:rsid w:val="004034F5"/>
    <w:rsid w:val="00403D3D"/>
    <w:rsid w:val="00404D37"/>
    <w:rsid w:val="00406BBA"/>
    <w:rsid w:val="00407525"/>
    <w:rsid w:val="00407980"/>
    <w:rsid w:val="00411A07"/>
    <w:rsid w:val="0041299C"/>
    <w:rsid w:val="00415316"/>
    <w:rsid w:val="00415F61"/>
    <w:rsid w:val="00416350"/>
    <w:rsid w:val="0041691D"/>
    <w:rsid w:val="00417846"/>
    <w:rsid w:val="00420DEB"/>
    <w:rsid w:val="00421935"/>
    <w:rsid w:val="00422886"/>
    <w:rsid w:val="0042377F"/>
    <w:rsid w:val="004245FE"/>
    <w:rsid w:val="004249AA"/>
    <w:rsid w:val="00424EDF"/>
    <w:rsid w:val="0042508C"/>
    <w:rsid w:val="004257B3"/>
    <w:rsid w:val="004261C9"/>
    <w:rsid w:val="004273C2"/>
    <w:rsid w:val="00427679"/>
    <w:rsid w:val="004306F2"/>
    <w:rsid w:val="00430759"/>
    <w:rsid w:val="00430870"/>
    <w:rsid w:val="00430CF9"/>
    <w:rsid w:val="00430D5A"/>
    <w:rsid w:val="00430FC7"/>
    <w:rsid w:val="004324FC"/>
    <w:rsid w:val="004337B0"/>
    <w:rsid w:val="00433852"/>
    <w:rsid w:val="004346E3"/>
    <w:rsid w:val="00434D03"/>
    <w:rsid w:val="004369DA"/>
    <w:rsid w:val="00436CB7"/>
    <w:rsid w:val="004372F1"/>
    <w:rsid w:val="004406A4"/>
    <w:rsid w:val="0044126E"/>
    <w:rsid w:val="00441851"/>
    <w:rsid w:val="00441C5E"/>
    <w:rsid w:val="00441DE8"/>
    <w:rsid w:val="00443023"/>
    <w:rsid w:val="00443138"/>
    <w:rsid w:val="00443346"/>
    <w:rsid w:val="004438EA"/>
    <w:rsid w:val="0044601A"/>
    <w:rsid w:val="004468BD"/>
    <w:rsid w:val="00446953"/>
    <w:rsid w:val="00447356"/>
    <w:rsid w:val="00451430"/>
    <w:rsid w:val="004516A4"/>
    <w:rsid w:val="00452DA8"/>
    <w:rsid w:val="00456369"/>
    <w:rsid w:val="004570CC"/>
    <w:rsid w:val="0045713B"/>
    <w:rsid w:val="00461F51"/>
    <w:rsid w:val="00462F40"/>
    <w:rsid w:val="0046392B"/>
    <w:rsid w:val="004639DE"/>
    <w:rsid w:val="004664E3"/>
    <w:rsid w:val="00466A09"/>
    <w:rsid w:val="00466E4D"/>
    <w:rsid w:val="0047044A"/>
    <w:rsid w:val="00470BAA"/>
    <w:rsid w:val="00471672"/>
    <w:rsid w:val="00471695"/>
    <w:rsid w:val="004725BC"/>
    <w:rsid w:val="00472876"/>
    <w:rsid w:val="00472FD2"/>
    <w:rsid w:val="00473B11"/>
    <w:rsid w:val="004755FC"/>
    <w:rsid w:val="00475BDA"/>
    <w:rsid w:val="0048005F"/>
    <w:rsid w:val="00480B98"/>
    <w:rsid w:val="00480D7C"/>
    <w:rsid w:val="00484E59"/>
    <w:rsid w:val="004851C9"/>
    <w:rsid w:val="0048554F"/>
    <w:rsid w:val="00486924"/>
    <w:rsid w:val="00487270"/>
    <w:rsid w:val="00487F77"/>
    <w:rsid w:val="004910B3"/>
    <w:rsid w:val="00491865"/>
    <w:rsid w:val="00491B19"/>
    <w:rsid w:val="00493BDD"/>
    <w:rsid w:val="00496722"/>
    <w:rsid w:val="004969DB"/>
    <w:rsid w:val="0049749D"/>
    <w:rsid w:val="004A06C2"/>
    <w:rsid w:val="004A13C0"/>
    <w:rsid w:val="004A1503"/>
    <w:rsid w:val="004A1D20"/>
    <w:rsid w:val="004A41E9"/>
    <w:rsid w:val="004A4CE7"/>
    <w:rsid w:val="004A6393"/>
    <w:rsid w:val="004A66CA"/>
    <w:rsid w:val="004A7541"/>
    <w:rsid w:val="004B0DF0"/>
    <w:rsid w:val="004B13A6"/>
    <w:rsid w:val="004B191D"/>
    <w:rsid w:val="004B25A6"/>
    <w:rsid w:val="004B3CA3"/>
    <w:rsid w:val="004B5394"/>
    <w:rsid w:val="004B64B1"/>
    <w:rsid w:val="004C0322"/>
    <w:rsid w:val="004C0DCA"/>
    <w:rsid w:val="004C1846"/>
    <w:rsid w:val="004C26E8"/>
    <w:rsid w:val="004C49E3"/>
    <w:rsid w:val="004C4A98"/>
    <w:rsid w:val="004C4EA4"/>
    <w:rsid w:val="004C4F1F"/>
    <w:rsid w:val="004C4F5B"/>
    <w:rsid w:val="004C69C9"/>
    <w:rsid w:val="004C6AB4"/>
    <w:rsid w:val="004C75A4"/>
    <w:rsid w:val="004D0299"/>
    <w:rsid w:val="004D06DE"/>
    <w:rsid w:val="004D0B5A"/>
    <w:rsid w:val="004D187A"/>
    <w:rsid w:val="004D2435"/>
    <w:rsid w:val="004D247C"/>
    <w:rsid w:val="004D253C"/>
    <w:rsid w:val="004D331A"/>
    <w:rsid w:val="004D3C90"/>
    <w:rsid w:val="004D4C54"/>
    <w:rsid w:val="004D5705"/>
    <w:rsid w:val="004D64BA"/>
    <w:rsid w:val="004D704B"/>
    <w:rsid w:val="004D7394"/>
    <w:rsid w:val="004E1D89"/>
    <w:rsid w:val="004E212E"/>
    <w:rsid w:val="004E243F"/>
    <w:rsid w:val="004E2FE2"/>
    <w:rsid w:val="004E321C"/>
    <w:rsid w:val="004E33DA"/>
    <w:rsid w:val="004E35DE"/>
    <w:rsid w:val="004E3743"/>
    <w:rsid w:val="004E38D8"/>
    <w:rsid w:val="004E3B04"/>
    <w:rsid w:val="004E417B"/>
    <w:rsid w:val="004F0096"/>
    <w:rsid w:val="004F072C"/>
    <w:rsid w:val="004F3D75"/>
    <w:rsid w:val="004F4187"/>
    <w:rsid w:val="004F558F"/>
    <w:rsid w:val="004F6FEA"/>
    <w:rsid w:val="00500260"/>
    <w:rsid w:val="00500619"/>
    <w:rsid w:val="00500F0A"/>
    <w:rsid w:val="005012C5"/>
    <w:rsid w:val="00501E02"/>
    <w:rsid w:val="00502177"/>
    <w:rsid w:val="00502EEB"/>
    <w:rsid w:val="00504CD8"/>
    <w:rsid w:val="005055EE"/>
    <w:rsid w:val="0050567A"/>
    <w:rsid w:val="00505B05"/>
    <w:rsid w:val="005067A9"/>
    <w:rsid w:val="005105F3"/>
    <w:rsid w:val="005113CC"/>
    <w:rsid w:val="005116E1"/>
    <w:rsid w:val="00512481"/>
    <w:rsid w:val="00513E85"/>
    <w:rsid w:val="00515237"/>
    <w:rsid w:val="005168B8"/>
    <w:rsid w:val="00516BA3"/>
    <w:rsid w:val="00517988"/>
    <w:rsid w:val="00520C90"/>
    <w:rsid w:val="00520F97"/>
    <w:rsid w:val="00523506"/>
    <w:rsid w:val="00524FCB"/>
    <w:rsid w:val="00525356"/>
    <w:rsid w:val="00525482"/>
    <w:rsid w:val="0052567E"/>
    <w:rsid w:val="005269BB"/>
    <w:rsid w:val="005328DD"/>
    <w:rsid w:val="0053371C"/>
    <w:rsid w:val="00533B2F"/>
    <w:rsid w:val="00534E40"/>
    <w:rsid w:val="00535743"/>
    <w:rsid w:val="00535885"/>
    <w:rsid w:val="005358A0"/>
    <w:rsid w:val="005376CF"/>
    <w:rsid w:val="00540671"/>
    <w:rsid w:val="00540E02"/>
    <w:rsid w:val="005421F5"/>
    <w:rsid w:val="00542C32"/>
    <w:rsid w:val="00545C60"/>
    <w:rsid w:val="00546007"/>
    <w:rsid w:val="00546B8F"/>
    <w:rsid w:val="005471F6"/>
    <w:rsid w:val="00547786"/>
    <w:rsid w:val="00550FD7"/>
    <w:rsid w:val="00551896"/>
    <w:rsid w:val="005520D1"/>
    <w:rsid w:val="0055338A"/>
    <w:rsid w:val="00553D08"/>
    <w:rsid w:val="00553E0B"/>
    <w:rsid w:val="005554F0"/>
    <w:rsid w:val="00557675"/>
    <w:rsid w:val="00560696"/>
    <w:rsid w:val="00560737"/>
    <w:rsid w:val="005619DC"/>
    <w:rsid w:val="005622DE"/>
    <w:rsid w:val="00562610"/>
    <w:rsid w:val="00563DED"/>
    <w:rsid w:val="00563F4D"/>
    <w:rsid w:val="00564543"/>
    <w:rsid w:val="005650DA"/>
    <w:rsid w:val="00565149"/>
    <w:rsid w:val="00565378"/>
    <w:rsid w:val="00565982"/>
    <w:rsid w:val="00566C12"/>
    <w:rsid w:val="00570554"/>
    <w:rsid w:val="00570C8D"/>
    <w:rsid w:val="00571D06"/>
    <w:rsid w:val="00572029"/>
    <w:rsid w:val="0057250D"/>
    <w:rsid w:val="00572576"/>
    <w:rsid w:val="00572A06"/>
    <w:rsid w:val="00572AF7"/>
    <w:rsid w:val="00575C9A"/>
    <w:rsid w:val="005760E8"/>
    <w:rsid w:val="0058060B"/>
    <w:rsid w:val="00580F20"/>
    <w:rsid w:val="005815EA"/>
    <w:rsid w:val="00581DAA"/>
    <w:rsid w:val="00582778"/>
    <w:rsid w:val="00582F0B"/>
    <w:rsid w:val="00583978"/>
    <w:rsid w:val="00583AA5"/>
    <w:rsid w:val="00583E31"/>
    <w:rsid w:val="00584100"/>
    <w:rsid w:val="00584A35"/>
    <w:rsid w:val="0058658D"/>
    <w:rsid w:val="00586CC7"/>
    <w:rsid w:val="00586F46"/>
    <w:rsid w:val="00587AD3"/>
    <w:rsid w:val="00587B98"/>
    <w:rsid w:val="00587C8D"/>
    <w:rsid w:val="00592EAB"/>
    <w:rsid w:val="00593053"/>
    <w:rsid w:val="005938E1"/>
    <w:rsid w:val="00594301"/>
    <w:rsid w:val="0059474C"/>
    <w:rsid w:val="00594AF7"/>
    <w:rsid w:val="00594C2A"/>
    <w:rsid w:val="005970F7"/>
    <w:rsid w:val="00597125"/>
    <w:rsid w:val="00597492"/>
    <w:rsid w:val="005A0409"/>
    <w:rsid w:val="005A0D6E"/>
    <w:rsid w:val="005A21F5"/>
    <w:rsid w:val="005A3CE2"/>
    <w:rsid w:val="005A4ACF"/>
    <w:rsid w:val="005A502C"/>
    <w:rsid w:val="005A54E6"/>
    <w:rsid w:val="005A59F2"/>
    <w:rsid w:val="005A5DA3"/>
    <w:rsid w:val="005A6B44"/>
    <w:rsid w:val="005A6BBC"/>
    <w:rsid w:val="005B0D1A"/>
    <w:rsid w:val="005B3472"/>
    <w:rsid w:val="005B4743"/>
    <w:rsid w:val="005B51A1"/>
    <w:rsid w:val="005B51FB"/>
    <w:rsid w:val="005B79DF"/>
    <w:rsid w:val="005C0602"/>
    <w:rsid w:val="005C1866"/>
    <w:rsid w:val="005C1976"/>
    <w:rsid w:val="005C25DD"/>
    <w:rsid w:val="005C2869"/>
    <w:rsid w:val="005C396E"/>
    <w:rsid w:val="005C4D3F"/>
    <w:rsid w:val="005D0806"/>
    <w:rsid w:val="005D1981"/>
    <w:rsid w:val="005D3634"/>
    <w:rsid w:val="005D5C5E"/>
    <w:rsid w:val="005D5CBE"/>
    <w:rsid w:val="005D6877"/>
    <w:rsid w:val="005D771F"/>
    <w:rsid w:val="005D7BE3"/>
    <w:rsid w:val="005E0D6D"/>
    <w:rsid w:val="005E25FA"/>
    <w:rsid w:val="005E26B6"/>
    <w:rsid w:val="005E3068"/>
    <w:rsid w:val="005E3407"/>
    <w:rsid w:val="005E4CEB"/>
    <w:rsid w:val="005E5A21"/>
    <w:rsid w:val="005E63E9"/>
    <w:rsid w:val="005E7262"/>
    <w:rsid w:val="005E7CB9"/>
    <w:rsid w:val="005F0050"/>
    <w:rsid w:val="005F0CC7"/>
    <w:rsid w:val="005F0FA5"/>
    <w:rsid w:val="005F15A2"/>
    <w:rsid w:val="005F1857"/>
    <w:rsid w:val="005F2420"/>
    <w:rsid w:val="005F245C"/>
    <w:rsid w:val="005F248C"/>
    <w:rsid w:val="005F2DA7"/>
    <w:rsid w:val="005F4AD7"/>
    <w:rsid w:val="005F5372"/>
    <w:rsid w:val="005F6353"/>
    <w:rsid w:val="005F65E4"/>
    <w:rsid w:val="005F664D"/>
    <w:rsid w:val="005F694D"/>
    <w:rsid w:val="005F76B3"/>
    <w:rsid w:val="00601CB9"/>
    <w:rsid w:val="00602DF5"/>
    <w:rsid w:val="00602E59"/>
    <w:rsid w:val="006048FC"/>
    <w:rsid w:val="00605CBD"/>
    <w:rsid w:val="006062C0"/>
    <w:rsid w:val="006079EC"/>
    <w:rsid w:val="00607D01"/>
    <w:rsid w:val="00610611"/>
    <w:rsid w:val="00611EED"/>
    <w:rsid w:val="0061389C"/>
    <w:rsid w:val="00613BB9"/>
    <w:rsid w:val="00615EC0"/>
    <w:rsid w:val="0061704A"/>
    <w:rsid w:val="00617718"/>
    <w:rsid w:val="0061791A"/>
    <w:rsid w:val="006202E6"/>
    <w:rsid w:val="00620852"/>
    <w:rsid w:val="00621444"/>
    <w:rsid w:val="006221BC"/>
    <w:rsid w:val="006237C0"/>
    <w:rsid w:val="00623B2D"/>
    <w:rsid w:val="00623C8C"/>
    <w:rsid w:val="006241C7"/>
    <w:rsid w:val="00624BF2"/>
    <w:rsid w:val="006255B2"/>
    <w:rsid w:val="00625C32"/>
    <w:rsid w:val="006261EF"/>
    <w:rsid w:val="00626818"/>
    <w:rsid w:val="006309A3"/>
    <w:rsid w:val="006326F4"/>
    <w:rsid w:val="00633825"/>
    <w:rsid w:val="00633D95"/>
    <w:rsid w:val="00634358"/>
    <w:rsid w:val="00634B24"/>
    <w:rsid w:val="00637830"/>
    <w:rsid w:val="00640EF7"/>
    <w:rsid w:val="00641525"/>
    <w:rsid w:val="00641AA3"/>
    <w:rsid w:val="00641BBA"/>
    <w:rsid w:val="00641D87"/>
    <w:rsid w:val="00641E8E"/>
    <w:rsid w:val="006426CC"/>
    <w:rsid w:val="00644A87"/>
    <w:rsid w:val="00646BC2"/>
    <w:rsid w:val="00647479"/>
    <w:rsid w:val="00647984"/>
    <w:rsid w:val="00650C37"/>
    <w:rsid w:val="006530CD"/>
    <w:rsid w:val="006532B2"/>
    <w:rsid w:val="00653613"/>
    <w:rsid w:val="006536BB"/>
    <w:rsid w:val="00653B0A"/>
    <w:rsid w:val="00654084"/>
    <w:rsid w:val="00655EEF"/>
    <w:rsid w:val="00656A30"/>
    <w:rsid w:val="0065752F"/>
    <w:rsid w:val="00657934"/>
    <w:rsid w:val="00657A61"/>
    <w:rsid w:val="00661F49"/>
    <w:rsid w:val="0066289A"/>
    <w:rsid w:val="006631AC"/>
    <w:rsid w:val="006648E5"/>
    <w:rsid w:val="00664F37"/>
    <w:rsid w:val="00666BEF"/>
    <w:rsid w:val="00666FD7"/>
    <w:rsid w:val="00670480"/>
    <w:rsid w:val="0067146B"/>
    <w:rsid w:val="00671663"/>
    <w:rsid w:val="006726A9"/>
    <w:rsid w:val="0067351E"/>
    <w:rsid w:val="00674DAD"/>
    <w:rsid w:val="006758E5"/>
    <w:rsid w:val="00676751"/>
    <w:rsid w:val="006767E6"/>
    <w:rsid w:val="00677D04"/>
    <w:rsid w:val="00680016"/>
    <w:rsid w:val="00681354"/>
    <w:rsid w:val="006823C6"/>
    <w:rsid w:val="006830EA"/>
    <w:rsid w:val="0068326C"/>
    <w:rsid w:val="00683342"/>
    <w:rsid w:val="00683DF2"/>
    <w:rsid w:val="00686205"/>
    <w:rsid w:val="00686524"/>
    <w:rsid w:val="00687570"/>
    <w:rsid w:val="00690D26"/>
    <w:rsid w:val="00690D82"/>
    <w:rsid w:val="0069350C"/>
    <w:rsid w:val="00693681"/>
    <w:rsid w:val="006943E0"/>
    <w:rsid w:val="0069759F"/>
    <w:rsid w:val="0069760F"/>
    <w:rsid w:val="006A0752"/>
    <w:rsid w:val="006A088A"/>
    <w:rsid w:val="006A0F26"/>
    <w:rsid w:val="006A13F4"/>
    <w:rsid w:val="006A1BA5"/>
    <w:rsid w:val="006A2D77"/>
    <w:rsid w:val="006A31BA"/>
    <w:rsid w:val="006A3526"/>
    <w:rsid w:val="006A3AD5"/>
    <w:rsid w:val="006A3DD0"/>
    <w:rsid w:val="006A57BA"/>
    <w:rsid w:val="006B0E5C"/>
    <w:rsid w:val="006B1286"/>
    <w:rsid w:val="006B1E47"/>
    <w:rsid w:val="006B2A81"/>
    <w:rsid w:val="006B4419"/>
    <w:rsid w:val="006B48EB"/>
    <w:rsid w:val="006B4CBC"/>
    <w:rsid w:val="006B6A2C"/>
    <w:rsid w:val="006C1362"/>
    <w:rsid w:val="006C2762"/>
    <w:rsid w:val="006C516C"/>
    <w:rsid w:val="006C6823"/>
    <w:rsid w:val="006C6D16"/>
    <w:rsid w:val="006C6F63"/>
    <w:rsid w:val="006D258B"/>
    <w:rsid w:val="006D29FD"/>
    <w:rsid w:val="006D34DF"/>
    <w:rsid w:val="006D41DF"/>
    <w:rsid w:val="006D4889"/>
    <w:rsid w:val="006D60A2"/>
    <w:rsid w:val="006D6680"/>
    <w:rsid w:val="006E01D6"/>
    <w:rsid w:val="006E088B"/>
    <w:rsid w:val="006E0906"/>
    <w:rsid w:val="006E2E9D"/>
    <w:rsid w:val="006E3C15"/>
    <w:rsid w:val="006E45C4"/>
    <w:rsid w:val="006E4F70"/>
    <w:rsid w:val="006E62AF"/>
    <w:rsid w:val="006E797D"/>
    <w:rsid w:val="006F0289"/>
    <w:rsid w:val="006F0EBD"/>
    <w:rsid w:val="006F1161"/>
    <w:rsid w:val="006F11D2"/>
    <w:rsid w:val="006F19AA"/>
    <w:rsid w:val="006F2218"/>
    <w:rsid w:val="006F22A4"/>
    <w:rsid w:val="006F3489"/>
    <w:rsid w:val="006F353A"/>
    <w:rsid w:val="006F37DE"/>
    <w:rsid w:val="006F4A2B"/>
    <w:rsid w:val="006F4A4A"/>
    <w:rsid w:val="006F4B22"/>
    <w:rsid w:val="006F5150"/>
    <w:rsid w:val="006F7FBF"/>
    <w:rsid w:val="00700617"/>
    <w:rsid w:val="00701167"/>
    <w:rsid w:val="007013E1"/>
    <w:rsid w:val="007022BD"/>
    <w:rsid w:val="00704817"/>
    <w:rsid w:val="00704CEF"/>
    <w:rsid w:val="007064A6"/>
    <w:rsid w:val="00707657"/>
    <w:rsid w:val="007077B5"/>
    <w:rsid w:val="0070788D"/>
    <w:rsid w:val="0071025B"/>
    <w:rsid w:val="00710EE2"/>
    <w:rsid w:val="00711B33"/>
    <w:rsid w:val="0071293F"/>
    <w:rsid w:val="00713AAC"/>
    <w:rsid w:val="00714999"/>
    <w:rsid w:val="00715044"/>
    <w:rsid w:val="00715858"/>
    <w:rsid w:val="00715B82"/>
    <w:rsid w:val="00717088"/>
    <w:rsid w:val="00717F74"/>
    <w:rsid w:val="00720491"/>
    <w:rsid w:val="00721857"/>
    <w:rsid w:val="007218ED"/>
    <w:rsid w:val="00721B26"/>
    <w:rsid w:val="00722207"/>
    <w:rsid w:val="00722D14"/>
    <w:rsid w:val="00722F08"/>
    <w:rsid w:val="007233C6"/>
    <w:rsid w:val="00723E04"/>
    <w:rsid w:val="00724CCF"/>
    <w:rsid w:val="00725F60"/>
    <w:rsid w:val="007265DC"/>
    <w:rsid w:val="007305D4"/>
    <w:rsid w:val="007317E3"/>
    <w:rsid w:val="00731936"/>
    <w:rsid w:val="007322B8"/>
    <w:rsid w:val="0073283E"/>
    <w:rsid w:val="00732C1A"/>
    <w:rsid w:val="00733C35"/>
    <w:rsid w:val="00734BD1"/>
    <w:rsid w:val="00734CA9"/>
    <w:rsid w:val="00734D75"/>
    <w:rsid w:val="00735644"/>
    <w:rsid w:val="00735DE5"/>
    <w:rsid w:val="00736553"/>
    <w:rsid w:val="00736719"/>
    <w:rsid w:val="00736A1A"/>
    <w:rsid w:val="00744629"/>
    <w:rsid w:val="0074493C"/>
    <w:rsid w:val="00744B1D"/>
    <w:rsid w:val="00744F77"/>
    <w:rsid w:val="00745049"/>
    <w:rsid w:val="007456FA"/>
    <w:rsid w:val="00745B01"/>
    <w:rsid w:val="00745FD6"/>
    <w:rsid w:val="00747253"/>
    <w:rsid w:val="00747C66"/>
    <w:rsid w:val="007504B3"/>
    <w:rsid w:val="00750CCC"/>
    <w:rsid w:val="00751321"/>
    <w:rsid w:val="00757491"/>
    <w:rsid w:val="00760285"/>
    <w:rsid w:val="007604F3"/>
    <w:rsid w:val="0076119A"/>
    <w:rsid w:val="00764743"/>
    <w:rsid w:val="00764C55"/>
    <w:rsid w:val="0076609B"/>
    <w:rsid w:val="00766483"/>
    <w:rsid w:val="0076691D"/>
    <w:rsid w:val="007673A5"/>
    <w:rsid w:val="00771D28"/>
    <w:rsid w:val="00772B1A"/>
    <w:rsid w:val="00773725"/>
    <w:rsid w:val="00773E9A"/>
    <w:rsid w:val="007740EA"/>
    <w:rsid w:val="00774AFB"/>
    <w:rsid w:val="0077507D"/>
    <w:rsid w:val="00775295"/>
    <w:rsid w:val="00775CEB"/>
    <w:rsid w:val="007762CB"/>
    <w:rsid w:val="00776D35"/>
    <w:rsid w:val="00780064"/>
    <w:rsid w:val="007814B7"/>
    <w:rsid w:val="0078298B"/>
    <w:rsid w:val="007829EA"/>
    <w:rsid w:val="0078353E"/>
    <w:rsid w:val="00783584"/>
    <w:rsid w:val="007840FD"/>
    <w:rsid w:val="00784484"/>
    <w:rsid w:val="00784D8F"/>
    <w:rsid w:val="007861F9"/>
    <w:rsid w:val="007867ED"/>
    <w:rsid w:val="00786A05"/>
    <w:rsid w:val="0078791D"/>
    <w:rsid w:val="007903B0"/>
    <w:rsid w:val="0079047F"/>
    <w:rsid w:val="00790D5D"/>
    <w:rsid w:val="007913E2"/>
    <w:rsid w:val="00792477"/>
    <w:rsid w:val="00792501"/>
    <w:rsid w:val="00794125"/>
    <w:rsid w:val="00795AAF"/>
    <w:rsid w:val="0079611C"/>
    <w:rsid w:val="00797C98"/>
    <w:rsid w:val="00797DB6"/>
    <w:rsid w:val="00797F6C"/>
    <w:rsid w:val="007A3A21"/>
    <w:rsid w:val="007A4077"/>
    <w:rsid w:val="007A4161"/>
    <w:rsid w:val="007A4A1A"/>
    <w:rsid w:val="007A5085"/>
    <w:rsid w:val="007A5B73"/>
    <w:rsid w:val="007A79BD"/>
    <w:rsid w:val="007A7F41"/>
    <w:rsid w:val="007B00B9"/>
    <w:rsid w:val="007B0316"/>
    <w:rsid w:val="007B07B4"/>
    <w:rsid w:val="007B144A"/>
    <w:rsid w:val="007B171D"/>
    <w:rsid w:val="007B338C"/>
    <w:rsid w:val="007B4149"/>
    <w:rsid w:val="007B51B6"/>
    <w:rsid w:val="007B5739"/>
    <w:rsid w:val="007B7505"/>
    <w:rsid w:val="007C131B"/>
    <w:rsid w:val="007C161B"/>
    <w:rsid w:val="007C3419"/>
    <w:rsid w:val="007C3ECA"/>
    <w:rsid w:val="007C3EF8"/>
    <w:rsid w:val="007C51B7"/>
    <w:rsid w:val="007C5B48"/>
    <w:rsid w:val="007C5C0E"/>
    <w:rsid w:val="007C710A"/>
    <w:rsid w:val="007C7B79"/>
    <w:rsid w:val="007D2001"/>
    <w:rsid w:val="007D2CE4"/>
    <w:rsid w:val="007D3379"/>
    <w:rsid w:val="007D3657"/>
    <w:rsid w:val="007D3F86"/>
    <w:rsid w:val="007D417C"/>
    <w:rsid w:val="007D4BD8"/>
    <w:rsid w:val="007E00AF"/>
    <w:rsid w:val="007E0319"/>
    <w:rsid w:val="007E1699"/>
    <w:rsid w:val="007E176E"/>
    <w:rsid w:val="007E18EB"/>
    <w:rsid w:val="007E1E79"/>
    <w:rsid w:val="007E283E"/>
    <w:rsid w:val="007E3D36"/>
    <w:rsid w:val="007E4D6A"/>
    <w:rsid w:val="007E6482"/>
    <w:rsid w:val="007E6A6D"/>
    <w:rsid w:val="007E716A"/>
    <w:rsid w:val="007E727D"/>
    <w:rsid w:val="007E7E81"/>
    <w:rsid w:val="007F0260"/>
    <w:rsid w:val="007F07F6"/>
    <w:rsid w:val="007F0B59"/>
    <w:rsid w:val="007F1756"/>
    <w:rsid w:val="007F1F0F"/>
    <w:rsid w:val="007F201B"/>
    <w:rsid w:val="007F2114"/>
    <w:rsid w:val="007F3F18"/>
    <w:rsid w:val="007F5BD3"/>
    <w:rsid w:val="007F6F70"/>
    <w:rsid w:val="007F76A6"/>
    <w:rsid w:val="0080078B"/>
    <w:rsid w:val="00801142"/>
    <w:rsid w:val="00801724"/>
    <w:rsid w:val="00801C3F"/>
    <w:rsid w:val="0080326A"/>
    <w:rsid w:val="00804A5A"/>
    <w:rsid w:val="00804B0A"/>
    <w:rsid w:val="00805388"/>
    <w:rsid w:val="008057BA"/>
    <w:rsid w:val="00806271"/>
    <w:rsid w:val="00806328"/>
    <w:rsid w:val="0080713D"/>
    <w:rsid w:val="008072B6"/>
    <w:rsid w:val="0080731B"/>
    <w:rsid w:val="008077C9"/>
    <w:rsid w:val="00810152"/>
    <w:rsid w:val="00810304"/>
    <w:rsid w:val="00810D3E"/>
    <w:rsid w:val="008111CF"/>
    <w:rsid w:val="008117B5"/>
    <w:rsid w:val="00815597"/>
    <w:rsid w:val="00815D76"/>
    <w:rsid w:val="008160F7"/>
    <w:rsid w:val="00817E7C"/>
    <w:rsid w:val="00817F7D"/>
    <w:rsid w:val="0082010B"/>
    <w:rsid w:val="00820D8D"/>
    <w:rsid w:val="0082153F"/>
    <w:rsid w:val="008216C8"/>
    <w:rsid w:val="0082300B"/>
    <w:rsid w:val="00823F2B"/>
    <w:rsid w:val="00824500"/>
    <w:rsid w:val="008247B8"/>
    <w:rsid w:val="00831041"/>
    <w:rsid w:val="00831559"/>
    <w:rsid w:val="00831967"/>
    <w:rsid w:val="0083236D"/>
    <w:rsid w:val="00832659"/>
    <w:rsid w:val="00833024"/>
    <w:rsid w:val="00833344"/>
    <w:rsid w:val="00834490"/>
    <w:rsid w:val="008346E8"/>
    <w:rsid w:val="00835BEE"/>
    <w:rsid w:val="008362E2"/>
    <w:rsid w:val="00837947"/>
    <w:rsid w:val="00837F3B"/>
    <w:rsid w:val="00840D8C"/>
    <w:rsid w:val="00841F82"/>
    <w:rsid w:val="008435A5"/>
    <w:rsid w:val="00843710"/>
    <w:rsid w:val="00844825"/>
    <w:rsid w:val="0084554E"/>
    <w:rsid w:val="00850AEB"/>
    <w:rsid w:val="0085101E"/>
    <w:rsid w:val="00851B08"/>
    <w:rsid w:val="0085236F"/>
    <w:rsid w:val="008539EA"/>
    <w:rsid w:val="0085405B"/>
    <w:rsid w:val="008544D4"/>
    <w:rsid w:val="00855259"/>
    <w:rsid w:val="008565E6"/>
    <w:rsid w:val="00856FAF"/>
    <w:rsid w:val="008570CF"/>
    <w:rsid w:val="00857F37"/>
    <w:rsid w:val="00860404"/>
    <w:rsid w:val="0086125A"/>
    <w:rsid w:val="00862023"/>
    <w:rsid w:val="00862850"/>
    <w:rsid w:val="008634FA"/>
    <w:rsid w:val="00863D90"/>
    <w:rsid w:val="008653DA"/>
    <w:rsid w:val="00865799"/>
    <w:rsid w:val="00867F19"/>
    <w:rsid w:val="00870C4C"/>
    <w:rsid w:val="00871786"/>
    <w:rsid w:val="00872418"/>
    <w:rsid w:val="008733B5"/>
    <w:rsid w:val="00873D14"/>
    <w:rsid w:val="00873E1C"/>
    <w:rsid w:val="0087406D"/>
    <w:rsid w:val="00875F75"/>
    <w:rsid w:val="00876953"/>
    <w:rsid w:val="008769A1"/>
    <w:rsid w:val="00877CA1"/>
    <w:rsid w:val="00880730"/>
    <w:rsid w:val="00880AF8"/>
    <w:rsid w:val="00881014"/>
    <w:rsid w:val="00881C49"/>
    <w:rsid w:val="00882687"/>
    <w:rsid w:val="00882958"/>
    <w:rsid w:val="00882B72"/>
    <w:rsid w:val="0088403C"/>
    <w:rsid w:val="00884C2D"/>
    <w:rsid w:val="00885D9E"/>
    <w:rsid w:val="00886639"/>
    <w:rsid w:val="00887C46"/>
    <w:rsid w:val="008909DA"/>
    <w:rsid w:val="0089117A"/>
    <w:rsid w:val="0089210E"/>
    <w:rsid w:val="00892186"/>
    <w:rsid w:val="008925FC"/>
    <w:rsid w:val="00892A71"/>
    <w:rsid w:val="00892C55"/>
    <w:rsid w:val="008931B4"/>
    <w:rsid w:val="00894367"/>
    <w:rsid w:val="0089671B"/>
    <w:rsid w:val="00897026"/>
    <w:rsid w:val="008A0072"/>
    <w:rsid w:val="008A0FCC"/>
    <w:rsid w:val="008A378C"/>
    <w:rsid w:val="008A3B05"/>
    <w:rsid w:val="008A3FF0"/>
    <w:rsid w:val="008A5F15"/>
    <w:rsid w:val="008A6012"/>
    <w:rsid w:val="008A69BF"/>
    <w:rsid w:val="008A7B1F"/>
    <w:rsid w:val="008B0A6A"/>
    <w:rsid w:val="008B0FC3"/>
    <w:rsid w:val="008B13C9"/>
    <w:rsid w:val="008B14BC"/>
    <w:rsid w:val="008B16BB"/>
    <w:rsid w:val="008B1C00"/>
    <w:rsid w:val="008B1CE2"/>
    <w:rsid w:val="008B2024"/>
    <w:rsid w:val="008B3E87"/>
    <w:rsid w:val="008B3EFE"/>
    <w:rsid w:val="008B47BB"/>
    <w:rsid w:val="008B53B1"/>
    <w:rsid w:val="008B7D59"/>
    <w:rsid w:val="008C01C7"/>
    <w:rsid w:val="008C0553"/>
    <w:rsid w:val="008C0BA4"/>
    <w:rsid w:val="008C1B12"/>
    <w:rsid w:val="008C25A2"/>
    <w:rsid w:val="008C27C9"/>
    <w:rsid w:val="008C3D6D"/>
    <w:rsid w:val="008C4408"/>
    <w:rsid w:val="008C44A3"/>
    <w:rsid w:val="008C4804"/>
    <w:rsid w:val="008C51BC"/>
    <w:rsid w:val="008C5F63"/>
    <w:rsid w:val="008C6CC3"/>
    <w:rsid w:val="008C771B"/>
    <w:rsid w:val="008C78D1"/>
    <w:rsid w:val="008C7D2F"/>
    <w:rsid w:val="008C7F09"/>
    <w:rsid w:val="008D227C"/>
    <w:rsid w:val="008D293A"/>
    <w:rsid w:val="008D2E72"/>
    <w:rsid w:val="008D4A63"/>
    <w:rsid w:val="008D4B8F"/>
    <w:rsid w:val="008D51DC"/>
    <w:rsid w:val="008D70C8"/>
    <w:rsid w:val="008D78A6"/>
    <w:rsid w:val="008D7D39"/>
    <w:rsid w:val="008E121D"/>
    <w:rsid w:val="008E1A1C"/>
    <w:rsid w:val="008E1EC7"/>
    <w:rsid w:val="008E3131"/>
    <w:rsid w:val="008E4875"/>
    <w:rsid w:val="008E5C67"/>
    <w:rsid w:val="008E694D"/>
    <w:rsid w:val="008E699A"/>
    <w:rsid w:val="008E6B2D"/>
    <w:rsid w:val="008F00EB"/>
    <w:rsid w:val="008F14D3"/>
    <w:rsid w:val="008F2322"/>
    <w:rsid w:val="008F2A6B"/>
    <w:rsid w:val="008F2ECE"/>
    <w:rsid w:val="008F486C"/>
    <w:rsid w:val="008F4BA4"/>
    <w:rsid w:val="008F5805"/>
    <w:rsid w:val="008F6FFF"/>
    <w:rsid w:val="008F79EC"/>
    <w:rsid w:val="008F7A9C"/>
    <w:rsid w:val="009008BA"/>
    <w:rsid w:val="00900DC0"/>
    <w:rsid w:val="00901CF1"/>
    <w:rsid w:val="0090311D"/>
    <w:rsid w:val="00903B37"/>
    <w:rsid w:val="009058EA"/>
    <w:rsid w:val="0091026E"/>
    <w:rsid w:val="00911630"/>
    <w:rsid w:val="00912D17"/>
    <w:rsid w:val="00913647"/>
    <w:rsid w:val="00913CA5"/>
    <w:rsid w:val="0091691A"/>
    <w:rsid w:val="00916B23"/>
    <w:rsid w:val="00917C9D"/>
    <w:rsid w:val="00920929"/>
    <w:rsid w:val="0092149C"/>
    <w:rsid w:val="00922035"/>
    <w:rsid w:val="00924DEC"/>
    <w:rsid w:val="009250CB"/>
    <w:rsid w:val="009252F1"/>
    <w:rsid w:val="00930607"/>
    <w:rsid w:val="00930CAF"/>
    <w:rsid w:val="00931F09"/>
    <w:rsid w:val="0093235D"/>
    <w:rsid w:val="0093291C"/>
    <w:rsid w:val="00933895"/>
    <w:rsid w:val="00933AE8"/>
    <w:rsid w:val="00933B0C"/>
    <w:rsid w:val="00935D21"/>
    <w:rsid w:val="00937C05"/>
    <w:rsid w:val="00941E56"/>
    <w:rsid w:val="0094256D"/>
    <w:rsid w:val="00942A55"/>
    <w:rsid w:val="0094544D"/>
    <w:rsid w:val="0094548F"/>
    <w:rsid w:val="00945C9D"/>
    <w:rsid w:val="009500E1"/>
    <w:rsid w:val="00951057"/>
    <w:rsid w:val="009526BE"/>
    <w:rsid w:val="00952915"/>
    <w:rsid w:val="00952B09"/>
    <w:rsid w:val="00952EEC"/>
    <w:rsid w:val="009542E5"/>
    <w:rsid w:val="00954DE8"/>
    <w:rsid w:val="00954EB8"/>
    <w:rsid w:val="009559A3"/>
    <w:rsid w:val="00955E16"/>
    <w:rsid w:val="00955E66"/>
    <w:rsid w:val="0095623D"/>
    <w:rsid w:val="009563D4"/>
    <w:rsid w:val="00956CF1"/>
    <w:rsid w:val="00957762"/>
    <w:rsid w:val="009604E8"/>
    <w:rsid w:val="00960DD1"/>
    <w:rsid w:val="0096170E"/>
    <w:rsid w:val="009617D0"/>
    <w:rsid w:val="009626AE"/>
    <w:rsid w:val="009628AA"/>
    <w:rsid w:val="00962FBB"/>
    <w:rsid w:val="0096314E"/>
    <w:rsid w:val="00963B5B"/>
    <w:rsid w:val="009645E8"/>
    <w:rsid w:val="009665BD"/>
    <w:rsid w:val="009667F3"/>
    <w:rsid w:val="009704A5"/>
    <w:rsid w:val="00972090"/>
    <w:rsid w:val="009720DD"/>
    <w:rsid w:val="00972508"/>
    <w:rsid w:val="009738ED"/>
    <w:rsid w:val="00974977"/>
    <w:rsid w:val="00975C01"/>
    <w:rsid w:val="00975D5A"/>
    <w:rsid w:val="0097757A"/>
    <w:rsid w:val="009804B3"/>
    <w:rsid w:val="009814D3"/>
    <w:rsid w:val="00982AFC"/>
    <w:rsid w:val="00982B80"/>
    <w:rsid w:val="009834F8"/>
    <w:rsid w:val="0098366D"/>
    <w:rsid w:val="00983C55"/>
    <w:rsid w:val="009862C0"/>
    <w:rsid w:val="00987E2F"/>
    <w:rsid w:val="009911BE"/>
    <w:rsid w:val="0099163E"/>
    <w:rsid w:val="00991A18"/>
    <w:rsid w:val="00991B27"/>
    <w:rsid w:val="00991BA3"/>
    <w:rsid w:val="009921F0"/>
    <w:rsid w:val="00993407"/>
    <w:rsid w:val="0099381C"/>
    <w:rsid w:val="00993A3C"/>
    <w:rsid w:val="0099410B"/>
    <w:rsid w:val="00994FDF"/>
    <w:rsid w:val="009956CC"/>
    <w:rsid w:val="00995B83"/>
    <w:rsid w:val="00995C01"/>
    <w:rsid w:val="009965C5"/>
    <w:rsid w:val="0099715F"/>
    <w:rsid w:val="00997B14"/>
    <w:rsid w:val="00997FB0"/>
    <w:rsid w:val="009A0D9C"/>
    <w:rsid w:val="009A0DD7"/>
    <w:rsid w:val="009A191A"/>
    <w:rsid w:val="009A1A23"/>
    <w:rsid w:val="009A25AF"/>
    <w:rsid w:val="009A2C2D"/>
    <w:rsid w:val="009A36D1"/>
    <w:rsid w:val="009A4DB3"/>
    <w:rsid w:val="009A555C"/>
    <w:rsid w:val="009A5C65"/>
    <w:rsid w:val="009A7034"/>
    <w:rsid w:val="009A7BC9"/>
    <w:rsid w:val="009B17DB"/>
    <w:rsid w:val="009B2BD4"/>
    <w:rsid w:val="009B2BF8"/>
    <w:rsid w:val="009B31EE"/>
    <w:rsid w:val="009B3792"/>
    <w:rsid w:val="009B5909"/>
    <w:rsid w:val="009B61E8"/>
    <w:rsid w:val="009B645C"/>
    <w:rsid w:val="009B6C7A"/>
    <w:rsid w:val="009C0077"/>
    <w:rsid w:val="009C1555"/>
    <w:rsid w:val="009C1CEB"/>
    <w:rsid w:val="009C2B88"/>
    <w:rsid w:val="009C3B38"/>
    <w:rsid w:val="009C4452"/>
    <w:rsid w:val="009C47F4"/>
    <w:rsid w:val="009C4A8D"/>
    <w:rsid w:val="009C5911"/>
    <w:rsid w:val="009C75AF"/>
    <w:rsid w:val="009C7A3A"/>
    <w:rsid w:val="009D0161"/>
    <w:rsid w:val="009D3540"/>
    <w:rsid w:val="009D3557"/>
    <w:rsid w:val="009D35D1"/>
    <w:rsid w:val="009D49BB"/>
    <w:rsid w:val="009D54C8"/>
    <w:rsid w:val="009D58D2"/>
    <w:rsid w:val="009D65DB"/>
    <w:rsid w:val="009D7581"/>
    <w:rsid w:val="009D78CD"/>
    <w:rsid w:val="009E2038"/>
    <w:rsid w:val="009E25CB"/>
    <w:rsid w:val="009E3D2E"/>
    <w:rsid w:val="009E4395"/>
    <w:rsid w:val="009E442C"/>
    <w:rsid w:val="009E45AF"/>
    <w:rsid w:val="009E470C"/>
    <w:rsid w:val="009E492D"/>
    <w:rsid w:val="009E4C54"/>
    <w:rsid w:val="009E6B14"/>
    <w:rsid w:val="009E6C8D"/>
    <w:rsid w:val="009E788B"/>
    <w:rsid w:val="009F1786"/>
    <w:rsid w:val="009F2DA4"/>
    <w:rsid w:val="009F3319"/>
    <w:rsid w:val="009F4BC8"/>
    <w:rsid w:val="009F52C6"/>
    <w:rsid w:val="009F5D72"/>
    <w:rsid w:val="009F5F3F"/>
    <w:rsid w:val="009F619E"/>
    <w:rsid w:val="009F66B9"/>
    <w:rsid w:val="009F77A1"/>
    <w:rsid w:val="009F7948"/>
    <w:rsid w:val="00A02542"/>
    <w:rsid w:val="00A04375"/>
    <w:rsid w:val="00A05072"/>
    <w:rsid w:val="00A0614F"/>
    <w:rsid w:val="00A07E9D"/>
    <w:rsid w:val="00A1094F"/>
    <w:rsid w:val="00A10987"/>
    <w:rsid w:val="00A10FE5"/>
    <w:rsid w:val="00A11896"/>
    <w:rsid w:val="00A1204C"/>
    <w:rsid w:val="00A12251"/>
    <w:rsid w:val="00A1228C"/>
    <w:rsid w:val="00A142B3"/>
    <w:rsid w:val="00A1512B"/>
    <w:rsid w:val="00A151BE"/>
    <w:rsid w:val="00A17D67"/>
    <w:rsid w:val="00A201AF"/>
    <w:rsid w:val="00A216CC"/>
    <w:rsid w:val="00A21948"/>
    <w:rsid w:val="00A223FB"/>
    <w:rsid w:val="00A22C50"/>
    <w:rsid w:val="00A24722"/>
    <w:rsid w:val="00A2594C"/>
    <w:rsid w:val="00A27670"/>
    <w:rsid w:val="00A31EE0"/>
    <w:rsid w:val="00A331AA"/>
    <w:rsid w:val="00A336FD"/>
    <w:rsid w:val="00A33EFE"/>
    <w:rsid w:val="00A3402C"/>
    <w:rsid w:val="00A34E84"/>
    <w:rsid w:val="00A34ED7"/>
    <w:rsid w:val="00A36685"/>
    <w:rsid w:val="00A37082"/>
    <w:rsid w:val="00A3735E"/>
    <w:rsid w:val="00A3752A"/>
    <w:rsid w:val="00A3794F"/>
    <w:rsid w:val="00A406C7"/>
    <w:rsid w:val="00A418AA"/>
    <w:rsid w:val="00A42292"/>
    <w:rsid w:val="00A43442"/>
    <w:rsid w:val="00A441D1"/>
    <w:rsid w:val="00A46819"/>
    <w:rsid w:val="00A46A8C"/>
    <w:rsid w:val="00A46B18"/>
    <w:rsid w:val="00A473D4"/>
    <w:rsid w:val="00A50FE4"/>
    <w:rsid w:val="00A52741"/>
    <w:rsid w:val="00A52E2F"/>
    <w:rsid w:val="00A52E3D"/>
    <w:rsid w:val="00A52EA9"/>
    <w:rsid w:val="00A549B9"/>
    <w:rsid w:val="00A5574F"/>
    <w:rsid w:val="00A603F3"/>
    <w:rsid w:val="00A606A0"/>
    <w:rsid w:val="00A60939"/>
    <w:rsid w:val="00A6131D"/>
    <w:rsid w:val="00A6149C"/>
    <w:rsid w:val="00A61624"/>
    <w:rsid w:val="00A621CF"/>
    <w:rsid w:val="00A63D21"/>
    <w:rsid w:val="00A64B92"/>
    <w:rsid w:val="00A661A0"/>
    <w:rsid w:val="00A6718F"/>
    <w:rsid w:val="00A675D9"/>
    <w:rsid w:val="00A67956"/>
    <w:rsid w:val="00A67A72"/>
    <w:rsid w:val="00A712B7"/>
    <w:rsid w:val="00A7165C"/>
    <w:rsid w:val="00A7275A"/>
    <w:rsid w:val="00A73140"/>
    <w:rsid w:val="00A731D5"/>
    <w:rsid w:val="00A7423A"/>
    <w:rsid w:val="00A759E4"/>
    <w:rsid w:val="00A800BD"/>
    <w:rsid w:val="00A807A1"/>
    <w:rsid w:val="00A8171F"/>
    <w:rsid w:val="00A81CBC"/>
    <w:rsid w:val="00A81DC8"/>
    <w:rsid w:val="00A8206A"/>
    <w:rsid w:val="00A82922"/>
    <w:rsid w:val="00A8367B"/>
    <w:rsid w:val="00A843CA"/>
    <w:rsid w:val="00A85704"/>
    <w:rsid w:val="00A867A0"/>
    <w:rsid w:val="00A870C7"/>
    <w:rsid w:val="00A876E6"/>
    <w:rsid w:val="00A87B9A"/>
    <w:rsid w:val="00A90B38"/>
    <w:rsid w:val="00A921A0"/>
    <w:rsid w:val="00A9362F"/>
    <w:rsid w:val="00A93928"/>
    <w:rsid w:val="00A94655"/>
    <w:rsid w:val="00A95F23"/>
    <w:rsid w:val="00A960ED"/>
    <w:rsid w:val="00A9651A"/>
    <w:rsid w:val="00A9778D"/>
    <w:rsid w:val="00AA3B8E"/>
    <w:rsid w:val="00AA42B6"/>
    <w:rsid w:val="00AA438D"/>
    <w:rsid w:val="00AA4F9E"/>
    <w:rsid w:val="00AA53CB"/>
    <w:rsid w:val="00AB054C"/>
    <w:rsid w:val="00AB07D7"/>
    <w:rsid w:val="00AB1F8F"/>
    <w:rsid w:val="00AB4001"/>
    <w:rsid w:val="00AB5BF7"/>
    <w:rsid w:val="00AB65E9"/>
    <w:rsid w:val="00AB6F80"/>
    <w:rsid w:val="00AB7FB3"/>
    <w:rsid w:val="00AC0F5E"/>
    <w:rsid w:val="00AC196A"/>
    <w:rsid w:val="00AC1B97"/>
    <w:rsid w:val="00AC2497"/>
    <w:rsid w:val="00AC258E"/>
    <w:rsid w:val="00AC3AEE"/>
    <w:rsid w:val="00AC41B6"/>
    <w:rsid w:val="00AC6B9A"/>
    <w:rsid w:val="00AC77E3"/>
    <w:rsid w:val="00AD0441"/>
    <w:rsid w:val="00AD0A45"/>
    <w:rsid w:val="00AD2990"/>
    <w:rsid w:val="00AD4713"/>
    <w:rsid w:val="00AD4951"/>
    <w:rsid w:val="00AD4CA8"/>
    <w:rsid w:val="00AD5C2C"/>
    <w:rsid w:val="00AD61AC"/>
    <w:rsid w:val="00AD6B8A"/>
    <w:rsid w:val="00AD72FA"/>
    <w:rsid w:val="00AE09FB"/>
    <w:rsid w:val="00AE140E"/>
    <w:rsid w:val="00AE192E"/>
    <w:rsid w:val="00AE1FD2"/>
    <w:rsid w:val="00AE2130"/>
    <w:rsid w:val="00AE244C"/>
    <w:rsid w:val="00AE2AE7"/>
    <w:rsid w:val="00AE3389"/>
    <w:rsid w:val="00AE3715"/>
    <w:rsid w:val="00AE3D60"/>
    <w:rsid w:val="00AE419A"/>
    <w:rsid w:val="00AE5949"/>
    <w:rsid w:val="00AE5C56"/>
    <w:rsid w:val="00AE6950"/>
    <w:rsid w:val="00AE7642"/>
    <w:rsid w:val="00AF1338"/>
    <w:rsid w:val="00AF1B8C"/>
    <w:rsid w:val="00AF211C"/>
    <w:rsid w:val="00AF2272"/>
    <w:rsid w:val="00AF2802"/>
    <w:rsid w:val="00AF3559"/>
    <w:rsid w:val="00AF4F08"/>
    <w:rsid w:val="00AF4F9F"/>
    <w:rsid w:val="00AF547E"/>
    <w:rsid w:val="00AF5B5B"/>
    <w:rsid w:val="00AF6882"/>
    <w:rsid w:val="00AF6922"/>
    <w:rsid w:val="00AF73B9"/>
    <w:rsid w:val="00AF75C9"/>
    <w:rsid w:val="00AF7D59"/>
    <w:rsid w:val="00B01C1C"/>
    <w:rsid w:val="00B02FBA"/>
    <w:rsid w:val="00B056A8"/>
    <w:rsid w:val="00B05D88"/>
    <w:rsid w:val="00B06DEE"/>
    <w:rsid w:val="00B06FC4"/>
    <w:rsid w:val="00B074B2"/>
    <w:rsid w:val="00B07F4F"/>
    <w:rsid w:val="00B111AF"/>
    <w:rsid w:val="00B1127E"/>
    <w:rsid w:val="00B129D2"/>
    <w:rsid w:val="00B13BCF"/>
    <w:rsid w:val="00B14E5F"/>
    <w:rsid w:val="00B15ECD"/>
    <w:rsid w:val="00B160B6"/>
    <w:rsid w:val="00B17F00"/>
    <w:rsid w:val="00B20EE8"/>
    <w:rsid w:val="00B212B8"/>
    <w:rsid w:val="00B21A94"/>
    <w:rsid w:val="00B21FF9"/>
    <w:rsid w:val="00B2415C"/>
    <w:rsid w:val="00B24195"/>
    <w:rsid w:val="00B247E0"/>
    <w:rsid w:val="00B24F8E"/>
    <w:rsid w:val="00B25746"/>
    <w:rsid w:val="00B27245"/>
    <w:rsid w:val="00B272AE"/>
    <w:rsid w:val="00B27F3D"/>
    <w:rsid w:val="00B30E5F"/>
    <w:rsid w:val="00B32AAB"/>
    <w:rsid w:val="00B33B45"/>
    <w:rsid w:val="00B33E5E"/>
    <w:rsid w:val="00B3471B"/>
    <w:rsid w:val="00B374B1"/>
    <w:rsid w:val="00B37DC7"/>
    <w:rsid w:val="00B42B03"/>
    <w:rsid w:val="00B43A51"/>
    <w:rsid w:val="00B443C8"/>
    <w:rsid w:val="00B5066A"/>
    <w:rsid w:val="00B520D1"/>
    <w:rsid w:val="00B5233B"/>
    <w:rsid w:val="00B525A2"/>
    <w:rsid w:val="00B529C6"/>
    <w:rsid w:val="00B536AF"/>
    <w:rsid w:val="00B536FE"/>
    <w:rsid w:val="00B53B42"/>
    <w:rsid w:val="00B54359"/>
    <w:rsid w:val="00B5543B"/>
    <w:rsid w:val="00B563EC"/>
    <w:rsid w:val="00B56ED6"/>
    <w:rsid w:val="00B5731E"/>
    <w:rsid w:val="00B57349"/>
    <w:rsid w:val="00B57DB6"/>
    <w:rsid w:val="00B60501"/>
    <w:rsid w:val="00B619A3"/>
    <w:rsid w:val="00B6336D"/>
    <w:rsid w:val="00B6452E"/>
    <w:rsid w:val="00B65E6C"/>
    <w:rsid w:val="00B66047"/>
    <w:rsid w:val="00B701A5"/>
    <w:rsid w:val="00B71805"/>
    <w:rsid w:val="00B7182C"/>
    <w:rsid w:val="00B71C96"/>
    <w:rsid w:val="00B720B1"/>
    <w:rsid w:val="00B767D2"/>
    <w:rsid w:val="00B805DF"/>
    <w:rsid w:val="00B811AD"/>
    <w:rsid w:val="00B815E9"/>
    <w:rsid w:val="00B81658"/>
    <w:rsid w:val="00B81A4F"/>
    <w:rsid w:val="00B82494"/>
    <w:rsid w:val="00B827FC"/>
    <w:rsid w:val="00B9114E"/>
    <w:rsid w:val="00B912A8"/>
    <w:rsid w:val="00B93D40"/>
    <w:rsid w:val="00B957CE"/>
    <w:rsid w:val="00B9664E"/>
    <w:rsid w:val="00B97E6A"/>
    <w:rsid w:val="00BA181D"/>
    <w:rsid w:val="00BA1CF3"/>
    <w:rsid w:val="00BA2804"/>
    <w:rsid w:val="00BA28EF"/>
    <w:rsid w:val="00BA2FE6"/>
    <w:rsid w:val="00BA3240"/>
    <w:rsid w:val="00BA35D8"/>
    <w:rsid w:val="00BA3753"/>
    <w:rsid w:val="00BA511D"/>
    <w:rsid w:val="00BA5BFA"/>
    <w:rsid w:val="00BA615C"/>
    <w:rsid w:val="00BA64E2"/>
    <w:rsid w:val="00BA7550"/>
    <w:rsid w:val="00BA7BFB"/>
    <w:rsid w:val="00BA7F77"/>
    <w:rsid w:val="00BB3796"/>
    <w:rsid w:val="00BB467E"/>
    <w:rsid w:val="00BB5118"/>
    <w:rsid w:val="00BB5B95"/>
    <w:rsid w:val="00BB5ECF"/>
    <w:rsid w:val="00BB7178"/>
    <w:rsid w:val="00BB7611"/>
    <w:rsid w:val="00BB7900"/>
    <w:rsid w:val="00BC0EDF"/>
    <w:rsid w:val="00BC1092"/>
    <w:rsid w:val="00BC13A8"/>
    <w:rsid w:val="00BC53DD"/>
    <w:rsid w:val="00BC550D"/>
    <w:rsid w:val="00BC602B"/>
    <w:rsid w:val="00BC6688"/>
    <w:rsid w:val="00BD1B8F"/>
    <w:rsid w:val="00BD25B1"/>
    <w:rsid w:val="00BD279F"/>
    <w:rsid w:val="00BD54BE"/>
    <w:rsid w:val="00BD5DCD"/>
    <w:rsid w:val="00BD697E"/>
    <w:rsid w:val="00BE015F"/>
    <w:rsid w:val="00BE38FC"/>
    <w:rsid w:val="00BE3CAC"/>
    <w:rsid w:val="00BE3F11"/>
    <w:rsid w:val="00BE405A"/>
    <w:rsid w:val="00BE46DE"/>
    <w:rsid w:val="00BE4CB9"/>
    <w:rsid w:val="00BE5284"/>
    <w:rsid w:val="00BE66FF"/>
    <w:rsid w:val="00BE7255"/>
    <w:rsid w:val="00BE79F5"/>
    <w:rsid w:val="00BF0A6B"/>
    <w:rsid w:val="00BF1AF2"/>
    <w:rsid w:val="00BF1D58"/>
    <w:rsid w:val="00BF1DDF"/>
    <w:rsid w:val="00BF2346"/>
    <w:rsid w:val="00BF30B5"/>
    <w:rsid w:val="00BF4483"/>
    <w:rsid w:val="00BF7D13"/>
    <w:rsid w:val="00C00FC4"/>
    <w:rsid w:val="00C0260E"/>
    <w:rsid w:val="00C0278B"/>
    <w:rsid w:val="00C0567C"/>
    <w:rsid w:val="00C05E9A"/>
    <w:rsid w:val="00C06697"/>
    <w:rsid w:val="00C0711D"/>
    <w:rsid w:val="00C078FC"/>
    <w:rsid w:val="00C07950"/>
    <w:rsid w:val="00C11D29"/>
    <w:rsid w:val="00C12821"/>
    <w:rsid w:val="00C13B28"/>
    <w:rsid w:val="00C162BB"/>
    <w:rsid w:val="00C1654C"/>
    <w:rsid w:val="00C21D31"/>
    <w:rsid w:val="00C21F7D"/>
    <w:rsid w:val="00C223CE"/>
    <w:rsid w:val="00C224B2"/>
    <w:rsid w:val="00C22FC6"/>
    <w:rsid w:val="00C24B7A"/>
    <w:rsid w:val="00C24CB6"/>
    <w:rsid w:val="00C26D5A"/>
    <w:rsid w:val="00C26FA1"/>
    <w:rsid w:val="00C271FA"/>
    <w:rsid w:val="00C30082"/>
    <w:rsid w:val="00C307FF"/>
    <w:rsid w:val="00C30F85"/>
    <w:rsid w:val="00C310D2"/>
    <w:rsid w:val="00C3165A"/>
    <w:rsid w:val="00C3211B"/>
    <w:rsid w:val="00C325C5"/>
    <w:rsid w:val="00C32885"/>
    <w:rsid w:val="00C32DDF"/>
    <w:rsid w:val="00C33495"/>
    <w:rsid w:val="00C334F4"/>
    <w:rsid w:val="00C33A44"/>
    <w:rsid w:val="00C340D9"/>
    <w:rsid w:val="00C34D78"/>
    <w:rsid w:val="00C356E0"/>
    <w:rsid w:val="00C35CB0"/>
    <w:rsid w:val="00C36B6D"/>
    <w:rsid w:val="00C36BC1"/>
    <w:rsid w:val="00C3775F"/>
    <w:rsid w:val="00C377AB"/>
    <w:rsid w:val="00C402D9"/>
    <w:rsid w:val="00C40605"/>
    <w:rsid w:val="00C4087A"/>
    <w:rsid w:val="00C4111C"/>
    <w:rsid w:val="00C42485"/>
    <w:rsid w:val="00C426DE"/>
    <w:rsid w:val="00C42D48"/>
    <w:rsid w:val="00C45195"/>
    <w:rsid w:val="00C457AD"/>
    <w:rsid w:val="00C466C1"/>
    <w:rsid w:val="00C46DDF"/>
    <w:rsid w:val="00C47D9C"/>
    <w:rsid w:val="00C502BE"/>
    <w:rsid w:val="00C5053C"/>
    <w:rsid w:val="00C507DF"/>
    <w:rsid w:val="00C50BB1"/>
    <w:rsid w:val="00C511D8"/>
    <w:rsid w:val="00C52AE2"/>
    <w:rsid w:val="00C52CE2"/>
    <w:rsid w:val="00C54571"/>
    <w:rsid w:val="00C54596"/>
    <w:rsid w:val="00C55C86"/>
    <w:rsid w:val="00C55F21"/>
    <w:rsid w:val="00C5614C"/>
    <w:rsid w:val="00C56D3B"/>
    <w:rsid w:val="00C57BE7"/>
    <w:rsid w:val="00C57FEE"/>
    <w:rsid w:val="00C61202"/>
    <w:rsid w:val="00C6127B"/>
    <w:rsid w:val="00C619B2"/>
    <w:rsid w:val="00C6212D"/>
    <w:rsid w:val="00C62A2D"/>
    <w:rsid w:val="00C64834"/>
    <w:rsid w:val="00C64E0A"/>
    <w:rsid w:val="00C65729"/>
    <w:rsid w:val="00C663A0"/>
    <w:rsid w:val="00C7026E"/>
    <w:rsid w:val="00C703AD"/>
    <w:rsid w:val="00C71A5F"/>
    <w:rsid w:val="00C72B07"/>
    <w:rsid w:val="00C73171"/>
    <w:rsid w:val="00C7393D"/>
    <w:rsid w:val="00C73D25"/>
    <w:rsid w:val="00C74016"/>
    <w:rsid w:val="00C7409B"/>
    <w:rsid w:val="00C76307"/>
    <w:rsid w:val="00C76544"/>
    <w:rsid w:val="00C77358"/>
    <w:rsid w:val="00C77896"/>
    <w:rsid w:val="00C77FFE"/>
    <w:rsid w:val="00C80D1B"/>
    <w:rsid w:val="00C81328"/>
    <w:rsid w:val="00C83A7B"/>
    <w:rsid w:val="00C8421B"/>
    <w:rsid w:val="00C84CFA"/>
    <w:rsid w:val="00C85C8C"/>
    <w:rsid w:val="00C86FD9"/>
    <w:rsid w:val="00C8733B"/>
    <w:rsid w:val="00C91EBD"/>
    <w:rsid w:val="00C92198"/>
    <w:rsid w:val="00C92662"/>
    <w:rsid w:val="00C926DA"/>
    <w:rsid w:val="00C94097"/>
    <w:rsid w:val="00C96563"/>
    <w:rsid w:val="00C96C75"/>
    <w:rsid w:val="00C97982"/>
    <w:rsid w:val="00CA1AD6"/>
    <w:rsid w:val="00CA1CA0"/>
    <w:rsid w:val="00CA20A1"/>
    <w:rsid w:val="00CA2CCA"/>
    <w:rsid w:val="00CA38B6"/>
    <w:rsid w:val="00CA4830"/>
    <w:rsid w:val="00CA4862"/>
    <w:rsid w:val="00CA5B20"/>
    <w:rsid w:val="00CA623D"/>
    <w:rsid w:val="00CA6B44"/>
    <w:rsid w:val="00CA737D"/>
    <w:rsid w:val="00CA79B6"/>
    <w:rsid w:val="00CB0DEB"/>
    <w:rsid w:val="00CB1F3F"/>
    <w:rsid w:val="00CB2C1C"/>
    <w:rsid w:val="00CB2D1D"/>
    <w:rsid w:val="00CB311D"/>
    <w:rsid w:val="00CB4178"/>
    <w:rsid w:val="00CB50DB"/>
    <w:rsid w:val="00CB52FB"/>
    <w:rsid w:val="00CB798F"/>
    <w:rsid w:val="00CB7EAD"/>
    <w:rsid w:val="00CC0C5E"/>
    <w:rsid w:val="00CC15F3"/>
    <w:rsid w:val="00CC192A"/>
    <w:rsid w:val="00CC4518"/>
    <w:rsid w:val="00CC4FF0"/>
    <w:rsid w:val="00CC74CD"/>
    <w:rsid w:val="00CC7623"/>
    <w:rsid w:val="00CC7D42"/>
    <w:rsid w:val="00CD048D"/>
    <w:rsid w:val="00CD0802"/>
    <w:rsid w:val="00CD24B0"/>
    <w:rsid w:val="00CD2B7A"/>
    <w:rsid w:val="00CD3602"/>
    <w:rsid w:val="00CD3909"/>
    <w:rsid w:val="00CD4B1E"/>
    <w:rsid w:val="00CD542B"/>
    <w:rsid w:val="00CD6166"/>
    <w:rsid w:val="00CD66C5"/>
    <w:rsid w:val="00CE011B"/>
    <w:rsid w:val="00CE0191"/>
    <w:rsid w:val="00CE0993"/>
    <w:rsid w:val="00CE1ADC"/>
    <w:rsid w:val="00CE1C6B"/>
    <w:rsid w:val="00CE2A1C"/>
    <w:rsid w:val="00CE422F"/>
    <w:rsid w:val="00CE4B25"/>
    <w:rsid w:val="00CE4DBF"/>
    <w:rsid w:val="00CF0045"/>
    <w:rsid w:val="00CF0766"/>
    <w:rsid w:val="00CF12A2"/>
    <w:rsid w:val="00CF1505"/>
    <w:rsid w:val="00CF17B2"/>
    <w:rsid w:val="00CF245C"/>
    <w:rsid w:val="00CF24A6"/>
    <w:rsid w:val="00CF3A72"/>
    <w:rsid w:val="00CF3E8F"/>
    <w:rsid w:val="00CF451B"/>
    <w:rsid w:val="00CF6365"/>
    <w:rsid w:val="00CF71F1"/>
    <w:rsid w:val="00D004D5"/>
    <w:rsid w:val="00D00719"/>
    <w:rsid w:val="00D0197B"/>
    <w:rsid w:val="00D0227D"/>
    <w:rsid w:val="00D027A1"/>
    <w:rsid w:val="00D03A79"/>
    <w:rsid w:val="00D03EA6"/>
    <w:rsid w:val="00D042ED"/>
    <w:rsid w:val="00D0518A"/>
    <w:rsid w:val="00D06B28"/>
    <w:rsid w:val="00D06B60"/>
    <w:rsid w:val="00D07492"/>
    <w:rsid w:val="00D10303"/>
    <w:rsid w:val="00D112C8"/>
    <w:rsid w:val="00D1171B"/>
    <w:rsid w:val="00D118A0"/>
    <w:rsid w:val="00D11AC2"/>
    <w:rsid w:val="00D12D35"/>
    <w:rsid w:val="00D137AB"/>
    <w:rsid w:val="00D13CE1"/>
    <w:rsid w:val="00D14422"/>
    <w:rsid w:val="00D1521D"/>
    <w:rsid w:val="00D163FE"/>
    <w:rsid w:val="00D16804"/>
    <w:rsid w:val="00D16B69"/>
    <w:rsid w:val="00D16E54"/>
    <w:rsid w:val="00D21A9C"/>
    <w:rsid w:val="00D21F0E"/>
    <w:rsid w:val="00D26DE8"/>
    <w:rsid w:val="00D31F39"/>
    <w:rsid w:val="00D33757"/>
    <w:rsid w:val="00D34C16"/>
    <w:rsid w:val="00D35F2A"/>
    <w:rsid w:val="00D40B71"/>
    <w:rsid w:val="00D40BCA"/>
    <w:rsid w:val="00D41359"/>
    <w:rsid w:val="00D41CB7"/>
    <w:rsid w:val="00D436F4"/>
    <w:rsid w:val="00D437E6"/>
    <w:rsid w:val="00D4391E"/>
    <w:rsid w:val="00D43F74"/>
    <w:rsid w:val="00D4428E"/>
    <w:rsid w:val="00D455F7"/>
    <w:rsid w:val="00D457B4"/>
    <w:rsid w:val="00D45DD8"/>
    <w:rsid w:val="00D5025A"/>
    <w:rsid w:val="00D52690"/>
    <w:rsid w:val="00D53565"/>
    <w:rsid w:val="00D53982"/>
    <w:rsid w:val="00D54A5F"/>
    <w:rsid w:val="00D54A94"/>
    <w:rsid w:val="00D54D19"/>
    <w:rsid w:val="00D553A2"/>
    <w:rsid w:val="00D56C35"/>
    <w:rsid w:val="00D56DA1"/>
    <w:rsid w:val="00D575D2"/>
    <w:rsid w:val="00D6028C"/>
    <w:rsid w:val="00D60375"/>
    <w:rsid w:val="00D61BDA"/>
    <w:rsid w:val="00D61D2F"/>
    <w:rsid w:val="00D62E45"/>
    <w:rsid w:val="00D632C5"/>
    <w:rsid w:val="00D641CB"/>
    <w:rsid w:val="00D655F6"/>
    <w:rsid w:val="00D65C3E"/>
    <w:rsid w:val="00D65EA4"/>
    <w:rsid w:val="00D668F7"/>
    <w:rsid w:val="00D7006F"/>
    <w:rsid w:val="00D71CF1"/>
    <w:rsid w:val="00D73436"/>
    <w:rsid w:val="00D73C78"/>
    <w:rsid w:val="00D7412E"/>
    <w:rsid w:val="00D743E0"/>
    <w:rsid w:val="00D74975"/>
    <w:rsid w:val="00D77D88"/>
    <w:rsid w:val="00D82F3A"/>
    <w:rsid w:val="00D8372A"/>
    <w:rsid w:val="00D838BC"/>
    <w:rsid w:val="00D83A04"/>
    <w:rsid w:val="00D83D39"/>
    <w:rsid w:val="00D843B7"/>
    <w:rsid w:val="00D8464E"/>
    <w:rsid w:val="00D84E2D"/>
    <w:rsid w:val="00D8766F"/>
    <w:rsid w:val="00D9009C"/>
    <w:rsid w:val="00D900FE"/>
    <w:rsid w:val="00D90187"/>
    <w:rsid w:val="00D92035"/>
    <w:rsid w:val="00D928E0"/>
    <w:rsid w:val="00D9531A"/>
    <w:rsid w:val="00D95783"/>
    <w:rsid w:val="00D95DC0"/>
    <w:rsid w:val="00D96363"/>
    <w:rsid w:val="00D9691B"/>
    <w:rsid w:val="00D97640"/>
    <w:rsid w:val="00DA0B33"/>
    <w:rsid w:val="00DA1F0F"/>
    <w:rsid w:val="00DA1FFE"/>
    <w:rsid w:val="00DA363B"/>
    <w:rsid w:val="00DA4286"/>
    <w:rsid w:val="00DA495E"/>
    <w:rsid w:val="00DA5346"/>
    <w:rsid w:val="00DA74EC"/>
    <w:rsid w:val="00DA792C"/>
    <w:rsid w:val="00DB0A7E"/>
    <w:rsid w:val="00DB1A71"/>
    <w:rsid w:val="00DB2D72"/>
    <w:rsid w:val="00DB390D"/>
    <w:rsid w:val="00DB3B85"/>
    <w:rsid w:val="00DB4818"/>
    <w:rsid w:val="00DB4BBB"/>
    <w:rsid w:val="00DB5A04"/>
    <w:rsid w:val="00DB60BD"/>
    <w:rsid w:val="00DB791E"/>
    <w:rsid w:val="00DC12D7"/>
    <w:rsid w:val="00DC1848"/>
    <w:rsid w:val="00DC2C1F"/>
    <w:rsid w:val="00DC30C8"/>
    <w:rsid w:val="00DC33FB"/>
    <w:rsid w:val="00DC5896"/>
    <w:rsid w:val="00DC650B"/>
    <w:rsid w:val="00DC6BD8"/>
    <w:rsid w:val="00DC6BDD"/>
    <w:rsid w:val="00DC78F0"/>
    <w:rsid w:val="00DC7913"/>
    <w:rsid w:val="00DD038F"/>
    <w:rsid w:val="00DD0F61"/>
    <w:rsid w:val="00DD157F"/>
    <w:rsid w:val="00DD158B"/>
    <w:rsid w:val="00DD281B"/>
    <w:rsid w:val="00DD3C69"/>
    <w:rsid w:val="00DD3D42"/>
    <w:rsid w:val="00DD4446"/>
    <w:rsid w:val="00DD49C8"/>
    <w:rsid w:val="00DD5A2B"/>
    <w:rsid w:val="00DD62CE"/>
    <w:rsid w:val="00DD6934"/>
    <w:rsid w:val="00DD704D"/>
    <w:rsid w:val="00DD760D"/>
    <w:rsid w:val="00DD7985"/>
    <w:rsid w:val="00DD7B34"/>
    <w:rsid w:val="00DD7C0B"/>
    <w:rsid w:val="00DD7D00"/>
    <w:rsid w:val="00DD7E06"/>
    <w:rsid w:val="00DE0867"/>
    <w:rsid w:val="00DE0D7A"/>
    <w:rsid w:val="00DE5A15"/>
    <w:rsid w:val="00DE5DB4"/>
    <w:rsid w:val="00DE6408"/>
    <w:rsid w:val="00DE6D14"/>
    <w:rsid w:val="00DE75FC"/>
    <w:rsid w:val="00DF2E9F"/>
    <w:rsid w:val="00DF30B1"/>
    <w:rsid w:val="00DF3D2D"/>
    <w:rsid w:val="00DF4249"/>
    <w:rsid w:val="00DF4471"/>
    <w:rsid w:val="00DF4ED9"/>
    <w:rsid w:val="00DF727A"/>
    <w:rsid w:val="00DF727D"/>
    <w:rsid w:val="00DF7A4E"/>
    <w:rsid w:val="00E021E0"/>
    <w:rsid w:val="00E023F6"/>
    <w:rsid w:val="00E027B1"/>
    <w:rsid w:val="00E0346B"/>
    <w:rsid w:val="00E03A0F"/>
    <w:rsid w:val="00E05177"/>
    <w:rsid w:val="00E073D6"/>
    <w:rsid w:val="00E1009E"/>
    <w:rsid w:val="00E11A0A"/>
    <w:rsid w:val="00E121F5"/>
    <w:rsid w:val="00E12377"/>
    <w:rsid w:val="00E124C9"/>
    <w:rsid w:val="00E12600"/>
    <w:rsid w:val="00E12798"/>
    <w:rsid w:val="00E134BD"/>
    <w:rsid w:val="00E13FE1"/>
    <w:rsid w:val="00E15409"/>
    <w:rsid w:val="00E164EE"/>
    <w:rsid w:val="00E16C83"/>
    <w:rsid w:val="00E1710A"/>
    <w:rsid w:val="00E174F5"/>
    <w:rsid w:val="00E203B0"/>
    <w:rsid w:val="00E20FF3"/>
    <w:rsid w:val="00E218E7"/>
    <w:rsid w:val="00E2237B"/>
    <w:rsid w:val="00E2320E"/>
    <w:rsid w:val="00E2388C"/>
    <w:rsid w:val="00E23A75"/>
    <w:rsid w:val="00E25119"/>
    <w:rsid w:val="00E252A8"/>
    <w:rsid w:val="00E26388"/>
    <w:rsid w:val="00E267FB"/>
    <w:rsid w:val="00E26A02"/>
    <w:rsid w:val="00E271B2"/>
    <w:rsid w:val="00E27537"/>
    <w:rsid w:val="00E27584"/>
    <w:rsid w:val="00E2770D"/>
    <w:rsid w:val="00E27E17"/>
    <w:rsid w:val="00E3000F"/>
    <w:rsid w:val="00E30465"/>
    <w:rsid w:val="00E3119A"/>
    <w:rsid w:val="00E31FC7"/>
    <w:rsid w:val="00E32872"/>
    <w:rsid w:val="00E36D5E"/>
    <w:rsid w:val="00E37225"/>
    <w:rsid w:val="00E400AC"/>
    <w:rsid w:val="00E40165"/>
    <w:rsid w:val="00E40D4E"/>
    <w:rsid w:val="00E4201E"/>
    <w:rsid w:val="00E42DF1"/>
    <w:rsid w:val="00E43399"/>
    <w:rsid w:val="00E4435F"/>
    <w:rsid w:val="00E47A42"/>
    <w:rsid w:val="00E50C85"/>
    <w:rsid w:val="00E51A41"/>
    <w:rsid w:val="00E520E3"/>
    <w:rsid w:val="00E52639"/>
    <w:rsid w:val="00E53CB7"/>
    <w:rsid w:val="00E53DF8"/>
    <w:rsid w:val="00E551A1"/>
    <w:rsid w:val="00E56D95"/>
    <w:rsid w:val="00E57461"/>
    <w:rsid w:val="00E574B6"/>
    <w:rsid w:val="00E6017F"/>
    <w:rsid w:val="00E60BBC"/>
    <w:rsid w:val="00E63044"/>
    <w:rsid w:val="00E63633"/>
    <w:rsid w:val="00E6390D"/>
    <w:rsid w:val="00E63BF1"/>
    <w:rsid w:val="00E662F6"/>
    <w:rsid w:val="00E66836"/>
    <w:rsid w:val="00E67667"/>
    <w:rsid w:val="00E709EC"/>
    <w:rsid w:val="00E70BD4"/>
    <w:rsid w:val="00E70DA7"/>
    <w:rsid w:val="00E71EC7"/>
    <w:rsid w:val="00E72764"/>
    <w:rsid w:val="00E72883"/>
    <w:rsid w:val="00E733F7"/>
    <w:rsid w:val="00E7398D"/>
    <w:rsid w:val="00E73BF7"/>
    <w:rsid w:val="00E74618"/>
    <w:rsid w:val="00E74F6D"/>
    <w:rsid w:val="00E765A2"/>
    <w:rsid w:val="00E76E11"/>
    <w:rsid w:val="00E800C9"/>
    <w:rsid w:val="00E80280"/>
    <w:rsid w:val="00E80E1C"/>
    <w:rsid w:val="00E811F5"/>
    <w:rsid w:val="00E82889"/>
    <w:rsid w:val="00E82B43"/>
    <w:rsid w:val="00E83125"/>
    <w:rsid w:val="00E83D3B"/>
    <w:rsid w:val="00E84538"/>
    <w:rsid w:val="00E8454A"/>
    <w:rsid w:val="00E8570F"/>
    <w:rsid w:val="00E868DF"/>
    <w:rsid w:val="00E876A6"/>
    <w:rsid w:val="00E8798B"/>
    <w:rsid w:val="00E9126C"/>
    <w:rsid w:val="00E91816"/>
    <w:rsid w:val="00E9452F"/>
    <w:rsid w:val="00E948C0"/>
    <w:rsid w:val="00E95DFB"/>
    <w:rsid w:val="00E96AC3"/>
    <w:rsid w:val="00E96E2F"/>
    <w:rsid w:val="00E976E0"/>
    <w:rsid w:val="00E97A0A"/>
    <w:rsid w:val="00E97C19"/>
    <w:rsid w:val="00E97ED3"/>
    <w:rsid w:val="00EA0329"/>
    <w:rsid w:val="00EA1A77"/>
    <w:rsid w:val="00EA3160"/>
    <w:rsid w:val="00EA342D"/>
    <w:rsid w:val="00EA3546"/>
    <w:rsid w:val="00EA473D"/>
    <w:rsid w:val="00EA53EA"/>
    <w:rsid w:val="00EA5416"/>
    <w:rsid w:val="00EA568B"/>
    <w:rsid w:val="00EA56C2"/>
    <w:rsid w:val="00EA5848"/>
    <w:rsid w:val="00EA58B8"/>
    <w:rsid w:val="00EA6E36"/>
    <w:rsid w:val="00EA72E4"/>
    <w:rsid w:val="00EA747B"/>
    <w:rsid w:val="00EB1112"/>
    <w:rsid w:val="00EB1CF1"/>
    <w:rsid w:val="00EB4C87"/>
    <w:rsid w:val="00EB65A9"/>
    <w:rsid w:val="00EB7281"/>
    <w:rsid w:val="00EB7574"/>
    <w:rsid w:val="00EC0999"/>
    <w:rsid w:val="00EC1B6F"/>
    <w:rsid w:val="00EC2709"/>
    <w:rsid w:val="00EC27FF"/>
    <w:rsid w:val="00EC2B07"/>
    <w:rsid w:val="00EC3258"/>
    <w:rsid w:val="00EC3D05"/>
    <w:rsid w:val="00EC3FA7"/>
    <w:rsid w:val="00EC450D"/>
    <w:rsid w:val="00EC5420"/>
    <w:rsid w:val="00EC565A"/>
    <w:rsid w:val="00EC79AE"/>
    <w:rsid w:val="00ED0EDA"/>
    <w:rsid w:val="00ED1B45"/>
    <w:rsid w:val="00ED2558"/>
    <w:rsid w:val="00ED279F"/>
    <w:rsid w:val="00ED35A0"/>
    <w:rsid w:val="00ED3E1C"/>
    <w:rsid w:val="00ED50F8"/>
    <w:rsid w:val="00ED52CA"/>
    <w:rsid w:val="00ED5BE8"/>
    <w:rsid w:val="00ED5C6D"/>
    <w:rsid w:val="00EE07BC"/>
    <w:rsid w:val="00EE2B1E"/>
    <w:rsid w:val="00EE5EB1"/>
    <w:rsid w:val="00EE7407"/>
    <w:rsid w:val="00EE78AB"/>
    <w:rsid w:val="00EF1981"/>
    <w:rsid w:val="00EF2A64"/>
    <w:rsid w:val="00EF40CA"/>
    <w:rsid w:val="00EF4E09"/>
    <w:rsid w:val="00EF5941"/>
    <w:rsid w:val="00EF5D50"/>
    <w:rsid w:val="00EF7D01"/>
    <w:rsid w:val="00F007D9"/>
    <w:rsid w:val="00F00BE1"/>
    <w:rsid w:val="00F00CD0"/>
    <w:rsid w:val="00F02306"/>
    <w:rsid w:val="00F02B05"/>
    <w:rsid w:val="00F031ED"/>
    <w:rsid w:val="00F039E7"/>
    <w:rsid w:val="00F04624"/>
    <w:rsid w:val="00F04F32"/>
    <w:rsid w:val="00F05314"/>
    <w:rsid w:val="00F05471"/>
    <w:rsid w:val="00F056D5"/>
    <w:rsid w:val="00F06300"/>
    <w:rsid w:val="00F0648F"/>
    <w:rsid w:val="00F100D0"/>
    <w:rsid w:val="00F10216"/>
    <w:rsid w:val="00F1075F"/>
    <w:rsid w:val="00F11FB1"/>
    <w:rsid w:val="00F12878"/>
    <w:rsid w:val="00F155BD"/>
    <w:rsid w:val="00F160CF"/>
    <w:rsid w:val="00F16C01"/>
    <w:rsid w:val="00F2061B"/>
    <w:rsid w:val="00F20706"/>
    <w:rsid w:val="00F20BAC"/>
    <w:rsid w:val="00F2113A"/>
    <w:rsid w:val="00F213BC"/>
    <w:rsid w:val="00F2164D"/>
    <w:rsid w:val="00F2222D"/>
    <w:rsid w:val="00F238F6"/>
    <w:rsid w:val="00F245E7"/>
    <w:rsid w:val="00F24DE9"/>
    <w:rsid w:val="00F25C3A"/>
    <w:rsid w:val="00F269C4"/>
    <w:rsid w:val="00F26B74"/>
    <w:rsid w:val="00F26E9E"/>
    <w:rsid w:val="00F26F5E"/>
    <w:rsid w:val="00F30561"/>
    <w:rsid w:val="00F31576"/>
    <w:rsid w:val="00F3250D"/>
    <w:rsid w:val="00F32548"/>
    <w:rsid w:val="00F32848"/>
    <w:rsid w:val="00F32DBB"/>
    <w:rsid w:val="00F33131"/>
    <w:rsid w:val="00F333A0"/>
    <w:rsid w:val="00F3460E"/>
    <w:rsid w:val="00F36821"/>
    <w:rsid w:val="00F368DF"/>
    <w:rsid w:val="00F404F3"/>
    <w:rsid w:val="00F40D64"/>
    <w:rsid w:val="00F41B24"/>
    <w:rsid w:val="00F41C68"/>
    <w:rsid w:val="00F4212C"/>
    <w:rsid w:val="00F42F7E"/>
    <w:rsid w:val="00F4354C"/>
    <w:rsid w:val="00F44CF2"/>
    <w:rsid w:val="00F462E4"/>
    <w:rsid w:val="00F478A1"/>
    <w:rsid w:val="00F50EB4"/>
    <w:rsid w:val="00F51122"/>
    <w:rsid w:val="00F51370"/>
    <w:rsid w:val="00F51421"/>
    <w:rsid w:val="00F5154F"/>
    <w:rsid w:val="00F51BF8"/>
    <w:rsid w:val="00F52273"/>
    <w:rsid w:val="00F52AFB"/>
    <w:rsid w:val="00F5314B"/>
    <w:rsid w:val="00F53205"/>
    <w:rsid w:val="00F53378"/>
    <w:rsid w:val="00F53C72"/>
    <w:rsid w:val="00F54361"/>
    <w:rsid w:val="00F54F67"/>
    <w:rsid w:val="00F5673C"/>
    <w:rsid w:val="00F56F0B"/>
    <w:rsid w:val="00F57734"/>
    <w:rsid w:val="00F57770"/>
    <w:rsid w:val="00F57BB5"/>
    <w:rsid w:val="00F57EA8"/>
    <w:rsid w:val="00F61476"/>
    <w:rsid w:val="00F620AD"/>
    <w:rsid w:val="00F62136"/>
    <w:rsid w:val="00F62189"/>
    <w:rsid w:val="00F64202"/>
    <w:rsid w:val="00F66F9B"/>
    <w:rsid w:val="00F72552"/>
    <w:rsid w:val="00F7359A"/>
    <w:rsid w:val="00F73D5F"/>
    <w:rsid w:val="00F73F8E"/>
    <w:rsid w:val="00F742BB"/>
    <w:rsid w:val="00F74DDD"/>
    <w:rsid w:val="00F7602E"/>
    <w:rsid w:val="00F77F4A"/>
    <w:rsid w:val="00F804B6"/>
    <w:rsid w:val="00F8066A"/>
    <w:rsid w:val="00F80BFD"/>
    <w:rsid w:val="00F80D24"/>
    <w:rsid w:val="00F8331B"/>
    <w:rsid w:val="00F837F7"/>
    <w:rsid w:val="00F83F3D"/>
    <w:rsid w:val="00F84BF4"/>
    <w:rsid w:val="00F85218"/>
    <w:rsid w:val="00F867D2"/>
    <w:rsid w:val="00F86B63"/>
    <w:rsid w:val="00F86DE3"/>
    <w:rsid w:val="00F87351"/>
    <w:rsid w:val="00F87CEB"/>
    <w:rsid w:val="00F909A5"/>
    <w:rsid w:val="00F90BCB"/>
    <w:rsid w:val="00F9199A"/>
    <w:rsid w:val="00F91F31"/>
    <w:rsid w:val="00F92A7A"/>
    <w:rsid w:val="00F92B01"/>
    <w:rsid w:val="00F92DDD"/>
    <w:rsid w:val="00F95D8E"/>
    <w:rsid w:val="00F9600A"/>
    <w:rsid w:val="00F9634C"/>
    <w:rsid w:val="00F96357"/>
    <w:rsid w:val="00F972AE"/>
    <w:rsid w:val="00FA0350"/>
    <w:rsid w:val="00FA3093"/>
    <w:rsid w:val="00FA31FF"/>
    <w:rsid w:val="00FA37D4"/>
    <w:rsid w:val="00FA4D38"/>
    <w:rsid w:val="00FA5226"/>
    <w:rsid w:val="00FA6A34"/>
    <w:rsid w:val="00FA6ED2"/>
    <w:rsid w:val="00FA7D58"/>
    <w:rsid w:val="00FB069A"/>
    <w:rsid w:val="00FB180D"/>
    <w:rsid w:val="00FB2285"/>
    <w:rsid w:val="00FB3859"/>
    <w:rsid w:val="00FB5232"/>
    <w:rsid w:val="00FB5393"/>
    <w:rsid w:val="00FB5EDC"/>
    <w:rsid w:val="00FB67FF"/>
    <w:rsid w:val="00FB7AE6"/>
    <w:rsid w:val="00FC10E8"/>
    <w:rsid w:val="00FC122C"/>
    <w:rsid w:val="00FC252F"/>
    <w:rsid w:val="00FC2AB8"/>
    <w:rsid w:val="00FC757E"/>
    <w:rsid w:val="00FC7746"/>
    <w:rsid w:val="00FD02F0"/>
    <w:rsid w:val="00FD03DD"/>
    <w:rsid w:val="00FD0808"/>
    <w:rsid w:val="00FD2B65"/>
    <w:rsid w:val="00FD4353"/>
    <w:rsid w:val="00FD50A0"/>
    <w:rsid w:val="00FD5D35"/>
    <w:rsid w:val="00FD5D95"/>
    <w:rsid w:val="00FD5EF3"/>
    <w:rsid w:val="00FD66EF"/>
    <w:rsid w:val="00FD6A40"/>
    <w:rsid w:val="00FE04C0"/>
    <w:rsid w:val="00FE06EC"/>
    <w:rsid w:val="00FE087B"/>
    <w:rsid w:val="00FE0FD4"/>
    <w:rsid w:val="00FE1808"/>
    <w:rsid w:val="00FE1BF5"/>
    <w:rsid w:val="00FE1C29"/>
    <w:rsid w:val="00FE2781"/>
    <w:rsid w:val="00FE4B6C"/>
    <w:rsid w:val="00FE5B8F"/>
    <w:rsid w:val="00FE662B"/>
    <w:rsid w:val="00FF0F0C"/>
    <w:rsid w:val="00FF15C3"/>
    <w:rsid w:val="00FF24AC"/>
    <w:rsid w:val="00FF2C51"/>
    <w:rsid w:val="00FF2E4A"/>
    <w:rsid w:val="00FF3443"/>
    <w:rsid w:val="00FF3C52"/>
    <w:rsid w:val="00FF439F"/>
    <w:rsid w:val="00FF69E4"/>
    <w:rsid w:val="00FF77DD"/>
    <w:rsid w:val="00FF796B"/>
    <w:rsid w:val="010C3DC8"/>
    <w:rsid w:val="014C5805"/>
    <w:rsid w:val="01A3135A"/>
    <w:rsid w:val="02013C56"/>
    <w:rsid w:val="02406002"/>
    <w:rsid w:val="027D39CC"/>
    <w:rsid w:val="02856216"/>
    <w:rsid w:val="030A3703"/>
    <w:rsid w:val="03514002"/>
    <w:rsid w:val="03900831"/>
    <w:rsid w:val="03A85A47"/>
    <w:rsid w:val="03BD6A99"/>
    <w:rsid w:val="041278B8"/>
    <w:rsid w:val="042C4C07"/>
    <w:rsid w:val="05A10273"/>
    <w:rsid w:val="05D87DCF"/>
    <w:rsid w:val="05F86920"/>
    <w:rsid w:val="05FD1696"/>
    <w:rsid w:val="060C73B7"/>
    <w:rsid w:val="0623318F"/>
    <w:rsid w:val="06277877"/>
    <w:rsid w:val="0640575F"/>
    <w:rsid w:val="065B0F0D"/>
    <w:rsid w:val="06844DBE"/>
    <w:rsid w:val="06904454"/>
    <w:rsid w:val="06F727B0"/>
    <w:rsid w:val="06FB376D"/>
    <w:rsid w:val="071A7D65"/>
    <w:rsid w:val="071C1AB9"/>
    <w:rsid w:val="07280806"/>
    <w:rsid w:val="073E1969"/>
    <w:rsid w:val="075B7698"/>
    <w:rsid w:val="07AC054D"/>
    <w:rsid w:val="0892240E"/>
    <w:rsid w:val="08A3240A"/>
    <w:rsid w:val="08DF0D38"/>
    <w:rsid w:val="090A06CA"/>
    <w:rsid w:val="0928544F"/>
    <w:rsid w:val="093D40E6"/>
    <w:rsid w:val="09845B57"/>
    <w:rsid w:val="09865174"/>
    <w:rsid w:val="09CD041B"/>
    <w:rsid w:val="0A200E2D"/>
    <w:rsid w:val="0A683D09"/>
    <w:rsid w:val="0A782B9F"/>
    <w:rsid w:val="0A7A1CF3"/>
    <w:rsid w:val="0B14568C"/>
    <w:rsid w:val="0B212C85"/>
    <w:rsid w:val="0B647B0C"/>
    <w:rsid w:val="0BB23A7B"/>
    <w:rsid w:val="0BCE5FA2"/>
    <w:rsid w:val="0C0E61BC"/>
    <w:rsid w:val="0C14578A"/>
    <w:rsid w:val="0C286DA8"/>
    <w:rsid w:val="0C3615AB"/>
    <w:rsid w:val="0C3F1641"/>
    <w:rsid w:val="0C793F64"/>
    <w:rsid w:val="0CE45724"/>
    <w:rsid w:val="0CEE4132"/>
    <w:rsid w:val="0D023859"/>
    <w:rsid w:val="0D1760F5"/>
    <w:rsid w:val="0DB84DE6"/>
    <w:rsid w:val="0E322A24"/>
    <w:rsid w:val="0E4453AD"/>
    <w:rsid w:val="0EAA0F30"/>
    <w:rsid w:val="0EB32751"/>
    <w:rsid w:val="0F1769D2"/>
    <w:rsid w:val="0F29241B"/>
    <w:rsid w:val="0F963E50"/>
    <w:rsid w:val="0FA2319A"/>
    <w:rsid w:val="0FFA699D"/>
    <w:rsid w:val="10117B2D"/>
    <w:rsid w:val="104872EB"/>
    <w:rsid w:val="1065179C"/>
    <w:rsid w:val="10654AD6"/>
    <w:rsid w:val="10CA3AE8"/>
    <w:rsid w:val="10E92DCD"/>
    <w:rsid w:val="10E97414"/>
    <w:rsid w:val="110754FD"/>
    <w:rsid w:val="110E25FD"/>
    <w:rsid w:val="112A2F76"/>
    <w:rsid w:val="113F2EE8"/>
    <w:rsid w:val="1186609A"/>
    <w:rsid w:val="118F3664"/>
    <w:rsid w:val="11D07A36"/>
    <w:rsid w:val="122B4FBD"/>
    <w:rsid w:val="125710CE"/>
    <w:rsid w:val="127F0066"/>
    <w:rsid w:val="12B41C4F"/>
    <w:rsid w:val="12BB0437"/>
    <w:rsid w:val="12D158F8"/>
    <w:rsid w:val="131D7156"/>
    <w:rsid w:val="1327578A"/>
    <w:rsid w:val="13812883"/>
    <w:rsid w:val="138D2E74"/>
    <w:rsid w:val="13A17A4C"/>
    <w:rsid w:val="13DB3A89"/>
    <w:rsid w:val="13EE5F5C"/>
    <w:rsid w:val="14A27E5E"/>
    <w:rsid w:val="14D044B0"/>
    <w:rsid w:val="150E7D21"/>
    <w:rsid w:val="152E296C"/>
    <w:rsid w:val="15FA48EC"/>
    <w:rsid w:val="16755580"/>
    <w:rsid w:val="1679363D"/>
    <w:rsid w:val="169474D8"/>
    <w:rsid w:val="16AB6581"/>
    <w:rsid w:val="17260793"/>
    <w:rsid w:val="17302CF9"/>
    <w:rsid w:val="17316331"/>
    <w:rsid w:val="175C6735"/>
    <w:rsid w:val="18182D5C"/>
    <w:rsid w:val="182B7EC4"/>
    <w:rsid w:val="18AB292D"/>
    <w:rsid w:val="18CB37DC"/>
    <w:rsid w:val="19093014"/>
    <w:rsid w:val="19307520"/>
    <w:rsid w:val="1944447D"/>
    <w:rsid w:val="1946077B"/>
    <w:rsid w:val="19875A43"/>
    <w:rsid w:val="1A1C5422"/>
    <w:rsid w:val="1A751119"/>
    <w:rsid w:val="1AA15CAA"/>
    <w:rsid w:val="1B5D7CC7"/>
    <w:rsid w:val="1BCC3F0A"/>
    <w:rsid w:val="1BEF459F"/>
    <w:rsid w:val="1BF6001B"/>
    <w:rsid w:val="1BF80FF8"/>
    <w:rsid w:val="1C75235C"/>
    <w:rsid w:val="1CB34336"/>
    <w:rsid w:val="1CFC3926"/>
    <w:rsid w:val="1D2670DC"/>
    <w:rsid w:val="1D2E25FE"/>
    <w:rsid w:val="1D3908E3"/>
    <w:rsid w:val="1D4B2032"/>
    <w:rsid w:val="1D6C122A"/>
    <w:rsid w:val="1DE62B88"/>
    <w:rsid w:val="1E785317"/>
    <w:rsid w:val="1E8777F2"/>
    <w:rsid w:val="1E940706"/>
    <w:rsid w:val="1F176103"/>
    <w:rsid w:val="1F234E40"/>
    <w:rsid w:val="1F4607AC"/>
    <w:rsid w:val="1FBA5B49"/>
    <w:rsid w:val="200638C9"/>
    <w:rsid w:val="20163208"/>
    <w:rsid w:val="20315647"/>
    <w:rsid w:val="204E7BAA"/>
    <w:rsid w:val="207248C4"/>
    <w:rsid w:val="20726AA3"/>
    <w:rsid w:val="20731613"/>
    <w:rsid w:val="207E7DA8"/>
    <w:rsid w:val="21386B8D"/>
    <w:rsid w:val="217A3462"/>
    <w:rsid w:val="218715CA"/>
    <w:rsid w:val="218A37A6"/>
    <w:rsid w:val="21BE72D2"/>
    <w:rsid w:val="21EF36B4"/>
    <w:rsid w:val="22A05F9C"/>
    <w:rsid w:val="22BD35AC"/>
    <w:rsid w:val="22D76151"/>
    <w:rsid w:val="22E95544"/>
    <w:rsid w:val="22ED2CEB"/>
    <w:rsid w:val="2370469D"/>
    <w:rsid w:val="23E4291E"/>
    <w:rsid w:val="24126860"/>
    <w:rsid w:val="2414778D"/>
    <w:rsid w:val="24167A61"/>
    <w:rsid w:val="242854A6"/>
    <w:rsid w:val="24482912"/>
    <w:rsid w:val="24DA2292"/>
    <w:rsid w:val="24EC6712"/>
    <w:rsid w:val="24FC4ED2"/>
    <w:rsid w:val="25313B0C"/>
    <w:rsid w:val="253B0EBC"/>
    <w:rsid w:val="253D51AD"/>
    <w:rsid w:val="255A3B3D"/>
    <w:rsid w:val="25837329"/>
    <w:rsid w:val="259A6779"/>
    <w:rsid w:val="25D418C1"/>
    <w:rsid w:val="25E9494C"/>
    <w:rsid w:val="25F77141"/>
    <w:rsid w:val="26176F9E"/>
    <w:rsid w:val="26280C75"/>
    <w:rsid w:val="262E3C4C"/>
    <w:rsid w:val="2680668E"/>
    <w:rsid w:val="26AF79F2"/>
    <w:rsid w:val="26B300F4"/>
    <w:rsid w:val="27330CE9"/>
    <w:rsid w:val="276B38A8"/>
    <w:rsid w:val="277B2E10"/>
    <w:rsid w:val="27A13029"/>
    <w:rsid w:val="27C24E85"/>
    <w:rsid w:val="27ED25B1"/>
    <w:rsid w:val="28203B33"/>
    <w:rsid w:val="28272A9F"/>
    <w:rsid w:val="28863123"/>
    <w:rsid w:val="28CD1CCD"/>
    <w:rsid w:val="291463FE"/>
    <w:rsid w:val="299161DD"/>
    <w:rsid w:val="29AC7B7E"/>
    <w:rsid w:val="29CA071F"/>
    <w:rsid w:val="29DB6E01"/>
    <w:rsid w:val="2A6E1203"/>
    <w:rsid w:val="2ABB5D73"/>
    <w:rsid w:val="2B1B194E"/>
    <w:rsid w:val="2B514AA8"/>
    <w:rsid w:val="2B895732"/>
    <w:rsid w:val="2B9B3B0C"/>
    <w:rsid w:val="2BCD0E3A"/>
    <w:rsid w:val="2C2671EB"/>
    <w:rsid w:val="2C452C27"/>
    <w:rsid w:val="2C583781"/>
    <w:rsid w:val="2C614BEB"/>
    <w:rsid w:val="2C747F27"/>
    <w:rsid w:val="2C8068B8"/>
    <w:rsid w:val="2CE26733"/>
    <w:rsid w:val="2D26115E"/>
    <w:rsid w:val="2D9A2282"/>
    <w:rsid w:val="2DB12726"/>
    <w:rsid w:val="2DCC3A12"/>
    <w:rsid w:val="2DD6030D"/>
    <w:rsid w:val="2DE4233F"/>
    <w:rsid w:val="2DF21710"/>
    <w:rsid w:val="2E0E1B73"/>
    <w:rsid w:val="2E114B92"/>
    <w:rsid w:val="2E35562A"/>
    <w:rsid w:val="2EA85D0E"/>
    <w:rsid w:val="2F201F74"/>
    <w:rsid w:val="2F5947B5"/>
    <w:rsid w:val="2F824D55"/>
    <w:rsid w:val="2FBB3308"/>
    <w:rsid w:val="2FD240CF"/>
    <w:rsid w:val="301342E5"/>
    <w:rsid w:val="307B3D8E"/>
    <w:rsid w:val="30A3140C"/>
    <w:rsid w:val="30D75B5C"/>
    <w:rsid w:val="30E047F8"/>
    <w:rsid w:val="30F92675"/>
    <w:rsid w:val="313706CB"/>
    <w:rsid w:val="31C9704F"/>
    <w:rsid w:val="31D91E45"/>
    <w:rsid w:val="320F6C59"/>
    <w:rsid w:val="322D068F"/>
    <w:rsid w:val="32EF751B"/>
    <w:rsid w:val="32F42B60"/>
    <w:rsid w:val="33121D46"/>
    <w:rsid w:val="33264323"/>
    <w:rsid w:val="33592791"/>
    <w:rsid w:val="3379171D"/>
    <w:rsid w:val="339758DA"/>
    <w:rsid w:val="33CB64F8"/>
    <w:rsid w:val="33DA3645"/>
    <w:rsid w:val="33F4055B"/>
    <w:rsid w:val="340D4425"/>
    <w:rsid w:val="341E22F5"/>
    <w:rsid w:val="3433634B"/>
    <w:rsid w:val="34533F00"/>
    <w:rsid w:val="34607A3A"/>
    <w:rsid w:val="3496726F"/>
    <w:rsid w:val="35061D19"/>
    <w:rsid w:val="352E1713"/>
    <w:rsid w:val="35BC013E"/>
    <w:rsid w:val="35E20845"/>
    <w:rsid w:val="36296B1D"/>
    <w:rsid w:val="36476916"/>
    <w:rsid w:val="365764C6"/>
    <w:rsid w:val="36747A2C"/>
    <w:rsid w:val="36A62357"/>
    <w:rsid w:val="36D9163F"/>
    <w:rsid w:val="375A4579"/>
    <w:rsid w:val="37CD48E5"/>
    <w:rsid w:val="37ED4BF9"/>
    <w:rsid w:val="38187E03"/>
    <w:rsid w:val="38786DC3"/>
    <w:rsid w:val="391F5008"/>
    <w:rsid w:val="392D407C"/>
    <w:rsid w:val="39CB09F5"/>
    <w:rsid w:val="39CC66E1"/>
    <w:rsid w:val="3A720C9F"/>
    <w:rsid w:val="3AA11665"/>
    <w:rsid w:val="3AB21C2F"/>
    <w:rsid w:val="3AC743EE"/>
    <w:rsid w:val="3AD3700B"/>
    <w:rsid w:val="3AE8134B"/>
    <w:rsid w:val="3AF91AD8"/>
    <w:rsid w:val="3B2208D9"/>
    <w:rsid w:val="3B23096C"/>
    <w:rsid w:val="3B5221B9"/>
    <w:rsid w:val="3BAB69E3"/>
    <w:rsid w:val="3BD1293A"/>
    <w:rsid w:val="3BDF2557"/>
    <w:rsid w:val="3BEA1D89"/>
    <w:rsid w:val="3C2D6C78"/>
    <w:rsid w:val="3C301CE1"/>
    <w:rsid w:val="3C671BB3"/>
    <w:rsid w:val="3C6F6456"/>
    <w:rsid w:val="3C87248D"/>
    <w:rsid w:val="3C99542A"/>
    <w:rsid w:val="3CB03E80"/>
    <w:rsid w:val="3CEC489E"/>
    <w:rsid w:val="3CF84FC6"/>
    <w:rsid w:val="3D1A6F5E"/>
    <w:rsid w:val="3D2651B9"/>
    <w:rsid w:val="3D4B3747"/>
    <w:rsid w:val="3D8A353B"/>
    <w:rsid w:val="3E1D300C"/>
    <w:rsid w:val="3E273E59"/>
    <w:rsid w:val="3E321A51"/>
    <w:rsid w:val="3E4C0A51"/>
    <w:rsid w:val="3EC9410B"/>
    <w:rsid w:val="3F23138E"/>
    <w:rsid w:val="3F4150D3"/>
    <w:rsid w:val="40694D20"/>
    <w:rsid w:val="40D97E44"/>
    <w:rsid w:val="40E169A4"/>
    <w:rsid w:val="410A2ED5"/>
    <w:rsid w:val="412331D7"/>
    <w:rsid w:val="41477F43"/>
    <w:rsid w:val="415B732C"/>
    <w:rsid w:val="41772D44"/>
    <w:rsid w:val="41C87E95"/>
    <w:rsid w:val="425E51E3"/>
    <w:rsid w:val="4287657F"/>
    <w:rsid w:val="429E0C84"/>
    <w:rsid w:val="42AE2515"/>
    <w:rsid w:val="433B1601"/>
    <w:rsid w:val="435F7673"/>
    <w:rsid w:val="439D74D1"/>
    <w:rsid w:val="43A774A3"/>
    <w:rsid w:val="43D16A6E"/>
    <w:rsid w:val="43EF6695"/>
    <w:rsid w:val="440F6E40"/>
    <w:rsid w:val="446E3952"/>
    <w:rsid w:val="44995460"/>
    <w:rsid w:val="449A4723"/>
    <w:rsid w:val="44F14B6C"/>
    <w:rsid w:val="44F16580"/>
    <w:rsid w:val="44F45E5F"/>
    <w:rsid w:val="450758DE"/>
    <w:rsid w:val="452F7B4B"/>
    <w:rsid w:val="45A47B46"/>
    <w:rsid w:val="45CF0AB2"/>
    <w:rsid w:val="45FA04DD"/>
    <w:rsid w:val="4625782B"/>
    <w:rsid w:val="469C439D"/>
    <w:rsid w:val="46B262DB"/>
    <w:rsid w:val="46C27841"/>
    <w:rsid w:val="46D7507A"/>
    <w:rsid w:val="46F50610"/>
    <w:rsid w:val="477475D7"/>
    <w:rsid w:val="47AB356E"/>
    <w:rsid w:val="47E04C15"/>
    <w:rsid w:val="47E10016"/>
    <w:rsid w:val="47E646C1"/>
    <w:rsid w:val="480241B0"/>
    <w:rsid w:val="48194212"/>
    <w:rsid w:val="482C682F"/>
    <w:rsid w:val="48521B0D"/>
    <w:rsid w:val="487D6E09"/>
    <w:rsid w:val="49001FC4"/>
    <w:rsid w:val="4927662B"/>
    <w:rsid w:val="49452AD8"/>
    <w:rsid w:val="49ED1704"/>
    <w:rsid w:val="49F07E68"/>
    <w:rsid w:val="4A4713AC"/>
    <w:rsid w:val="4AA20016"/>
    <w:rsid w:val="4AF65CC0"/>
    <w:rsid w:val="4BCC165A"/>
    <w:rsid w:val="4C864B00"/>
    <w:rsid w:val="4CFE4413"/>
    <w:rsid w:val="4D470FA0"/>
    <w:rsid w:val="4D6E707A"/>
    <w:rsid w:val="4D6F7F82"/>
    <w:rsid w:val="4D96205F"/>
    <w:rsid w:val="4DEB192C"/>
    <w:rsid w:val="4E0F22BC"/>
    <w:rsid w:val="4E2D0715"/>
    <w:rsid w:val="4E4E3AF7"/>
    <w:rsid w:val="4E587A43"/>
    <w:rsid w:val="4E653E3D"/>
    <w:rsid w:val="4E857662"/>
    <w:rsid w:val="4F227903"/>
    <w:rsid w:val="4F293D6C"/>
    <w:rsid w:val="4F936FE1"/>
    <w:rsid w:val="4FDF53A6"/>
    <w:rsid w:val="4FE12804"/>
    <w:rsid w:val="4FE46EB6"/>
    <w:rsid w:val="4FFC4B1F"/>
    <w:rsid w:val="505F1A57"/>
    <w:rsid w:val="506F7189"/>
    <w:rsid w:val="50704A07"/>
    <w:rsid w:val="509743F3"/>
    <w:rsid w:val="50B86C33"/>
    <w:rsid w:val="50D86892"/>
    <w:rsid w:val="5156155C"/>
    <w:rsid w:val="517B6950"/>
    <w:rsid w:val="51E366BD"/>
    <w:rsid w:val="52135739"/>
    <w:rsid w:val="521F1772"/>
    <w:rsid w:val="52246D73"/>
    <w:rsid w:val="523E563A"/>
    <w:rsid w:val="5240650D"/>
    <w:rsid w:val="525D3C64"/>
    <w:rsid w:val="528C17AD"/>
    <w:rsid w:val="52A376FA"/>
    <w:rsid w:val="52C968FE"/>
    <w:rsid w:val="52D95E54"/>
    <w:rsid w:val="52FE48AC"/>
    <w:rsid w:val="536D193A"/>
    <w:rsid w:val="536F7D2F"/>
    <w:rsid w:val="53B479F0"/>
    <w:rsid w:val="53CA26BA"/>
    <w:rsid w:val="54295FDA"/>
    <w:rsid w:val="544718BF"/>
    <w:rsid w:val="545752E9"/>
    <w:rsid w:val="5469673A"/>
    <w:rsid w:val="547F39FB"/>
    <w:rsid w:val="54E11A6B"/>
    <w:rsid w:val="5543655E"/>
    <w:rsid w:val="555C6E59"/>
    <w:rsid w:val="557B201E"/>
    <w:rsid w:val="56C923AF"/>
    <w:rsid w:val="56D61AD3"/>
    <w:rsid w:val="57300334"/>
    <w:rsid w:val="57845557"/>
    <w:rsid w:val="57C33627"/>
    <w:rsid w:val="5807746C"/>
    <w:rsid w:val="580E6F70"/>
    <w:rsid w:val="58120CD7"/>
    <w:rsid w:val="589F692E"/>
    <w:rsid w:val="58A62A6D"/>
    <w:rsid w:val="58D6168F"/>
    <w:rsid w:val="58D9733B"/>
    <w:rsid w:val="58E921E4"/>
    <w:rsid w:val="58EE1553"/>
    <w:rsid w:val="5985040A"/>
    <w:rsid w:val="59BB76AB"/>
    <w:rsid w:val="59BF5D80"/>
    <w:rsid w:val="59E14694"/>
    <w:rsid w:val="59FD6E0C"/>
    <w:rsid w:val="5A0F2DBC"/>
    <w:rsid w:val="5AB3449C"/>
    <w:rsid w:val="5AE16404"/>
    <w:rsid w:val="5AF94246"/>
    <w:rsid w:val="5B031F80"/>
    <w:rsid w:val="5BC319D9"/>
    <w:rsid w:val="5BED42E0"/>
    <w:rsid w:val="5C0E649F"/>
    <w:rsid w:val="5C88583D"/>
    <w:rsid w:val="5D750289"/>
    <w:rsid w:val="5DA0074B"/>
    <w:rsid w:val="5DA93DC9"/>
    <w:rsid w:val="5DB9574B"/>
    <w:rsid w:val="5DDD2E8E"/>
    <w:rsid w:val="5DE901B8"/>
    <w:rsid w:val="5DEB57C5"/>
    <w:rsid w:val="5ED64C0D"/>
    <w:rsid w:val="5EF17039"/>
    <w:rsid w:val="5F2946B0"/>
    <w:rsid w:val="5F3A2FC1"/>
    <w:rsid w:val="5F6A69A0"/>
    <w:rsid w:val="5F8114D5"/>
    <w:rsid w:val="5FD43A85"/>
    <w:rsid w:val="5FE3156C"/>
    <w:rsid w:val="602044CF"/>
    <w:rsid w:val="604326D5"/>
    <w:rsid w:val="6047617D"/>
    <w:rsid w:val="606E539E"/>
    <w:rsid w:val="60FE3D2E"/>
    <w:rsid w:val="612578D1"/>
    <w:rsid w:val="612A1AF2"/>
    <w:rsid w:val="613D1938"/>
    <w:rsid w:val="616D7AE4"/>
    <w:rsid w:val="61A8188C"/>
    <w:rsid w:val="61B621FB"/>
    <w:rsid w:val="61E26CAA"/>
    <w:rsid w:val="62463774"/>
    <w:rsid w:val="628D17A6"/>
    <w:rsid w:val="62B8160F"/>
    <w:rsid w:val="62F11298"/>
    <w:rsid w:val="6324180B"/>
    <w:rsid w:val="63594044"/>
    <w:rsid w:val="63AC42AA"/>
    <w:rsid w:val="63DF7E93"/>
    <w:rsid w:val="6451712F"/>
    <w:rsid w:val="64A36202"/>
    <w:rsid w:val="64D93959"/>
    <w:rsid w:val="651D0E63"/>
    <w:rsid w:val="656567D4"/>
    <w:rsid w:val="65B05D6A"/>
    <w:rsid w:val="65C24BE0"/>
    <w:rsid w:val="66034439"/>
    <w:rsid w:val="660C2722"/>
    <w:rsid w:val="6659401E"/>
    <w:rsid w:val="66B12600"/>
    <w:rsid w:val="673F28EC"/>
    <w:rsid w:val="674A3A36"/>
    <w:rsid w:val="675A015F"/>
    <w:rsid w:val="676E675F"/>
    <w:rsid w:val="67CA1FB5"/>
    <w:rsid w:val="67DB4682"/>
    <w:rsid w:val="681571A1"/>
    <w:rsid w:val="685B5873"/>
    <w:rsid w:val="68C75A71"/>
    <w:rsid w:val="68CD3ED7"/>
    <w:rsid w:val="68FA7445"/>
    <w:rsid w:val="69143A08"/>
    <w:rsid w:val="69382A2C"/>
    <w:rsid w:val="696852D6"/>
    <w:rsid w:val="69752A05"/>
    <w:rsid w:val="69CE5444"/>
    <w:rsid w:val="69F155BC"/>
    <w:rsid w:val="69F22CEE"/>
    <w:rsid w:val="6A0A726C"/>
    <w:rsid w:val="6A48097D"/>
    <w:rsid w:val="6ADA1BF7"/>
    <w:rsid w:val="6B1C0E14"/>
    <w:rsid w:val="6B273A0D"/>
    <w:rsid w:val="6B3C5533"/>
    <w:rsid w:val="6B5439B7"/>
    <w:rsid w:val="6B6153CF"/>
    <w:rsid w:val="6C6572BB"/>
    <w:rsid w:val="6C8A7C7B"/>
    <w:rsid w:val="6CB40D7A"/>
    <w:rsid w:val="6CBA7AE0"/>
    <w:rsid w:val="6CBD0A12"/>
    <w:rsid w:val="6CC73CB5"/>
    <w:rsid w:val="6CEE2E74"/>
    <w:rsid w:val="6D106784"/>
    <w:rsid w:val="6D256285"/>
    <w:rsid w:val="6DB4042F"/>
    <w:rsid w:val="6DDB71F3"/>
    <w:rsid w:val="6DE14094"/>
    <w:rsid w:val="6E8E2CF2"/>
    <w:rsid w:val="6EF122B6"/>
    <w:rsid w:val="6F535684"/>
    <w:rsid w:val="6F9239C1"/>
    <w:rsid w:val="6F975811"/>
    <w:rsid w:val="6FCB2C76"/>
    <w:rsid w:val="706F11BE"/>
    <w:rsid w:val="708440E5"/>
    <w:rsid w:val="70B95C89"/>
    <w:rsid w:val="70F16BFA"/>
    <w:rsid w:val="710B21A3"/>
    <w:rsid w:val="715F5BF3"/>
    <w:rsid w:val="71811DC9"/>
    <w:rsid w:val="71C66067"/>
    <w:rsid w:val="71F7181B"/>
    <w:rsid w:val="72597077"/>
    <w:rsid w:val="725A32C3"/>
    <w:rsid w:val="726554A0"/>
    <w:rsid w:val="72A428E3"/>
    <w:rsid w:val="72B2434E"/>
    <w:rsid w:val="72D86780"/>
    <w:rsid w:val="73315B2E"/>
    <w:rsid w:val="735C078D"/>
    <w:rsid w:val="73772B03"/>
    <w:rsid w:val="73960EF3"/>
    <w:rsid w:val="73B42103"/>
    <w:rsid w:val="73C9361E"/>
    <w:rsid w:val="73D01CAD"/>
    <w:rsid w:val="73D86E4A"/>
    <w:rsid w:val="74295E3C"/>
    <w:rsid w:val="745D4723"/>
    <w:rsid w:val="75172F33"/>
    <w:rsid w:val="76EE0D3C"/>
    <w:rsid w:val="771052B5"/>
    <w:rsid w:val="773F7811"/>
    <w:rsid w:val="775B1A04"/>
    <w:rsid w:val="777A2267"/>
    <w:rsid w:val="77A470B5"/>
    <w:rsid w:val="77BC4173"/>
    <w:rsid w:val="782710B3"/>
    <w:rsid w:val="78CF7B08"/>
    <w:rsid w:val="78D727EC"/>
    <w:rsid w:val="78E56CA8"/>
    <w:rsid w:val="78FA505C"/>
    <w:rsid w:val="793275A5"/>
    <w:rsid w:val="7936657A"/>
    <w:rsid w:val="79810A5F"/>
    <w:rsid w:val="79AC3058"/>
    <w:rsid w:val="79ED66DC"/>
    <w:rsid w:val="7A6D4AD2"/>
    <w:rsid w:val="7AA021C3"/>
    <w:rsid w:val="7ACE0505"/>
    <w:rsid w:val="7AE643B1"/>
    <w:rsid w:val="7AEC25CD"/>
    <w:rsid w:val="7AF120E9"/>
    <w:rsid w:val="7B1462CB"/>
    <w:rsid w:val="7B636F1F"/>
    <w:rsid w:val="7BF6439F"/>
    <w:rsid w:val="7C127FCC"/>
    <w:rsid w:val="7C1317A6"/>
    <w:rsid w:val="7C1541FE"/>
    <w:rsid w:val="7C257415"/>
    <w:rsid w:val="7C5A4CCD"/>
    <w:rsid w:val="7C62627F"/>
    <w:rsid w:val="7C8727E8"/>
    <w:rsid w:val="7CFA505B"/>
    <w:rsid w:val="7D164299"/>
    <w:rsid w:val="7D5A7EBC"/>
    <w:rsid w:val="7DC1363C"/>
    <w:rsid w:val="7DCB7B87"/>
    <w:rsid w:val="7DED2414"/>
    <w:rsid w:val="7DFA3726"/>
    <w:rsid w:val="7E5371BF"/>
    <w:rsid w:val="7E6954B6"/>
    <w:rsid w:val="7E89158E"/>
    <w:rsid w:val="7E960F76"/>
    <w:rsid w:val="7E961E57"/>
    <w:rsid w:val="7EE04F2A"/>
    <w:rsid w:val="7EED79ED"/>
    <w:rsid w:val="7F4429CF"/>
    <w:rsid w:val="7F606BF8"/>
    <w:rsid w:val="7FCC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after="260" w:line="416" w:lineRule="auto"/>
      <w:outlineLvl w:val="2"/>
    </w:pPr>
    <w:rPr>
      <w:rFonts w:ascii="Tahoma" w:hAnsi="Tahoma"/>
      <w:b/>
      <w:bCs/>
      <w:sz w:val="32"/>
      <w:szCs w:val="32"/>
    </w:rPr>
  </w:style>
  <w:style w:type="paragraph" w:styleId="2">
    <w:name w:val="heading 4"/>
    <w:basedOn w:val="1"/>
    <w:next w:val="1"/>
    <w:link w:val="61"/>
    <w:qFormat/>
    <w:uiPriority w:val="0"/>
    <w:pPr>
      <w:keepNext/>
      <w:keepLines/>
      <w:spacing w:before="280" w:after="290" w:line="376" w:lineRule="auto"/>
      <w:outlineLvl w:val="3"/>
    </w:pPr>
    <w:rPr>
      <w:rFonts w:ascii="宋体" w:hAnsi="Arial" w:eastAsia="黑体"/>
      <w:b/>
      <w:kern w:val="0"/>
      <w:sz w:val="24"/>
      <w:szCs w:val="20"/>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Bullet"/>
    <w:basedOn w:val="1"/>
    <w:qFormat/>
    <w:uiPriority w:val="0"/>
    <w:pPr>
      <w:numPr>
        <w:ilvl w:val="0"/>
        <w:numId w:val="1"/>
      </w:numPr>
    </w:pPr>
  </w:style>
  <w:style w:type="paragraph" w:styleId="13">
    <w:name w:val="Document Map"/>
    <w:basedOn w:val="1"/>
    <w:semiHidden/>
    <w:qFormat/>
    <w:uiPriority w:val="0"/>
    <w:pPr>
      <w:shd w:val="clear" w:color="auto" w:fill="000080"/>
    </w:pPr>
  </w:style>
  <w:style w:type="paragraph" w:styleId="14">
    <w:name w:val="annotation text"/>
    <w:basedOn w:val="1"/>
    <w:link w:val="63"/>
    <w:semiHidden/>
    <w:qFormat/>
    <w:uiPriority w:val="0"/>
    <w:pPr>
      <w:jc w:val="left"/>
    </w:pPr>
    <w:rPr>
      <w:rFonts w:ascii="Tahoma" w:hAnsi="Tahoma"/>
    </w:rPr>
  </w:style>
  <w:style w:type="paragraph" w:styleId="15">
    <w:name w:val="Body Text"/>
    <w:basedOn w:val="1"/>
    <w:qFormat/>
    <w:uiPriority w:val="0"/>
    <w:pPr>
      <w:autoSpaceDE w:val="0"/>
      <w:autoSpaceDN w:val="0"/>
      <w:adjustRightInd w:val="0"/>
      <w:spacing w:after="120"/>
      <w:jc w:val="left"/>
    </w:pPr>
    <w:rPr>
      <w:rFonts w:ascii="宋体"/>
      <w:kern w:val="0"/>
      <w:sz w:val="34"/>
      <w:szCs w:val="20"/>
    </w:rPr>
  </w:style>
  <w:style w:type="paragraph" w:styleId="16">
    <w:name w:val="Body Text Indent"/>
    <w:basedOn w:val="1"/>
    <w:link w:val="51"/>
    <w:qFormat/>
    <w:uiPriority w:val="0"/>
    <w:pPr>
      <w:spacing w:line="200" w:lineRule="exact"/>
      <w:ind w:firstLine="301"/>
    </w:pPr>
    <w:rPr>
      <w:rFonts w:ascii="宋体" w:hAnsi="Courier New"/>
      <w:spacing w:val="-4"/>
      <w:sz w:val="18"/>
      <w:szCs w:val="20"/>
    </w:rPr>
  </w:style>
  <w:style w:type="paragraph" w:styleId="17">
    <w:name w:val="toc 3"/>
    <w:basedOn w:val="1"/>
    <w:next w:val="1"/>
    <w:qFormat/>
    <w:uiPriority w:val="39"/>
    <w:pPr>
      <w:tabs>
        <w:tab w:val="right" w:pos="9060"/>
      </w:tabs>
    </w:pPr>
  </w:style>
  <w:style w:type="paragraph" w:styleId="18">
    <w:name w:val="Plain Text"/>
    <w:basedOn w:val="1"/>
    <w:next w:val="1"/>
    <w:link w:val="40"/>
    <w:qFormat/>
    <w:uiPriority w:val="0"/>
    <w:rPr>
      <w:rFonts w:ascii="宋体" w:hAnsi="Courier New"/>
      <w:szCs w:val="20"/>
    </w:rPr>
  </w:style>
  <w:style w:type="paragraph" w:styleId="19">
    <w:name w:val="Date"/>
    <w:basedOn w:val="1"/>
    <w:next w:val="1"/>
    <w:qFormat/>
    <w:uiPriority w:val="0"/>
    <w:pPr>
      <w:ind w:left="100" w:leftChars="2500"/>
    </w:pPr>
    <w:rPr>
      <w:spacing w:val="30"/>
      <w:sz w:val="28"/>
    </w:rPr>
  </w:style>
  <w:style w:type="paragraph" w:styleId="20">
    <w:name w:val="Body Text Indent 2"/>
    <w:basedOn w:val="1"/>
    <w:qFormat/>
    <w:uiPriority w:val="0"/>
    <w:pPr>
      <w:spacing w:line="400" w:lineRule="exact"/>
      <w:ind w:firstLine="480"/>
    </w:p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rFonts w:ascii="宋体" w:hAnsi="Courier New"/>
      <w:sz w:val="18"/>
      <w:szCs w:val="20"/>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4">
    <w:name w:val="toc 1"/>
    <w:basedOn w:val="1"/>
    <w:next w:val="1"/>
    <w:qFormat/>
    <w:uiPriority w:val="39"/>
    <w:pPr>
      <w:tabs>
        <w:tab w:val="right" w:leader="dot" w:pos="9060"/>
      </w:tabs>
      <w:ind w:left="2040" w:hanging="420"/>
    </w:pPr>
  </w:style>
  <w:style w:type="paragraph" w:styleId="25">
    <w:name w:val="Body Text Indent 3"/>
    <w:basedOn w:val="1"/>
    <w:qFormat/>
    <w:uiPriority w:val="0"/>
    <w:pPr>
      <w:spacing w:line="360" w:lineRule="auto"/>
      <w:ind w:firstLine="359" w:firstLineChars="171"/>
    </w:pPr>
  </w:style>
  <w:style w:type="paragraph" w:styleId="26">
    <w:name w:val="toc 2"/>
    <w:basedOn w:val="1"/>
    <w:next w:val="1"/>
    <w:qFormat/>
    <w:uiPriority w:val="39"/>
    <w:pPr>
      <w:tabs>
        <w:tab w:val="right" w:leader="dot" w:pos="9060"/>
      </w:tabs>
      <w:jc w:val="center"/>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8">
    <w:name w:val="Normal (Web)"/>
    <w:basedOn w:val="1"/>
    <w:qFormat/>
    <w:uiPriority w:val="0"/>
    <w:rPr>
      <w:sz w:val="24"/>
    </w:rPr>
  </w:style>
  <w:style w:type="paragraph" w:styleId="29">
    <w:name w:val="index 1"/>
    <w:basedOn w:val="1"/>
    <w:next w:val="1"/>
    <w:semiHidden/>
    <w:qFormat/>
    <w:uiPriority w:val="0"/>
    <w:pPr>
      <w:spacing w:line="360" w:lineRule="exact"/>
      <w:ind w:firstLine="432" w:firstLineChars="240"/>
    </w:pPr>
    <w:rPr>
      <w:rFonts w:ascii="宋体" w:hAnsi="宋体"/>
      <w:bCs/>
      <w:sz w:val="18"/>
      <w:szCs w:val="18"/>
    </w:rPr>
  </w:style>
  <w:style w:type="paragraph" w:styleId="30">
    <w:name w:val="annotation subject"/>
    <w:basedOn w:val="14"/>
    <w:next w:val="14"/>
    <w:link w:val="62"/>
    <w:semiHidden/>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rFonts w:ascii="Tahoma" w:hAnsi="Tahoma"/>
      <w:b/>
      <w:bCs/>
      <w:sz w:val="24"/>
    </w:rPr>
  </w:style>
  <w:style w:type="character" w:styleId="35">
    <w:name w:val="page number"/>
    <w:basedOn w:val="33"/>
    <w:qFormat/>
    <w:uiPriority w:val="0"/>
  </w:style>
  <w:style w:type="character" w:styleId="36">
    <w:name w:val="FollowedHyperlink"/>
    <w:qFormat/>
    <w:uiPriority w:val="99"/>
    <w:rPr>
      <w:rFonts w:ascii="Tahoma" w:hAnsi="Tahoma"/>
      <w:color w:val="800080"/>
      <w:sz w:val="24"/>
      <w:u w:val="single"/>
    </w:rPr>
  </w:style>
  <w:style w:type="character" w:styleId="37">
    <w:name w:val="line number"/>
    <w:basedOn w:val="33"/>
    <w:qFormat/>
    <w:uiPriority w:val="0"/>
  </w:style>
  <w:style w:type="character" w:styleId="38">
    <w:name w:val="Hyperlink"/>
    <w:qFormat/>
    <w:uiPriority w:val="99"/>
    <w:rPr>
      <w:rFonts w:ascii="Tahoma" w:hAnsi="Tahoma"/>
      <w:color w:val="0000FF"/>
      <w:sz w:val="24"/>
      <w:u w:val="single"/>
    </w:rPr>
  </w:style>
  <w:style w:type="character" w:styleId="39">
    <w:name w:val="annotation reference"/>
    <w:semiHidden/>
    <w:qFormat/>
    <w:uiPriority w:val="0"/>
    <w:rPr>
      <w:rFonts w:ascii="Tahoma" w:hAnsi="Tahoma"/>
      <w:sz w:val="21"/>
    </w:rPr>
  </w:style>
  <w:style w:type="character" w:customStyle="1" w:styleId="40">
    <w:name w:val="纯文本 Char"/>
    <w:link w:val="18"/>
    <w:qFormat/>
    <w:uiPriority w:val="0"/>
    <w:rPr>
      <w:rFonts w:ascii="宋体" w:hAnsi="Courier New"/>
      <w:kern w:val="2"/>
      <w:sz w:val="21"/>
    </w:rPr>
  </w:style>
  <w:style w:type="character" w:customStyle="1" w:styleId="41">
    <w:name w:val="style91"/>
    <w:qFormat/>
    <w:uiPriority w:val="0"/>
    <w:rPr>
      <w:rFonts w:hint="eastAsia" w:ascii="宋体" w:hAnsi="宋体" w:eastAsia="宋体"/>
      <w:sz w:val="18"/>
      <w:szCs w:val="18"/>
    </w:rPr>
  </w:style>
  <w:style w:type="character" w:customStyle="1" w:styleId="42">
    <w:name w:val="Plain Text Char Char Char"/>
    <w:qFormat/>
    <w:uiPriority w:val="0"/>
    <w:rPr>
      <w:rFonts w:ascii="宋体" w:hAnsi="Courier New" w:eastAsia="宋体"/>
      <w:kern w:val="2"/>
      <w:sz w:val="21"/>
      <w:lang w:val="en-US" w:eastAsia="zh-CN" w:bidi="ar-SA"/>
    </w:rPr>
  </w:style>
  <w:style w:type="character" w:customStyle="1" w:styleId="43">
    <w:name w:val="f16b1"/>
    <w:qFormat/>
    <w:uiPriority w:val="0"/>
    <w:rPr>
      <w:rFonts w:ascii="Tahoma" w:hAnsi="Tahoma"/>
      <w:b/>
      <w:bCs/>
      <w:color w:val="333333"/>
      <w:sz w:val="24"/>
      <w:szCs w:val="24"/>
    </w:rPr>
  </w:style>
  <w:style w:type="character" w:customStyle="1" w:styleId="44">
    <w:name w:val="unnamed3"/>
    <w:basedOn w:val="33"/>
    <w:qFormat/>
    <w:uiPriority w:val="0"/>
  </w:style>
  <w:style w:type="character" w:customStyle="1" w:styleId="45">
    <w:name w:val="cjn1"/>
    <w:qFormat/>
    <w:uiPriority w:val="0"/>
    <w:rPr>
      <w:rFonts w:hint="eastAsia" w:ascii="宋体" w:hAnsi="宋体" w:eastAsia="宋体"/>
      <w:sz w:val="22"/>
      <w:szCs w:val="22"/>
      <w:u w:val="none"/>
    </w:rPr>
  </w:style>
  <w:style w:type="character" w:customStyle="1" w:styleId="46">
    <w:name w:val="Char Char3"/>
    <w:qFormat/>
    <w:uiPriority w:val="0"/>
    <w:rPr>
      <w:rFonts w:ascii="宋体" w:hAnsi="Arial" w:eastAsia="黑体"/>
      <w:b/>
      <w:kern w:val="2"/>
      <w:sz w:val="24"/>
      <w:lang w:val="en-US" w:eastAsia="zh-CN" w:bidi="ar-SA"/>
    </w:rPr>
  </w:style>
  <w:style w:type="character" w:customStyle="1" w:styleId="47">
    <w:name w:val="标题 2 Char"/>
    <w:link w:val="4"/>
    <w:qFormat/>
    <w:uiPriority w:val="0"/>
    <w:rPr>
      <w:rFonts w:ascii="Arial" w:hAnsi="Arial" w:eastAsia="黑体"/>
      <w:b/>
      <w:bCs/>
      <w:kern w:val="2"/>
      <w:sz w:val="32"/>
      <w:szCs w:val="32"/>
      <w:lang w:val="en-US" w:eastAsia="zh-CN" w:bidi="ar-SA"/>
    </w:rPr>
  </w:style>
  <w:style w:type="character" w:customStyle="1" w:styleId="48">
    <w:name w:val="Char Char4"/>
    <w:qFormat/>
    <w:uiPriority w:val="0"/>
    <w:rPr>
      <w:rFonts w:eastAsia="宋体"/>
      <w:b/>
      <w:bCs/>
      <w:kern w:val="2"/>
      <w:sz w:val="32"/>
      <w:szCs w:val="32"/>
      <w:lang w:val="en-US" w:eastAsia="zh-CN" w:bidi="ar-SA"/>
    </w:rPr>
  </w:style>
  <w:style w:type="character" w:customStyle="1" w:styleId="49">
    <w:name w:val="1051"/>
    <w:qFormat/>
    <w:uiPriority w:val="0"/>
    <w:rPr>
      <w:rFonts w:ascii="Tahoma" w:hAnsi="Tahoma"/>
      <w:sz w:val="21"/>
      <w:szCs w:val="21"/>
    </w:rPr>
  </w:style>
  <w:style w:type="character" w:customStyle="1" w:styleId="50">
    <w:name w:val="graytext1"/>
    <w:qFormat/>
    <w:uiPriority w:val="0"/>
    <w:rPr>
      <w:rFonts w:ascii="Tahoma" w:hAnsi="Tahoma"/>
      <w:color w:val="666666"/>
      <w:sz w:val="24"/>
    </w:rPr>
  </w:style>
  <w:style w:type="character" w:customStyle="1" w:styleId="51">
    <w:name w:val="正文文本缩进 Char"/>
    <w:basedOn w:val="33"/>
    <w:link w:val="16"/>
    <w:qFormat/>
    <w:uiPriority w:val="0"/>
    <w:rPr>
      <w:rFonts w:ascii="宋体" w:hAnsi="Courier New"/>
      <w:spacing w:val="-4"/>
      <w:kern w:val="2"/>
      <w:sz w:val="18"/>
    </w:rPr>
  </w:style>
  <w:style w:type="character" w:customStyle="1" w:styleId="52">
    <w:name w:val="small"/>
    <w:basedOn w:val="33"/>
    <w:qFormat/>
    <w:uiPriority w:val="0"/>
  </w:style>
  <w:style w:type="character" w:customStyle="1" w:styleId="53">
    <w:name w:val="页眉 Char"/>
    <w:link w:val="23"/>
    <w:qFormat/>
    <w:uiPriority w:val="99"/>
    <w:rPr>
      <w:rFonts w:ascii="宋体" w:hAnsi="Courier New"/>
      <w:kern w:val="2"/>
      <w:sz w:val="18"/>
    </w:rPr>
  </w:style>
  <w:style w:type="character" w:customStyle="1" w:styleId="54">
    <w:name w:val="h121"/>
    <w:qFormat/>
    <w:uiPriority w:val="0"/>
    <w:rPr>
      <w:rFonts w:ascii="Tahoma" w:hAnsi="Tahoma"/>
      <w:color w:val="333333"/>
      <w:sz w:val="24"/>
    </w:rPr>
  </w:style>
  <w:style w:type="character" w:customStyle="1" w:styleId="55">
    <w:name w:val="普通文字 Char Char1"/>
    <w:qFormat/>
    <w:uiPriority w:val="0"/>
    <w:rPr>
      <w:rFonts w:ascii="宋体" w:hAnsi="Courier New" w:eastAsia="宋体"/>
      <w:kern w:val="2"/>
      <w:sz w:val="21"/>
      <w:lang w:val="en-US" w:eastAsia="zh-CN" w:bidi="ar-SA"/>
    </w:rPr>
  </w:style>
  <w:style w:type="character" w:customStyle="1" w:styleId="56">
    <w:name w:val="style51"/>
    <w:basedOn w:val="33"/>
    <w:qFormat/>
    <w:uiPriority w:val="0"/>
  </w:style>
  <w:style w:type="character" w:customStyle="1" w:styleId="57">
    <w:name w:val="style54"/>
    <w:basedOn w:val="33"/>
    <w:qFormat/>
    <w:uiPriority w:val="0"/>
  </w:style>
  <w:style w:type="character" w:customStyle="1" w:styleId="58">
    <w:name w:val="H2 Char"/>
    <w:qFormat/>
    <w:uiPriority w:val="0"/>
    <w:rPr>
      <w:rFonts w:ascii="Arial" w:hAnsi="Arial" w:eastAsia="黑体"/>
      <w:b/>
      <w:bCs/>
      <w:kern w:val="2"/>
      <w:sz w:val="32"/>
      <w:szCs w:val="32"/>
      <w:lang w:val="en-US" w:eastAsia="zh-CN" w:bidi="ar-SA"/>
    </w:rPr>
  </w:style>
  <w:style w:type="character" w:customStyle="1" w:styleId="59">
    <w:name w:val="style31"/>
    <w:qFormat/>
    <w:uiPriority w:val="0"/>
    <w:rPr>
      <w:rFonts w:ascii="Tahoma" w:hAnsi="Tahoma"/>
      <w:sz w:val="18"/>
      <w:szCs w:val="18"/>
    </w:rPr>
  </w:style>
  <w:style w:type="character" w:customStyle="1" w:styleId="60">
    <w:name w:val="Char Char2"/>
    <w:semiHidden/>
    <w:qFormat/>
    <w:uiPriority w:val="0"/>
    <w:rPr>
      <w:rFonts w:ascii="宋体" w:hAnsi="Courier New" w:eastAsia="宋体"/>
      <w:spacing w:val="-4"/>
      <w:kern w:val="2"/>
      <w:sz w:val="18"/>
      <w:lang w:val="en-US" w:eastAsia="zh-CN" w:bidi="ar-SA"/>
    </w:rPr>
  </w:style>
  <w:style w:type="character" w:customStyle="1" w:styleId="61">
    <w:name w:val="标题 4 Char"/>
    <w:link w:val="2"/>
    <w:qFormat/>
    <w:uiPriority w:val="0"/>
    <w:rPr>
      <w:rFonts w:ascii="宋体" w:hAnsi="Arial" w:eastAsia="黑体"/>
      <w:b/>
      <w:sz w:val="24"/>
    </w:rPr>
  </w:style>
  <w:style w:type="character" w:customStyle="1" w:styleId="62">
    <w:name w:val="批注主题 Char"/>
    <w:link w:val="30"/>
    <w:semiHidden/>
    <w:qFormat/>
    <w:uiPriority w:val="0"/>
    <w:rPr>
      <w:rFonts w:ascii="Tahoma" w:hAnsi="Tahoma" w:eastAsia="宋体"/>
      <w:b/>
      <w:bCs/>
      <w:kern w:val="2"/>
      <w:sz w:val="21"/>
      <w:szCs w:val="24"/>
      <w:lang w:val="en-US" w:eastAsia="zh-CN" w:bidi="ar-SA"/>
    </w:rPr>
  </w:style>
  <w:style w:type="character" w:customStyle="1" w:styleId="63">
    <w:name w:val="批注文字 Char"/>
    <w:link w:val="14"/>
    <w:semiHidden/>
    <w:qFormat/>
    <w:uiPriority w:val="0"/>
    <w:rPr>
      <w:rFonts w:ascii="Tahoma" w:hAnsi="Tahoma" w:eastAsia="宋体"/>
      <w:kern w:val="2"/>
      <w:sz w:val="21"/>
      <w:szCs w:val="24"/>
      <w:lang w:val="en-US" w:eastAsia="zh-CN" w:bidi="ar-SA"/>
    </w:rPr>
  </w:style>
  <w:style w:type="character" w:customStyle="1" w:styleId="64">
    <w:name w:val="apple-style-span"/>
    <w:basedOn w:val="33"/>
    <w:qFormat/>
    <w:uiPriority w:val="0"/>
  </w:style>
  <w:style w:type="character" w:customStyle="1" w:styleId="65">
    <w:name w:val="标题 3 Char"/>
    <w:link w:val="5"/>
    <w:qFormat/>
    <w:uiPriority w:val="0"/>
    <w:rPr>
      <w:rFonts w:ascii="Tahoma" w:hAnsi="Tahoma" w:eastAsia="宋体"/>
      <w:b/>
      <w:bCs/>
      <w:kern w:val="2"/>
      <w:sz w:val="32"/>
      <w:szCs w:val="32"/>
      <w:lang w:val="en-US" w:eastAsia="zh-CN" w:bidi="ar-SA"/>
    </w:rPr>
  </w:style>
  <w:style w:type="character" w:customStyle="1" w:styleId="66">
    <w:name w:val="unnamed21"/>
    <w:basedOn w:val="33"/>
    <w:qFormat/>
    <w:uiPriority w:val="0"/>
  </w:style>
  <w:style w:type="paragraph" w:customStyle="1" w:styleId="6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6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6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F2"/>
    <w:basedOn w:val="1"/>
    <w:qFormat/>
    <w:uiPriority w:val="0"/>
    <w:pPr>
      <w:autoSpaceDE w:val="0"/>
      <w:autoSpaceDN w:val="0"/>
      <w:adjustRightInd w:val="0"/>
      <w:ind w:firstLine="601"/>
      <w:textAlignment w:val="baseline"/>
    </w:pPr>
    <w:rPr>
      <w:kern w:val="0"/>
      <w:sz w:val="24"/>
      <w:szCs w:val="20"/>
    </w:rPr>
  </w:style>
  <w:style w:type="paragraph" w:customStyle="1" w:styleId="72">
    <w:name w:val="Char Char6"/>
    <w:basedOn w:val="13"/>
    <w:qFormat/>
    <w:uiPriority w:val="0"/>
    <w:rPr>
      <w:rFonts w:ascii="Tahoma" w:hAnsi="Tahoma"/>
      <w:sz w:val="24"/>
    </w:rPr>
  </w:style>
  <w:style w:type="paragraph" w:customStyle="1" w:styleId="7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76">
    <w:name w:val="List Paragraph1"/>
    <w:basedOn w:val="1"/>
    <w:qFormat/>
    <w:uiPriority w:val="0"/>
    <w:pPr>
      <w:ind w:firstLine="420" w:firstLineChars="200"/>
    </w:pPr>
    <w:rPr>
      <w:rFonts w:ascii="Calibri" w:hAnsi="Calibri"/>
      <w:szCs w:val="22"/>
    </w:rPr>
  </w:style>
  <w:style w:type="paragraph" w:customStyle="1" w:styleId="77">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78">
    <w:name w:val="Char Char Char Char Char Char Char"/>
    <w:basedOn w:val="1"/>
    <w:qFormat/>
    <w:uiPriority w:val="0"/>
  </w:style>
  <w:style w:type="paragraph" w:customStyle="1" w:styleId="79">
    <w:name w:val="Char Char Char Char Char Char Char Char Char Char Char Char Char"/>
    <w:basedOn w:val="13"/>
    <w:qFormat/>
    <w:uiPriority w:val="0"/>
    <w:rPr>
      <w:rFonts w:ascii="Tahoma" w:hAnsi="Tahoma"/>
      <w:sz w:val="24"/>
    </w:rPr>
  </w:style>
  <w:style w:type="paragraph" w:customStyle="1" w:styleId="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8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2">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3">
    <w:name w:val="msolistparagraph"/>
    <w:basedOn w:val="1"/>
    <w:qFormat/>
    <w:uiPriority w:val="0"/>
    <w:pPr>
      <w:widowControl/>
      <w:ind w:firstLine="420"/>
      <w:jc w:val="left"/>
    </w:pPr>
    <w:rPr>
      <w:rFonts w:ascii="宋体" w:hAnsi="宋体" w:cs="宋体"/>
      <w:kern w:val="0"/>
      <w:sz w:val="24"/>
    </w:rPr>
  </w:style>
  <w:style w:type="paragraph" w:customStyle="1" w:styleId="8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 Char Char Char Char Char Char Char Char Char"/>
    <w:basedOn w:val="13"/>
    <w:qFormat/>
    <w:uiPriority w:val="0"/>
    <w:pPr>
      <w:keepNext/>
      <w:spacing w:beforeLines="100"/>
    </w:pPr>
    <w:rPr>
      <w:rFonts w:ascii="Tahoma" w:hAnsi="Tahoma"/>
      <w:sz w:val="24"/>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样式3"/>
    <w:basedOn w:val="15"/>
    <w:qFormat/>
    <w:uiPriority w:val="0"/>
    <w:pPr>
      <w:autoSpaceDE/>
      <w:autoSpaceDN/>
      <w:adjustRightInd/>
      <w:spacing w:line="360" w:lineRule="auto"/>
      <w:jc w:val="both"/>
    </w:pPr>
    <w:rPr>
      <w:kern w:val="2"/>
      <w:sz w:val="21"/>
      <w:szCs w:val="24"/>
    </w:rPr>
  </w:style>
  <w:style w:type="paragraph" w:customStyle="1" w:styleId="89">
    <w:name w:val="Char Char Char Char Char Char Char Char Char Char1"/>
    <w:basedOn w:val="13"/>
    <w:qFormat/>
    <w:uiPriority w:val="0"/>
    <w:pPr>
      <w:keepNext/>
      <w:spacing w:beforeLines="100"/>
    </w:pPr>
    <w:rPr>
      <w:rFonts w:ascii="Tahoma" w:hAnsi="Tahoma"/>
      <w:sz w:val="24"/>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4">
    <w:name w:val="Char Char Char Char Char Char Char1"/>
    <w:basedOn w:val="1"/>
    <w:qFormat/>
    <w:uiPriority w:val="0"/>
  </w:style>
  <w:style w:type="paragraph" w:customStyle="1" w:styleId="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6">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Char Char Char"/>
    <w:basedOn w:val="1"/>
    <w:qFormat/>
    <w:uiPriority w:val="0"/>
    <w:rPr>
      <w:rFonts w:ascii="Tahoma" w:hAnsi="Tahoma"/>
      <w:sz w:val="24"/>
      <w:szCs w:val="20"/>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
    <w:name w:val="型号英文"/>
    <w:basedOn w:val="1"/>
    <w:qFormat/>
    <w:uiPriority w:val="0"/>
    <w:pPr>
      <w:autoSpaceDE w:val="0"/>
      <w:autoSpaceDN w:val="0"/>
      <w:adjustRightInd w:val="0"/>
      <w:spacing w:line="288" w:lineRule="auto"/>
      <w:textAlignment w:val="center"/>
    </w:pPr>
    <w:rPr>
      <w:rFonts w:ascii="Arial (TT) Regular" w:hAnsi="Arial (TT) Regular" w:eastAsia="华文黑体 Light" w:cs="Arial (TT) Regular"/>
      <w:color w:val="000000"/>
      <w:kern w:val="0"/>
      <w:sz w:val="20"/>
      <w:szCs w:val="20"/>
      <w:lang w:val="zh-CN"/>
    </w:rPr>
  </w:style>
  <w:style w:type="paragraph" w:customStyle="1" w:styleId="10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7">
    <w:name w:val="样式1"/>
    <w:basedOn w:val="1"/>
    <w:qFormat/>
    <w:uiPriority w:val="0"/>
  </w:style>
  <w:style w:type="paragraph" w:customStyle="1" w:styleId="10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
    <w:name w:val="paragraph1"/>
    <w:basedOn w:val="1"/>
    <w:qFormat/>
    <w:uiPriority w:val="0"/>
    <w:pPr>
      <w:spacing w:afterLines="20" w:line="300" w:lineRule="auto"/>
      <w:ind w:firstLine="200" w:firstLineChars="200"/>
    </w:pPr>
    <w:rPr>
      <w:sz w:val="24"/>
    </w:rPr>
  </w:style>
  <w:style w:type="paragraph" w:customStyle="1" w:styleId="111">
    <w:name w:val="Char1"/>
    <w:basedOn w:val="13"/>
    <w:qFormat/>
    <w:uiPriority w:val="0"/>
    <w:rPr>
      <w:rFonts w:ascii="Tahoma" w:hAnsi="Tahoma"/>
      <w:sz w:val="24"/>
    </w:rPr>
  </w:style>
  <w:style w:type="paragraph" w:customStyle="1" w:styleId="112">
    <w:name w:val="Char1 Char Char Char Char Char Char"/>
    <w:basedOn w:val="1"/>
    <w:qFormat/>
    <w:uiPriority w:val="0"/>
    <w:rPr>
      <w:rFonts w:ascii="Tahoma" w:hAnsi="Tahoma"/>
      <w:sz w:val="24"/>
      <w:szCs w:val="20"/>
    </w:rPr>
  </w:style>
  <w:style w:type="paragraph" w:customStyle="1" w:styleId="11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7">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18">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11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
    <w:name w:val="xl79"/>
    <w:basedOn w:val="1"/>
    <w:qFormat/>
    <w:uiPriority w:val="0"/>
    <w:pPr>
      <w:widowControl/>
      <w:spacing w:before="100" w:beforeAutospacing="1" w:after="100" w:afterAutospacing="1"/>
      <w:jc w:val="left"/>
      <w:textAlignment w:val="bottom"/>
    </w:pPr>
    <w:rPr>
      <w:rFonts w:ascii="Helv" w:hAnsi="Helv" w:cs="宋体"/>
      <w:kern w:val="0"/>
      <w:sz w:val="20"/>
      <w:szCs w:val="20"/>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
    <w:name w:val="样式 小四 段前: 5 磅 段后: 5 磅 首行缩进:  2 字符"/>
    <w:basedOn w:val="1"/>
    <w:qFormat/>
    <w:uiPriority w:val="0"/>
    <w:pPr>
      <w:spacing w:before="100" w:afterLines="50"/>
      <w:ind w:firstLine="480" w:firstLineChars="200"/>
    </w:pPr>
    <w:rPr>
      <w:rFonts w:hAnsi="宋体"/>
      <w:kern w:val="0"/>
      <w:sz w:val="24"/>
      <w:szCs w:val="21"/>
    </w:rPr>
  </w:style>
  <w:style w:type="paragraph" w:customStyle="1" w:styleId="1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6">
    <w:name w:val="List Paragraph2"/>
    <w:basedOn w:val="1"/>
    <w:qFormat/>
    <w:uiPriority w:val="0"/>
    <w:pPr>
      <w:ind w:firstLine="420" w:firstLineChars="200"/>
    </w:pPr>
    <w:rPr>
      <w:rFonts w:ascii="Calibri" w:hAnsi="Calibri"/>
      <w:szCs w:val="22"/>
    </w:rPr>
  </w:style>
  <w:style w:type="character" w:customStyle="1" w:styleId="127">
    <w:name w:val="f141"/>
    <w:qFormat/>
    <w:uiPriority w:val="0"/>
    <w:rPr>
      <w:sz w:val="21"/>
      <w:szCs w:val="21"/>
    </w:rPr>
  </w:style>
  <w:style w:type="character" w:customStyle="1" w:styleId="128">
    <w:name w:val="font11"/>
    <w:basedOn w:val="3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2B2C-5005-44C7-AFB0-27DB9A2DAC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17536</Words>
  <Characters>19181</Characters>
  <Lines>162</Lines>
  <Paragraphs>45</Paragraphs>
  <TotalTime>39</TotalTime>
  <ScaleCrop>false</ScaleCrop>
  <LinksUpToDate>false</LinksUpToDate>
  <CharactersWithSpaces>21144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2018-06-27T14:52:00Z</dcterms:created>
  <dc:creator>LZH</dc:creator>
  <cp:lastModifiedBy>Administrator</cp:lastModifiedBy>
  <cp:lastPrinted>2018-06-27T14:53:00Z</cp:lastPrinted>
  <dcterms:modified xsi:type="dcterms:W3CDTF">2020-10-13T09:06:09Z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