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after="120" w:afterLines="50" w:line="600" w:lineRule="exact"/>
        <w:jc w:val="center"/>
        <w:rPr>
          <w:rFonts w:hint="eastAsia" w:ascii="方正小标宋简体" w:hAnsi="宋体" w:eastAsia="方正小标宋简体"/>
          <w:color w:val="auto"/>
          <w:sz w:val="52"/>
          <w:szCs w:val="52"/>
          <w:highlight w:val="none"/>
        </w:rPr>
      </w:pPr>
    </w:p>
    <w:p>
      <w:pPr>
        <w:spacing w:line="360" w:lineRule="auto"/>
        <w:jc w:val="center"/>
        <w:rPr>
          <w:rFonts w:hint="eastAsia" w:ascii="方正小标宋简体" w:hAnsi="方正小标宋简体" w:eastAsia="方正小标宋简体" w:cs="方正小标宋简体"/>
          <w:color w:val="auto"/>
          <w:sz w:val="52"/>
          <w:szCs w:val="52"/>
          <w:highlight w:val="none"/>
        </w:rPr>
      </w:pPr>
      <w:r>
        <w:rPr>
          <w:rFonts w:hint="eastAsia" w:ascii="方正小标宋简体" w:hAnsi="宋体" w:eastAsia="方正小标宋简体"/>
          <w:color w:val="auto"/>
          <w:sz w:val="52"/>
          <w:szCs w:val="52"/>
          <w:highlight w:val="none"/>
        </w:rPr>
        <w:t>云之龙咨询集团有限公司</w:t>
      </w:r>
    </w:p>
    <w:p>
      <w:pPr>
        <w:spacing w:line="360" w:lineRule="auto"/>
        <w:jc w:val="center"/>
        <w:rPr>
          <w:rFonts w:hint="eastAsia" w:ascii="方正小标宋简体" w:hAnsi="方正小标宋简体" w:eastAsia="方正小标宋简体" w:cs="方正小标宋简体"/>
          <w:b/>
          <w:color w:val="auto"/>
          <w:sz w:val="44"/>
          <w:szCs w:val="44"/>
          <w:highlight w:val="none"/>
        </w:rPr>
      </w:pPr>
    </w:p>
    <w:p>
      <w:pPr>
        <w:snapToGrid w:val="0"/>
        <w:spacing w:before="120" w:beforeLines="50" w:line="360" w:lineRule="auto"/>
        <w:jc w:val="center"/>
        <w:rPr>
          <w:rFonts w:hint="eastAsia" w:ascii="华文新魏" w:hAnsi="宋体" w:eastAsia="华文新魏"/>
          <w:color w:val="auto"/>
          <w:sz w:val="120"/>
          <w:szCs w:val="120"/>
          <w:highlight w:val="none"/>
        </w:rPr>
      </w:pPr>
      <w:r>
        <w:rPr>
          <w:rFonts w:hint="eastAsia" w:ascii="华文新魏" w:hAnsi="宋体" w:eastAsia="华文新魏"/>
          <w:color w:val="auto"/>
          <w:sz w:val="120"/>
          <w:szCs w:val="120"/>
          <w:highlight w:val="none"/>
        </w:rPr>
        <w:t>招 标 文 件</w:t>
      </w:r>
    </w:p>
    <w:p>
      <w:pPr>
        <w:pStyle w:val="89"/>
        <w:jc w:val="center"/>
        <w:rPr>
          <w:rFonts w:hint="eastAsia" w:ascii="仿宋_GB2312" w:hAnsi="宋体" w:eastAsia="仿宋_GB2312"/>
          <w:b/>
          <w:color w:val="auto"/>
          <w:sz w:val="48"/>
          <w:szCs w:val="48"/>
          <w:highlight w:val="none"/>
        </w:rPr>
      </w:pPr>
      <w:r>
        <w:rPr>
          <w:rFonts w:hint="eastAsia" w:ascii="仿宋_GB2312" w:hAnsi="宋体" w:eastAsia="仿宋_GB2312"/>
          <w:b/>
          <w:color w:val="auto"/>
          <w:sz w:val="48"/>
          <w:szCs w:val="48"/>
          <w:highlight w:val="none"/>
        </w:rPr>
        <w:t>（全流程电子化采购）</w:t>
      </w:r>
    </w:p>
    <w:p>
      <w:pPr>
        <w:pStyle w:val="89"/>
        <w:jc w:val="center"/>
        <w:rPr>
          <w:rFonts w:hint="eastAsia" w:ascii="仿宋_GB2312" w:hAnsi="宋体" w:eastAsia="仿宋_GB2312"/>
          <w:b/>
          <w:color w:val="auto"/>
          <w:sz w:val="48"/>
          <w:szCs w:val="48"/>
          <w:highlight w:val="none"/>
        </w:rPr>
      </w:pPr>
    </w:p>
    <w:p>
      <w:pPr>
        <w:spacing w:line="360" w:lineRule="auto"/>
        <w:ind w:left="2883" w:leftChars="608" w:hanging="1606" w:hangingChars="500"/>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项目名称：</w:t>
      </w:r>
      <w:r>
        <w:rPr>
          <w:rFonts w:hint="eastAsia" w:ascii="仿宋_GB2312" w:hAnsi="仿宋_GB2312" w:eastAsia="仿宋_GB2312" w:cs="仿宋_GB2312"/>
          <w:b/>
          <w:bCs/>
          <w:color w:val="auto"/>
          <w:sz w:val="32"/>
          <w:szCs w:val="32"/>
          <w:highlight w:val="none"/>
          <w:lang w:eastAsia="zh-CN"/>
        </w:rPr>
        <w:t>广西壮族自治区桂东人民医院彩色多普勒超声诊断仪采购</w:t>
      </w:r>
    </w:p>
    <w:p>
      <w:pPr>
        <w:spacing w:line="360" w:lineRule="auto"/>
        <w:ind w:firstLine="1285" w:firstLineChars="400"/>
        <w:rPr>
          <w:rFonts w:hint="eastAsia" w:ascii="仿宋_GB2312" w:hAnsi="仿宋_GB2312" w:eastAsia="仿宋_GB2312" w:cs="仿宋_GB2312"/>
          <w:b/>
          <w:bCs/>
          <w:color w:val="auto"/>
          <w:sz w:val="32"/>
          <w:szCs w:val="32"/>
          <w:highlight w:val="none"/>
          <w:lang w:eastAsia="zh-CN"/>
        </w:rPr>
      </w:pPr>
      <w:r>
        <w:rPr>
          <w:rFonts w:hint="eastAsia" w:ascii="仿宋_GB2312" w:hAnsi="仿宋_GB2312" w:eastAsia="仿宋_GB2312" w:cs="仿宋_GB2312"/>
          <w:b/>
          <w:bCs/>
          <w:color w:val="auto"/>
          <w:sz w:val="32"/>
          <w:szCs w:val="32"/>
          <w:highlight w:val="none"/>
        </w:rPr>
        <w:t>项目编号：</w:t>
      </w:r>
      <w:r>
        <w:rPr>
          <w:rFonts w:hint="eastAsia" w:ascii="仿宋_GB2312" w:hAnsi="仿宋_GB2312" w:eastAsia="仿宋_GB2312" w:cs="仿宋_GB2312"/>
          <w:b/>
          <w:bCs/>
          <w:color w:val="auto"/>
          <w:sz w:val="32"/>
          <w:szCs w:val="32"/>
          <w:highlight w:val="none"/>
          <w:lang w:eastAsia="zh-CN"/>
        </w:rPr>
        <w:t>HZZC2023-G1-990386-YZLZ</w:t>
      </w:r>
    </w:p>
    <w:p>
      <w:pPr>
        <w:spacing w:line="360" w:lineRule="auto"/>
        <w:ind w:firstLine="1285" w:firstLineChars="4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采 购 人：广西壮族自治区桂东人民医院</w:t>
      </w:r>
    </w:p>
    <w:p>
      <w:pPr>
        <w:spacing w:line="360" w:lineRule="auto"/>
        <w:ind w:firstLine="1285" w:firstLineChars="4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采购代理机构：云之龙咨询集团有限公司</w:t>
      </w:r>
    </w:p>
    <w:p>
      <w:pPr>
        <w:pStyle w:val="23"/>
        <w:snapToGrid w:val="0"/>
        <w:spacing w:line="360" w:lineRule="auto"/>
        <w:ind w:firstLine="1125" w:firstLineChars="393"/>
        <w:rPr>
          <w:rFonts w:hint="eastAsia" w:ascii="仿宋_GB2312" w:hAnsi="宋体" w:eastAsia="仿宋_GB2312"/>
          <w:b/>
          <w:bCs/>
          <w:color w:val="auto"/>
          <w:w w:val="95"/>
          <w:sz w:val="30"/>
          <w:szCs w:val="30"/>
          <w:highlight w:val="none"/>
        </w:rPr>
      </w:pPr>
    </w:p>
    <w:p>
      <w:pPr>
        <w:pStyle w:val="23"/>
        <w:snapToGrid w:val="0"/>
        <w:spacing w:line="360" w:lineRule="auto"/>
        <w:ind w:firstLine="1125" w:firstLineChars="393"/>
        <w:rPr>
          <w:rFonts w:hint="eastAsia" w:ascii="仿宋_GB2312" w:hAnsi="宋体" w:eastAsia="仿宋_GB2312"/>
          <w:b/>
          <w:bCs/>
          <w:color w:val="auto"/>
          <w:w w:val="95"/>
          <w:sz w:val="30"/>
          <w:szCs w:val="30"/>
          <w:highlight w:val="none"/>
        </w:rPr>
      </w:pPr>
    </w:p>
    <w:p>
      <w:pPr>
        <w:pStyle w:val="23"/>
        <w:snapToGrid w:val="0"/>
        <w:spacing w:line="360" w:lineRule="auto"/>
        <w:ind w:firstLine="841" w:firstLineChars="294"/>
        <w:rPr>
          <w:rFonts w:hint="eastAsia" w:ascii="仿宋_GB2312" w:eastAsia="仿宋_GB2312"/>
          <w:color w:val="auto"/>
          <w:szCs w:val="20"/>
          <w:highlight w:val="none"/>
        </w:rPr>
      </w:pPr>
      <w:r>
        <w:rPr>
          <w:rFonts w:hint="eastAsia" w:ascii="仿宋_GB2312" w:hAnsi="宋体" w:eastAsia="仿宋_GB2312"/>
          <w:b/>
          <w:bCs/>
          <w:color w:val="auto"/>
          <w:w w:val="95"/>
          <w:sz w:val="30"/>
          <w:szCs w:val="30"/>
          <w:highlight w:val="none"/>
        </w:rPr>
        <w:t xml:space="preserve">               2023年</w:t>
      </w:r>
      <w:r>
        <w:rPr>
          <w:rFonts w:hint="eastAsia" w:ascii="仿宋_GB2312" w:hAnsi="宋体" w:eastAsia="仿宋_GB2312"/>
          <w:b/>
          <w:bCs/>
          <w:color w:val="auto"/>
          <w:w w:val="95"/>
          <w:sz w:val="30"/>
          <w:szCs w:val="30"/>
          <w:highlight w:val="none"/>
          <w:lang w:val="en-US" w:eastAsia="zh-CN"/>
        </w:rPr>
        <w:t>12</w:t>
      </w:r>
      <w:r>
        <w:rPr>
          <w:rFonts w:hint="eastAsia" w:ascii="仿宋_GB2312" w:hAnsi="宋体" w:eastAsia="仿宋_GB2312"/>
          <w:b/>
          <w:bCs/>
          <w:color w:val="auto"/>
          <w:w w:val="95"/>
          <w:sz w:val="30"/>
          <w:szCs w:val="30"/>
          <w:highlight w:val="none"/>
        </w:rPr>
        <w:t>月</w:t>
      </w:r>
    </w:p>
    <w:p>
      <w:pPr>
        <w:pStyle w:val="23"/>
        <w:spacing w:before="120" w:after="120" w:line="360" w:lineRule="auto"/>
        <w:jc w:val="center"/>
        <w:rPr>
          <w:rFonts w:hint="eastAsia" w:ascii="仿宋_GB2312" w:hAnsi="宋体" w:eastAsia="仿宋_GB2312"/>
          <w:color w:val="auto"/>
          <w:highlight w:val="none"/>
        </w:rPr>
      </w:pPr>
    </w:p>
    <w:p>
      <w:pPr>
        <w:pStyle w:val="23"/>
        <w:spacing w:before="120" w:after="120" w:line="360" w:lineRule="auto"/>
        <w:jc w:val="center"/>
        <w:rPr>
          <w:rFonts w:hint="eastAsia" w:ascii="仿宋_GB2312" w:hAnsi="宋体" w:eastAsia="仿宋_GB2312"/>
          <w:color w:val="auto"/>
          <w:highlight w:val="none"/>
        </w:rPr>
      </w:pPr>
      <w:r>
        <w:rPr>
          <w:rFonts w:ascii="仿宋_GB2312" w:hAnsi="宋体" w:eastAsia="仿宋_GB2312"/>
          <w:color w:val="auto"/>
          <w:highlight w:val="none"/>
        </w:rPr>
        <w:br w:type="page"/>
      </w:r>
    </w:p>
    <w:p>
      <w:pPr>
        <w:spacing w:line="360" w:lineRule="auto"/>
        <w:jc w:val="center"/>
        <w:rPr>
          <w:rFonts w:hint="eastAsia" w:ascii="宋体" w:hAnsi="宋体"/>
          <w:b/>
          <w:color w:val="auto"/>
          <w:sz w:val="44"/>
          <w:szCs w:val="44"/>
          <w:highlight w:val="none"/>
        </w:rPr>
      </w:pPr>
      <w:r>
        <w:rPr>
          <w:rFonts w:hint="eastAsia" w:ascii="宋体" w:hAnsi="宋体"/>
          <w:b/>
          <w:color w:val="auto"/>
          <w:sz w:val="44"/>
          <w:szCs w:val="44"/>
          <w:highlight w:val="none"/>
        </w:rPr>
        <w:t>目  录</w:t>
      </w:r>
    </w:p>
    <w:p>
      <w:pPr>
        <w:spacing w:line="400" w:lineRule="exact"/>
        <w:jc w:val="center"/>
        <w:rPr>
          <w:rFonts w:hint="eastAsia" w:ascii="宋体" w:hAnsi="宋体"/>
          <w:b/>
          <w:color w:val="auto"/>
          <w:sz w:val="44"/>
          <w:szCs w:val="44"/>
          <w:highlight w:val="none"/>
        </w:rPr>
      </w:pPr>
    </w:p>
    <w:p>
      <w:pPr>
        <w:pStyle w:val="31"/>
        <w:tabs>
          <w:tab w:val="right" w:leader="dot" w:pos="8730"/>
          <w:tab w:val="clear" w:pos="8398"/>
        </w:tabs>
        <w:rPr>
          <w:color w:val="auto"/>
          <w:highlight w:val="none"/>
        </w:rPr>
      </w:pPr>
      <w:r>
        <w:rPr>
          <w:rFonts w:ascii="仿宋_GB2312" w:eastAsia="仿宋_GB2312"/>
          <w:b w:val="0"/>
          <w:color w:val="auto"/>
          <w:highlight w:val="none"/>
        </w:rPr>
        <w:fldChar w:fldCharType="begin"/>
      </w:r>
      <w:r>
        <w:rPr>
          <w:rFonts w:ascii="仿宋_GB2312" w:eastAsia="仿宋_GB2312"/>
          <w:b w:val="0"/>
          <w:color w:val="auto"/>
          <w:highlight w:val="none"/>
        </w:rPr>
        <w:instrText xml:space="preserve"> </w:instrText>
      </w:r>
      <w:r>
        <w:rPr>
          <w:rFonts w:hint="eastAsia" w:ascii="仿宋_GB2312" w:eastAsia="仿宋_GB2312"/>
          <w:b w:val="0"/>
          <w:color w:val="auto"/>
          <w:highlight w:val="none"/>
        </w:rPr>
        <w:instrText xml:space="preserve">TOC \o "1-2" \h \z \u</w:instrText>
      </w:r>
      <w:r>
        <w:rPr>
          <w:rFonts w:ascii="仿宋_GB2312" w:eastAsia="仿宋_GB2312"/>
          <w:b w:val="0"/>
          <w:color w:val="auto"/>
          <w:highlight w:val="none"/>
        </w:rPr>
        <w:instrText xml:space="preserve"> </w:instrText>
      </w:r>
      <w:r>
        <w:rPr>
          <w:rFonts w:ascii="仿宋_GB2312" w:eastAsia="仿宋_GB2312"/>
          <w:b w:val="0"/>
          <w:color w:val="auto"/>
          <w:highlight w:val="none"/>
        </w:rPr>
        <w:fldChar w:fldCharType="separate"/>
      </w:r>
      <w:r>
        <w:rPr>
          <w:rFonts w:ascii="仿宋_GB2312" w:eastAsia="仿宋_GB2312"/>
          <w:color w:val="auto"/>
          <w:highlight w:val="none"/>
        </w:rPr>
        <w:fldChar w:fldCharType="begin"/>
      </w:r>
      <w:r>
        <w:rPr>
          <w:rFonts w:ascii="仿宋_GB2312" w:eastAsia="仿宋_GB2312"/>
          <w:color w:val="auto"/>
          <w:highlight w:val="none"/>
        </w:rPr>
        <w:instrText xml:space="preserve"> HYPERLINK \l _Toc26956 </w:instrText>
      </w:r>
      <w:r>
        <w:rPr>
          <w:rFonts w:ascii="仿宋_GB2312" w:eastAsia="仿宋_GB2312"/>
          <w:color w:val="auto"/>
          <w:highlight w:val="none"/>
        </w:rPr>
        <w:fldChar w:fldCharType="separate"/>
      </w:r>
      <w:r>
        <w:rPr>
          <w:rFonts w:hint="eastAsia"/>
          <w:color w:val="auto"/>
          <w:highlight w:val="none"/>
        </w:rPr>
        <w:t xml:space="preserve">第一章 </w:t>
      </w:r>
      <w:r>
        <w:rPr>
          <w:rFonts w:hint="eastAsia"/>
          <w:color w:val="auto"/>
          <w:highlight w:val="none"/>
          <w:lang w:val="en-US" w:eastAsia="zh-CN"/>
        </w:rPr>
        <w:t xml:space="preserve"> </w:t>
      </w:r>
      <w:r>
        <w:rPr>
          <w:rFonts w:hint="eastAsia"/>
          <w:color w:val="auto"/>
          <w:highlight w:val="none"/>
        </w:rPr>
        <w:t>招标公告</w:t>
      </w:r>
      <w:r>
        <w:rPr>
          <w:color w:val="auto"/>
          <w:highlight w:val="none"/>
        </w:rPr>
        <w:tab/>
      </w:r>
      <w:r>
        <w:rPr>
          <w:color w:val="auto"/>
          <w:highlight w:val="none"/>
        </w:rPr>
        <w:fldChar w:fldCharType="begin"/>
      </w:r>
      <w:r>
        <w:rPr>
          <w:color w:val="auto"/>
          <w:highlight w:val="none"/>
        </w:rPr>
        <w:instrText xml:space="preserve"> PAGEREF _Toc26956 \h </w:instrText>
      </w:r>
      <w:r>
        <w:rPr>
          <w:color w:val="auto"/>
          <w:highlight w:val="none"/>
        </w:rPr>
        <w:fldChar w:fldCharType="separate"/>
      </w:r>
      <w:r>
        <w:rPr>
          <w:color w:val="auto"/>
          <w:highlight w:val="none"/>
        </w:rPr>
        <w:t>3</w:t>
      </w:r>
      <w:r>
        <w:rPr>
          <w:color w:val="auto"/>
          <w:highlight w:val="none"/>
        </w:rPr>
        <w:fldChar w:fldCharType="end"/>
      </w:r>
      <w:r>
        <w:rPr>
          <w:rFonts w:ascii="仿宋_GB2312" w:eastAsia="仿宋_GB2312"/>
          <w:color w:val="auto"/>
          <w:highlight w:val="none"/>
        </w:rPr>
        <w:fldChar w:fldCharType="end"/>
      </w:r>
    </w:p>
    <w:p>
      <w:pPr>
        <w:pStyle w:val="31"/>
        <w:tabs>
          <w:tab w:val="right" w:leader="dot" w:pos="873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_Toc27979 </w:instrText>
      </w:r>
      <w:r>
        <w:rPr>
          <w:rFonts w:ascii="仿宋_GB2312" w:eastAsia="仿宋_GB2312"/>
          <w:color w:val="auto"/>
          <w:highlight w:val="none"/>
        </w:rPr>
        <w:fldChar w:fldCharType="separate"/>
      </w:r>
      <w:r>
        <w:rPr>
          <w:rFonts w:hint="eastAsia"/>
          <w:color w:val="auto"/>
          <w:highlight w:val="none"/>
        </w:rPr>
        <w:t>第二章  采购需求</w:t>
      </w:r>
      <w:r>
        <w:rPr>
          <w:color w:val="auto"/>
          <w:highlight w:val="none"/>
        </w:rPr>
        <w:tab/>
      </w:r>
      <w:r>
        <w:rPr>
          <w:color w:val="auto"/>
          <w:highlight w:val="none"/>
        </w:rPr>
        <w:fldChar w:fldCharType="begin"/>
      </w:r>
      <w:r>
        <w:rPr>
          <w:color w:val="auto"/>
          <w:highlight w:val="none"/>
        </w:rPr>
        <w:instrText xml:space="preserve"> PAGEREF _Toc27979 \h </w:instrText>
      </w:r>
      <w:r>
        <w:rPr>
          <w:color w:val="auto"/>
          <w:highlight w:val="none"/>
        </w:rPr>
        <w:fldChar w:fldCharType="separate"/>
      </w:r>
      <w:r>
        <w:rPr>
          <w:color w:val="auto"/>
          <w:highlight w:val="none"/>
        </w:rPr>
        <w:t>7</w:t>
      </w:r>
      <w:r>
        <w:rPr>
          <w:color w:val="auto"/>
          <w:highlight w:val="none"/>
        </w:rPr>
        <w:fldChar w:fldCharType="end"/>
      </w:r>
      <w:r>
        <w:rPr>
          <w:rFonts w:ascii="仿宋_GB2312" w:eastAsia="仿宋_GB2312"/>
          <w:color w:val="auto"/>
          <w:highlight w:val="none"/>
        </w:rPr>
        <w:fldChar w:fldCharType="end"/>
      </w:r>
    </w:p>
    <w:p>
      <w:pPr>
        <w:pStyle w:val="31"/>
        <w:tabs>
          <w:tab w:val="right" w:leader="dot" w:pos="873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_Toc25688 </w:instrText>
      </w:r>
      <w:r>
        <w:rPr>
          <w:rFonts w:ascii="仿宋_GB2312" w:eastAsia="仿宋_GB2312"/>
          <w:color w:val="auto"/>
          <w:highlight w:val="none"/>
        </w:rPr>
        <w:fldChar w:fldCharType="separate"/>
      </w:r>
      <w:r>
        <w:rPr>
          <w:rFonts w:hint="eastAsia"/>
          <w:color w:val="auto"/>
          <w:highlight w:val="none"/>
        </w:rPr>
        <w:t>第三章  投标人须知</w:t>
      </w:r>
      <w:r>
        <w:rPr>
          <w:color w:val="auto"/>
          <w:highlight w:val="none"/>
        </w:rPr>
        <w:tab/>
      </w:r>
      <w:r>
        <w:rPr>
          <w:color w:val="auto"/>
          <w:highlight w:val="none"/>
        </w:rPr>
        <w:fldChar w:fldCharType="begin"/>
      </w:r>
      <w:r>
        <w:rPr>
          <w:color w:val="auto"/>
          <w:highlight w:val="none"/>
        </w:rPr>
        <w:instrText xml:space="preserve"> PAGEREF _Toc25688 \h </w:instrText>
      </w:r>
      <w:r>
        <w:rPr>
          <w:color w:val="auto"/>
          <w:highlight w:val="none"/>
        </w:rPr>
        <w:fldChar w:fldCharType="separate"/>
      </w:r>
      <w:r>
        <w:rPr>
          <w:color w:val="auto"/>
          <w:highlight w:val="none"/>
        </w:rPr>
        <w:t>30</w:t>
      </w:r>
      <w:r>
        <w:rPr>
          <w:color w:val="auto"/>
          <w:highlight w:val="none"/>
        </w:rPr>
        <w:fldChar w:fldCharType="end"/>
      </w:r>
      <w:r>
        <w:rPr>
          <w:rFonts w:ascii="仿宋_GB2312" w:eastAsia="仿宋_GB2312"/>
          <w:color w:val="auto"/>
          <w:highlight w:val="none"/>
        </w:rPr>
        <w:fldChar w:fldCharType="end"/>
      </w:r>
    </w:p>
    <w:p>
      <w:pPr>
        <w:pStyle w:val="31"/>
        <w:tabs>
          <w:tab w:val="right" w:leader="dot" w:pos="873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_Toc15687 </w:instrText>
      </w:r>
      <w:r>
        <w:rPr>
          <w:rFonts w:ascii="仿宋_GB2312" w:eastAsia="仿宋_GB2312"/>
          <w:color w:val="auto"/>
          <w:highlight w:val="none"/>
        </w:rPr>
        <w:fldChar w:fldCharType="separate"/>
      </w:r>
      <w:r>
        <w:rPr>
          <w:rFonts w:hint="eastAsia"/>
          <w:color w:val="auto"/>
          <w:highlight w:val="none"/>
        </w:rPr>
        <w:t>第四章  评标方法及评标标准</w:t>
      </w:r>
      <w:r>
        <w:rPr>
          <w:color w:val="auto"/>
          <w:highlight w:val="none"/>
        </w:rPr>
        <w:tab/>
      </w:r>
      <w:r>
        <w:rPr>
          <w:color w:val="auto"/>
          <w:highlight w:val="none"/>
        </w:rPr>
        <w:fldChar w:fldCharType="begin"/>
      </w:r>
      <w:r>
        <w:rPr>
          <w:color w:val="auto"/>
          <w:highlight w:val="none"/>
        </w:rPr>
        <w:instrText xml:space="preserve"> PAGEREF _Toc15687 \h </w:instrText>
      </w:r>
      <w:r>
        <w:rPr>
          <w:color w:val="auto"/>
          <w:highlight w:val="none"/>
        </w:rPr>
        <w:fldChar w:fldCharType="separate"/>
      </w:r>
      <w:r>
        <w:rPr>
          <w:color w:val="auto"/>
          <w:highlight w:val="none"/>
        </w:rPr>
        <w:t>73</w:t>
      </w:r>
      <w:r>
        <w:rPr>
          <w:color w:val="auto"/>
          <w:highlight w:val="none"/>
        </w:rPr>
        <w:fldChar w:fldCharType="end"/>
      </w:r>
      <w:r>
        <w:rPr>
          <w:rFonts w:ascii="仿宋_GB2312" w:eastAsia="仿宋_GB2312"/>
          <w:color w:val="auto"/>
          <w:highlight w:val="none"/>
        </w:rPr>
        <w:fldChar w:fldCharType="end"/>
      </w:r>
    </w:p>
    <w:p>
      <w:pPr>
        <w:pStyle w:val="31"/>
        <w:tabs>
          <w:tab w:val="right" w:leader="dot" w:pos="873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_Toc25250 </w:instrText>
      </w:r>
      <w:r>
        <w:rPr>
          <w:rFonts w:ascii="仿宋_GB2312" w:eastAsia="仿宋_GB2312"/>
          <w:color w:val="auto"/>
          <w:highlight w:val="none"/>
        </w:rPr>
        <w:fldChar w:fldCharType="separate"/>
      </w:r>
      <w:r>
        <w:rPr>
          <w:rFonts w:hint="eastAsia"/>
          <w:color w:val="auto"/>
          <w:highlight w:val="none"/>
        </w:rPr>
        <w:t>第五章  拟签订的合同文本</w:t>
      </w:r>
      <w:r>
        <w:rPr>
          <w:color w:val="auto"/>
          <w:highlight w:val="none"/>
        </w:rPr>
        <w:tab/>
      </w:r>
      <w:r>
        <w:rPr>
          <w:color w:val="auto"/>
          <w:highlight w:val="none"/>
        </w:rPr>
        <w:fldChar w:fldCharType="begin"/>
      </w:r>
      <w:r>
        <w:rPr>
          <w:color w:val="auto"/>
          <w:highlight w:val="none"/>
        </w:rPr>
        <w:instrText xml:space="preserve"> PAGEREF _Toc25250 \h </w:instrText>
      </w:r>
      <w:r>
        <w:rPr>
          <w:color w:val="auto"/>
          <w:highlight w:val="none"/>
        </w:rPr>
        <w:fldChar w:fldCharType="separate"/>
      </w:r>
      <w:r>
        <w:rPr>
          <w:color w:val="auto"/>
          <w:highlight w:val="none"/>
        </w:rPr>
        <w:t>81</w:t>
      </w:r>
      <w:r>
        <w:rPr>
          <w:color w:val="auto"/>
          <w:highlight w:val="none"/>
        </w:rPr>
        <w:fldChar w:fldCharType="end"/>
      </w:r>
      <w:r>
        <w:rPr>
          <w:rFonts w:ascii="仿宋_GB2312" w:eastAsia="仿宋_GB2312"/>
          <w:color w:val="auto"/>
          <w:highlight w:val="none"/>
        </w:rPr>
        <w:fldChar w:fldCharType="end"/>
      </w:r>
    </w:p>
    <w:p>
      <w:pPr>
        <w:pStyle w:val="31"/>
        <w:tabs>
          <w:tab w:val="right" w:leader="dot" w:pos="8730"/>
          <w:tab w:val="clear" w:pos="8398"/>
        </w:tabs>
        <w:ind w:firstLine="241"/>
        <w:rPr>
          <w:color w:val="auto"/>
          <w:highlight w:val="none"/>
        </w:rPr>
      </w:pPr>
      <w:r>
        <w:rPr>
          <w:rFonts w:ascii="仿宋_GB2312" w:eastAsia="仿宋_GB2312"/>
          <w:color w:val="auto"/>
          <w:highlight w:val="none"/>
        </w:rPr>
        <w:fldChar w:fldCharType="begin"/>
      </w:r>
      <w:r>
        <w:rPr>
          <w:rFonts w:ascii="仿宋_GB2312" w:eastAsia="仿宋_GB2312"/>
          <w:color w:val="auto"/>
          <w:highlight w:val="none"/>
        </w:rPr>
        <w:instrText xml:space="preserve"> HYPERLINK \l _Toc25289 </w:instrText>
      </w:r>
      <w:r>
        <w:rPr>
          <w:rFonts w:ascii="仿宋_GB2312" w:eastAsia="仿宋_GB2312"/>
          <w:color w:val="auto"/>
          <w:highlight w:val="none"/>
        </w:rPr>
        <w:fldChar w:fldCharType="separate"/>
      </w:r>
      <w:r>
        <w:rPr>
          <w:rFonts w:hint="eastAsia"/>
          <w:color w:val="auto"/>
          <w:highlight w:val="none"/>
        </w:rPr>
        <w:t>第六章　投标文件格式</w:t>
      </w:r>
      <w:r>
        <w:rPr>
          <w:color w:val="auto"/>
          <w:highlight w:val="none"/>
        </w:rPr>
        <w:tab/>
      </w:r>
      <w:r>
        <w:rPr>
          <w:color w:val="auto"/>
          <w:highlight w:val="none"/>
        </w:rPr>
        <w:fldChar w:fldCharType="begin"/>
      </w:r>
      <w:r>
        <w:rPr>
          <w:color w:val="auto"/>
          <w:highlight w:val="none"/>
        </w:rPr>
        <w:instrText xml:space="preserve"> PAGEREF _Toc25289 \h </w:instrText>
      </w:r>
      <w:r>
        <w:rPr>
          <w:color w:val="auto"/>
          <w:highlight w:val="none"/>
        </w:rPr>
        <w:fldChar w:fldCharType="separate"/>
      </w:r>
      <w:r>
        <w:rPr>
          <w:color w:val="auto"/>
          <w:highlight w:val="none"/>
        </w:rPr>
        <w:t>88</w:t>
      </w:r>
      <w:r>
        <w:rPr>
          <w:color w:val="auto"/>
          <w:highlight w:val="none"/>
        </w:rPr>
        <w:fldChar w:fldCharType="end"/>
      </w:r>
      <w:r>
        <w:rPr>
          <w:rFonts w:ascii="仿宋_GB2312" w:eastAsia="仿宋_GB2312"/>
          <w:color w:val="auto"/>
          <w:highlight w:val="none"/>
        </w:rPr>
        <w:fldChar w:fldCharType="end"/>
      </w:r>
    </w:p>
    <w:p>
      <w:pPr>
        <w:tabs>
          <w:tab w:val="right" w:leader="dot" w:pos="8789"/>
        </w:tabs>
        <w:snapToGrid w:val="0"/>
        <w:spacing w:line="500" w:lineRule="atLeast"/>
        <w:rPr>
          <w:rFonts w:hint="eastAsia" w:ascii="仿宋_GB2312" w:hAnsi="宋体" w:eastAsia="仿宋_GB2312"/>
          <w:color w:val="auto"/>
          <w:sz w:val="24"/>
          <w:highlight w:val="none"/>
        </w:rPr>
      </w:pPr>
      <w:r>
        <w:rPr>
          <w:rFonts w:ascii="仿宋_GB2312" w:hAnsi="宋体" w:eastAsia="仿宋_GB2312"/>
          <w:color w:val="auto"/>
          <w:highlight w:val="none"/>
        </w:rPr>
        <w:fldChar w:fldCharType="end"/>
      </w:r>
    </w:p>
    <w:p>
      <w:pPr>
        <w:spacing w:before="120" w:beforeLines="50" w:line="480" w:lineRule="exact"/>
        <w:rPr>
          <w:rFonts w:hint="eastAsia" w:ascii="仿宋_GB2312" w:hAnsi="宋体" w:eastAsia="仿宋_GB2312"/>
          <w:color w:val="auto"/>
          <w:sz w:val="30"/>
          <w:highlight w:val="none"/>
        </w:rPr>
      </w:pPr>
    </w:p>
    <w:p>
      <w:pPr>
        <w:rPr>
          <w:rFonts w:hint="eastAsia"/>
          <w:color w:val="auto"/>
          <w:highlight w:val="none"/>
        </w:rPr>
      </w:pPr>
    </w:p>
    <w:p>
      <w:pPr>
        <w:spacing w:before="120" w:beforeLines="50" w:line="480" w:lineRule="exact"/>
        <w:rPr>
          <w:rFonts w:hint="eastAsia" w:ascii="仿宋_GB2312" w:hAnsi="宋体" w:eastAsia="仿宋_GB2312"/>
          <w:color w:val="auto"/>
          <w:sz w:val="30"/>
          <w:highlight w:val="none"/>
        </w:rPr>
      </w:pPr>
    </w:p>
    <w:p>
      <w:pPr>
        <w:spacing w:before="120" w:beforeLines="50" w:line="480" w:lineRule="exact"/>
        <w:rPr>
          <w:rFonts w:hint="eastAsia" w:ascii="仿宋_GB2312" w:hAnsi="宋体" w:eastAsia="仿宋_GB2312"/>
          <w:color w:val="auto"/>
          <w:sz w:val="30"/>
          <w:highlight w:val="none"/>
        </w:rPr>
      </w:pPr>
    </w:p>
    <w:p>
      <w:pPr>
        <w:pStyle w:val="15"/>
        <w:rPr>
          <w:rFonts w:hint="eastAsia" w:ascii="宋体" w:hAnsi="宋体" w:cs="宋体"/>
          <w:b/>
          <w:bCs/>
          <w:color w:val="auto"/>
          <w:highlight w:val="none"/>
        </w:rPr>
      </w:pPr>
      <w:bookmarkStart w:id="0" w:name="_Toc254970630"/>
      <w:bookmarkStart w:id="1" w:name="_Toc254970489"/>
    </w:p>
    <w:p>
      <w:pPr>
        <w:pStyle w:val="2"/>
        <w:keepNext w:val="0"/>
        <w:keepLines w:val="0"/>
        <w:tabs>
          <w:tab w:val="left" w:pos="0"/>
          <w:tab w:val="left" w:pos="3165"/>
          <w:tab w:val="center" w:pos="4153"/>
        </w:tabs>
        <w:autoSpaceDE w:val="0"/>
        <w:autoSpaceDN w:val="0"/>
        <w:adjustRightInd w:val="0"/>
        <w:spacing w:before="0" w:after="0" w:line="360" w:lineRule="auto"/>
        <w:jc w:val="center"/>
        <w:rPr>
          <w:color w:val="auto"/>
          <w:highlight w:val="none"/>
        </w:rPr>
      </w:pPr>
      <w:r>
        <w:rPr>
          <w:rFonts w:hint="eastAsia" w:ascii="宋体" w:hAnsi="宋体" w:cs="宋体"/>
          <w:b w:val="0"/>
          <w:bCs w:val="0"/>
          <w:color w:val="auto"/>
          <w:highlight w:val="none"/>
        </w:rPr>
        <w:t xml:space="preserve"> </w:t>
      </w:r>
      <w:r>
        <w:rPr>
          <w:rFonts w:ascii="宋体" w:hAnsi="宋体" w:cs="宋体"/>
          <w:b w:val="0"/>
          <w:bCs w:val="0"/>
          <w:color w:val="auto"/>
          <w:highlight w:val="none"/>
        </w:rPr>
        <w:br w:type="page"/>
      </w:r>
      <w:bookmarkStart w:id="2" w:name="_Toc26956"/>
      <w:r>
        <w:rPr>
          <w:rFonts w:hint="eastAsia"/>
          <w:color w:val="auto"/>
          <w:highlight w:val="none"/>
        </w:rPr>
        <w:t>第一章</w:t>
      </w:r>
      <w:bookmarkEnd w:id="0"/>
      <w:bookmarkEnd w:id="1"/>
      <w:bookmarkStart w:id="3" w:name="_Toc35393789"/>
      <w:bookmarkStart w:id="4" w:name="_Toc28359001"/>
      <w:r>
        <w:rPr>
          <w:rFonts w:hint="eastAsia"/>
          <w:color w:val="auto"/>
          <w:highlight w:val="none"/>
        </w:rPr>
        <w:t xml:space="preserve"> 招标公告</w:t>
      </w:r>
      <w:bookmarkEnd w:id="2"/>
      <w:bookmarkEnd w:id="3"/>
      <w:bookmarkEnd w:id="4"/>
    </w:p>
    <w:p>
      <w:pPr>
        <w:spacing w:line="360" w:lineRule="auto"/>
        <w:rPr>
          <w:rFonts w:ascii="宋体" w:hAnsi="宋体"/>
          <w:color w:val="auto"/>
          <w:szCs w:val="21"/>
          <w:highlight w:val="none"/>
        </w:rPr>
      </w:pP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20" w:firstLineChars="200"/>
        <w:rPr>
          <w:rFonts w:ascii="宋体" w:hAnsi="宋体"/>
          <w:color w:val="auto"/>
          <w:szCs w:val="21"/>
          <w:highlight w:val="none"/>
        </w:rPr>
      </w:pPr>
      <w:r>
        <w:rPr>
          <w:rFonts w:hint="eastAsia" w:ascii="宋体" w:hAnsi="宋体"/>
          <w:color w:val="auto"/>
          <w:szCs w:val="21"/>
          <w:highlight w:val="none"/>
          <w:u w:val="single"/>
          <w:lang w:eastAsia="zh-CN"/>
        </w:rPr>
        <w:t>广西壮族自治区桂东人民医院彩色多普勒超声诊断仪采购</w:t>
      </w:r>
      <w:r>
        <w:rPr>
          <w:rFonts w:hint="eastAsia" w:ascii="宋体" w:hAnsi="宋体"/>
          <w:color w:val="auto"/>
          <w:szCs w:val="21"/>
          <w:highlight w:val="none"/>
        </w:rPr>
        <w:t>招标项目的潜在投标人应在“政采云”平台（https://www.zcygov.cn）获取（下载）招标文件，并于</w:t>
      </w:r>
      <w:r>
        <w:rPr>
          <w:rFonts w:hint="eastAsia" w:ascii="宋体" w:hAnsi="宋体"/>
          <w:color w:val="auto"/>
          <w:szCs w:val="21"/>
          <w:highlight w:val="none"/>
          <w:u w:val="single"/>
        </w:rPr>
        <w:t>202</w:t>
      </w:r>
      <w:r>
        <w:rPr>
          <w:rFonts w:hint="eastAsia" w:ascii="宋体" w:hAnsi="宋体"/>
          <w:color w:val="auto"/>
          <w:szCs w:val="21"/>
          <w:highlight w:val="none"/>
          <w:u w:val="single"/>
          <w:lang w:val="en-US" w:eastAsia="zh-CN"/>
        </w:rPr>
        <w:t>4</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1</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17</w:t>
      </w:r>
      <w:r>
        <w:rPr>
          <w:rFonts w:hint="eastAsia" w:ascii="宋体" w:hAnsi="宋体"/>
          <w:bCs/>
          <w:color w:val="auto"/>
          <w:szCs w:val="21"/>
          <w:highlight w:val="none"/>
          <w:u w:val="single"/>
        </w:rPr>
        <w:t>日09时</w:t>
      </w:r>
      <w:r>
        <w:rPr>
          <w:rFonts w:hint="eastAsia" w:ascii="宋体" w:hAnsi="宋体"/>
          <w:bCs/>
          <w:color w:val="auto"/>
          <w:szCs w:val="21"/>
          <w:highlight w:val="none"/>
          <w:u w:val="single"/>
          <w:lang w:val="en-US" w:eastAsia="zh-CN"/>
        </w:rPr>
        <w:t>0</w:t>
      </w:r>
      <w:r>
        <w:rPr>
          <w:rFonts w:hint="eastAsia" w:ascii="宋体" w:hAnsi="宋体"/>
          <w:bCs/>
          <w:color w:val="auto"/>
          <w:szCs w:val="21"/>
          <w:highlight w:val="none"/>
          <w:u w:val="single"/>
        </w:rPr>
        <w:t>0分（</w:t>
      </w:r>
      <w:r>
        <w:rPr>
          <w:rFonts w:hint="eastAsia" w:ascii="宋体" w:hAnsi="宋体"/>
          <w:bCs/>
          <w:color w:val="auto"/>
          <w:szCs w:val="21"/>
          <w:highlight w:val="none"/>
        </w:rPr>
        <w:t>北京时间）前按要求递交（上传）投标</w:t>
      </w:r>
      <w:r>
        <w:rPr>
          <w:rFonts w:ascii="宋体" w:hAnsi="宋体"/>
          <w:bCs/>
          <w:color w:val="auto"/>
          <w:szCs w:val="21"/>
          <w:highlight w:val="none"/>
        </w:rPr>
        <w:t>文件</w:t>
      </w:r>
      <w:r>
        <w:rPr>
          <w:rFonts w:hint="eastAsia" w:ascii="宋体" w:hAnsi="宋体"/>
          <w:color w:val="auto"/>
          <w:szCs w:val="21"/>
          <w:highlight w:val="none"/>
        </w:rPr>
        <w:t>。</w:t>
      </w:r>
    </w:p>
    <w:p>
      <w:pPr>
        <w:spacing w:line="360" w:lineRule="auto"/>
        <w:rPr>
          <w:rFonts w:hint="eastAsia" w:ascii="黑体" w:hAnsi="黑体" w:eastAsia="黑体"/>
          <w:b/>
          <w:bCs/>
          <w:color w:val="auto"/>
          <w:sz w:val="24"/>
          <w:highlight w:val="none"/>
          <w:lang w:val="en-US" w:eastAsia="zh-CN"/>
        </w:rPr>
      </w:pPr>
      <w:bookmarkStart w:id="5" w:name="_Toc28359002"/>
      <w:bookmarkStart w:id="6" w:name="_Toc35393621"/>
      <w:bookmarkStart w:id="7" w:name="_Toc35393790"/>
      <w:bookmarkStart w:id="8" w:name="_Toc28359079"/>
      <w:bookmarkStart w:id="9" w:name="_Hlk24379207"/>
      <w:r>
        <w:rPr>
          <w:rFonts w:hint="eastAsia" w:ascii="黑体" w:hAnsi="黑体" w:eastAsia="黑体"/>
          <w:b/>
          <w:bCs/>
          <w:color w:val="auto"/>
          <w:sz w:val="24"/>
          <w:highlight w:val="none"/>
        </w:rPr>
        <w:t>一、项目基本情况</w:t>
      </w:r>
      <w:bookmarkEnd w:id="5"/>
      <w:bookmarkEnd w:id="6"/>
      <w:bookmarkEnd w:id="7"/>
      <w:bookmarkEnd w:id="8"/>
      <w:r>
        <w:rPr>
          <w:rFonts w:hint="eastAsia" w:ascii="黑体" w:hAnsi="黑体" w:eastAsia="黑体"/>
          <w:b/>
          <w:bCs/>
          <w:color w:val="auto"/>
          <w:sz w:val="24"/>
          <w:highlight w:val="none"/>
          <w:lang w:val="en-US" w:eastAsia="zh-CN"/>
        </w:rPr>
        <w:t>1</w:t>
      </w:r>
    </w:p>
    <w:bookmarkEnd w:id="9"/>
    <w:p>
      <w:pPr>
        <w:spacing w:line="360" w:lineRule="auto"/>
        <w:ind w:firstLine="420" w:firstLineChars="200"/>
        <w:rPr>
          <w:rFonts w:hint="eastAsia" w:ascii="宋体" w:hAnsi="宋体" w:eastAsia="宋体"/>
          <w:color w:val="auto"/>
          <w:szCs w:val="21"/>
          <w:highlight w:val="none"/>
          <w:lang w:eastAsia="zh-CN"/>
        </w:rPr>
      </w:pPr>
      <w:r>
        <w:rPr>
          <w:rFonts w:hint="eastAsia" w:ascii="宋体" w:hAnsi="宋体"/>
          <w:color w:val="auto"/>
          <w:szCs w:val="21"/>
          <w:highlight w:val="none"/>
        </w:rPr>
        <w:t>项目编号：</w:t>
      </w:r>
      <w:r>
        <w:rPr>
          <w:rFonts w:hint="eastAsia" w:ascii="宋体" w:hAnsi="宋体"/>
          <w:color w:val="auto"/>
          <w:szCs w:val="21"/>
          <w:highlight w:val="none"/>
          <w:lang w:eastAsia="zh-CN"/>
        </w:rPr>
        <w:t>HZZC2023-G1-990386-YZLZ</w:t>
      </w:r>
    </w:p>
    <w:p>
      <w:pPr>
        <w:spacing w:line="360" w:lineRule="auto"/>
        <w:ind w:firstLine="420" w:firstLineChars="200"/>
        <w:rPr>
          <w:rFonts w:hint="eastAsia" w:ascii="宋体" w:hAnsi="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广西壮族自治区桂东人民医院彩色多普勒超声诊断仪采购</w:t>
      </w:r>
    </w:p>
    <w:p>
      <w:pPr>
        <w:spacing w:line="360" w:lineRule="auto"/>
        <w:ind w:firstLine="420" w:firstLineChars="200"/>
        <w:rPr>
          <w:rFonts w:ascii="宋体" w:hAnsi="宋体"/>
          <w:color w:val="auto"/>
          <w:szCs w:val="21"/>
          <w:highlight w:val="none"/>
          <w:u w:val="single"/>
        </w:rPr>
      </w:pPr>
      <w:r>
        <w:rPr>
          <w:rFonts w:hint="eastAsia" w:ascii="宋体" w:hAnsi="宋体"/>
          <w:color w:val="auto"/>
          <w:szCs w:val="21"/>
          <w:highlight w:val="none"/>
        </w:rPr>
        <w:t>总预算金额：</w:t>
      </w:r>
      <w:r>
        <w:rPr>
          <w:rFonts w:hint="eastAsia" w:ascii="宋体" w:hAnsi="宋体"/>
          <w:color w:val="auto"/>
          <w:szCs w:val="21"/>
          <w:highlight w:val="none"/>
          <w:u w:val="single"/>
          <w:lang w:eastAsia="zh-CN"/>
        </w:rPr>
        <w:t>9860000.00</w:t>
      </w:r>
      <w:r>
        <w:rPr>
          <w:rFonts w:hint="eastAsia"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总最高限价：</w:t>
      </w:r>
      <w:r>
        <w:rPr>
          <w:rFonts w:hint="eastAsia" w:ascii="宋体" w:hAnsi="宋体"/>
          <w:color w:val="auto"/>
          <w:szCs w:val="21"/>
          <w:highlight w:val="none"/>
          <w:u w:val="single"/>
          <w:lang w:eastAsia="zh-CN"/>
        </w:rPr>
        <w:t>9860000.00</w:t>
      </w:r>
      <w:r>
        <w:rPr>
          <w:rFonts w:hint="eastAsia" w:ascii="宋体" w:hAnsi="宋体"/>
          <w:color w:val="auto"/>
          <w:szCs w:val="21"/>
          <w:highlight w:val="none"/>
        </w:rPr>
        <w:t>元</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采购需求：</w:t>
      </w:r>
      <w:r>
        <w:rPr>
          <w:rFonts w:ascii="宋体" w:hAnsi="宋体"/>
          <w:color w:val="auto"/>
          <w:szCs w:val="21"/>
          <w:highlight w:val="none"/>
        </w:rPr>
        <w:t xml:space="preserve"> </w:t>
      </w:r>
    </w:p>
    <w:tbl>
      <w:tblPr>
        <w:tblStyle w:val="46"/>
        <w:tblW w:w="875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7"/>
        <w:gridCol w:w="3303"/>
        <w:gridCol w:w="914"/>
        <w:gridCol w:w="3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75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olor w:val="auto"/>
                <w:szCs w:val="21"/>
                <w:highlight w:val="none"/>
              </w:rPr>
            </w:pPr>
            <w:r>
              <w:rPr>
                <w:rFonts w:hint="eastAsia" w:ascii="宋体" w:hAnsi="宋体"/>
                <w:b/>
                <w:bCs/>
                <w:color w:val="auto"/>
                <w:szCs w:val="21"/>
                <w:highlight w:val="none"/>
              </w:rPr>
              <w:t>1分标，预算金额：</w:t>
            </w:r>
            <w:r>
              <w:rPr>
                <w:rFonts w:hint="eastAsia" w:ascii="宋体" w:hAnsi="宋体"/>
                <w:b/>
                <w:bCs/>
                <w:color w:val="auto"/>
                <w:szCs w:val="21"/>
                <w:highlight w:val="none"/>
                <w:lang w:eastAsia="zh-CN"/>
              </w:rPr>
              <w:t>1980000.00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1980000.00</w:t>
            </w:r>
            <w:r>
              <w:rPr>
                <w:rFonts w:hint="eastAsia" w:ascii="宋体" w:hAnsi="宋体"/>
                <w:b/>
                <w:bCs/>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序号</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标的的名称</w:t>
            </w:r>
          </w:p>
        </w:tc>
        <w:tc>
          <w:tcPr>
            <w:tcW w:w="9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数量及单位</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彩色多普勒超声系统</w:t>
            </w:r>
          </w:p>
        </w:tc>
        <w:tc>
          <w:tcPr>
            <w:tcW w:w="9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1台</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eastAsia="zh-CN"/>
              </w:rPr>
              <w:t>.</w:t>
            </w:r>
            <w:r>
              <w:rPr>
                <w:rFonts w:hint="eastAsia" w:ascii="宋体" w:hAnsi="宋体" w:cs="宋体"/>
                <w:color w:val="auto"/>
                <w:szCs w:val="21"/>
                <w:highlight w:val="none"/>
              </w:rPr>
              <w:t>高分辨率液晶显示器≥23英寸，分辨率1920×1080；具体要求详见采购需求。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75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olor w:val="auto"/>
                <w:szCs w:val="21"/>
                <w:highlight w:val="none"/>
              </w:rPr>
            </w:pPr>
            <w:r>
              <w:rPr>
                <w:rFonts w:hint="eastAsia" w:ascii="宋体" w:hAnsi="宋体"/>
                <w:b/>
                <w:bCs/>
                <w:color w:val="auto"/>
                <w:szCs w:val="21"/>
                <w:highlight w:val="none"/>
              </w:rPr>
              <w:t>2分标，预算金额：</w:t>
            </w:r>
            <w:r>
              <w:rPr>
                <w:rFonts w:hint="eastAsia" w:ascii="宋体" w:hAnsi="宋体"/>
                <w:b/>
                <w:bCs/>
                <w:color w:val="auto"/>
                <w:szCs w:val="21"/>
                <w:highlight w:val="none"/>
                <w:lang w:eastAsia="zh-CN"/>
              </w:rPr>
              <w:t>1900000.00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1900000.00</w:t>
            </w:r>
            <w:r>
              <w:rPr>
                <w:rFonts w:hint="eastAsia" w:ascii="宋体" w:hAnsi="宋体"/>
                <w:b/>
                <w:bCs/>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标的的名称</w:t>
            </w:r>
          </w:p>
        </w:tc>
        <w:tc>
          <w:tcPr>
            <w:tcW w:w="9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数量及单位</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全数字化彩色多普勒超声诊断仪</w:t>
            </w:r>
          </w:p>
        </w:tc>
        <w:tc>
          <w:tcPr>
            <w:tcW w:w="9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1台</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高分辨率液晶显示器≥23英寸分辨率1920×1080；具体要求详见采购需求。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75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b/>
                <w:bCs/>
                <w:color w:val="auto"/>
                <w:szCs w:val="21"/>
                <w:highlight w:val="none"/>
              </w:rPr>
              <w:t>3分标，预算金额：</w:t>
            </w:r>
            <w:r>
              <w:rPr>
                <w:rFonts w:hint="eastAsia" w:ascii="宋体" w:hAnsi="宋体"/>
                <w:b/>
                <w:bCs/>
                <w:color w:val="auto"/>
                <w:szCs w:val="21"/>
                <w:highlight w:val="none"/>
                <w:lang w:eastAsia="zh-CN"/>
              </w:rPr>
              <w:t>1500000.00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1500000.00</w:t>
            </w:r>
            <w:r>
              <w:rPr>
                <w:rFonts w:hint="eastAsia" w:ascii="宋体" w:hAnsi="宋体"/>
                <w:b/>
                <w:bCs/>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标的的名称</w:t>
            </w:r>
          </w:p>
        </w:tc>
        <w:tc>
          <w:tcPr>
            <w:tcW w:w="9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数量及单位</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09"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tabs>
                <w:tab w:val="left" w:pos="3309"/>
              </w:tabs>
              <w:spacing w:line="400" w:lineRule="exact"/>
              <w:jc w:val="center"/>
              <w:rPr>
                <w:rFonts w:ascii="宋体" w:hAnsi="宋体"/>
                <w:color w:val="auto"/>
                <w:szCs w:val="21"/>
                <w:highlight w:val="none"/>
              </w:rPr>
            </w:pPr>
            <w:r>
              <w:rPr>
                <w:rFonts w:hint="eastAsia" w:ascii="宋体" w:hAnsi="宋体"/>
                <w:color w:val="auto"/>
                <w:szCs w:val="21"/>
                <w:highlight w:val="none"/>
              </w:rPr>
              <w:t>腹部彩色多普勒超声诊断仪</w:t>
            </w:r>
          </w:p>
        </w:tc>
        <w:tc>
          <w:tcPr>
            <w:tcW w:w="914" w:type="dxa"/>
            <w:tcBorders>
              <w:top w:val="single" w:color="auto" w:sz="4" w:space="0"/>
              <w:left w:val="single" w:color="auto" w:sz="4" w:space="0"/>
              <w:bottom w:val="single" w:color="auto" w:sz="4" w:space="0"/>
              <w:right w:val="single" w:color="auto" w:sz="4" w:space="0"/>
            </w:tcBorders>
            <w:noWrap w:val="0"/>
            <w:vAlign w:val="center"/>
          </w:tcPr>
          <w:p>
            <w:pPr>
              <w:tabs>
                <w:tab w:val="left" w:pos="3309"/>
              </w:tabs>
              <w:spacing w:line="400" w:lineRule="exact"/>
              <w:jc w:val="center"/>
              <w:rPr>
                <w:rFonts w:ascii="宋体" w:hAnsi="宋体"/>
                <w:color w:val="auto"/>
                <w:szCs w:val="21"/>
                <w:highlight w:val="none"/>
              </w:rPr>
            </w:pPr>
            <w:r>
              <w:rPr>
                <w:rFonts w:hint="eastAsia" w:ascii="宋体" w:hAnsi="宋体" w:cs="宋体"/>
                <w:color w:val="auto"/>
                <w:highlight w:val="none"/>
              </w:rPr>
              <w:t>1台</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1.</w:t>
            </w:r>
            <w:r>
              <w:rPr>
                <w:rFonts w:hint="eastAsia" w:ascii="宋体" w:hAnsi="宋体" w:cs="宋体"/>
                <w:color w:val="auto"/>
                <w:szCs w:val="21"/>
                <w:highlight w:val="none"/>
              </w:rPr>
              <w:t>高分辨率液晶显示器≥23英寸；具体要求详见采购需求。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75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b/>
                <w:bCs/>
                <w:color w:val="auto"/>
                <w:szCs w:val="21"/>
                <w:highlight w:val="none"/>
              </w:rPr>
              <w:t>4分标，预算金额：</w:t>
            </w:r>
            <w:r>
              <w:rPr>
                <w:rFonts w:hint="eastAsia" w:ascii="宋体" w:hAnsi="宋体"/>
                <w:b/>
                <w:bCs/>
                <w:color w:val="auto"/>
                <w:szCs w:val="21"/>
                <w:highlight w:val="none"/>
                <w:lang w:eastAsia="zh-CN"/>
              </w:rPr>
              <w:t>1500000.00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1500000.00</w:t>
            </w:r>
            <w:r>
              <w:rPr>
                <w:rFonts w:hint="eastAsia" w:ascii="宋体" w:hAnsi="宋体"/>
                <w:b/>
                <w:bCs/>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标的的名称</w:t>
            </w:r>
          </w:p>
        </w:tc>
        <w:tc>
          <w:tcPr>
            <w:tcW w:w="9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数量及单位</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8" w:hRule="atLeast"/>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ascii="宋体" w:hAnsi="宋体"/>
                <w:color w:val="auto"/>
                <w:szCs w:val="21"/>
                <w:highlight w:val="none"/>
              </w:rPr>
            </w:pPr>
            <w:r>
              <w:rPr>
                <w:rFonts w:hint="eastAsia" w:ascii="宋体" w:hAnsi="宋体"/>
                <w:color w:val="auto"/>
                <w:szCs w:val="21"/>
                <w:highlight w:val="none"/>
              </w:rPr>
              <w:t>1</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腹部彩色多普勒超声诊断仪</w:t>
            </w:r>
          </w:p>
        </w:tc>
        <w:tc>
          <w:tcPr>
            <w:tcW w:w="9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eastAsia="宋体"/>
                <w:color w:val="auto"/>
                <w:szCs w:val="21"/>
                <w:highlight w:val="none"/>
                <w:lang w:eastAsia="zh-CN"/>
              </w:rPr>
            </w:pPr>
            <w:r>
              <w:rPr>
                <w:rFonts w:ascii="宋体" w:hAnsi="宋体"/>
                <w:color w:val="auto"/>
                <w:szCs w:val="21"/>
                <w:highlight w:val="none"/>
              </w:rPr>
              <w:t>1</w:t>
            </w:r>
            <w:r>
              <w:rPr>
                <w:rFonts w:hint="eastAsia" w:ascii="宋体" w:hAnsi="宋体"/>
                <w:color w:val="auto"/>
                <w:szCs w:val="21"/>
                <w:highlight w:val="none"/>
                <w:lang w:val="en-US" w:eastAsia="zh-CN"/>
              </w:rPr>
              <w:t>台</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pStyle w:val="91"/>
              <w:spacing w:line="360" w:lineRule="auto"/>
              <w:ind w:left="15" w:leftChars="7"/>
              <w:rPr>
                <w:rFonts w:hint="eastAsia" w:ascii="宋体" w:hAnsi="宋体"/>
                <w:color w:val="auto"/>
                <w:szCs w:val="21"/>
                <w:highlight w:val="none"/>
              </w:rPr>
            </w:pPr>
            <w:r>
              <w:rPr>
                <w:rFonts w:hint="eastAsia" w:ascii="宋体" w:hAnsi="宋体" w:eastAsia="宋体" w:cs="宋体"/>
                <w:color w:val="auto"/>
                <w:kern w:val="2"/>
                <w:sz w:val="21"/>
                <w:szCs w:val="21"/>
                <w:highlight w:val="none"/>
                <w:lang w:val="en-US" w:eastAsia="zh-CN" w:bidi="ar-SA"/>
              </w:rPr>
              <w:t>1.高分辨率液晶显示器≥23英寸；具体要求详见采购需求。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8755" w:type="dxa"/>
            <w:gridSpan w:val="4"/>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b/>
                <w:bCs/>
                <w:color w:val="auto"/>
                <w:szCs w:val="21"/>
                <w:highlight w:val="none"/>
              </w:rPr>
              <w:t>5分标，预算金额：</w:t>
            </w:r>
            <w:r>
              <w:rPr>
                <w:rFonts w:hint="eastAsia" w:ascii="宋体" w:hAnsi="宋体"/>
                <w:b/>
                <w:bCs/>
                <w:color w:val="auto"/>
                <w:szCs w:val="21"/>
                <w:highlight w:val="none"/>
                <w:lang w:eastAsia="zh-CN"/>
              </w:rPr>
              <w:t>2980000.00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2980000.00</w:t>
            </w:r>
            <w:r>
              <w:rPr>
                <w:rFonts w:hint="eastAsia" w:ascii="宋体" w:hAnsi="宋体"/>
                <w:b/>
                <w:bCs/>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标的的名称</w:t>
            </w:r>
          </w:p>
        </w:tc>
        <w:tc>
          <w:tcPr>
            <w:tcW w:w="9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数量及单位</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简要技术需求或者服务要求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330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心脏彩色多普勒超声诊断仪</w:t>
            </w:r>
          </w:p>
        </w:tc>
        <w:tc>
          <w:tcPr>
            <w:tcW w:w="914"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ascii="宋体" w:hAnsi="宋体" w:cs="宋体"/>
                <w:color w:val="auto"/>
                <w:highlight w:val="none"/>
              </w:rPr>
              <w:t>1</w:t>
            </w:r>
            <w:r>
              <w:rPr>
                <w:rFonts w:hint="eastAsia" w:ascii="宋体" w:hAnsi="宋体" w:cs="宋体"/>
                <w:color w:val="auto"/>
                <w:highlight w:val="none"/>
                <w:lang w:val="en-US" w:eastAsia="zh-CN"/>
              </w:rPr>
              <w:t>台</w:t>
            </w:r>
          </w:p>
        </w:tc>
        <w:tc>
          <w:tcPr>
            <w:tcW w:w="3841"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auto"/>
              <w:textAlignment w:val="baseline"/>
              <w:rPr>
                <w:rStyle w:val="134"/>
                <w:rFonts w:ascii="宋体" w:hAnsi="宋体" w:cs="宋体"/>
                <w:color w:val="auto"/>
                <w:sz w:val="21"/>
                <w:highlight w:val="none"/>
              </w:rPr>
            </w:pPr>
            <w:r>
              <w:rPr>
                <w:rStyle w:val="134"/>
                <w:rFonts w:ascii="宋体" w:hAnsi="宋体" w:cs="宋体"/>
                <w:color w:val="auto"/>
                <w:sz w:val="21"/>
                <w:highlight w:val="none"/>
              </w:rPr>
              <w:t>1</w:t>
            </w:r>
            <w:r>
              <w:rPr>
                <w:rStyle w:val="134"/>
                <w:rFonts w:hint="eastAsia" w:ascii="宋体" w:hAnsi="宋体" w:cs="宋体"/>
                <w:color w:val="auto"/>
                <w:sz w:val="21"/>
                <w:highlight w:val="none"/>
              </w:rPr>
              <w:t>.</w:t>
            </w:r>
            <w:r>
              <w:rPr>
                <w:rStyle w:val="134"/>
                <w:rFonts w:ascii="宋体" w:hAnsi="宋体" w:cs="宋体"/>
                <w:color w:val="auto"/>
                <w:sz w:val="21"/>
                <w:highlight w:val="none"/>
              </w:rPr>
              <w:t>高分辨率液晶显示器≥2</w:t>
            </w:r>
            <w:r>
              <w:rPr>
                <w:rStyle w:val="134"/>
                <w:rFonts w:hint="eastAsia" w:ascii="宋体" w:hAnsi="宋体" w:cs="宋体"/>
                <w:color w:val="auto"/>
                <w:sz w:val="21"/>
                <w:highlight w:val="none"/>
              </w:rPr>
              <w:t>1.5</w:t>
            </w:r>
            <w:r>
              <w:rPr>
                <w:rStyle w:val="134"/>
                <w:rFonts w:ascii="宋体" w:hAnsi="宋体" w:cs="宋体"/>
                <w:color w:val="auto"/>
                <w:sz w:val="21"/>
                <w:highlight w:val="none"/>
              </w:rPr>
              <w:t>英寸分辨率1920×1080,无闪烁，不间断逐行扫描，可上下左右任意旋转，可前后折叠</w:t>
            </w:r>
          </w:p>
          <w:p>
            <w:pPr>
              <w:wordWrap w:val="0"/>
              <w:spacing w:line="360" w:lineRule="auto"/>
              <w:rPr>
                <w:rFonts w:hint="eastAsia" w:ascii="宋体" w:hAnsi="宋体"/>
                <w:color w:val="auto"/>
                <w:szCs w:val="21"/>
                <w:highlight w:val="none"/>
              </w:rPr>
            </w:pPr>
            <w:r>
              <w:rPr>
                <w:rFonts w:hint="eastAsia" w:ascii="宋体" w:hAnsi="宋体" w:cs="宋体"/>
                <w:color w:val="auto"/>
                <w:szCs w:val="21"/>
                <w:highlight w:val="none"/>
              </w:rPr>
              <w:t>；具体要求详见采购需求。</w:t>
            </w:r>
          </w:p>
        </w:tc>
      </w:tr>
    </w:tbl>
    <w:p>
      <w:pPr>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合同履行期限：</w:t>
      </w:r>
      <w:r>
        <w:rPr>
          <w:rFonts w:hint="eastAsia" w:ascii="宋体" w:hAnsi="宋体"/>
          <w:color w:val="auto"/>
          <w:szCs w:val="21"/>
          <w:highlight w:val="none"/>
          <w:lang w:eastAsia="zh-CN"/>
        </w:rPr>
        <w:t>自合同签订之日起60日内安装调试完毕并交付使用</w:t>
      </w:r>
      <w:r>
        <w:rPr>
          <w:rFonts w:hint="eastAsia" w:ascii="宋体" w:hAnsi="宋体"/>
          <w:color w:val="auto"/>
          <w:szCs w:val="21"/>
          <w:highlight w:val="none"/>
        </w:rPr>
        <w:t>。</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本项目不接受联合体投标。</w:t>
      </w:r>
    </w:p>
    <w:p>
      <w:pPr>
        <w:spacing w:line="360" w:lineRule="auto"/>
        <w:rPr>
          <w:rFonts w:ascii="黑体" w:hAnsi="黑体" w:eastAsia="黑体"/>
          <w:b/>
          <w:bCs/>
          <w:color w:val="auto"/>
          <w:sz w:val="24"/>
          <w:highlight w:val="none"/>
        </w:rPr>
      </w:pPr>
      <w:bookmarkStart w:id="10" w:name="_Toc35393622"/>
      <w:bookmarkStart w:id="11" w:name="_Toc28359003"/>
      <w:bookmarkStart w:id="12" w:name="_Toc28359080"/>
      <w:bookmarkStart w:id="13" w:name="_Toc35393791"/>
      <w:r>
        <w:rPr>
          <w:rFonts w:hint="eastAsia" w:ascii="黑体" w:hAnsi="黑体" w:eastAsia="黑体"/>
          <w:b/>
          <w:bCs/>
          <w:color w:val="auto"/>
          <w:sz w:val="24"/>
          <w:highlight w:val="none"/>
        </w:rPr>
        <w:t>二、申请人的资格要求：</w:t>
      </w:r>
      <w:bookmarkEnd w:id="10"/>
      <w:bookmarkEnd w:id="11"/>
      <w:bookmarkEnd w:id="12"/>
      <w:bookmarkEnd w:id="13"/>
    </w:p>
    <w:p>
      <w:pPr>
        <w:spacing w:line="360" w:lineRule="auto"/>
        <w:ind w:firstLine="420" w:firstLineChars="200"/>
        <w:rPr>
          <w:rFonts w:ascii="宋体" w:hAnsi="宋体"/>
          <w:color w:val="auto"/>
          <w:szCs w:val="21"/>
          <w:highlight w:val="none"/>
        </w:rPr>
      </w:pPr>
      <w:bookmarkStart w:id="14" w:name="_Hlk51746371"/>
      <w:bookmarkStart w:id="15" w:name="_Toc28359004"/>
      <w:bookmarkStart w:id="16" w:name="_Toc35393792"/>
      <w:bookmarkStart w:id="17" w:name="_Toc35393623"/>
      <w:bookmarkStart w:id="18" w:name="_Toc28359081"/>
      <w:r>
        <w:rPr>
          <w:rFonts w:hint="eastAsia" w:ascii="宋体" w:hAnsi="宋体"/>
          <w:color w:val="auto"/>
          <w:szCs w:val="21"/>
          <w:highlight w:val="none"/>
        </w:rPr>
        <w:t>1.满足《中华人民共和国政府采购法》第二十二条规定；</w:t>
      </w:r>
    </w:p>
    <w:p>
      <w:pPr>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2</w:t>
      </w:r>
      <w:r>
        <w:rPr>
          <w:rFonts w:hint="eastAsia" w:ascii="宋体" w:hAnsi="宋体"/>
          <w:color w:val="auto"/>
          <w:szCs w:val="21"/>
          <w:highlight w:val="none"/>
        </w:rPr>
        <w:t>.落实政府采购政策需满足的资格要求：</w:t>
      </w:r>
      <w:r>
        <w:rPr>
          <w:rFonts w:hint="eastAsia" w:ascii="宋体" w:hAnsi="宋体" w:cs="宋体"/>
          <w:color w:val="auto"/>
          <w:szCs w:val="21"/>
          <w:highlight w:val="none"/>
        </w:rPr>
        <w:t>无。</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 xml:space="preserve">3.本项目的特定资格要求:供应商按《医疗器械监督管理条例》（国务院令第739号）医疗器械分类管理要求具备有效的医疗器械经营备案凭证或者经营许可证，且经营范围必须包含采购标的[符合《医疗器械监督管理条例》第四十一条第二款规定的除外]；或者供应商具有《医疗器械监督管理条例》第四十三条规定的注册人凭证。 </w:t>
      </w:r>
    </w:p>
    <w:bookmarkEnd w:id="14"/>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三、获取招标文件</w:t>
      </w:r>
      <w:bookmarkEnd w:id="15"/>
      <w:bookmarkEnd w:id="16"/>
      <w:bookmarkEnd w:id="17"/>
      <w:bookmarkEnd w:id="18"/>
    </w:p>
    <w:p>
      <w:pPr>
        <w:spacing w:line="360" w:lineRule="auto"/>
        <w:ind w:firstLine="54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时间：</w:t>
      </w:r>
      <w:r>
        <w:rPr>
          <w:rFonts w:hint="eastAsia" w:ascii="宋体" w:hAnsi="宋体" w:cs="宋体"/>
          <w:bCs/>
          <w:color w:val="auto"/>
          <w:kern w:val="0"/>
          <w:szCs w:val="21"/>
          <w:highlight w:val="none"/>
          <w:u w:val="single"/>
        </w:rPr>
        <w:t>2023年</w:t>
      </w:r>
      <w:r>
        <w:rPr>
          <w:rFonts w:hint="eastAsia" w:ascii="宋体" w:hAnsi="宋体" w:cs="宋体"/>
          <w:bCs/>
          <w:color w:val="auto"/>
          <w:kern w:val="0"/>
          <w:szCs w:val="21"/>
          <w:highlight w:val="none"/>
          <w:u w:val="single"/>
          <w:lang w:val="en-US" w:eastAsia="zh-CN"/>
        </w:rPr>
        <w:t>12</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 xml:space="preserve">26 </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至</w:t>
      </w:r>
      <w:r>
        <w:rPr>
          <w:rFonts w:hint="eastAsia" w:ascii="宋体" w:hAnsi="宋体" w:cs="宋体"/>
          <w:bCs/>
          <w:color w:val="auto"/>
          <w:kern w:val="0"/>
          <w:szCs w:val="21"/>
          <w:highlight w:val="none"/>
          <w:u w:val="single"/>
        </w:rPr>
        <w:t>202</w:t>
      </w:r>
      <w:r>
        <w:rPr>
          <w:rFonts w:hint="eastAsia" w:ascii="宋体" w:hAnsi="宋体" w:cs="宋体"/>
          <w:bCs/>
          <w:color w:val="auto"/>
          <w:kern w:val="0"/>
          <w:szCs w:val="21"/>
          <w:highlight w:val="none"/>
          <w:u w:val="single"/>
          <w:lang w:val="en-US" w:eastAsia="zh-CN"/>
        </w:rPr>
        <w:t>4</w:t>
      </w:r>
      <w:r>
        <w:rPr>
          <w:rFonts w:hint="eastAsia" w:ascii="宋体" w:hAnsi="宋体" w:cs="宋体"/>
          <w:bCs/>
          <w:color w:val="auto"/>
          <w:kern w:val="0"/>
          <w:szCs w:val="21"/>
          <w:highlight w:val="none"/>
          <w:u w:val="single"/>
        </w:rPr>
        <w:t>年</w:t>
      </w:r>
      <w:r>
        <w:rPr>
          <w:rFonts w:hint="eastAsia" w:ascii="宋体" w:hAnsi="宋体" w:cs="宋体"/>
          <w:bCs/>
          <w:color w:val="auto"/>
          <w:kern w:val="0"/>
          <w:szCs w:val="21"/>
          <w:highlight w:val="none"/>
          <w:u w:val="single"/>
          <w:lang w:val="en-US" w:eastAsia="zh-CN"/>
        </w:rPr>
        <w:t>1</w:t>
      </w:r>
      <w:r>
        <w:rPr>
          <w:rFonts w:hint="eastAsia" w:ascii="宋体" w:hAnsi="宋体" w:cs="宋体"/>
          <w:bCs/>
          <w:color w:val="auto"/>
          <w:kern w:val="0"/>
          <w:szCs w:val="21"/>
          <w:highlight w:val="none"/>
          <w:u w:val="single"/>
        </w:rPr>
        <w:t>月</w:t>
      </w:r>
      <w:r>
        <w:rPr>
          <w:rFonts w:hint="eastAsia" w:ascii="宋体" w:hAnsi="宋体" w:cs="宋体"/>
          <w:bCs/>
          <w:color w:val="auto"/>
          <w:kern w:val="0"/>
          <w:szCs w:val="21"/>
          <w:highlight w:val="none"/>
          <w:u w:val="single"/>
          <w:lang w:val="en-US" w:eastAsia="zh-CN"/>
        </w:rPr>
        <w:t>3</w:t>
      </w:r>
      <w:r>
        <w:rPr>
          <w:rFonts w:hint="eastAsia" w:ascii="宋体" w:hAnsi="宋体" w:cs="宋体"/>
          <w:bCs/>
          <w:color w:val="auto"/>
          <w:kern w:val="0"/>
          <w:szCs w:val="21"/>
          <w:highlight w:val="none"/>
          <w:u w:val="single"/>
        </w:rPr>
        <w:t>日</w:t>
      </w:r>
      <w:r>
        <w:rPr>
          <w:rFonts w:hint="eastAsia" w:ascii="宋体" w:hAnsi="宋体" w:cs="宋体"/>
          <w:bCs/>
          <w:color w:val="auto"/>
          <w:kern w:val="0"/>
          <w:szCs w:val="21"/>
          <w:highlight w:val="none"/>
        </w:rPr>
        <w:t>，每天上午</w:t>
      </w:r>
      <w:r>
        <w:rPr>
          <w:rFonts w:hint="eastAsia" w:ascii="宋体" w:hAnsi="宋体"/>
          <w:bCs/>
          <w:color w:val="auto"/>
          <w:szCs w:val="21"/>
          <w:highlight w:val="none"/>
          <w:u w:val="single"/>
        </w:rPr>
        <w:t>08时00分</w:t>
      </w:r>
      <w:r>
        <w:rPr>
          <w:rFonts w:hint="eastAsia" w:ascii="宋体" w:hAnsi="宋体" w:cs="宋体"/>
          <w:bCs/>
          <w:color w:val="auto"/>
          <w:kern w:val="0"/>
          <w:szCs w:val="21"/>
          <w:highlight w:val="none"/>
          <w:u w:val="single"/>
        </w:rPr>
        <w:t>至</w:t>
      </w:r>
      <w:r>
        <w:rPr>
          <w:rFonts w:hint="eastAsia" w:ascii="宋体" w:hAnsi="宋体"/>
          <w:bCs/>
          <w:color w:val="auto"/>
          <w:szCs w:val="21"/>
          <w:highlight w:val="none"/>
          <w:u w:val="single"/>
        </w:rPr>
        <w:t>12时00分</w:t>
      </w:r>
      <w:r>
        <w:rPr>
          <w:rFonts w:hint="eastAsia" w:ascii="宋体" w:hAnsi="宋体" w:cs="宋体"/>
          <w:bCs/>
          <w:color w:val="auto"/>
          <w:kern w:val="0"/>
          <w:szCs w:val="21"/>
          <w:highlight w:val="none"/>
        </w:rPr>
        <w:t>，</w:t>
      </w:r>
      <w:r>
        <w:rPr>
          <w:rFonts w:hint="eastAsia" w:ascii="宋体" w:hAnsi="宋体" w:cs="宋体"/>
          <w:bCs/>
          <w:color w:val="auto"/>
          <w:kern w:val="0"/>
          <w:szCs w:val="21"/>
          <w:highlight w:val="none"/>
          <w:u w:val="single"/>
        </w:rPr>
        <w:t>下午</w:t>
      </w:r>
      <w:r>
        <w:rPr>
          <w:rFonts w:hint="eastAsia" w:ascii="宋体" w:hAnsi="宋体"/>
          <w:bCs/>
          <w:color w:val="auto"/>
          <w:szCs w:val="21"/>
          <w:highlight w:val="none"/>
          <w:u w:val="single"/>
        </w:rPr>
        <w:t>03时00分</w:t>
      </w:r>
      <w:r>
        <w:rPr>
          <w:rFonts w:hint="eastAsia" w:ascii="宋体" w:hAnsi="宋体" w:cs="宋体"/>
          <w:bCs/>
          <w:color w:val="auto"/>
          <w:kern w:val="0"/>
          <w:szCs w:val="21"/>
          <w:highlight w:val="none"/>
          <w:u w:val="single"/>
        </w:rPr>
        <w:t>至</w:t>
      </w:r>
      <w:r>
        <w:rPr>
          <w:rFonts w:hint="eastAsia" w:ascii="宋体" w:hAnsi="宋体"/>
          <w:bCs/>
          <w:color w:val="auto"/>
          <w:szCs w:val="21"/>
          <w:highlight w:val="none"/>
          <w:u w:val="single"/>
        </w:rPr>
        <w:t>06时00分</w:t>
      </w:r>
      <w:r>
        <w:rPr>
          <w:rFonts w:hint="eastAsia" w:ascii="宋体" w:hAnsi="宋体" w:cs="宋体"/>
          <w:bCs/>
          <w:color w:val="auto"/>
          <w:kern w:val="0"/>
          <w:szCs w:val="21"/>
          <w:highlight w:val="none"/>
        </w:rPr>
        <w:t>（北京时间，</w:t>
      </w:r>
      <w:r>
        <w:rPr>
          <w:rFonts w:ascii="宋体" w:hAnsi="宋体" w:cs="宋体"/>
          <w:bCs/>
          <w:color w:val="auto"/>
          <w:kern w:val="0"/>
          <w:szCs w:val="21"/>
          <w:highlight w:val="none"/>
        </w:rPr>
        <w:t>法定节假日</w:t>
      </w:r>
      <w:r>
        <w:rPr>
          <w:rFonts w:hint="eastAsia" w:ascii="宋体" w:hAnsi="宋体" w:cs="宋体"/>
          <w:bCs/>
          <w:color w:val="auto"/>
          <w:kern w:val="0"/>
          <w:szCs w:val="21"/>
          <w:highlight w:val="none"/>
        </w:rPr>
        <w:t>除外）</w:t>
      </w:r>
    </w:p>
    <w:p>
      <w:pPr>
        <w:spacing w:line="360" w:lineRule="auto"/>
        <w:ind w:firstLine="54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地点：“政采云”平台（https://www.zcygov.cn）</w:t>
      </w:r>
    </w:p>
    <w:p>
      <w:pPr>
        <w:spacing w:line="360" w:lineRule="auto"/>
        <w:ind w:firstLine="540"/>
        <w:rPr>
          <w:rFonts w:hint="eastAsia" w:ascii="宋体" w:hAnsi="宋体" w:cs="宋体"/>
          <w:bCs/>
          <w:color w:val="auto"/>
          <w:kern w:val="0"/>
          <w:szCs w:val="21"/>
          <w:highlight w:val="none"/>
        </w:rPr>
      </w:pPr>
      <w:r>
        <w:rPr>
          <w:rFonts w:hint="eastAsia" w:ascii="宋体" w:hAnsi="宋体" w:cs="宋体"/>
          <w:bCs/>
          <w:color w:val="auto"/>
          <w:kern w:val="0"/>
          <w:szCs w:val="21"/>
          <w:highlight w:val="none"/>
        </w:rPr>
        <w:t>方式：网上下载。本项目不提供纸质文件，潜在供应商需使用账号登录或者使用CA登录“政采云”平台（https：/</w:t>
      </w:r>
      <w:r>
        <w:rPr>
          <w:rFonts w:ascii="宋体" w:hAnsi="宋体" w:cs="宋体"/>
          <w:bCs/>
          <w:color w:val="auto"/>
          <w:kern w:val="0"/>
          <w:szCs w:val="21"/>
          <w:highlight w:val="none"/>
        </w:rPr>
        <w:t>/www.zcygov.cn</w:t>
      </w:r>
      <w:r>
        <w:rPr>
          <w:rFonts w:hint="eastAsia" w:ascii="宋体" w:hAnsi="宋体" w:cs="宋体"/>
          <w:bCs/>
          <w:color w:val="auto"/>
          <w:kern w:val="0"/>
          <w:szCs w:val="21"/>
          <w:highlight w:val="none"/>
        </w:rPr>
        <w:t>）-进入“项目采购”应用，在获取采购文件菜单中选择项目，获取招标文件（或在“政采云电子投标客户端-获取采购文件”跳转到政采云系统获取）。</w:t>
      </w:r>
      <w:r>
        <w:rPr>
          <w:rFonts w:hint="eastAsia" w:ascii="宋体" w:hAnsi="宋体"/>
          <w:color w:val="auto"/>
          <w:szCs w:val="21"/>
          <w:highlight w:val="none"/>
        </w:rPr>
        <w:t>电子投标文件制作需要基于“政采云”平台获取的招标文件编制，</w:t>
      </w:r>
      <w:r>
        <w:rPr>
          <w:rFonts w:hint="eastAsia" w:ascii="宋体" w:hAnsi="宋体" w:cs="宋体"/>
          <w:bCs/>
          <w:color w:val="auto"/>
          <w:kern w:val="0"/>
          <w:szCs w:val="21"/>
          <w:highlight w:val="none"/>
        </w:rPr>
        <w:t>通过其他方式获取招标文件的，将有可能导致供应商无法在</w:t>
      </w:r>
      <w:r>
        <w:rPr>
          <w:rFonts w:hint="eastAsia" w:ascii="宋体" w:hAnsi="宋体"/>
          <w:color w:val="auto"/>
          <w:szCs w:val="21"/>
          <w:highlight w:val="none"/>
        </w:rPr>
        <w:t>“政采云”</w:t>
      </w:r>
      <w:r>
        <w:rPr>
          <w:rFonts w:hint="eastAsia" w:ascii="宋体" w:hAnsi="宋体" w:cs="宋体"/>
          <w:bCs/>
          <w:color w:val="auto"/>
          <w:kern w:val="0"/>
          <w:szCs w:val="21"/>
          <w:highlight w:val="none"/>
        </w:rPr>
        <w:t>平台编制及上传投标文件。</w:t>
      </w:r>
    </w:p>
    <w:p>
      <w:pPr>
        <w:spacing w:line="360" w:lineRule="auto"/>
        <w:ind w:firstLine="540"/>
        <w:rPr>
          <w:rFonts w:ascii="宋体" w:hAnsi="宋体" w:cs="宋体"/>
          <w:color w:val="auto"/>
          <w:szCs w:val="21"/>
          <w:highlight w:val="none"/>
        </w:rPr>
      </w:pPr>
      <w:r>
        <w:rPr>
          <w:rFonts w:hint="eastAsia" w:ascii="宋体" w:hAnsi="宋体" w:cs="宋体"/>
          <w:bCs/>
          <w:color w:val="auto"/>
          <w:kern w:val="0"/>
          <w:szCs w:val="21"/>
          <w:highlight w:val="none"/>
        </w:rPr>
        <w:t>售价：</w:t>
      </w:r>
      <w:r>
        <w:rPr>
          <w:rFonts w:hint="eastAsia" w:ascii="宋体" w:hAnsi="宋体" w:cs="宋体"/>
          <w:iCs/>
          <w:color w:val="auto"/>
          <w:szCs w:val="21"/>
          <w:highlight w:val="none"/>
          <w:u w:val="single"/>
        </w:rPr>
        <w:t>0</w:t>
      </w:r>
      <w:r>
        <w:rPr>
          <w:rFonts w:hint="eastAsia" w:ascii="宋体" w:hAnsi="宋体" w:cs="宋体"/>
          <w:color w:val="auto"/>
          <w:szCs w:val="21"/>
          <w:highlight w:val="none"/>
        </w:rPr>
        <w:t>元</w:t>
      </w:r>
    </w:p>
    <w:p>
      <w:pPr>
        <w:spacing w:line="360" w:lineRule="auto"/>
        <w:rPr>
          <w:rFonts w:ascii="黑体" w:hAnsi="黑体" w:eastAsia="黑体"/>
          <w:b/>
          <w:bCs/>
          <w:color w:val="auto"/>
          <w:sz w:val="24"/>
          <w:highlight w:val="none"/>
        </w:rPr>
      </w:pPr>
      <w:bookmarkStart w:id="19" w:name="_Toc28359005"/>
      <w:bookmarkStart w:id="20" w:name="_Toc28359082"/>
      <w:bookmarkStart w:id="21" w:name="_Toc35393793"/>
      <w:bookmarkStart w:id="22" w:name="_Toc35393624"/>
      <w:r>
        <w:rPr>
          <w:rFonts w:hint="eastAsia" w:ascii="黑体" w:hAnsi="黑体" w:eastAsia="黑体"/>
          <w:b/>
          <w:bCs/>
          <w:color w:val="auto"/>
          <w:sz w:val="24"/>
          <w:highlight w:val="none"/>
        </w:rPr>
        <w:t>四、提交投标文件</w:t>
      </w:r>
      <w:bookmarkEnd w:id="19"/>
      <w:bookmarkEnd w:id="20"/>
      <w:r>
        <w:rPr>
          <w:rFonts w:hint="eastAsia" w:ascii="黑体" w:hAnsi="黑体" w:eastAsia="黑体"/>
          <w:b/>
          <w:bCs/>
          <w:color w:val="auto"/>
          <w:sz w:val="24"/>
          <w:highlight w:val="none"/>
        </w:rPr>
        <w:t>截止时间、开标时间和地点</w:t>
      </w:r>
      <w:bookmarkEnd w:id="21"/>
      <w:bookmarkEnd w:id="22"/>
    </w:p>
    <w:p>
      <w:pPr>
        <w:spacing w:line="360" w:lineRule="auto"/>
        <w:ind w:firstLine="420" w:firstLineChars="200"/>
        <w:rPr>
          <w:rFonts w:hint="eastAsia" w:ascii="宋体" w:hAnsi="宋体"/>
          <w:bCs/>
          <w:color w:val="auto"/>
          <w:szCs w:val="21"/>
          <w:highlight w:val="none"/>
        </w:rPr>
      </w:pPr>
      <w:bookmarkStart w:id="23" w:name="_Toc35393625"/>
      <w:bookmarkStart w:id="24" w:name="_Toc35393794"/>
      <w:bookmarkStart w:id="25" w:name="_Toc28359084"/>
      <w:bookmarkStart w:id="26" w:name="_Toc28359007"/>
      <w:r>
        <w:rPr>
          <w:rFonts w:hint="eastAsia" w:ascii="宋体" w:hAnsi="宋体"/>
          <w:bCs/>
          <w:color w:val="auto"/>
          <w:szCs w:val="21"/>
          <w:highlight w:val="none"/>
          <w:u w:val="single"/>
        </w:rPr>
        <w:t>202</w:t>
      </w:r>
      <w:r>
        <w:rPr>
          <w:rFonts w:hint="eastAsia" w:ascii="宋体" w:hAnsi="宋体"/>
          <w:bCs/>
          <w:color w:val="auto"/>
          <w:szCs w:val="21"/>
          <w:highlight w:val="none"/>
          <w:u w:val="single"/>
          <w:lang w:val="en-US" w:eastAsia="zh-CN"/>
        </w:rPr>
        <w:t>4</w:t>
      </w:r>
      <w:r>
        <w:rPr>
          <w:rFonts w:hint="eastAsia" w:ascii="宋体" w:hAnsi="宋体"/>
          <w:bCs/>
          <w:color w:val="auto"/>
          <w:szCs w:val="21"/>
          <w:highlight w:val="none"/>
          <w:u w:val="single"/>
        </w:rPr>
        <w:t>年</w:t>
      </w:r>
      <w:r>
        <w:rPr>
          <w:rFonts w:hint="eastAsia" w:ascii="宋体" w:hAnsi="宋体"/>
          <w:bCs/>
          <w:color w:val="auto"/>
          <w:szCs w:val="21"/>
          <w:highlight w:val="none"/>
          <w:u w:val="single"/>
          <w:lang w:val="en-US" w:eastAsia="zh-CN"/>
        </w:rPr>
        <w:t>1</w:t>
      </w:r>
      <w:r>
        <w:rPr>
          <w:rFonts w:hint="eastAsia" w:ascii="宋体" w:hAnsi="宋体"/>
          <w:bCs/>
          <w:color w:val="auto"/>
          <w:szCs w:val="21"/>
          <w:highlight w:val="none"/>
          <w:u w:val="single"/>
        </w:rPr>
        <w:t>月</w:t>
      </w:r>
      <w:r>
        <w:rPr>
          <w:rFonts w:hint="eastAsia" w:ascii="宋体" w:hAnsi="宋体"/>
          <w:bCs/>
          <w:color w:val="auto"/>
          <w:szCs w:val="21"/>
          <w:highlight w:val="none"/>
          <w:u w:val="single"/>
          <w:lang w:val="en-US" w:eastAsia="zh-CN"/>
        </w:rPr>
        <w:t>17</w:t>
      </w:r>
      <w:r>
        <w:rPr>
          <w:rFonts w:hint="eastAsia" w:ascii="宋体" w:hAnsi="宋体"/>
          <w:bCs/>
          <w:color w:val="auto"/>
          <w:szCs w:val="21"/>
          <w:highlight w:val="none"/>
          <w:u w:val="single"/>
        </w:rPr>
        <w:t xml:space="preserve">日09 时 </w:t>
      </w:r>
      <w:r>
        <w:rPr>
          <w:rFonts w:hint="eastAsia" w:ascii="宋体" w:hAnsi="宋体"/>
          <w:bCs/>
          <w:color w:val="auto"/>
          <w:szCs w:val="21"/>
          <w:highlight w:val="none"/>
          <w:u w:val="single"/>
          <w:lang w:val="en-US" w:eastAsia="zh-CN"/>
        </w:rPr>
        <w:t>0</w:t>
      </w:r>
      <w:r>
        <w:rPr>
          <w:rFonts w:hint="eastAsia" w:ascii="宋体" w:hAnsi="宋体"/>
          <w:bCs/>
          <w:color w:val="auto"/>
          <w:szCs w:val="21"/>
          <w:highlight w:val="none"/>
          <w:u w:val="single"/>
        </w:rPr>
        <w:t>0分</w:t>
      </w:r>
      <w:r>
        <w:rPr>
          <w:rFonts w:hint="eastAsia" w:ascii="宋体" w:hAnsi="宋体"/>
          <w:bCs/>
          <w:color w:val="auto"/>
          <w:szCs w:val="21"/>
          <w:highlight w:val="none"/>
        </w:rPr>
        <w:t>（北京时间）</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投标地点：“政采云”平台</w:t>
      </w:r>
      <w:r>
        <w:rPr>
          <w:rFonts w:hint="eastAsia" w:ascii="宋体" w:hAnsi="宋体" w:cs="宋体"/>
          <w:bCs/>
          <w:color w:val="auto"/>
          <w:kern w:val="0"/>
          <w:szCs w:val="21"/>
          <w:highlight w:val="none"/>
        </w:rPr>
        <w:t>（https://www.zcygov.cn）</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开标地点：“政采云”平台电子开标大厅</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五、公告期限</w:t>
      </w:r>
      <w:bookmarkEnd w:id="23"/>
      <w:bookmarkEnd w:id="24"/>
      <w:bookmarkEnd w:id="25"/>
      <w:bookmarkEnd w:id="26"/>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自本公告发布之日起5个工作日。</w:t>
      </w:r>
    </w:p>
    <w:p>
      <w:pPr>
        <w:spacing w:line="360" w:lineRule="auto"/>
        <w:rPr>
          <w:rFonts w:ascii="黑体" w:hAnsi="黑体" w:eastAsia="黑体"/>
          <w:b/>
          <w:bCs/>
          <w:color w:val="auto"/>
          <w:sz w:val="24"/>
          <w:highlight w:val="none"/>
        </w:rPr>
      </w:pPr>
      <w:bookmarkStart w:id="27" w:name="_Toc35393626"/>
      <w:bookmarkStart w:id="28" w:name="_Toc35393795"/>
      <w:r>
        <w:rPr>
          <w:rFonts w:hint="eastAsia" w:ascii="黑体" w:hAnsi="黑体" w:eastAsia="黑体"/>
          <w:b/>
          <w:bCs/>
          <w:color w:val="auto"/>
          <w:sz w:val="24"/>
          <w:highlight w:val="none"/>
        </w:rPr>
        <w:t>六、其他补充事宜</w:t>
      </w:r>
      <w:bookmarkEnd w:id="27"/>
      <w:bookmarkEnd w:id="28"/>
    </w:p>
    <w:p>
      <w:pPr>
        <w:spacing w:line="360" w:lineRule="auto"/>
        <w:ind w:firstLine="420" w:firstLineChars="200"/>
        <w:rPr>
          <w:rFonts w:hint="eastAsia" w:ascii="宋体" w:hAnsi="宋体" w:cs="宋体"/>
          <w:color w:val="auto"/>
          <w:kern w:val="0"/>
          <w:szCs w:val="21"/>
          <w:highlight w:val="none"/>
        </w:rPr>
      </w:pPr>
      <w:bookmarkStart w:id="29" w:name="_Hlk37429595"/>
      <w:bookmarkStart w:id="30" w:name="_Hlk37429585"/>
      <w:bookmarkStart w:id="31" w:name="_Toc28359085"/>
      <w:bookmarkStart w:id="32" w:name="_Toc28359008"/>
      <w:bookmarkStart w:id="33" w:name="_Toc35393627"/>
      <w:bookmarkStart w:id="34" w:name="_Toc35393796"/>
      <w:r>
        <w:rPr>
          <w:rFonts w:hint="eastAsia" w:ascii="宋体" w:hAnsi="宋体" w:cs="宋体"/>
          <w:color w:val="auto"/>
          <w:kern w:val="0"/>
          <w:szCs w:val="21"/>
          <w:highlight w:val="none"/>
        </w:rPr>
        <w:t>1.网上查询地址</w:t>
      </w:r>
    </w:p>
    <w:p>
      <w:pPr>
        <w:spacing w:line="360" w:lineRule="auto"/>
        <w:ind w:left="210" w:leftChars="100" w:firstLine="424" w:firstLineChars="202"/>
        <w:rPr>
          <w:rFonts w:hint="eastAsia" w:ascii="宋体" w:hAnsi="宋体" w:cs="宋体"/>
          <w:iCs/>
          <w:color w:val="auto"/>
          <w:kern w:val="0"/>
          <w:szCs w:val="21"/>
          <w:highlight w:val="none"/>
        </w:rPr>
      </w:pPr>
      <w:r>
        <w:rPr>
          <w:rFonts w:ascii="宋体" w:hAnsi="宋体" w:cs="宋体"/>
          <w:iCs/>
          <w:color w:val="auto"/>
          <w:kern w:val="0"/>
          <w:szCs w:val="21"/>
          <w:highlight w:val="none"/>
        </w:rPr>
        <w:t>http:</w:t>
      </w:r>
      <w:r>
        <w:rPr>
          <w:rFonts w:hint="eastAsia" w:ascii="宋体" w:hAnsi="宋体" w:cs="宋体"/>
          <w:iCs/>
          <w:color w:val="auto"/>
          <w:kern w:val="0"/>
          <w:szCs w:val="21"/>
          <w:highlight w:val="none"/>
        </w:rPr>
        <w:t>//</w:t>
      </w:r>
      <w:r>
        <w:rPr>
          <w:rFonts w:hint="eastAsia" w:ascii="宋体" w:hAnsi="宋体" w:cs="宋体"/>
          <w:iCs/>
          <w:color w:val="auto"/>
          <w:kern w:val="0"/>
          <w:szCs w:val="21"/>
          <w:highlight w:val="none"/>
        </w:rPr>
        <w:fldChar w:fldCharType="begin"/>
      </w:r>
      <w:r>
        <w:rPr>
          <w:rFonts w:hint="eastAsia" w:ascii="宋体" w:hAnsi="宋体" w:cs="宋体"/>
          <w:iCs/>
          <w:color w:val="auto"/>
          <w:kern w:val="0"/>
          <w:szCs w:val="21"/>
          <w:highlight w:val="none"/>
        </w:rPr>
        <w:instrText xml:space="preserve"> HYPERLINK "http://www.ccgp.gov.cn（中国政府采购网）、zfcg.gxzf.gov.cn（广西壮族自治区政府采购网）" </w:instrText>
      </w:r>
      <w:r>
        <w:rPr>
          <w:rFonts w:hint="eastAsia" w:ascii="宋体" w:hAnsi="宋体" w:cs="宋体"/>
          <w:iCs/>
          <w:color w:val="auto"/>
          <w:kern w:val="0"/>
          <w:szCs w:val="21"/>
          <w:highlight w:val="none"/>
        </w:rPr>
        <w:fldChar w:fldCharType="separate"/>
      </w:r>
      <w:r>
        <w:rPr>
          <w:rStyle w:val="58"/>
          <w:rFonts w:hint="eastAsia" w:ascii="宋体" w:hAnsi="宋体" w:cs="宋体"/>
          <w:iCs/>
          <w:color w:val="auto"/>
          <w:kern w:val="0"/>
          <w:szCs w:val="21"/>
          <w:highlight w:val="none"/>
        </w:rPr>
        <w:t>www.ccgp.gov.cn（中国政府采购网）、</w:t>
      </w:r>
      <w:r>
        <w:rPr>
          <w:rFonts w:ascii="宋体" w:hAnsi="宋体" w:cs="宋体"/>
          <w:iCs/>
          <w:color w:val="auto"/>
          <w:kern w:val="0"/>
          <w:szCs w:val="21"/>
          <w:highlight w:val="none"/>
        </w:rPr>
        <w:t>http:</w:t>
      </w:r>
      <w:r>
        <w:rPr>
          <w:rFonts w:hint="eastAsia" w:ascii="宋体" w:hAnsi="宋体" w:cs="宋体"/>
          <w:iCs/>
          <w:color w:val="auto"/>
          <w:kern w:val="0"/>
          <w:szCs w:val="21"/>
          <w:highlight w:val="none"/>
        </w:rPr>
        <w:t>//</w:t>
      </w:r>
      <w:r>
        <w:rPr>
          <w:rStyle w:val="58"/>
          <w:rFonts w:hint="eastAsia" w:ascii="宋体" w:hAnsi="宋体" w:cs="宋体"/>
          <w:iCs/>
          <w:color w:val="auto"/>
          <w:kern w:val="0"/>
          <w:szCs w:val="21"/>
          <w:highlight w:val="none"/>
        </w:rPr>
        <w:t>zfcg.gxzf.gov.cn（广西壮族自治区政府采购网）</w:t>
      </w:r>
      <w:r>
        <w:rPr>
          <w:rFonts w:hint="eastAsia" w:ascii="宋体" w:hAnsi="宋体" w:cs="宋体"/>
          <w:iCs/>
          <w:color w:val="auto"/>
          <w:kern w:val="0"/>
          <w:szCs w:val="21"/>
          <w:highlight w:val="none"/>
        </w:rPr>
        <w:fldChar w:fldCharType="end"/>
      </w:r>
      <w:r>
        <w:rPr>
          <w:rFonts w:hint="eastAsia" w:ascii="宋体" w:hAnsi="宋体" w:cs="宋体"/>
          <w:iCs/>
          <w:color w:val="auto"/>
          <w:kern w:val="0"/>
          <w:szCs w:val="21"/>
          <w:highlight w:val="none"/>
        </w:rPr>
        <w:t>、http://ggzy.jgswj.gxzf.gov.cn/hzggzy/全国公共资源交易平台（广西•贺州）</w:t>
      </w:r>
    </w:p>
    <w:bookmarkEnd w:id="29"/>
    <w:bookmarkEnd w:id="30"/>
    <w:p>
      <w:pPr>
        <w:spacing w:line="360" w:lineRule="auto"/>
        <w:ind w:firstLine="424" w:firstLineChars="202"/>
        <w:rPr>
          <w:rFonts w:hint="eastAsia" w:ascii="宋体" w:hAnsi="宋体" w:cs="宋体"/>
          <w:color w:val="auto"/>
          <w:kern w:val="0"/>
          <w:szCs w:val="21"/>
          <w:highlight w:val="none"/>
        </w:rPr>
      </w:pPr>
      <w:bookmarkStart w:id="35" w:name="_Hlk37429674"/>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s="宋体"/>
          <w:color w:val="auto"/>
          <w:kern w:val="0"/>
          <w:szCs w:val="21"/>
          <w:highlight w:val="none"/>
        </w:rPr>
        <w:t>本项目需要落实的政府采购政策</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（1）政府采购促进中小企业发展。</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（2）政府采购支持采用本国产品的政策。</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（3）强制采购节能产品；优先采购节能产品、环境标志产品。</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（4）政府采购促进残疾人就业政策。</w:t>
      </w:r>
    </w:p>
    <w:p>
      <w:pPr>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（5）政府采购支持监狱企业发展。</w:t>
      </w:r>
    </w:p>
    <w:bookmarkEnd w:id="35"/>
    <w:p>
      <w:pPr>
        <w:widowControl/>
        <w:spacing w:line="360" w:lineRule="auto"/>
        <w:ind w:firstLine="420" w:firstLineChars="200"/>
        <w:jc w:val="left"/>
        <w:rPr>
          <w:rFonts w:hint="eastAsia" w:ascii="宋体" w:hAnsi="宋体"/>
          <w:color w:val="auto"/>
          <w:szCs w:val="21"/>
          <w:highlight w:val="none"/>
        </w:rPr>
      </w:pPr>
      <w:r>
        <w:rPr>
          <w:rFonts w:hint="eastAsia" w:ascii="宋体" w:hAnsi="宋体" w:cs="宋体"/>
          <w:color w:val="auto"/>
          <w:kern w:val="0"/>
          <w:szCs w:val="21"/>
          <w:highlight w:val="none"/>
        </w:rPr>
        <w:t>3.投标人</w:t>
      </w:r>
      <w:r>
        <w:rPr>
          <w:rFonts w:hint="eastAsia" w:ascii="宋体" w:hAnsi="宋体"/>
          <w:color w:val="auto"/>
          <w:szCs w:val="21"/>
          <w:highlight w:val="none"/>
        </w:rPr>
        <w:t>投标注意事项</w:t>
      </w:r>
    </w:p>
    <w:p>
      <w:pPr>
        <w:widowControl/>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（1）本项目为全流程电子化采购项目，通过“政采云”平台（https：/</w:t>
      </w:r>
      <w:r>
        <w:rPr>
          <w:rFonts w:ascii="宋体" w:hAnsi="宋体"/>
          <w:color w:val="auto"/>
          <w:szCs w:val="21"/>
          <w:highlight w:val="none"/>
        </w:rPr>
        <w:t>/www.zcygov.cn</w:t>
      </w:r>
      <w:r>
        <w:rPr>
          <w:rFonts w:hint="eastAsia" w:ascii="宋体" w:hAnsi="宋体"/>
          <w:color w:val="auto"/>
          <w:szCs w:val="21"/>
          <w:highlight w:val="none"/>
        </w:rPr>
        <w:t>）实行在线电子投标，投标人应先安装“政采云电子投标客户端”（请自行前往“政采云”平台进行下载），并按照本项目招标文件和“政采云”平台的要求编制、加密后在投标截止时间前通过网络上传至 “政采云”平台（加密的电子投标文件是指</w:t>
      </w:r>
      <w:r>
        <w:rPr>
          <w:rFonts w:hint="eastAsia"/>
          <w:color w:val="auto"/>
          <w:highlight w:val="none"/>
        </w:rPr>
        <w:t>后缀名为“jm</w:t>
      </w:r>
      <w:r>
        <w:rPr>
          <w:color w:val="auto"/>
          <w:highlight w:val="none"/>
        </w:rPr>
        <w:t>bs</w:t>
      </w:r>
      <w:r>
        <w:rPr>
          <w:rFonts w:hint="eastAsia"/>
          <w:color w:val="auto"/>
          <w:highlight w:val="none"/>
        </w:rPr>
        <w:t>”的文件</w:t>
      </w:r>
      <w:r>
        <w:rPr>
          <w:rFonts w:hint="eastAsia" w:ascii="宋体" w:hAnsi="宋体"/>
          <w:color w:val="auto"/>
          <w:szCs w:val="21"/>
          <w:highlight w:val="none"/>
        </w:rPr>
        <w:t>），</w:t>
      </w:r>
      <w:r>
        <w:rPr>
          <w:rFonts w:hint="eastAsia" w:ascii="宋体" w:hAnsi="宋体"/>
          <w:b/>
          <w:color w:val="auto"/>
          <w:szCs w:val="21"/>
          <w:highlight w:val="none"/>
        </w:rPr>
        <w:t>投标人在“政采云”平台提交电子投标文件时，请填写参加远程开标活动经办人联系方式。</w:t>
      </w:r>
      <w:r>
        <w:rPr>
          <w:rFonts w:hint="eastAsia" w:ascii="宋体" w:hAnsi="宋体"/>
          <w:color w:val="auto"/>
          <w:szCs w:val="21"/>
          <w:highlight w:val="none"/>
        </w:rPr>
        <w:t>投标人登录“政采云”平台，依次进入“服务中心-项目采购-操作流程-电子招投标-</w:t>
      </w:r>
      <w:r>
        <w:rPr>
          <w:color w:val="auto"/>
          <w:highlight w:val="none"/>
        </w:rPr>
        <w:t>政府采购项目电子交易管理操作指南-供应商</w:t>
      </w:r>
      <w:r>
        <w:rPr>
          <w:rFonts w:hint="eastAsia" w:ascii="宋体" w:hAnsi="宋体"/>
          <w:color w:val="auto"/>
          <w:szCs w:val="21"/>
          <w:highlight w:val="none"/>
        </w:rPr>
        <w:t>”查看电子投标具体操作流程。</w:t>
      </w:r>
    </w:p>
    <w:p>
      <w:pPr>
        <w:widowControl/>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2）未进行网上注册并办理数字证书（CA认证）的投标人将无法参与本项目政府采购活动，投标人应当在投标截止时间前，完成电子交易平台上的CA数字证书办理及投标文件的提交（投标人可登录“广西政府采购网”，依次进入“办事服务-下载专区”或者</w:t>
      </w:r>
      <w:r>
        <w:rPr>
          <w:rFonts w:hint="eastAsia" w:ascii="宋体" w:hAnsi="宋体"/>
          <w:color w:val="auto"/>
          <w:szCs w:val="21"/>
          <w:highlight w:val="none"/>
          <w:lang w:eastAsia="zh-CN"/>
        </w:rPr>
        <w:t>登录</w:t>
      </w:r>
      <w:r>
        <w:rPr>
          <w:rFonts w:hint="eastAsia" w:ascii="宋体" w:hAnsi="宋体" w:cs="宋体"/>
          <w:color w:val="auto"/>
          <w:kern w:val="0"/>
          <w:szCs w:val="21"/>
          <w:highlight w:val="none"/>
        </w:rPr>
        <w:t>“政采云”平台，</w:t>
      </w:r>
      <w:r>
        <w:rPr>
          <w:rFonts w:hint="eastAsia" w:ascii="宋体" w:hAnsi="宋体"/>
          <w:color w:val="auto"/>
          <w:szCs w:val="21"/>
          <w:highlight w:val="none"/>
        </w:rPr>
        <w:t>依次进入“服务中心-入驻与配置”中查看CA数字证书办理操作流程。</w:t>
      </w:r>
      <w:r>
        <w:rPr>
          <w:rFonts w:hint="eastAsia" w:ascii="宋体" w:hAnsi="宋体" w:cs="宋体"/>
          <w:bCs/>
          <w:color w:val="auto"/>
          <w:kern w:val="0"/>
          <w:szCs w:val="21"/>
          <w:highlight w:val="none"/>
        </w:rPr>
        <w:t>如在操作过程中遇到问题或者需要技术支持，请致电政采云客服热线：95763</w:t>
      </w:r>
      <w:r>
        <w:rPr>
          <w:rFonts w:hint="eastAsia" w:ascii="宋体" w:hAnsi="宋体"/>
          <w:color w:val="auto"/>
          <w:szCs w:val="21"/>
          <w:highlight w:val="none"/>
        </w:rPr>
        <w:t>）。</w:t>
      </w:r>
    </w:p>
    <w:p>
      <w:pPr>
        <w:snapToGrid w:val="0"/>
        <w:spacing w:line="360" w:lineRule="auto"/>
        <w:ind w:firstLine="420" w:firstLineChars="200"/>
        <w:rPr>
          <w:rFonts w:hint="eastAsia" w:ascii="宋体" w:hAnsi="宋体" w:cs="宋体"/>
          <w:color w:val="auto"/>
          <w:kern w:val="0"/>
          <w:szCs w:val="21"/>
          <w:highlight w:val="none"/>
        </w:rPr>
      </w:pPr>
      <w:r>
        <w:rPr>
          <w:rFonts w:hint="eastAsia" w:ascii="宋体" w:hAnsi="宋体" w:cs="宋体"/>
          <w:color w:val="auto"/>
          <w:kern w:val="0"/>
          <w:szCs w:val="21"/>
          <w:highlight w:val="none"/>
        </w:rPr>
        <w:t>（3）CA证书在线解密：投标人投标时，需凭制作投标文件时用来加密的有效数字证书（CA认证）登录“政采云”平台电子开标大厅现场按规定时间对加密的投标文件进行解密，否则后果自负。</w:t>
      </w:r>
    </w:p>
    <w:p>
      <w:pPr>
        <w:spacing w:line="360" w:lineRule="auto"/>
        <w:ind w:firstLine="424" w:firstLineChars="202"/>
        <w:rPr>
          <w:rFonts w:hint="eastAsia" w:ascii="宋体" w:hAnsi="宋体"/>
          <w:bCs/>
          <w:color w:val="auto"/>
          <w:szCs w:val="21"/>
          <w:highlight w:val="none"/>
        </w:rPr>
      </w:pPr>
      <w:r>
        <w:rPr>
          <w:rFonts w:hint="eastAsia" w:ascii="宋体" w:hAnsi="宋体"/>
          <w:color w:val="auto"/>
          <w:szCs w:val="21"/>
          <w:highlight w:val="none"/>
        </w:rPr>
        <w:t>注：1）为确保网上操作合法、有效和安全，请投标人确保在电子投标过程中能够对相关数据电文进行加密和使用电子签章，妥善保管C</w:t>
      </w:r>
      <w:r>
        <w:rPr>
          <w:rFonts w:ascii="宋体" w:hAnsi="宋体"/>
          <w:color w:val="auto"/>
          <w:szCs w:val="21"/>
          <w:highlight w:val="none"/>
        </w:rPr>
        <w:t>A</w:t>
      </w:r>
      <w:r>
        <w:rPr>
          <w:rFonts w:hint="eastAsia" w:ascii="宋体" w:hAnsi="宋体"/>
          <w:color w:val="auto"/>
          <w:szCs w:val="21"/>
          <w:highlight w:val="none"/>
        </w:rPr>
        <w:t>数字证书并使用有效的CA数字证书参与整个招标活动。2）</w:t>
      </w:r>
      <w:r>
        <w:rPr>
          <w:rFonts w:hint="eastAsia" w:ascii="宋体" w:hAnsi="宋体"/>
          <w:bCs/>
          <w:color w:val="auto"/>
          <w:szCs w:val="21"/>
          <w:highlight w:val="none"/>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p>
    <w:p>
      <w:pPr>
        <w:spacing w:line="360" w:lineRule="auto"/>
        <w:ind w:firstLine="424" w:firstLineChars="202"/>
        <w:rPr>
          <w:rFonts w:hint="eastAsia" w:ascii="宋体" w:hAnsi="宋体" w:cs="宋体"/>
          <w:color w:val="auto"/>
          <w:kern w:val="0"/>
          <w:szCs w:val="21"/>
          <w:highlight w:val="none"/>
        </w:rPr>
      </w:pPr>
      <w:r>
        <w:rPr>
          <w:rFonts w:hint="eastAsia" w:ascii="宋体" w:hAnsi="宋体"/>
          <w:bCs/>
          <w:color w:val="auto"/>
          <w:szCs w:val="21"/>
          <w:highlight w:val="none"/>
        </w:rPr>
        <w:t>4.对风险较低、规模较小的采购项目，受疫情影响的中小微企业（在提供真实可信证明材料的前提下），停止收取投标保证金和履约保证金。</w:t>
      </w:r>
    </w:p>
    <w:p>
      <w:pPr>
        <w:spacing w:line="360" w:lineRule="auto"/>
        <w:rPr>
          <w:rFonts w:ascii="黑体" w:hAnsi="黑体" w:eastAsia="黑体"/>
          <w:b/>
          <w:bCs/>
          <w:color w:val="auto"/>
          <w:sz w:val="24"/>
          <w:highlight w:val="none"/>
        </w:rPr>
      </w:pPr>
      <w:r>
        <w:rPr>
          <w:rFonts w:hint="eastAsia" w:ascii="黑体" w:hAnsi="黑体" w:eastAsia="黑体"/>
          <w:b/>
          <w:bCs/>
          <w:color w:val="auto"/>
          <w:sz w:val="24"/>
          <w:highlight w:val="none"/>
        </w:rPr>
        <w:t>七、对本次招标提出询问，请按</w:t>
      </w:r>
      <w:r>
        <w:rPr>
          <w:rFonts w:ascii="黑体" w:hAnsi="黑体" w:eastAsia="黑体"/>
          <w:b/>
          <w:bCs/>
          <w:color w:val="auto"/>
          <w:sz w:val="24"/>
          <w:highlight w:val="none"/>
        </w:rPr>
        <w:t>以下方式</w:t>
      </w:r>
      <w:r>
        <w:rPr>
          <w:rFonts w:hint="eastAsia" w:ascii="黑体" w:hAnsi="黑体" w:eastAsia="黑体"/>
          <w:b/>
          <w:bCs/>
          <w:color w:val="auto"/>
          <w:sz w:val="24"/>
          <w:highlight w:val="none"/>
        </w:rPr>
        <w:t>联系。</w:t>
      </w:r>
      <w:bookmarkEnd w:id="31"/>
      <w:bookmarkEnd w:id="32"/>
      <w:bookmarkEnd w:id="33"/>
      <w:bookmarkEnd w:id="34"/>
    </w:p>
    <w:p>
      <w:pPr>
        <w:spacing w:line="360" w:lineRule="auto"/>
        <w:ind w:firstLine="420" w:firstLineChars="200"/>
        <w:rPr>
          <w:rFonts w:ascii="宋体" w:hAnsi="宋体"/>
          <w:color w:val="auto"/>
          <w:szCs w:val="21"/>
          <w:highlight w:val="none"/>
        </w:rPr>
      </w:pPr>
      <w:bookmarkStart w:id="36" w:name="_Toc28359096"/>
      <w:bookmarkStart w:id="37" w:name="_Toc28359019"/>
      <w:bookmarkStart w:id="38" w:name="_Toc35393806"/>
      <w:bookmarkStart w:id="39" w:name="_Toc35393637"/>
      <w:r>
        <w:rPr>
          <w:rFonts w:hint="eastAsia" w:ascii="宋体" w:hAnsi="宋体" w:cs="宋体"/>
          <w:color w:val="auto"/>
          <w:kern w:val="0"/>
          <w:szCs w:val="21"/>
          <w:highlight w:val="none"/>
        </w:rPr>
        <w:t>1.采购人信息</w:t>
      </w:r>
      <w:bookmarkEnd w:id="36"/>
      <w:bookmarkEnd w:id="37"/>
      <w:bookmarkEnd w:id="38"/>
      <w:bookmarkEnd w:id="39"/>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名    称：</w:t>
      </w:r>
      <w:r>
        <w:rPr>
          <w:rFonts w:hint="eastAsia" w:ascii="宋体" w:hAnsi="宋体"/>
          <w:color w:val="auto"/>
          <w:szCs w:val="21"/>
          <w:highlight w:val="none"/>
          <w:u w:val="single"/>
        </w:rPr>
        <w:t>广西壮族自治区桂东人民医院</w:t>
      </w:r>
    </w:p>
    <w:p>
      <w:pPr>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地    址：</w:t>
      </w:r>
      <w:r>
        <w:rPr>
          <w:rFonts w:hint="eastAsia" w:ascii="宋体" w:hAnsi="宋体"/>
          <w:color w:val="auto"/>
          <w:szCs w:val="21"/>
          <w:highlight w:val="none"/>
          <w:u w:val="single"/>
        </w:rPr>
        <w:t>广西壮族自治区梧州市西江四路金鸡冲1号</w:t>
      </w:r>
    </w:p>
    <w:p>
      <w:pPr>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联系方式：</w:t>
      </w:r>
      <w:r>
        <w:rPr>
          <w:rFonts w:hint="eastAsia" w:ascii="宋体" w:hAnsi="宋体"/>
          <w:color w:val="auto"/>
          <w:szCs w:val="21"/>
          <w:highlight w:val="none"/>
          <w:u w:val="single"/>
          <w:lang w:val="en-US" w:eastAsia="zh-CN"/>
        </w:rPr>
        <w:t>黎石宝</w:t>
      </w:r>
      <w:r>
        <w:rPr>
          <w:rFonts w:hint="eastAsia" w:ascii="宋体" w:hAnsi="宋体"/>
          <w:color w:val="auto"/>
          <w:szCs w:val="21"/>
          <w:highlight w:val="none"/>
          <w:u w:val="single"/>
        </w:rPr>
        <w:t>；0774-2817563</w:t>
      </w:r>
    </w:p>
    <w:p>
      <w:pPr>
        <w:spacing w:line="400" w:lineRule="exact"/>
        <w:ind w:firstLine="420" w:firstLineChars="200"/>
        <w:rPr>
          <w:rFonts w:ascii="宋体" w:hAnsi="宋体" w:cs="宋体"/>
          <w:color w:val="auto"/>
          <w:kern w:val="0"/>
          <w:highlight w:val="none"/>
        </w:rPr>
      </w:pPr>
      <w:r>
        <w:rPr>
          <w:rFonts w:hint="eastAsia" w:ascii="宋体" w:hAnsi="宋体" w:cs="宋体"/>
          <w:color w:val="auto"/>
          <w:kern w:val="0"/>
          <w:highlight w:val="none"/>
        </w:rPr>
        <w:t>2.采购代理机构信息</w:t>
      </w:r>
    </w:p>
    <w:p>
      <w:pPr>
        <w:spacing w:line="400" w:lineRule="exact"/>
        <w:ind w:firstLine="420" w:firstLineChars="200"/>
        <w:rPr>
          <w:rFonts w:hint="eastAsia" w:ascii="宋体" w:hAnsi="宋体"/>
          <w:color w:val="auto"/>
          <w:highlight w:val="none"/>
          <w:u w:val="single"/>
        </w:rPr>
      </w:pPr>
      <w:r>
        <w:rPr>
          <w:rFonts w:hint="eastAsia" w:ascii="宋体" w:hAnsi="宋体"/>
          <w:color w:val="auto"/>
          <w:highlight w:val="none"/>
        </w:rPr>
        <w:t>名 称：</w:t>
      </w:r>
      <w:r>
        <w:rPr>
          <w:rFonts w:hint="eastAsia" w:ascii="宋体" w:hAnsi="宋体"/>
          <w:color w:val="auto"/>
          <w:highlight w:val="none"/>
          <w:u w:val="single"/>
        </w:rPr>
        <w:t>云之龙咨询集团有限公司</w:t>
      </w:r>
    </w:p>
    <w:p>
      <w:pPr>
        <w:spacing w:line="400" w:lineRule="exact"/>
        <w:ind w:firstLine="420" w:firstLineChars="200"/>
        <w:rPr>
          <w:rFonts w:hint="eastAsia" w:ascii="宋体" w:hAnsi="宋体"/>
          <w:color w:val="auto"/>
          <w:highlight w:val="none"/>
          <w:u w:val="single"/>
        </w:rPr>
      </w:pPr>
      <w:r>
        <w:rPr>
          <w:rFonts w:hint="eastAsia" w:ascii="宋体" w:hAnsi="宋体"/>
          <w:color w:val="auto"/>
          <w:highlight w:val="none"/>
        </w:rPr>
        <w:t>地　址：</w:t>
      </w:r>
      <w:r>
        <w:rPr>
          <w:rFonts w:hint="eastAsia" w:ascii="宋体" w:hAnsi="宋体"/>
          <w:color w:val="auto"/>
          <w:highlight w:val="none"/>
          <w:u w:val="single"/>
        </w:rPr>
        <w:t>云之龙咨询集团有限公司（贺州市八步区翔云街87号金丰大厦5层）</w:t>
      </w:r>
    </w:p>
    <w:p>
      <w:pPr>
        <w:spacing w:line="400" w:lineRule="exact"/>
        <w:ind w:firstLine="420" w:firstLineChars="200"/>
        <w:rPr>
          <w:rFonts w:ascii="宋体" w:hAnsi="宋体"/>
          <w:color w:val="auto"/>
          <w:highlight w:val="none"/>
          <w:u w:val="single"/>
        </w:rPr>
      </w:pPr>
      <w:r>
        <w:rPr>
          <w:rFonts w:hint="eastAsia" w:ascii="宋体" w:hAnsi="宋体"/>
          <w:color w:val="auto"/>
          <w:highlight w:val="none"/>
        </w:rPr>
        <w:t>联系方式：</w:t>
      </w:r>
      <w:r>
        <w:rPr>
          <w:rFonts w:hint="eastAsia" w:ascii="宋体" w:hAnsi="宋体"/>
          <w:color w:val="auto"/>
          <w:highlight w:val="none"/>
          <w:u w:val="single"/>
        </w:rPr>
        <w:t>周子然、</w:t>
      </w:r>
      <w:r>
        <w:rPr>
          <w:rFonts w:hint="eastAsia" w:ascii="宋体" w:hAnsi="宋体"/>
          <w:color w:val="auto"/>
          <w:highlight w:val="none"/>
          <w:u w:val="single"/>
          <w:lang w:val="en-US" w:eastAsia="zh-CN"/>
        </w:rPr>
        <w:t>黄宝娟、康瀞予</w:t>
      </w:r>
      <w:r>
        <w:rPr>
          <w:rFonts w:hint="eastAsia" w:ascii="宋体" w:hAnsi="宋体"/>
          <w:color w:val="auto"/>
          <w:highlight w:val="none"/>
          <w:u w:val="single"/>
        </w:rPr>
        <w:t xml:space="preserve">  0774-5285056</w:t>
      </w:r>
    </w:p>
    <w:p>
      <w:pPr>
        <w:spacing w:line="400" w:lineRule="exact"/>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3.项目联系</w:t>
      </w:r>
      <w:r>
        <w:rPr>
          <w:rFonts w:ascii="宋体" w:hAnsi="宋体" w:cs="宋体"/>
          <w:color w:val="auto"/>
          <w:kern w:val="0"/>
          <w:szCs w:val="21"/>
          <w:highlight w:val="none"/>
        </w:rPr>
        <w:t>方式</w:t>
      </w:r>
    </w:p>
    <w:p>
      <w:pPr>
        <w:spacing w:line="400" w:lineRule="exact"/>
        <w:ind w:firstLine="420" w:firstLineChars="200"/>
        <w:rPr>
          <w:rFonts w:hint="eastAsia" w:ascii="宋体" w:hAnsi="宋体" w:eastAsia="宋体" w:cs="Times New Roman"/>
          <w:color w:val="auto"/>
          <w:highlight w:val="none"/>
        </w:rPr>
      </w:pPr>
      <w:r>
        <w:rPr>
          <w:rFonts w:hint="eastAsia" w:ascii="宋体" w:hAnsi="宋体" w:eastAsia="宋体" w:cs="Times New Roman"/>
          <w:color w:val="auto"/>
          <w:highlight w:val="none"/>
        </w:rPr>
        <w:t>项目联系人：周子然、</w:t>
      </w:r>
      <w:r>
        <w:rPr>
          <w:rFonts w:hint="eastAsia" w:ascii="宋体" w:hAnsi="宋体" w:eastAsia="宋体" w:cs="Times New Roman"/>
          <w:color w:val="auto"/>
          <w:highlight w:val="none"/>
          <w:lang w:val="en-US" w:eastAsia="zh-CN"/>
        </w:rPr>
        <w:t>黄宝娟</w:t>
      </w:r>
      <w:r>
        <w:rPr>
          <w:rFonts w:hint="eastAsia" w:ascii="宋体" w:hAnsi="宋体"/>
          <w:color w:val="auto"/>
          <w:highlight w:val="none"/>
          <w:u w:val="none"/>
          <w:lang w:val="en-US" w:eastAsia="zh-CN"/>
        </w:rPr>
        <w:t>、康瀞予</w:t>
      </w:r>
      <w:r>
        <w:rPr>
          <w:rFonts w:hint="eastAsia" w:ascii="宋体" w:hAnsi="宋体" w:eastAsia="宋体" w:cs="Times New Roman"/>
          <w:color w:val="auto"/>
          <w:highlight w:val="none"/>
        </w:rPr>
        <w:t xml:space="preserve">  电  话：0774-5285056</w:t>
      </w:r>
    </w:p>
    <w:p>
      <w:pPr>
        <w:spacing w:line="400" w:lineRule="exact"/>
        <w:ind w:firstLine="420" w:firstLineChars="200"/>
        <w:rPr>
          <w:rFonts w:hint="eastAsia" w:ascii="宋体" w:hAnsi="宋体" w:eastAsia="宋体" w:cs="Times New Roman"/>
          <w:color w:val="auto"/>
          <w:highlight w:val="none"/>
        </w:rPr>
      </w:pPr>
      <w:r>
        <w:rPr>
          <w:rFonts w:hint="eastAsia" w:ascii="宋体" w:hAnsi="宋体" w:eastAsia="宋体" w:cs="Times New Roman"/>
          <w:color w:val="auto"/>
          <w:highlight w:val="none"/>
          <w:lang w:val="en-US" w:eastAsia="zh-CN"/>
        </w:rPr>
        <w:t>4.监督部门：贺州市财政局政府采</w:t>
      </w:r>
      <w:bookmarkStart w:id="149" w:name="_GoBack"/>
      <w:bookmarkEnd w:id="149"/>
      <w:r>
        <w:rPr>
          <w:rFonts w:hint="eastAsia" w:ascii="宋体" w:hAnsi="宋体" w:eastAsia="宋体" w:cs="Times New Roman"/>
          <w:color w:val="auto"/>
          <w:highlight w:val="none"/>
          <w:lang w:val="en-US" w:eastAsia="zh-CN"/>
        </w:rPr>
        <w:t>购监督管理科  电话：0774-5135553</w:t>
      </w:r>
    </w:p>
    <w:p>
      <w:pPr>
        <w:pStyle w:val="2"/>
        <w:keepNext w:val="0"/>
        <w:keepLines w:val="0"/>
        <w:tabs>
          <w:tab w:val="left" w:pos="0"/>
          <w:tab w:val="left" w:pos="3165"/>
          <w:tab w:val="center" w:pos="4153"/>
        </w:tabs>
        <w:autoSpaceDE w:val="0"/>
        <w:autoSpaceDN w:val="0"/>
        <w:adjustRightInd w:val="0"/>
        <w:spacing w:before="0" w:after="0" w:line="360" w:lineRule="auto"/>
        <w:jc w:val="center"/>
        <w:rPr>
          <w:rFonts w:hint="eastAsia"/>
          <w:color w:val="auto"/>
          <w:highlight w:val="none"/>
        </w:rPr>
      </w:pPr>
      <w:r>
        <w:rPr>
          <w:rFonts w:hint="eastAsia" w:ascii="宋体" w:hAnsi="宋体"/>
          <w:b w:val="0"/>
          <w:color w:val="auto"/>
          <w:kern w:val="2"/>
          <w:sz w:val="21"/>
          <w:szCs w:val="21"/>
          <w:highlight w:val="none"/>
        </w:rPr>
        <w:br w:type="page"/>
      </w:r>
      <w:bookmarkStart w:id="40" w:name="_Toc27979"/>
      <w:r>
        <w:rPr>
          <w:rFonts w:hint="eastAsia"/>
          <w:color w:val="auto"/>
          <w:highlight w:val="none"/>
        </w:rPr>
        <w:t>第二章  采购需求</w:t>
      </w:r>
      <w:bookmarkEnd w:id="40"/>
    </w:p>
    <w:p>
      <w:pPr>
        <w:spacing w:line="360" w:lineRule="auto"/>
        <w:jc w:val="left"/>
        <w:rPr>
          <w:rFonts w:hint="eastAsia" w:ascii="宋体" w:hAnsi="宋体" w:cs="宋体"/>
          <w:color w:val="auto"/>
          <w:szCs w:val="21"/>
          <w:highlight w:val="none"/>
        </w:rPr>
      </w:pPr>
      <w:bookmarkStart w:id="41" w:name="_Toc254970490"/>
      <w:bookmarkStart w:id="42" w:name="_Toc254970631"/>
    </w:p>
    <w:p>
      <w:pPr>
        <w:spacing w:line="360" w:lineRule="auto"/>
        <w:jc w:val="left"/>
        <w:rPr>
          <w:rFonts w:hint="eastAsia" w:ascii="宋体" w:hAnsi="宋体" w:cs="宋体"/>
          <w:b/>
          <w:bCs/>
          <w:color w:val="auto"/>
          <w:szCs w:val="21"/>
          <w:highlight w:val="none"/>
        </w:rPr>
      </w:pPr>
      <w:r>
        <w:rPr>
          <w:rFonts w:hint="eastAsia" w:ascii="宋体" w:hAnsi="宋体" w:cs="宋体"/>
          <w:b/>
          <w:bCs/>
          <w:color w:val="auto"/>
          <w:szCs w:val="21"/>
          <w:highlight w:val="none"/>
        </w:rPr>
        <w:t>说明：</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jc w:val="left"/>
        <w:textAlignment w:val="auto"/>
        <w:rPr>
          <w:rFonts w:hint="eastAsia"/>
          <w:color w:val="auto"/>
          <w:highlight w:val="none"/>
        </w:rPr>
      </w:pPr>
      <w:r>
        <w:rPr>
          <w:rFonts w:hint="eastAsia"/>
          <w:color w:val="auto"/>
          <w:highlight w:val="none"/>
        </w:rPr>
        <w:t>1. 为落实政府采购政策需满足的要求</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（1）本招标文件所称中小企业必须符合《政府采购促进中小企业发展管理办法》（财库〔2020〕46号）的规定。</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（2）根据《财政部 发展改革委 生态环境部 市场监管总局关于调整优化节能产品、环境标志产品政府采购执行机制的通知》（财库〔2019〕9号）和《关于印发节能产品政府采购品目清单的通知》（财库〔2019〕19号）的规定，采购需求中的产品属于节能产品政府采购品目清单内标注“★”的（详见本章后附的节能产品政府采购品目清单），投标人的投标货物必须使用政府强制采购的节能产品，投标人必须在投标文件（商务及技术文件）中提供所投标产品的节能产品认证证书复印件（加盖投标人电子签章），</w:t>
      </w:r>
      <w:r>
        <w:rPr>
          <w:rFonts w:hint="eastAsia" w:ascii="宋体" w:hAnsi="宋体" w:cs="宋体"/>
          <w:b/>
          <w:bCs/>
          <w:color w:val="auto"/>
          <w:szCs w:val="21"/>
          <w:highlight w:val="none"/>
        </w:rPr>
        <w:t>否则按无效投标处理</w:t>
      </w:r>
      <w:r>
        <w:rPr>
          <w:rFonts w:hint="eastAsia" w:ascii="宋体" w:hAnsi="宋体" w:cs="宋体"/>
          <w:color w:val="auto"/>
          <w:szCs w:val="21"/>
          <w:highlight w:val="none"/>
        </w:rPr>
        <w:t>。如本项目包含的货物属于品目清单内非标注“★”的产品时，应优先采购，具体详见“第四章 评标方法及评标标准”。</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2.“实质性要求”是指招标文件中已经指明不满足则投标无效的条款，或者不能负偏离的条款，或者采购需求中带“▲”的条款。</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jc w:val="left"/>
        <w:textAlignment w:val="auto"/>
        <w:rPr>
          <w:rFonts w:ascii="宋体" w:hAnsi="宋体" w:cs="宋体"/>
          <w:color w:val="auto"/>
          <w:szCs w:val="21"/>
          <w:highlight w:val="none"/>
        </w:rPr>
      </w:pPr>
      <w:r>
        <w:rPr>
          <w:rFonts w:hint="eastAsia" w:ascii="宋体" w:hAnsi="宋体" w:cs="宋体"/>
          <w:color w:val="auto"/>
          <w:szCs w:val="21"/>
          <w:highlight w:val="none"/>
        </w:rPr>
        <w:t>3.标记“</w:t>
      </w:r>
      <w:r>
        <w:rPr>
          <w:rFonts w:hint="eastAsia" w:ascii="宋体" w:hAnsi="宋体" w:cs="宋体"/>
          <w:color w:val="auto"/>
          <w:szCs w:val="21"/>
          <w:highlight w:val="none"/>
          <w:shd w:val="clear" w:color="auto" w:fill="FFFFFF"/>
        </w:rPr>
        <w:t>●</w:t>
      </w:r>
      <w:r>
        <w:rPr>
          <w:rFonts w:hint="eastAsia" w:ascii="宋体" w:hAnsi="宋体" w:cs="宋体"/>
          <w:color w:val="auto"/>
          <w:szCs w:val="21"/>
          <w:highlight w:val="none"/>
        </w:rPr>
        <w:t>”的条款</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如有</w:t>
      </w:r>
      <w:r>
        <w:rPr>
          <w:rFonts w:hint="eastAsia" w:ascii="宋体" w:hAnsi="宋体" w:cs="宋体"/>
          <w:color w:val="auto"/>
          <w:szCs w:val="21"/>
          <w:highlight w:val="none"/>
          <w:lang w:eastAsia="zh-CN"/>
        </w:rPr>
        <w:t>）</w:t>
      </w:r>
      <w:r>
        <w:rPr>
          <w:rFonts w:hint="eastAsia" w:ascii="宋体" w:hAnsi="宋体" w:cs="宋体"/>
          <w:color w:val="auto"/>
          <w:szCs w:val="21"/>
          <w:highlight w:val="none"/>
        </w:rPr>
        <w:t>是指采购需求中的重要指标，作为评分标准依据。</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jc w:val="left"/>
        <w:textAlignment w:val="auto"/>
        <w:rPr>
          <w:rFonts w:ascii="宋体" w:hAnsi="宋体" w:cs="宋体"/>
          <w:color w:val="auto"/>
          <w:szCs w:val="21"/>
          <w:highlight w:val="none"/>
        </w:rPr>
      </w:pPr>
      <w:r>
        <w:rPr>
          <w:rFonts w:hint="eastAsia" w:ascii="宋体" w:hAnsi="宋体" w:cs="宋体"/>
          <w:color w:val="auto"/>
          <w:szCs w:val="21"/>
          <w:highlight w:val="none"/>
        </w:rPr>
        <w:t>4.采购需求中出现的品牌、型号或者生产厂家仅起参考作用，不属于指定品牌、型号或者生产厂家的情形。投标人可参照或者选用其他相当的品牌、型号或者生产厂家替代。</w:t>
      </w:r>
    </w:p>
    <w:p>
      <w:pPr>
        <w:keepNext w:val="0"/>
        <w:keepLines w:val="0"/>
        <w:pageBreakBefore w:val="0"/>
        <w:widowControl w:val="0"/>
        <w:kinsoku/>
        <w:wordWrap/>
        <w:overflowPunct/>
        <w:topLinePunct w:val="0"/>
        <w:autoSpaceDE/>
        <w:autoSpaceDN/>
        <w:bidi w:val="0"/>
        <w:adjustRightInd/>
        <w:snapToGrid/>
        <w:spacing w:line="440" w:lineRule="exact"/>
        <w:ind w:firstLine="426" w:firstLineChars="202"/>
        <w:jc w:val="left"/>
        <w:textAlignment w:val="auto"/>
        <w:rPr>
          <w:rFonts w:hint="eastAsia" w:ascii="宋体" w:hAnsi="宋体" w:cs="宋体"/>
          <w:color w:val="auto"/>
          <w:szCs w:val="21"/>
          <w:highlight w:val="none"/>
        </w:rPr>
      </w:pPr>
      <w:r>
        <w:rPr>
          <w:rFonts w:hint="eastAsia" w:ascii="宋体" w:hAnsi="宋体" w:cs="宋体"/>
          <w:b/>
          <w:bCs/>
          <w:color w:val="auto"/>
          <w:szCs w:val="21"/>
          <w:highlight w:val="none"/>
        </w:rPr>
        <w:t>5. 投标人应根据自身实际情况如实响应招标文件，对招标文件提出的要求和条件作出明确响应，不得仅将招标文件内容简单复制粘贴作为投标响应，采购需求中以范围值表述的技术要求，投标人须按照自身产品的实际技术参数如实响应招标文件，否则将作无效响应处理。</w:t>
      </w:r>
      <w:r>
        <w:rPr>
          <w:rFonts w:hint="eastAsia" w:ascii="宋体" w:hAnsi="宋体" w:cs="宋体"/>
          <w:color w:val="auto"/>
          <w:szCs w:val="21"/>
          <w:highlight w:val="none"/>
        </w:rPr>
        <w:t>对于重要技术条款或技术参数应当在投标文件中提供技术支持资料，技术支持资料以招标文件中规定的形式为准，</w:t>
      </w:r>
      <w:r>
        <w:rPr>
          <w:rFonts w:hint="eastAsia" w:ascii="宋体" w:hAnsi="宋体" w:cs="宋体"/>
          <w:b/>
          <w:bCs/>
          <w:color w:val="auto"/>
          <w:szCs w:val="21"/>
          <w:highlight w:val="none"/>
        </w:rPr>
        <w:t>否则将视为无效技术支持资料</w:t>
      </w:r>
      <w:r>
        <w:rPr>
          <w:rFonts w:hint="eastAsia" w:ascii="宋体" w:hAnsi="宋体" w:cs="宋体"/>
          <w:color w:val="auto"/>
          <w:szCs w:val="21"/>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424" w:firstLineChars="202"/>
        <w:jc w:val="left"/>
        <w:textAlignment w:val="auto"/>
        <w:rPr>
          <w:rFonts w:hint="eastAsia"/>
          <w:color w:val="auto"/>
          <w:highlight w:val="none"/>
        </w:rPr>
      </w:pPr>
      <w:r>
        <w:rPr>
          <w:rFonts w:hint="eastAsia" w:ascii="宋体" w:hAnsi="宋体" w:cs="宋体"/>
          <w:color w:val="auto"/>
          <w:szCs w:val="21"/>
          <w:highlight w:val="none"/>
        </w:rPr>
        <w:t>6</w:t>
      </w:r>
      <w:r>
        <w:rPr>
          <w:rFonts w:ascii="宋体" w:hAnsi="宋体" w:cs="宋体"/>
          <w:color w:val="auto"/>
          <w:szCs w:val="21"/>
          <w:highlight w:val="none"/>
        </w:rPr>
        <w:t>.</w:t>
      </w:r>
      <w:r>
        <w:rPr>
          <w:rFonts w:hint="eastAsia"/>
          <w:color w:val="auto"/>
          <w:highlight w:val="none"/>
        </w:rPr>
        <w:t>投标人</w:t>
      </w:r>
      <w:r>
        <w:rPr>
          <w:color w:val="auto"/>
          <w:highlight w:val="none"/>
        </w:rPr>
        <w:t>必须自行为其</w:t>
      </w:r>
      <w:r>
        <w:rPr>
          <w:rFonts w:hint="eastAsia"/>
          <w:color w:val="auto"/>
          <w:highlight w:val="none"/>
        </w:rPr>
        <w:t>投标</w:t>
      </w:r>
      <w:r>
        <w:rPr>
          <w:color w:val="auto"/>
          <w:highlight w:val="none"/>
        </w:rPr>
        <w:t>产品侵犯</w:t>
      </w:r>
      <w:r>
        <w:rPr>
          <w:rFonts w:hint="eastAsia"/>
          <w:color w:val="auto"/>
          <w:highlight w:val="none"/>
        </w:rPr>
        <w:t>他人的知识产权或者专利成果的行为</w:t>
      </w:r>
      <w:r>
        <w:rPr>
          <w:color w:val="auto"/>
          <w:highlight w:val="none"/>
        </w:rPr>
        <w:t>承担相应法律责任</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snapToGrid/>
        <w:spacing w:line="440" w:lineRule="exact"/>
        <w:ind w:firstLine="308" w:firstLineChars="147"/>
        <w:jc w:val="left"/>
        <w:textAlignment w:val="auto"/>
        <w:rPr>
          <w:rFonts w:hint="eastAsia" w:ascii="宋体" w:hAnsi="宋体" w:cs="宋体"/>
          <w:color w:val="auto"/>
          <w:szCs w:val="21"/>
          <w:highlight w:val="none"/>
        </w:rPr>
      </w:pPr>
      <w:r>
        <w:rPr>
          <w:rFonts w:hint="eastAsia" w:ascii="宋体" w:hAnsi="宋体" w:cs="宋体"/>
          <w:color w:val="auto"/>
          <w:szCs w:val="21"/>
          <w:highlight w:val="none"/>
        </w:rPr>
        <w:t>7.所属行业依照《中小企业划型标准规定》（工信部联企业〔2011〕300号）及《国民经济行业分类》（</w:t>
      </w:r>
      <w:r>
        <w:rPr>
          <w:color w:val="auto"/>
          <w:highlight w:val="none"/>
        </w:rPr>
        <w:t xml:space="preserve"> </w:t>
      </w:r>
      <w:r>
        <w:rPr>
          <w:rFonts w:ascii="宋体" w:hAnsi="宋体" w:cs="宋体"/>
          <w:color w:val="auto"/>
          <w:szCs w:val="21"/>
          <w:highlight w:val="none"/>
        </w:rPr>
        <w:t>GB/T 4754—2017</w:t>
      </w:r>
      <w:r>
        <w:rPr>
          <w:rFonts w:hint="eastAsia" w:ascii="宋体" w:hAnsi="宋体" w:cs="宋体"/>
          <w:color w:val="auto"/>
          <w:szCs w:val="21"/>
          <w:highlight w:val="none"/>
        </w:rPr>
        <w:t>）的有关规定执行，</w:t>
      </w:r>
      <w:r>
        <w:rPr>
          <w:rFonts w:hint="eastAsia" w:ascii="宋体" w:hAnsi="宋体" w:cs="宋体"/>
          <w:b/>
          <w:bCs/>
          <w:color w:val="auto"/>
          <w:szCs w:val="21"/>
          <w:highlight w:val="none"/>
        </w:rPr>
        <w:t>本项目所有分标所属行业为“</w:t>
      </w:r>
      <w:r>
        <w:rPr>
          <w:rFonts w:hint="eastAsia" w:ascii="Helvetica" w:hAnsi="Helvetica" w:cs="Helvetica"/>
          <w:b/>
          <w:bCs/>
          <w:color w:val="auto"/>
          <w:szCs w:val="21"/>
          <w:highlight w:val="none"/>
          <w:shd w:val="clear" w:color="auto" w:fill="FFFFFF"/>
        </w:rPr>
        <w:t>工</w:t>
      </w:r>
      <w:r>
        <w:rPr>
          <w:rFonts w:ascii="Helvetica" w:hAnsi="Helvetica" w:eastAsia="Helvetica" w:cs="Helvetica"/>
          <w:b/>
          <w:bCs/>
          <w:color w:val="auto"/>
          <w:szCs w:val="21"/>
          <w:highlight w:val="none"/>
          <w:shd w:val="clear" w:color="auto" w:fill="FFFFFF"/>
        </w:rPr>
        <w:t>业</w:t>
      </w:r>
      <w:r>
        <w:rPr>
          <w:rFonts w:hint="eastAsia" w:ascii="宋体" w:hAnsi="宋体" w:cs="宋体"/>
          <w:b/>
          <w:bCs/>
          <w:color w:val="auto"/>
          <w:szCs w:val="21"/>
          <w:highlight w:val="none"/>
        </w:rPr>
        <w:t>”</w:t>
      </w:r>
      <w:r>
        <w:rPr>
          <w:rFonts w:hint="eastAsia" w:ascii="宋体" w:hAnsi="宋体" w:cs="宋体"/>
          <w:color w:val="auto"/>
          <w:szCs w:val="21"/>
          <w:highlight w:val="none"/>
        </w:rPr>
        <w:t xml:space="preserve">。 </w:t>
      </w:r>
    </w:p>
    <w:p>
      <w:pPr>
        <w:spacing w:line="360" w:lineRule="auto"/>
        <w:ind w:firstLine="308" w:firstLineChars="147"/>
        <w:jc w:val="left"/>
        <w:rPr>
          <w:rFonts w:ascii="宋体" w:hAnsi="宋体" w:cs="Arial"/>
          <w:bCs/>
          <w:color w:val="auto"/>
          <w:szCs w:val="21"/>
          <w:highlight w:val="none"/>
        </w:rPr>
      </w:pPr>
    </w:p>
    <w:p>
      <w:pPr>
        <w:spacing w:line="560" w:lineRule="exact"/>
        <w:jc w:val="left"/>
        <w:rPr>
          <w:rFonts w:hint="eastAsia" w:ascii="宋体" w:hAnsi="宋体"/>
          <w:b/>
          <w:bCs/>
          <w:color w:val="auto"/>
          <w:szCs w:val="21"/>
          <w:highlight w:val="none"/>
        </w:rPr>
      </w:pPr>
      <w:r>
        <w:rPr>
          <w:rFonts w:hint="eastAsia" w:ascii="宋体" w:hAnsi="宋体" w:cs="Arial"/>
          <w:bCs/>
          <w:color w:val="auto"/>
          <w:szCs w:val="21"/>
          <w:highlight w:val="none"/>
          <w:u w:val="single"/>
        </w:rPr>
        <w:br w:type="page"/>
      </w:r>
      <w:bookmarkEnd w:id="41"/>
      <w:bookmarkEnd w:id="42"/>
      <w:r>
        <w:rPr>
          <w:rFonts w:hint="eastAsia" w:ascii="宋体" w:hAnsi="宋体"/>
          <w:b/>
          <w:color w:val="auto"/>
          <w:szCs w:val="21"/>
          <w:highlight w:val="none"/>
        </w:rPr>
        <w:t>1分标</w:t>
      </w:r>
      <w:r>
        <w:rPr>
          <w:rFonts w:hint="eastAsia" w:ascii="宋体" w:hAnsi="宋体"/>
          <w:b/>
          <w:bCs/>
          <w:color w:val="auto"/>
          <w:szCs w:val="21"/>
          <w:highlight w:val="none"/>
        </w:rPr>
        <w:t>预算金额：</w:t>
      </w:r>
      <w:r>
        <w:rPr>
          <w:rFonts w:hint="eastAsia" w:ascii="宋体" w:hAnsi="宋体"/>
          <w:b/>
          <w:bCs/>
          <w:color w:val="auto"/>
          <w:szCs w:val="21"/>
          <w:highlight w:val="none"/>
          <w:lang w:eastAsia="zh-CN"/>
        </w:rPr>
        <w:t>1980000.0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1980000.00</w:t>
      </w:r>
      <w:r>
        <w:rPr>
          <w:rFonts w:hint="eastAsia" w:ascii="宋体" w:hAnsi="宋体"/>
          <w:b/>
          <w:bCs/>
          <w:color w:val="auto"/>
          <w:szCs w:val="21"/>
          <w:highlight w:val="none"/>
        </w:rPr>
        <w:t xml:space="preserve">元 </w:t>
      </w:r>
    </w:p>
    <w:p>
      <w:pPr>
        <w:spacing w:line="560" w:lineRule="exact"/>
        <w:jc w:val="left"/>
        <w:rPr>
          <w:rFonts w:hint="default" w:ascii="宋体" w:hAnsi="宋体" w:eastAsia="宋体"/>
          <w:b/>
          <w:bCs/>
          <w:color w:val="auto"/>
          <w:szCs w:val="21"/>
          <w:highlight w:val="none"/>
          <w:lang w:val="en-US" w:eastAsia="zh-CN"/>
        </w:rPr>
      </w:pPr>
      <w:r>
        <w:rPr>
          <w:rFonts w:hint="eastAsia" w:ascii="宋体" w:hAnsi="宋体"/>
          <w:b/>
          <w:bCs/>
          <w:color w:val="auto"/>
          <w:szCs w:val="21"/>
          <w:highlight w:val="none"/>
          <w:lang w:val="en-US" w:eastAsia="zh-CN"/>
        </w:rPr>
        <w:t>1分标核心产品：“彩色多普勒超声系统”</w:t>
      </w:r>
    </w:p>
    <w:tbl>
      <w:tblPr>
        <w:tblStyle w:val="46"/>
        <w:tblW w:w="9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709"/>
        <w:gridCol w:w="662"/>
        <w:gridCol w:w="67"/>
        <w:gridCol w:w="7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567" w:type="dxa"/>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序号</w:t>
            </w:r>
          </w:p>
        </w:tc>
        <w:tc>
          <w:tcPr>
            <w:tcW w:w="709" w:type="dxa"/>
            <w:noWrap w:val="0"/>
            <w:vAlign w:val="center"/>
          </w:tcPr>
          <w:p>
            <w:pPr>
              <w:tabs>
                <w:tab w:val="left" w:pos="180"/>
                <w:tab w:val="left" w:pos="1620"/>
              </w:tabs>
              <w:spacing w:line="360" w:lineRule="auto"/>
              <w:jc w:val="center"/>
              <w:rPr>
                <w:rFonts w:hint="eastAsia" w:ascii="宋体" w:hAnsi="宋体" w:cs="Arial"/>
                <w:color w:val="auto"/>
                <w:szCs w:val="21"/>
                <w:highlight w:val="none"/>
              </w:rPr>
            </w:pPr>
            <w:r>
              <w:rPr>
                <w:rFonts w:hint="eastAsia" w:ascii="宋体" w:hAnsi="宋体"/>
                <w:b/>
                <w:bCs/>
                <w:color w:val="auto"/>
                <w:szCs w:val="21"/>
                <w:highlight w:val="none"/>
              </w:rPr>
              <w:t>标的名称</w:t>
            </w:r>
          </w:p>
        </w:tc>
        <w:tc>
          <w:tcPr>
            <w:tcW w:w="729" w:type="dxa"/>
            <w:gridSpan w:val="2"/>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数量单位</w:t>
            </w:r>
          </w:p>
        </w:tc>
        <w:tc>
          <w:tcPr>
            <w:tcW w:w="7511" w:type="dxa"/>
            <w:noWrap w:val="0"/>
            <w:vAlign w:val="center"/>
          </w:tcPr>
          <w:p>
            <w:pPr>
              <w:tabs>
                <w:tab w:val="left" w:pos="180"/>
                <w:tab w:val="left" w:pos="1620"/>
              </w:tabs>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567"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09"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彩色多普勒超声系统</w:t>
            </w:r>
          </w:p>
        </w:tc>
        <w:tc>
          <w:tcPr>
            <w:tcW w:w="729" w:type="dxa"/>
            <w:gridSpan w:val="2"/>
            <w:noWrap w:val="0"/>
            <w:vAlign w:val="center"/>
          </w:tcPr>
          <w:p>
            <w:pPr>
              <w:pStyle w:val="89"/>
              <w:spacing w:line="360" w:lineRule="auto"/>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1台</w:t>
            </w:r>
          </w:p>
        </w:tc>
        <w:tc>
          <w:tcPr>
            <w:tcW w:w="7511" w:type="dxa"/>
            <w:noWrap w:val="0"/>
            <w:vAlign w:val="center"/>
          </w:tcPr>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1.主机成像系统</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▲1.1高分辨率液晶显示器≥23英寸，分辨率≥1920×1080</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1.2操作面板具备液晶触摸屏≥15英寸</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触摸屏可独立调节角度≥40度</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1.3触摸屏可通过手指滑动触摸屏进行翻页，可将显示器上的超声图像投影到触摸屏上，通过手指进行放大，描迹测量等操作。可自定义手势操作功能</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1.4控制面板全空间悬浮式调节，可同时旋转和升降，前后拉升。旋转角度 ≥180度，前后拉升≥35cm，上下移动≥30cm</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1.5控制面板上可自定义按键≥10个，按键上可直接显示自定义的功能名称</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1.6内置数字录像机可用于教学，存储时间≥60分钟</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1.7主机操作面板一体化耦合剂加热装置，耦合剂温度三挡可调；</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▲1.8探头接口≥5个，全激活、相互通用</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1.9全域动态聚焦技术，即全程发射及全程接受聚焦技术，使得图像近、中、远场图像保持均匀一致</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1.10数字化二维灰阶成像及M型显像单元；</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1.11彩色多普勒成像技术；</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1.12彩色多普勒能量图技术；</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1.13方向性能量图技术</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1.14解剖M型模式（≥2条取样线）</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1.15数字化频谱多普勒显示和分析单元 (包括 PW 、CW和 HPRF)</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1.16斑点噪声抑制成像，在二维图像，造影成像模式及三维成像下可支持；</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1.17一键快速优化多种参数，自动优化图像。可支持对二维灰阶、彩色多普勒、频谱多普勒、及造影图像的优化。频谱多普勒下可自动优化：偏转角度、取样容积大小、角度</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1.18自动血流跟踪技术，一键实时自动优化Color/Power及PW频谱图像、Color/Power框的位置和角度、PW取样门的位置、角度和大小等</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1.19穿刺针增强技术，凸阵和线阵探头均可支持，具有双屏实时对比显示，增强前后效果，并支持自适应校正角度</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1.20速度标识功能，标识不同血流速度边界，观察血流分布及速度梯度</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1.21图像放大，支持前端放大和后端放大，放大倍数≥10倍</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1.22全屏放大，支持≥2种放大模式</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1.23线阵探头双B图像拼接</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1.24声功率可调，实时显示MI/TI（TIB，TIC，TIS）</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1.25自动工作流，检查过程中可按照协议自动注释，自动标记体位图，自动切换图像模式等</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1.26多语言操作界面，英语，中文（包括键盘输入、注释、操作面板等）</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1.27支持语音注释，可将语音注释信息保存到电影文件中，支持在超声设备或是在PC端回放语音注释</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测量/分析和报告</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2.1</w:t>
            </w:r>
            <w:r>
              <w:rPr>
                <w:rFonts w:hint="eastAsia" w:ascii="宋体" w:hAnsi="宋体" w:eastAsia="宋体" w:cs="宋体"/>
                <w:b w:val="0"/>
                <w:bCs/>
                <w:color w:val="auto"/>
                <w:sz w:val="21"/>
                <w:szCs w:val="21"/>
                <w:highlight w:val="none"/>
              </w:rPr>
              <w:t>一般测量：距离、周长、面积、体积、角度、自动频谱测量</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2.2全科测量包，自动生成报告：腹部、妇科、产科、心脏、泌尿、小器官、儿科、血管、神经等</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2.3自动产科测量，要求自动测量≥4项胎儿发育评估指标</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2.4自动NT测量</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2.5血管内中膜自动测量，可同时自动描记血管前、后壁的内中膜，自动生成测量数据，测量结果参数≥7项</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2.6支持血管内中膜自动实时测量,自动获取6组IMT内膜厚度值,并实时更新</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2.7支持血管体位图手动编辑功能，通过手动编辑体位图，直观显示病变的位置</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2.8IVF卵泡专业分析软件包，具备专业卵泡评估报告，多项IVF评估指标及发育趋线分析</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2.9小儿髋关节自动测量功能，可自动计算α角,β角，自动进行临床分型</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3</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电影回放和数据存储</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3.1</w:t>
            </w:r>
            <w:r>
              <w:rPr>
                <w:rFonts w:hint="eastAsia" w:ascii="宋体" w:hAnsi="宋体" w:eastAsia="宋体" w:cs="宋体"/>
                <w:b w:val="0"/>
                <w:bCs/>
                <w:color w:val="auto"/>
                <w:sz w:val="21"/>
                <w:szCs w:val="21"/>
                <w:highlight w:val="none"/>
              </w:rPr>
              <w:t>支持二维、彩色、造影、4D等模式的手动和自动回放，电影回放支持编辑和剪接功能</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3.2</w:t>
            </w:r>
            <w:r>
              <w:rPr>
                <w:rFonts w:hint="eastAsia" w:ascii="宋体" w:hAnsi="宋体" w:eastAsia="宋体" w:cs="宋体"/>
                <w:b w:val="0"/>
                <w:bCs/>
                <w:color w:val="auto"/>
                <w:sz w:val="21"/>
                <w:szCs w:val="21"/>
                <w:highlight w:val="none"/>
              </w:rPr>
              <w:t>电影回放：≥8000秒</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3.3</w:t>
            </w:r>
            <w:r>
              <w:rPr>
                <w:rFonts w:hint="eastAsia" w:ascii="宋体" w:hAnsi="宋体" w:eastAsia="宋体" w:cs="宋体"/>
                <w:b w:val="0"/>
                <w:bCs/>
                <w:color w:val="auto"/>
                <w:sz w:val="21"/>
                <w:szCs w:val="21"/>
                <w:highlight w:val="none"/>
              </w:rPr>
              <w:t>支持向后存储和向前存储，时间长度可预置，向后存储≥5分钟的电影，对剪接和编辑的电影图像可多次存储和多次编辑；图像和电影均可以实时扫描、冻结状态下直接存储，并且具有独立的存储功能键</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3.4</w:t>
            </w:r>
            <w:r>
              <w:rPr>
                <w:rFonts w:hint="eastAsia" w:ascii="宋体" w:hAnsi="宋体" w:eastAsia="宋体" w:cs="宋体"/>
                <w:b w:val="0"/>
                <w:bCs/>
                <w:color w:val="auto"/>
                <w:sz w:val="21"/>
                <w:szCs w:val="21"/>
                <w:highlight w:val="none"/>
              </w:rPr>
              <w:t>支持同屏对比多个不同模式的动态、静态图像</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3.5</w:t>
            </w:r>
            <w:r>
              <w:rPr>
                <w:rFonts w:hint="eastAsia" w:ascii="宋体" w:hAnsi="宋体" w:eastAsia="宋体" w:cs="宋体"/>
                <w:b w:val="0"/>
                <w:bCs/>
                <w:color w:val="auto"/>
                <w:sz w:val="21"/>
                <w:szCs w:val="21"/>
                <w:highlight w:val="none"/>
              </w:rPr>
              <w:t>原始数据处理，支持动、静态图像冻结后，最大可进行32项参数调节。能支持二维图像离线后进行M成像</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3.6</w:t>
            </w:r>
            <w:r>
              <w:rPr>
                <w:rFonts w:hint="eastAsia" w:ascii="宋体" w:hAnsi="宋体" w:eastAsia="宋体" w:cs="宋体"/>
                <w:b w:val="0"/>
                <w:bCs/>
                <w:color w:val="auto"/>
                <w:sz w:val="21"/>
                <w:szCs w:val="21"/>
                <w:highlight w:val="none"/>
              </w:rPr>
              <w:t>硬盘：≥1T硬盘</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3.7</w:t>
            </w:r>
            <w:r>
              <w:rPr>
                <w:rFonts w:hint="eastAsia" w:ascii="宋体" w:hAnsi="宋体" w:eastAsia="宋体" w:cs="宋体"/>
                <w:b w:val="0"/>
                <w:bCs/>
                <w:color w:val="auto"/>
                <w:sz w:val="21"/>
                <w:szCs w:val="21"/>
                <w:highlight w:val="none"/>
              </w:rPr>
              <w:t>多种导出图像格式：动态图像、静态图像以PC格式直接导出。导出、备份图像数据资料同时，可进行实时检查，不影响检查操作</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3.8</w:t>
            </w:r>
            <w:r>
              <w:rPr>
                <w:rFonts w:hint="eastAsia" w:ascii="宋体" w:hAnsi="宋体" w:eastAsia="宋体" w:cs="宋体"/>
                <w:b w:val="0"/>
                <w:bCs/>
                <w:color w:val="auto"/>
                <w:sz w:val="21"/>
                <w:szCs w:val="21"/>
                <w:highlight w:val="none"/>
              </w:rPr>
              <w:t>支持多设备图像对比功能， 可导入MRI,CT等影像学图片，与实时超声图片进行对比显示</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3.9</w:t>
            </w:r>
            <w:r>
              <w:rPr>
                <w:rFonts w:hint="eastAsia" w:ascii="宋体" w:hAnsi="宋体" w:eastAsia="宋体" w:cs="宋体"/>
                <w:b w:val="0"/>
                <w:bCs/>
                <w:color w:val="auto"/>
                <w:sz w:val="21"/>
                <w:szCs w:val="21"/>
                <w:highlight w:val="none"/>
              </w:rPr>
              <w:t>支持一键传输图片到智能手机终端或PC端</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4.</w:t>
            </w:r>
            <w:r>
              <w:rPr>
                <w:rFonts w:hint="eastAsia" w:ascii="宋体" w:hAnsi="宋体" w:eastAsia="宋体" w:cs="宋体"/>
                <w:b/>
                <w:bCs w:val="0"/>
                <w:color w:val="auto"/>
                <w:sz w:val="21"/>
                <w:szCs w:val="21"/>
                <w:highlight w:val="none"/>
              </w:rPr>
              <w:t>连通性要求</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4.1支持网络连接，开放DICOM 3.0接口满足任何厂家PACS联网传输；</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4.2支持移动设备无线传输，一键传输图片到智能手机终端或PC端</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4.3输入接口：音频输入，ECG信号输入</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4.4输出信号：HDMI视频，S-VIDEO视频, VGA视频</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4.5≥6个USB接口、DVD R/W刻录光驱、TYPE C 数据接口</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bCs w:val="0"/>
                <w:color w:val="auto"/>
                <w:sz w:val="21"/>
                <w:szCs w:val="21"/>
                <w:highlight w:val="none"/>
                <w:lang w:val="en-US" w:eastAsia="zh-CN"/>
              </w:rPr>
              <w:t>5.</w:t>
            </w:r>
            <w:r>
              <w:rPr>
                <w:rFonts w:hint="eastAsia" w:ascii="宋体" w:hAnsi="宋体" w:eastAsia="宋体" w:cs="宋体"/>
                <w:b/>
                <w:bCs w:val="0"/>
                <w:color w:val="auto"/>
                <w:sz w:val="21"/>
                <w:szCs w:val="21"/>
                <w:highlight w:val="none"/>
              </w:rPr>
              <w:t>系统技术参数及要求</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5.1二维灰阶模式</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5.1.1</w:t>
            </w:r>
            <w:r>
              <w:rPr>
                <w:rFonts w:hint="eastAsia" w:ascii="宋体" w:hAnsi="宋体" w:eastAsia="宋体" w:cs="宋体"/>
                <w:b w:val="0"/>
                <w:bCs/>
                <w:color w:val="auto"/>
                <w:sz w:val="21"/>
                <w:szCs w:val="21"/>
                <w:highlight w:val="none"/>
              </w:rPr>
              <w:t>数字化全程动态聚焦，数字化可变孔径及动态变迹，A/D≥12 bit</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5.1.2</w:t>
            </w:r>
            <w:r>
              <w:rPr>
                <w:rFonts w:hint="eastAsia" w:ascii="宋体" w:hAnsi="宋体" w:eastAsia="宋体" w:cs="宋体"/>
                <w:b w:val="0"/>
                <w:bCs/>
                <w:color w:val="auto"/>
                <w:sz w:val="21"/>
                <w:szCs w:val="21"/>
                <w:highlight w:val="none"/>
              </w:rPr>
              <w:t>接收方式：发射、接收通道≥1024，多倍信号并行处理</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5.1.3</w:t>
            </w:r>
            <w:r>
              <w:rPr>
                <w:rFonts w:hint="eastAsia" w:ascii="宋体" w:hAnsi="宋体" w:eastAsia="宋体" w:cs="宋体"/>
                <w:b w:val="0"/>
                <w:bCs/>
                <w:color w:val="auto"/>
                <w:sz w:val="21"/>
                <w:szCs w:val="21"/>
                <w:highlight w:val="none"/>
              </w:rPr>
              <w:t>扫描线：每帧线密度≥512超声线</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5.1.4</w:t>
            </w:r>
            <w:r>
              <w:rPr>
                <w:rFonts w:hint="eastAsia" w:ascii="宋体" w:hAnsi="宋体" w:eastAsia="宋体" w:cs="宋体"/>
                <w:b w:val="0"/>
                <w:bCs/>
                <w:color w:val="auto"/>
                <w:sz w:val="21"/>
                <w:szCs w:val="21"/>
                <w:highlight w:val="none"/>
              </w:rPr>
              <w:t>预设条件：针对不同的检查脏器，预置最佳图像检查条件</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5.1.5</w:t>
            </w:r>
            <w:r>
              <w:rPr>
                <w:rFonts w:hint="eastAsia" w:ascii="宋体" w:hAnsi="宋体" w:eastAsia="宋体" w:cs="宋体"/>
                <w:b w:val="0"/>
                <w:bCs/>
                <w:color w:val="auto"/>
                <w:sz w:val="21"/>
                <w:szCs w:val="21"/>
                <w:highlight w:val="none"/>
              </w:rPr>
              <w:t>复合成像技术：采用≥9条声束偏转的复合超声成像，提升图像的细节分辨率和加强边界显示，消除伪像；</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5.1.6</w:t>
            </w:r>
            <w:r>
              <w:rPr>
                <w:rFonts w:hint="eastAsia" w:ascii="宋体" w:hAnsi="宋体" w:eastAsia="宋体" w:cs="宋体"/>
                <w:b w:val="0"/>
                <w:bCs/>
                <w:color w:val="auto"/>
                <w:sz w:val="21"/>
                <w:szCs w:val="21"/>
                <w:highlight w:val="none"/>
              </w:rPr>
              <w:t>组织特异性成像预设，针对不同脏器预设最佳声波传播速度用于计算成像，减少因成像声速值与实际声速值偏差导致图像失真</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5.1.7</w:t>
            </w:r>
            <w:r>
              <w:rPr>
                <w:rFonts w:hint="eastAsia" w:ascii="宋体" w:hAnsi="宋体" w:eastAsia="宋体" w:cs="宋体"/>
                <w:b w:val="0"/>
                <w:bCs/>
                <w:color w:val="auto"/>
                <w:sz w:val="21"/>
                <w:szCs w:val="21"/>
                <w:highlight w:val="none"/>
              </w:rPr>
              <w:t>声速匹配技术，可根据人体组织真实情况，一键实时自动匹配至最佳成像声速，并以具体数值（SSC值）在屏幕上显示</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5.1.8</w:t>
            </w:r>
            <w:r>
              <w:rPr>
                <w:rFonts w:hint="eastAsia" w:ascii="宋体" w:hAnsi="宋体" w:eastAsia="宋体" w:cs="宋体"/>
                <w:b w:val="0"/>
                <w:bCs/>
                <w:color w:val="auto"/>
                <w:sz w:val="21"/>
                <w:szCs w:val="21"/>
                <w:highlight w:val="none"/>
              </w:rPr>
              <w:t xml:space="preserve">最大显示深度≥38cm </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5.1.9</w:t>
            </w:r>
            <w:r>
              <w:rPr>
                <w:rFonts w:hint="eastAsia" w:ascii="宋体" w:hAnsi="宋体" w:eastAsia="宋体" w:cs="宋体"/>
                <w:b w:val="0"/>
                <w:bCs/>
                <w:color w:val="auto"/>
                <w:sz w:val="21"/>
                <w:szCs w:val="21"/>
                <w:highlight w:val="none"/>
                <w:lang w:val="en-US" w:eastAsia="zh-CN"/>
              </w:rPr>
              <w:t xml:space="preserve"> </w:t>
            </w:r>
            <w:r>
              <w:rPr>
                <w:rFonts w:hint="eastAsia" w:ascii="宋体" w:hAnsi="宋体" w:eastAsia="宋体" w:cs="宋体"/>
                <w:b w:val="0"/>
                <w:bCs/>
                <w:color w:val="auto"/>
                <w:sz w:val="21"/>
                <w:szCs w:val="21"/>
                <w:highlight w:val="none"/>
              </w:rPr>
              <w:t>TGC ≥8段，LGC: ≥6段</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 xml:space="preserve">5.1.10动态范围≥200 </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5.1.11增益调节</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B/M/D分别独立可调，≥100，可视可调步进≤1db</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5.1.12伪彩图谱 ≥8种</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5.1.13最大帧率≥1000 帧/秒</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5.2彩色多普勒成像</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5.2.1包括速度、速度方差、能量、方向能量显示等</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5.2.2显示方式：B/C、B/C/M、B/POWER、B/C/PW</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5.2.3取样框偏转 ≥±30度，取样框可根据探头血流方向自动调节</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5.2.4速度标识功能，标识不同血流速度边界，观察血流分布及速度梯度</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5.2.5最大帧率 ≥260 帧/秒</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5.3频谱多普勒模式</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5.3.1包括脉冲多普勒、高脉冲重复频率、连续多普勒</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5.3.2显示方式：B, PW，B/PW, B/C/PW, B/CW, B/C/CW等等</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5.3.3最大速度≥7.60m/s（连续多普勒速度: ≥30m/s）</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5.3.4最小速度 ≤1 mm /s（非噪声信号）</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5.3.5取样容积</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0.5-20mm ,支持所有探头</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5.3.6偏转角度 ≥±30度 (线阵探头) ，并支持快速角度校正</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5.3.7零位移动≥8 级</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5.3.8支持频谱自动测量</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5.4探头规格</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▲5.4.1探头配置：单晶腹部探头1把，浅表探头1把，相控阵探头1把，腔内探头1把；</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5.4.2频率：超宽频带或变频探头，所配探头均为宽频变频探头,二维、谐波、彩色及频谱多普勒模式分别独立变频，≥3段</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5.4.3扫描频率：凸阵探头：带宽: 1.2-6.0MHz，角度≥72°；</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5.4.4穿刺引导，凸阵、线阵、相控阵具备多角度穿刺引导功能</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5.4.5扫描频率：单晶凸阵探头：带宽</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1.2-6.0MHz，角度≥72°；</w:t>
            </w:r>
          </w:p>
          <w:p>
            <w:pPr>
              <w:pStyle w:val="89"/>
              <w:keepNext w:val="0"/>
              <w:keepLines w:val="0"/>
              <w:pageBreakBefore w:val="0"/>
              <w:widowControl w:val="0"/>
              <w:kinsoku/>
              <w:wordWrap/>
              <w:overflowPunct/>
              <w:topLinePunct w:val="0"/>
              <w:autoSpaceDE/>
              <w:autoSpaceDN/>
              <w:bidi w:val="0"/>
              <w:adjustRightInd/>
              <w:snapToGrid w:val="0"/>
              <w:spacing w:line="440" w:lineRule="exact"/>
              <w:ind w:firstLine="690" w:firstLineChars="300"/>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线阵探头：带宽</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3-13 MHz，扫描范围≥50mm；</w:t>
            </w:r>
          </w:p>
          <w:p>
            <w:pPr>
              <w:pStyle w:val="89"/>
              <w:keepNext w:val="0"/>
              <w:keepLines w:val="0"/>
              <w:pageBreakBefore w:val="0"/>
              <w:widowControl w:val="0"/>
              <w:kinsoku/>
              <w:wordWrap/>
              <w:overflowPunct/>
              <w:topLinePunct w:val="0"/>
              <w:autoSpaceDE/>
              <w:autoSpaceDN/>
              <w:bidi w:val="0"/>
              <w:adjustRightInd/>
              <w:snapToGrid w:val="0"/>
              <w:spacing w:line="440" w:lineRule="exact"/>
              <w:ind w:firstLine="690" w:firstLineChars="300"/>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相控阵探头：带宽</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1.5-4.5 MHz，角度≥90；</w:t>
            </w:r>
          </w:p>
          <w:p>
            <w:pPr>
              <w:pStyle w:val="89"/>
              <w:keepNext w:val="0"/>
              <w:keepLines w:val="0"/>
              <w:pageBreakBefore w:val="0"/>
              <w:widowControl w:val="0"/>
              <w:kinsoku/>
              <w:wordWrap/>
              <w:overflowPunct/>
              <w:topLinePunct w:val="0"/>
              <w:autoSpaceDE/>
              <w:autoSpaceDN/>
              <w:bidi w:val="0"/>
              <w:adjustRightInd/>
              <w:snapToGrid w:val="0"/>
              <w:spacing w:line="440" w:lineRule="exact"/>
              <w:ind w:firstLine="690" w:firstLineChars="300"/>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腔内探头：带宽</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2.6-12.8 MHz，角度≥180°；</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5.5剪切波弹性成像</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5.5.1支持探头：凸阵探头，线阵探头；</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5.5.2支持二维实时剪切波和单点式剪切波成像</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5.5.3实时剪切波弹性成像取样框大小可调，可得到取样框内杨氏模量值等定量数据</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5.5.4实时剪切波弹性成像及二维成像双实时成像，图像布局包括上下，左右多种方式可调</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5.5.5同时输出以kPa和m/s为单位的组织硬度定量数据，保证临床可以使用硬度数据进行临床诊断和科研工作</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5.5.6支持肿块周边组织定量分析功能</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5.6造影成像及定量分析功能</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5.6.1支持多种探头：凸阵探头、线阵探头</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5.6.2支持微血管造影增强功能</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5.6.3双计时器</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5.6.4支持向后存储，≥6分钟电影；支持向前存储</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5.6.5具备混合模式</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5.6.6支持造影图像和组织图像位置互换</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5.6.7造影定量分析：取样点可跟踪感兴趣区运动、提供TIC时间强度曲线分析、可选择原始曲线和拟合曲线、具有表格报告分析</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5.7</w:t>
            </w:r>
            <w:r>
              <w:rPr>
                <w:rFonts w:hint="eastAsia" w:ascii="宋体" w:hAnsi="宋体" w:eastAsia="宋体" w:cs="宋体"/>
                <w:b/>
                <w:bCs w:val="0"/>
                <w:color w:val="auto"/>
                <w:sz w:val="21"/>
                <w:szCs w:val="21"/>
                <w:highlight w:val="none"/>
                <w:lang w:val="en-US" w:eastAsia="zh-CN"/>
              </w:rPr>
              <w:t xml:space="preserve"> </w:t>
            </w:r>
            <w:r>
              <w:rPr>
                <w:rFonts w:hint="eastAsia" w:ascii="宋体" w:hAnsi="宋体" w:eastAsia="宋体" w:cs="宋体"/>
                <w:b/>
                <w:bCs w:val="0"/>
                <w:color w:val="auto"/>
                <w:sz w:val="21"/>
                <w:szCs w:val="21"/>
                <w:highlight w:val="none"/>
              </w:rPr>
              <w:t>TDI组织多普勒成像</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5.7.1TDI成像模式：彩色速度模式图、能量模式图、频谱模式图、M型模式图</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5.7.2TDI组织多普勒定量分析软件：支持运动追踪功能；同步显示≥6段心肌组织运动速度曲线图</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6</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外设和附件</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6.1耦合剂加热器</w:t>
            </w:r>
            <w:r>
              <w:rPr>
                <w:rFonts w:hint="eastAsia" w:ascii="宋体" w:hAnsi="宋体" w:eastAsia="宋体" w:cs="宋体"/>
                <w:b w:val="0"/>
                <w:bCs/>
                <w:color w:val="auto"/>
                <w:sz w:val="21"/>
                <w:szCs w:val="21"/>
                <w:highlight w:val="none"/>
                <w:lang w:eastAsia="zh-CN"/>
              </w:rPr>
              <w:t>；</w:t>
            </w:r>
          </w:p>
          <w:p>
            <w:pPr>
              <w:pStyle w:val="89"/>
              <w:keepNext w:val="0"/>
              <w:keepLines w:val="0"/>
              <w:pageBreakBefore w:val="0"/>
              <w:widowControl w:val="0"/>
              <w:kinsoku/>
              <w:wordWrap/>
              <w:overflowPunct/>
              <w:topLinePunct w:val="0"/>
              <w:autoSpaceDE/>
              <w:autoSpaceDN/>
              <w:bidi w:val="0"/>
              <w:adjustRightInd/>
              <w:snapToGrid w:val="0"/>
              <w:spacing w:line="440" w:lineRule="exact"/>
              <w:jc w:val="left"/>
              <w:textAlignment w:val="auto"/>
              <w:rPr>
                <w:rFonts w:hint="eastAsia" w:ascii="宋体" w:hAnsi="宋体" w:eastAsia="宋体" w:cs="宋体"/>
                <w:b/>
                <w:bCs w:val="0"/>
                <w:color w:val="auto"/>
                <w:sz w:val="21"/>
                <w:szCs w:val="21"/>
                <w:highlight w:val="none"/>
                <w:lang w:eastAsia="zh-CN"/>
              </w:rPr>
            </w:pPr>
            <w:r>
              <w:rPr>
                <w:rFonts w:hint="eastAsia" w:ascii="宋体" w:hAnsi="宋体" w:eastAsia="宋体" w:cs="宋体"/>
                <w:b w:val="0"/>
                <w:bCs/>
                <w:color w:val="auto"/>
                <w:sz w:val="21"/>
                <w:szCs w:val="21"/>
                <w:highlight w:val="none"/>
              </w:rPr>
              <w:t>6.2腔内探头放置架，可左右互换</w:t>
            </w:r>
            <w:r>
              <w:rPr>
                <w:rFonts w:hint="eastAsia" w:ascii="宋体" w:hAnsi="宋体" w:eastAsia="宋体" w:cs="宋体"/>
                <w:b w:val="0"/>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▲一、</w:t>
            </w:r>
            <w:r>
              <w:rPr>
                <w:rFonts w:hint="eastAsia" w:ascii="宋体" w:hAnsi="宋体" w:cs="宋体"/>
                <w:b/>
                <w:color w:val="auto"/>
                <w:szCs w:val="21"/>
                <w:highlight w:val="none"/>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交付时间和地点</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ascii="宋体" w:hAnsi="宋体" w:cs="宋体"/>
                <w:color w:val="auto"/>
                <w:szCs w:val="21"/>
                <w:highlight w:val="none"/>
              </w:rPr>
              <w:t>1.交付时间：</w:t>
            </w:r>
            <w:r>
              <w:rPr>
                <w:rFonts w:hint="eastAsia" w:ascii="宋体" w:hAnsi="宋体" w:cs="宋体"/>
                <w:color w:val="auto"/>
                <w:szCs w:val="21"/>
                <w:highlight w:val="none"/>
                <w:lang w:eastAsia="zh-CN"/>
              </w:rPr>
              <w:t>自合同签订之日起60日内安装调试完毕并交付使用</w:t>
            </w:r>
            <w:r>
              <w:rPr>
                <w:rFonts w:hint="eastAsia" w:ascii="宋体" w:hAnsi="宋体" w:cs="宋体"/>
                <w:bCs/>
                <w:color w:val="auto"/>
                <w:szCs w:val="21"/>
                <w:highlight w:val="none"/>
              </w:rPr>
              <w:t>。</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2.交付地点：</w:t>
            </w:r>
            <w:r>
              <w:rPr>
                <w:rFonts w:hint="eastAsia" w:ascii="宋体" w:hAnsi="宋体" w:cs="宋体"/>
                <w:color w:val="auto"/>
                <w:sz w:val="21"/>
                <w:szCs w:val="21"/>
                <w:highlight w:val="none"/>
                <w:lang w:eastAsia="zh-CN"/>
              </w:rPr>
              <w:t>广西壮族自治区桂东人民医院指定地点</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合同签订时间</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自中标通知书发出之日起</w:t>
            </w:r>
            <w:r>
              <w:rPr>
                <w:rFonts w:hint="eastAsia" w:ascii="宋体" w:hAnsi="宋体" w:cs="宋体"/>
                <w:color w:val="auto"/>
                <w:kern w:val="0"/>
                <w:szCs w:val="21"/>
                <w:highlight w:val="none"/>
                <w:u w:val="single"/>
                <w:lang w:val="en-US" w:eastAsia="zh-CN"/>
              </w:rPr>
              <w:t>15</w:t>
            </w:r>
            <w:r>
              <w:rPr>
                <w:rFonts w:hint="eastAsia" w:ascii="宋体" w:hAnsi="宋体" w:cs="宋体"/>
                <w:color w:val="auto"/>
                <w:kern w:val="0"/>
                <w:szCs w:val="21"/>
                <w:highlight w:val="none"/>
              </w:rPr>
              <w:t>日内签订采购合同。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付款方式</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签订合同后，全部货物到达指定地点、安装调试并验收合格后，凭双方签署验收合格证，采购人按中标合同总额分三期支付完：（1）第一期：六个月内支付合同总金额的 60%；（2）第二期：第 18 个月后支付合同总金额的 20%；（3）第三期：第 24 个月后支付合同总金额的 20%；（4）以上均不计利息，每期中标人均须开出对应额度的发票，采购人收到发票后30日内支付。</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注：如中标人为中小企业，付款方式为：（1）第一期：合同签订后10个工作日内，采购人支付合同总金额30%的预付款；（2）第二期：履约验收后六个月内支付合同总金额的30%；（3）：第三期：第 18 个月后支付合同总金额的 20%（4）第四期：第 24 个月后支付合同总金额的 20%；（5）以上均不计利息，预付款后每期中标人均须开出对应额度的发票，采购人收到发票后30日内支付。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项目产品基本</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要求</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1.以上产品必须是具备合法资质的制造商生产的全新正品，并满足招标文件的要求，若产品在运输或安装过程中损坏或擦伤须无偿调换相同产品。</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2.投标人所投产品、辅材及生产工艺符合国家相关规范。</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3.投标人应保证所提供的货物或其任何一部分均不会侵犯任何第三方的专利权、商标权等，如在使用过程中出现的一切经济和法律责任均由投标人负责。</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4.</w:t>
            </w:r>
            <w:r>
              <w:rPr>
                <w:rFonts w:hint="eastAsia"/>
                <w:color w:val="auto"/>
                <w:highlight w:val="none"/>
                <w:lang w:eastAsia="zh-CN"/>
              </w:rPr>
              <w:t>投标报价是履行合同的最终价格，包括投标货物（包括备品备件、专用工具等）的价格（包括已在中国境内的进口货物完税后的仓库交货价、展室交货价或者货架交货价），投标货物运输（含保险）、安装（如有）、调试、检验、技术服务、培训和招标文件要求提供的所有伴随服务、工程等费用和税费</w:t>
            </w:r>
            <w:r>
              <w:rPr>
                <w:rFonts w:hint="eastAsia"/>
                <w:color w:val="auto"/>
                <w:highlight w:val="none"/>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lang w:val="en-US" w:eastAsia="zh-CN"/>
              </w:rPr>
              <w:t>5</w:t>
            </w:r>
            <w:r>
              <w:rPr>
                <w:rFonts w:hint="eastAsia"/>
                <w:color w:val="auto"/>
                <w:highlight w:val="none"/>
              </w:rPr>
              <w:t>.投标人所投产品必须提供产品“三包”服务；定期安排相关人员回访进行质量跟踪；保证提供临床应用和售后技术服务支持方式；保修期后提供终身维修服务及配件供应；其他售后服务按厂家承诺实行。</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cs="Times New Roman"/>
                <w:color w:val="auto"/>
                <w:kern w:val="2"/>
                <w:sz w:val="21"/>
                <w:szCs w:val="24"/>
                <w:highlight w:val="none"/>
                <w:lang w:val="en-US" w:eastAsia="zh-CN" w:bidi="ar-SA"/>
              </w:rPr>
              <w:t>6</w:t>
            </w:r>
            <w:r>
              <w:rPr>
                <w:rFonts w:hint="eastAsia" w:ascii="Times New Roman" w:hAnsi="Times New Roman" w:eastAsia="宋体" w:cs="Times New Roman"/>
                <w:color w:val="auto"/>
                <w:kern w:val="2"/>
                <w:sz w:val="21"/>
                <w:szCs w:val="24"/>
                <w:highlight w:val="none"/>
                <w:lang w:val="en-US" w:eastAsia="zh-CN" w:bidi="ar-SA"/>
              </w:rPr>
              <w:t>.</w:t>
            </w:r>
            <w:r>
              <w:rPr>
                <w:rFonts w:hint="eastAsia" w:ascii="Times New Roman" w:hAnsi="Times New Roman" w:eastAsia="宋体" w:cs="Times New Roman"/>
                <w:b w:val="0"/>
                <w:bCs w:val="0"/>
                <w:color w:val="auto"/>
                <w:kern w:val="2"/>
                <w:sz w:val="21"/>
                <w:szCs w:val="24"/>
                <w:highlight w:val="none"/>
                <w:lang w:val="en-US" w:eastAsia="zh-CN" w:bidi="ar-SA"/>
              </w:rPr>
              <w:t>中标人</w:t>
            </w:r>
            <w:r>
              <w:rPr>
                <w:rFonts w:hint="eastAsia" w:ascii="Times New Roman" w:hAnsi="Times New Roman" w:eastAsia="宋体" w:cs="Times New Roman"/>
                <w:color w:val="auto"/>
                <w:kern w:val="2"/>
                <w:sz w:val="21"/>
                <w:szCs w:val="24"/>
                <w:highlight w:val="none"/>
                <w:lang w:val="en-US" w:eastAsia="zh-CN" w:bidi="ar-SA"/>
              </w:rPr>
              <w:t>需无条件负责按国家相关管理要求对设备进行计量检测，确保检测合格。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售后服务</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1.质保期：设备安装完毕通过验收投入使用之日起整机提供保修服务</w:t>
            </w:r>
            <w:r>
              <w:rPr>
                <w:rFonts w:hint="eastAsia" w:cs="Times New Roman"/>
                <w:color w:val="auto"/>
                <w:kern w:val="2"/>
                <w:sz w:val="21"/>
                <w:szCs w:val="24"/>
                <w:highlight w:val="none"/>
                <w:lang w:val="en-US" w:eastAsia="zh-CN" w:bidi="ar-SA"/>
              </w:rPr>
              <w:t>至少三年</w:t>
            </w:r>
            <w:r>
              <w:rPr>
                <w:rFonts w:hint="eastAsia" w:ascii="Times New Roman" w:hAnsi="Times New Roman" w:eastAsia="宋体" w:cs="Times New Roman"/>
                <w:color w:val="auto"/>
                <w:kern w:val="2"/>
                <w:sz w:val="21"/>
                <w:szCs w:val="24"/>
                <w:highlight w:val="none"/>
                <w:lang w:val="en-US" w:eastAsia="zh-CN" w:bidi="ar-SA"/>
              </w:rPr>
              <w:t>,质保期内所有由于质量问题导致的硬件产品故障以保修、人工及更换备件标准上门服务并提供终身维护。并按国家有关产品“三包”规定执行“三包”，质保期满前1个月内中标人应负责一次全面检查。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2.故障处理：中标人须设有24小时服务电话，质保期内，在使用过程中发现质量问题或故障时，接到维修通知后，2小时内响应，24小时内实施维修服务。一般问题应在48小时内解决，重大问题或其它无法迅速解决的问题应在一周内解决，所发生的一切费用由中标人负责。</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3.定期回访：在保修期内要求每季度至少回访一次，有问题做到及时处理。每半年到现场做一次设备运行状况安全检查。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4.负责送货上门，安装调试（仪器到货后1周内到采购人处安装调试），负责培训1～2名操作人员至能完全独立操作及日常维护。</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5.投标人予以特别注意：如出现未能到期供货的情况，采购人有权终止合同的执行，所有的经济损失由中标人单方承担。</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default"/>
                <w:color w:val="auto"/>
                <w:highlight w:val="none"/>
                <w:lang w:val="en-US" w:eastAsia="zh-CN"/>
              </w:rPr>
            </w:pPr>
            <w:r>
              <w:rPr>
                <w:rFonts w:hint="eastAsia" w:ascii="Times New Roman" w:hAnsi="Times New Roman" w:eastAsia="宋体" w:cs="Times New Roman"/>
                <w:b/>
                <w:bCs/>
                <w:color w:val="auto"/>
                <w:kern w:val="2"/>
                <w:sz w:val="21"/>
                <w:szCs w:val="24"/>
                <w:highlight w:val="none"/>
                <w:lang w:val="en-US" w:eastAsia="zh-CN" w:bidi="ar-SA"/>
              </w:rPr>
              <w:t>6.投标文件中提供售后服务方案。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（一）验收标准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（二）履约验收其他事项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采购人验收货物时，可以邀请参加本项目的其他供应商或者第三方机构参与验收，如发现提供的货物与投标文件响应的不相符，采购人将此情况上报政府采购管理监督部门。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三</w:t>
            </w:r>
            <w:r>
              <w:rPr>
                <w:rFonts w:hint="eastAsia" w:ascii="宋体" w:hAnsi="宋体" w:cs="宋体"/>
                <w:b/>
                <w:color w:val="auto"/>
                <w:szCs w:val="21"/>
                <w:highlight w:val="none"/>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进口产品说明</w:t>
            </w:r>
          </w:p>
        </w:tc>
        <w:tc>
          <w:tcPr>
            <w:tcW w:w="7578"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本项目货物不接受进口产品（即通过中国海关报关验放进入中国境内且产自关境外的产品）参与投标，</w:t>
            </w:r>
            <w:r>
              <w:rPr>
                <w:rFonts w:hint="eastAsia" w:ascii="宋体" w:hAnsi="宋体" w:cs="宋体"/>
                <w:b/>
                <w:color w:val="auto"/>
                <w:szCs w:val="21"/>
                <w:highlight w:val="none"/>
              </w:rPr>
              <w:t>如有进口产品参与投标的作无效标处理</w:t>
            </w:r>
            <w:r>
              <w:rPr>
                <w:rFonts w:hint="eastAsia" w:ascii="宋体" w:hAnsi="宋体" w:cs="宋体"/>
                <w:color w:val="auto"/>
                <w:szCs w:val="21"/>
                <w:highlight w:val="none"/>
              </w:rPr>
              <w:t>。</w:t>
            </w:r>
          </w:p>
        </w:tc>
      </w:tr>
    </w:tbl>
    <w:p>
      <w:pPr>
        <w:spacing w:line="560" w:lineRule="exact"/>
        <w:ind w:firstLine="420" w:firstLineChars="200"/>
        <w:jc w:val="left"/>
        <w:rPr>
          <w:rFonts w:hint="eastAsia" w:ascii="宋体" w:hAnsi="宋体" w:cs="Arial"/>
          <w:bCs/>
          <w:color w:val="auto"/>
          <w:szCs w:val="21"/>
          <w:highlight w:val="none"/>
          <w:u w:val="single"/>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hAnsi="宋体"/>
          <w:b/>
          <w:bCs/>
          <w:color w:val="auto"/>
          <w:szCs w:val="21"/>
          <w:highlight w:val="none"/>
        </w:rPr>
      </w:pPr>
      <w:r>
        <w:rPr>
          <w:rFonts w:hint="eastAsia"/>
          <w:color w:val="auto"/>
          <w:highlight w:val="none"/>
        </w:rPr>
        <w:br w:type="page"/>
      </w:r>
      <w:r>
        <w:rPr>
          <w:rFonts w:hint="eastAsia" w:ascii="宋体" w:hAnsi="宋体"/>
          <w:b/>
          <w:bCs/>
          <w:color w:val="auto"/>
          <w:szCs w:val="21"/>
          <w:highlight w:val="none"/>
        </w:rPr>
        <w:t>2分标预算金额：</w:t>
      </w:r>
      <w:r>
        <w:rPr>
          <w:rFonts w:hint="eastAsia" w:ascii="宋体" w:hAnsi="宋体"/>
          <w:b/>
          <w:bCs/>
          <w:color w:val="auto"/>
          <w:szCs w:val="21"/>
          <w:highlight w:val="none"/>
          <w:lang w:eastAsia="zh-CN"/>
        </w:rPr>
        <w:t>1900000.00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1900000.00</w:t>
      </w:r>
      <w:r>
        <w:rPr>
          <w:rFonts w:hint="eastAsia" w:ascii="宋体" w:hAnsi="宋体"/>
          <w:b/>
          <w:bCs/>
          <w:color w:val="auto"/>
          <w:szCs w:val="21"/>
          <w:highlight w:val="none"/>
        </w:rPr>
        <w:t>元</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color w:val="auto"/>
          <w:szCs w:val="21"/>
          <w:highlight w:val="none"/>
          <w:u w:val="single"/>
        </w:rPr>
      </w:pPr>
      <w:r>
        <w:rPr>
          <w:rFonts w:hint="eastAsia" w:ascii="宋体" w:hAnsi="宋体"/>
          <w:b/>
          <w:bCs/>
          <w:color w:val="auto"/>
          <w:szCs w:val="21"/>
          <w:highlight w:val="none"/>
          <w:lang w:val="en-US" w:eastAsia="zh-CN"/>
        </w:rPr>
        <w:t>2分标核心产品：“全数字化彩色多普勒超声诊断仪”</w:t>
      </w:r>
      <w:r>
        <w:rPr>
          <w:rFonts w:hint="eastAsia" w:ascii="宋体" w:hAnsi="宋体"/>
          <w:b/>
          <w:bCs/>
          <w:color w:val="auto"/>
          <w:szCs w:val="21"/>
          <w:highlight w:val="none"/>
        </w:rPr>
        <w:t xml:space="preserve">   </w:t>
      </w:r>
    </w:p>
    <w:tbl>
      <w:tblPr>
        <w:tblStyle w:val="46"/>
        <w:tblW w:w="9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709"/>
        <w:gridCol w:w="662"/>
        <w:gridCol w:w="67"/>
        <w:gridCol w:w="7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567" w:type="dxa"/>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序号</w:t>
            </w:r>
          </w:p>
        </w:tc>
        <w:tc>
          <w:tcPr>
            <w:tcW w:w="709" w:type="dxa"/>
            <w:noWrap w:val="0"/>
            <w:vAlign w:val="center"/>
          </w:tcPr>
          <w:p>
            <w:pPr>
              <w:tabs>
                <w:tab w:val="left" w:pos="180"/>
                <w:tab w:val="left" w:pos="1620"/>
              </w:tabs>
              <w:spacing w:line="360" w:lineRule="auto"/>
              <w:jc w:val="center"/>
              <w:rPr>
                <w:rFonts w:hint="eastAsia" w:ascii="宋体" w:hAnsi="宋体" w:cs="Arial"/>
                <w:color w:val="auto"/>
                <w:szCs w:val="21"/>
                <w:highlight w:val="none"/>
              </w:rPr>
            </w:pPr>
            <w:r>
              <w:rPr>
                <w:rFonts w:hint="eastAsia" w:ascii="宋体" w:hAnsi="宋体"/>
                <w:b/>
                <w:bCs/>
                <w:color w:val="auto"/>
                <w:szCs w:val="21"/>
                <w:highlight w:val="none"/>
              </w:rPr>
              <w:t>标的名称</w:t>
            </w:r>
          </w:p>
        </w:tc>
        <w:tc>
          <w:tcPr>
            <w:tcW w:w="729" w:type="dxa"/>
            <w:gridSpan w:val="2"/>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数量单位</w:t>
            </w:r>
          </w:p>
        </w:tc>
        <w:tc>
          <w:tcPr>
            <w:tcW w:w="7511" w:type="dxa"/>
            <w:noWrap w:val="0"/>
            <w:vAlign w:val="center"/>
          </w:tcPr>
          <w:p>
            <w:pPr>
              <w:tabs>
                <w:tab w:val="left" w:pos="180"/>
                <w:tab w:val="left" w:pos="1620"/>
              </w:tabs>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567"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09"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olor w:val="auto"/>
                <w:szCs w:val="21"/>
                <w:highlight w:val="none"/>
              </w:rPr>
              <w:t>全数字化彩色多普勒超声诊断仪</w:t>
            </w:r>
          </w:p>
        </w:tc>
        <w:tc>
          <w:tcPr>
            <w:tcW w:w="729" w:type="dxa"/>
            <w:gridSpan w:val="2"/>
            <w:noWrap w:val="0"/>
            <w:vAlign w:val="center"/>
          </w:tcPr>
          <w:p>
            <w:pPr>
              <w:pStyle w:val="89"/>
              <w:spacing w:line="360" w:lineRule="auto"/>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1台</w:t>
            </w:r>
          </w:p>
        </w:tc>
        <w:tc>
          <w:tcPr>
            <w:tcW w:w="7511" w:type="dxa"/>
            <w:noWrap w:val="0"/>
            <w:vAlign w:val="center"/>
          </w:tcPr>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1</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主机成像系统</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1.1高分辨率液晶显示器≥23英寸</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分辨率≥1920×1080</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▲1.2操作面板具备液晶触摸屏≥15英寸</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1.3触摸屏可通过手指滑动触摸屏进行翻页，可将显示器上的超声图像投影到触摸屏上，通过手指进行放大，描迹测量等操作。可自定义手势操作功能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1.4控制面板全空间悬浮式调节，可同时旋转和升降，前后拉升</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1.5控制面板上可自定义按键≥8个</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1.6内置一体化超声影像后处理系统</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1.7连接其他品牌超声工作站，通过控制面板上的按键可直接存储静态/动态超声图像到工作站</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1.8内置数字录像机可用于教学，存储时间≥60分钟</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1.9主机操作面板一体化耦合剂加热装置，耦合剂温度三挡可调；</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1.10探头接口≥5个，全激活、相互通用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1.11数字化全程动态聚焦，数字化可变孔径及动态变迹，A/D≥12 bit</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1.12多倍信号并行处理</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1.13数字化二维灰阶成像及M型显像单元；</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1.14彩色多普勒成像技术；</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1.15彩色多普勒能量图技术；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1.16方向性能量图技术</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1.17数字化频谱多普勒显示和分析单元 (包括 PW 、CW和 HPRF)</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1.18斑点噪声抑制成像，在二维图像，造影成像模式及三维成像下可支持；</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1.19一键快速优化多种参数，自动优化图像。可支持对二维灰阶、彩色多普勒、频谱多普勒、及造影图像的优化。频谱多普勒下可自动优化：偏转角度、取样容积大小、角度</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1.20自动血流跟踪技术，一键实时自动优化Color/Power及PW频谱图像、Color/Power框的位置和角度、PW取样门的位置、角度和大小等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▲1.21支持超声造影及容积造影功能，配备支持3D输卵管造影及妇科造影</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1.22穿刺针增强技术，凸阵和线阵探头均可支持</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1.23速度标识功能，标识不同血流速度边界，观察血流分布及速度梯度</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1.24图像放大，支持前端放大和后端放大，放大倍数≥10倍</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1.25全屏放大，支持≥2种放大模式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1.26线阵探头双B图像拼接</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1.27声功率可调，实时显示MI/TI（TIB，TIC，TIS）</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1.28自动工作流，检查过程中可按照协议自动注释，自动标记体位图，自动切换图像模式等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1.29多语言操作界面，英语，中文（包括键盘输入、注释、操作面板等）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1.30支持语音注释，可将语音注释信息保存到电影文件中，支持在超声设备或是在PC端回放语音注释</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1.31支持超声远程会诊系统</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测量/分析和报告</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2.1一般测量：距离、周长、面积、体积、角度、自动频谱测量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2.2全科测量包，自动生成报告：腹部、妇科、产科、心脏、泌尿、小器官、儿科、血管、神经等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2.3自动产科测量，要求自动测量≥4项胎儿发育评估指标</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2.4自动NT测量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2.5血管内中膜自动测量，可同时自动描记血管前、后壁的内中膜，自动生成测量数据，测量结果参数≥7项</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2.6支持血管内中膜自动实时测量,自动获取6组IMT内膜厚度值,并实时更新</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2.7支持血管体位图手动编辑功能，通过手动编辑体位图，直观显示病变的位置</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2.8IVF卵泡专业分析软件包，具备专业卵泡评估报告，多项IVF评估指标及发育趋线分析</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▲2.9智能盆底解决方案，通过选取特征点，即可快速建立参考线，并自动获取盆底超声检查所需的测量参数</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2.10可支持胎儿心脏评估软件：用于胎儿心脏发育异常产前筛查评估，支持心脏15个测量项目，并同时获得心脏发育评分</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2.11心功能自动测量软件,自动识别四腔心、两腔心切面，自动识别心肌边界，并进行自动描迹，无需手动选择切面和手动描记</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▲2.12自动容积测量，可通过在三个正交剖面上画至少两个轮廓，自动分割出子宫内膜内膜冠状面成像以及容积测量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2.13小儿髋关节自动测量功能，可自动计算α角,β角，自动进行临床分型</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3</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电影回放和数据存储</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3.1支持二维、彩色、造影、4D等模式的手动和自动回放，电影回放支持编辑和剪接功能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3.2电影回放：≥1000秒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3.3支持向后存储和向前存储，时间长度可预置，向后存储≥6分钟的电影，对剪接和编辑的电影图像可多次存储和多次编辑；图像和电影均可以实时扫描、冻结状态下直接存储，并且具有独立的存储功能键</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3.4支持同屏对比多个不同模式的动态、静态图像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3.5原始数据处理，支持动、静态图像冻结后，最大可进行32项参数调节。能支持二维图像离线后进行M成像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3.6硬盘：≥1T硬盘</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3.7多种导出图像格式：动态图像、静态图像以PC格式直接导出。导出、备份图像数据资料同时，可进行实时检查，不影响检查操作</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3.8支持多设备图像对比功能， 可导入MRI,CT等影像学图片，与实时超声图片进行对比显示</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3.9支持一键传输图片到智能手机终端或PC端</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4</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连通性要求</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4.1支持网络连接，开放DICOM 3.0接口满足任何厂家PACS联网传输；</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4.2支持移动设备无线传输，一键传输图片到智能手机终端或PC端。支持手机等移动终端APP远程操作设备；</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4.3输入接口：音频输入，ECG信号输入</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4.4输出信号：HDMI视频，S-VIDEO视频, VGA视频</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4.5≥6个USB接口、DVD R/W刻录光驱、TYPE C 数据接口</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系统技术参数及要求</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5.1 二维灰阶模式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5.1.1数字化全程动态聚焦，数字化可变孔径及动态变迹，A/D≥12 bit</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5.1.2接收方式：发射、接收通道≥1024，多倍信号并行处理</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5.1.3扫描线：每帧线密度≥512超声线</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5.1.4预设条件：针对不同的检查脏器，预置最佳图像检查条件</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5.1.5复合成像技术：采用≥9条声束偏转的复合超声成像，提升图像的细节分辨率和加强边界显示，消除伪像；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5.1.6组织特异性成像预设，针对不同脏器预设最佳声波传播速度用于计算成像，减少因成像声速值与实际声速值偏差导致图像失真</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5.1.7声速匹配技术，可根据人体组织真实情况，一键实时自动匹配至最佳成像声速，并以具体数值（SSC值）在屏幕上显示</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 xml:space="preserve">5.1.8最大显示深度≥38cm </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5.1.9TGC ≥8段，LGC≥6段</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 xml:space="preserve">5.1.10动态范围 ≥200 </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5.1.11增益调节</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B/M/D分别独立可调，≥100，可视可调步进≤1db</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5.1.12伪彩图谱 ≥8种</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5.1.13最大帧率 ≥1000 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5.1.14成像速度：相控阵探头，18CM深度时, 扫描角度90度，帧率≥50帧/秒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5.1.15凸阵探头，18CM深度时, 扫描角度最大， 帧率≥20帧/秒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5.2 彩色多普勒成像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5.2.1包括速度、速度方差、能量、方向能量显示等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5.2.2显示方式：B/C、B/C/M、B/POWER、B/C/PW</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5.2.3取样框偏转 ≥±30度，取样框可根据探头血流方向自动调节</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5.2.4速度标识功能，标识不同血流速度边界，观察血流分布及速度梯度</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5.2.5最大帧率: ≥260 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5.2.6成像速度：</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相控阵探头，彩色取样框全视野，18CM深度时, 帧率≥9帧/秒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凸阵探头, 彩色取样框全视野，18CM深度时 , 帧率≥5帧/秒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5.3 频谱多普勒模式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5.3.1包括脉冲多普勒、高脉冲重复频率、连续多普勒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5.3.2显示方式：B, PW，B/PW, B/C/PW, B/CW, B/C/CW等等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5.3.3最大速度≥7.60m/s（连续多普勒速度: ≥30m/s）</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5.3.4最小速度 ≤1 mm /s（非噪声信号）</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5.3.5取样容积</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0.5-20mm ,支持所有探头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5.3.6偏转角度≥±30度 (线阵探头) ，并支持快速角度校正</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5.3.7零位移动≥8 级</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5.3.8支持频谱自动测量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5.4 探头规格</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5.4.1探头配置：凸阵探头1把，线阵探头1把，腔内容积探头1把</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5.4.2扫描频率：凸阵探头：带宽: 1.2-6.0MHz，角度≥72°；</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腔内容积探头：带宽:2.0-9.0 MHz，角度≥120°；</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线阵探头：带宽: 3-13 MHz；扫描范围≥50mm；</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5.4.3穿刺引导，凸阵、线阵、具备多角度穿刺引导功能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5.5 3D/4D成像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5.5.1支持探头类型：腹部容积探头、腔内容积探头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5.5.2常规成像模式：表面模式、最大模式、最小模式、X-Ray模式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5.5.3容积光源渲染成像，支持多种虚拟光源：平行光，点光源，聚光灯等，可支持多种光源的自由组合</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5.5.4断层切片成像，同屏显示≥24幅不同深度图像，断层间距0.5mm-2.0mm可调</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5.5.5容积厚层成像，包括任意剖面成像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5.5.6STIC时空关联成像（支持彩色血流STIC）</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5.5.7Color 3D（血管三维成像，要求彩色及能量模式均可用）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5.5.8支持3D/4D数据离线处理，对存储的数据再调节成像再存储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5.5.9颅脑容积自动评估，可自动测量并计算胎儿颅脑容积数据</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▲5.5.10胎儿中枢神经系统专业筛查软件，可以通过一键自动获取多个颅脑标准切面及 获取≥4项常用测量指标</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5.5.11胎儿面部自动导航功能，可以自动的去除胎儿颜面部前面的遮挡物，使胎儿三维颜面部显示更清晰。同时可以一键调整胎儿面部的显示方向</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5.5.12自动卵泡测量，一键自动分割无回声结构，以不同的颜色区分显示不同位置和大小的无回声结构</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5.5.13自动容积测量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5.5.14支持三维裁剪、修复等功能，容积图像支持斑点噪声抑制</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5.6造影成像及定量分析功能</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5.6.1支持多种探头：凸阵探头、线阵探头，腔内探头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5.6.2支持微血管造影增强功能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5.6.3双计时器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5.6.4支持向后存储，≥6分钟电影；支持向前存储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5.6.5具备混合模式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5.6.6支持造影图像和组织图像位置互换</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6</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外设和附件</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6.1耦合剂加热器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6.2腔内探头放置架，可左右互换</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7备件、技术及维修服务，培训要求及其它</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7.1投标人</w:t>
            </w:r>
            <w:r>
              <w:rPr>
                <w:rFonts w:hint="eastAsia" w:ascii="宋体" w:hAnsi="宋体" w:eastAsia="宋体" w:cs="宋体"/>
                <w:b w:val="0"/>
                <w:bCs/>
                <w:color w:val="auto"/>
                <w:sz w:val="21"/>
                <w:szCs w:val="21"/>
                <w:highlight w:val="none"/>
                <w:lang w:val="en-US" w:eastAsia="zh-CN"/>
              </w:rPr>
              <w:t>应承诺中标后在广西区内</w:t>
            </w:r>
            <w:r>
              <w:rPr>
                <w:rFonts w:hint="eastAsia" w:ascii="宋体" w:hAnsi="宋体" w:eastAsia="宋体" w:cs="宋体"/>
                <w:b w:val="0"/>
                <w:bCs/>
                <w:color w:val="auto"/>
                <w:sz w:val="21"/>
                <w:szCs w:val="21"/>
                <w:highlight w:val="none"/>
              </w:rPr>
              <w:t>设置备件库，存入所有必须的备件，保证必要时可以及时供应</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lang w:eastAsia="zh-CN"/>
              </w:rPr>
            </w:pPr>
            <w:r>
              <w:rPr>
                <w:rFonts w:hint="eastAsia" w:ascii="宋体" w:hAnsi="宋体" w:eastAsia="宋体" w:cs="宋体"/>
                <w:b w:val="0"/>
                <w:bCs/>
                <w:color w:val="auto"/>
                <w:sz w:val="21"/>
                <w:szCs w:val="21"/>
                <w:highlight w:val="none"/>
              </w:rPr>
              <w:t>7.2</w:t>
            </w:r>
            <w:r>
              <w:rPr>
                <w:rFonts w:hint="eastAsia" w:ascii="宋体" w:hAnsi="宋体" w:eastAsia="宋体" w:cs="宋体"/>
                <w:b w:val="0"/>
                <w:bCs/>
                <w:color w:val="auto"/>
                <w:sz w:val="21"/>
                <w:szCs w:val="21"/>
                <w:highlight w:val="none"/>
                <w:lang w:val="en-US" w:eastAsia="zh-CN"/>
              </w:rPr>
              <w:t>投标人</w:t>
            </w:r>
            <w:r>
              <w:rPr>
                <w:rFonts w:hint="eastAsia" w:ascii="宋体" w:hAnsi="宋体" w:eastAsia="宋体" w:cs="宋体"/>
                <w:b w:val="0"/>
                <w:bCs/>
                <w:color w:val="auto"/>
                <w:sz w:val="21"/>
                <w:szCs w:val="21"/>
                <w:highlight w:val="none"/>
              </w:rPr>
              <w:t>应配置专业技术人员提供现场技术培训，保证使用人员正常操作设备的各种功能</w:t>
            </w:r>
            <w:r>
              <w:rPr>
                <w:rFonts w:hint="eastAsia" w:ascii="宋体" w:hAnsi="宋体" w:eastAsia="宋体" w:cs="宋体"/>
                <w:b w:val="0"/>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▲一、</w:t>
            </w:r>
            <w:r>
              <w:rPr>
                <w:rFonts w:hint="eastAsia" w:ascii="宋体" w:hAnsi="宋体" w:cs="宋体"/>
                <w:b/>
                <w:color w:val="auto"/>
                <w:szCs w:val="21"/>
                <w:highlight w:val="none"/>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交付时间和地点</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ascii="宋体" w:hAnsi="宋体" w:cs="宋体"/>
                <w:color w:val="auto"/>
                <w:szCs w:val="21"/>
                <w:highlight w:val="none"/>
              </w:rPr>
              <w:t>1.交付时间：</w:t>
            </w:r>
            <w:r>
              <w:rPr>
                <w:rFonts w:hint="eastAsia" w:ascii="宋体" w:hAnsi="宋体" w:cs="宋体"/>
                <w:color w:val="auto"/>
                <w:szCs w:val="21"/>
                <w:highlight w:val="none"/>
                <w:lang w:eastAsia="zh-CN"/>
              </w:rPr>
              <w:t>自合同签订之日起60日内安装调试完毕并交付使用</w:t>
            </w:r>
            <w:r>
              <w:rPr>
                <w:rFonts w:hint="eastAsia" w:ascii="宋体" w:hAnsi="宋体" w:cs="宋体"/>
                <w:bCs/>
                <w:color w:val="auto"/>
                <w:szCs w:val="21"/>
                <w:highlight w:val="none"/>
              </w:rPr>
              <w:t>。</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2.交付地点：</w:t>
            </w:r>
            <w:r>
              <w:rPr>
                <w:rFonts w:hint="eastAsia" w:ascii="宋体" w:hAnsi="宋体" w:cs="宋体"/>
                <w:color w:val="auto"/>
                <w:sz w:val="21"/>
                <w:szCs w:val="21"/>
                <w:highlight w:val="none"/>
                <w:lang w:eastAsia="zh-CN"/>
              </w:rPr>
              <w:t>广西壮族自治区桂东人民医院指定地点</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合同签订时间</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自中标通知书发出之日起</w:t>
            </w:r>
            <w:r>
              <w:rPr>
                <w:rFonts w:hint="eastAsia" w:ascii="宋体" w:hAnsi="宋体" w:cs="宋体"/>
                <w:color w:val="auto"/>
                <w:kern w:val="0"/>
                <w:szCs w:val="21"/>
                <w:highlight w:val="none"/>
                <w:u w:val="single"/>
                <w:lang w:val="en-US" w:eastAsia="zh-CN"/>
              </w:rPr>
              <w:t>15</w:t>
            </w:r>
            <w:r>
              <w:rPr>
                <w:rFonts w:hint="eastAsia" w:ascii="宋体" w:hAnsi="宋体" w:cs="宋体"/>
                <w:color w:val="auto"/>
                <w:kern w:val="0"/>
                <w:szCs w:val="21"/>
                <w:highlight w:val="none"/>
              </w:rPr>
              <w:t>日内签订采购合同。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付款方式</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签订合同后，全部货物到达指定地点、安装调试并验收合格后，凭双方签署验收合格证，采购人按中标合同总额分三期支付完：（1）第一期：六个月内支付合同总金额的 60%；（2）第二期：第 18 个月后支付合同总金额的 20%；（3）第三期：第 24 个月后支付合同总金额的 20%；（4）以上均不计利息，每期中标人均须开出对应额度的发票，采购人收到发票后30日内支付。</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注：如中标人为中小企业，付款方式为：（1）第一期：合同签订后10个工作日内，采购人支付合同总金额30%的预付款；（2）第二期：履约验收后六个月内支付合同总金额的30%；（3）：第三期：第 18 个月后支付合同总金额的 20%（4）第四期：第 24 个月后支付合同总金额的 20%；（5）以上均不计利息，预付款后每期中标人均须开出对应额度的发票，采购人收到发票后30日内支付。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项目产品基本</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要求</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1.以上产品必须是具备合法资质的制造商生产的全新正品，并满足招标文件的要求，若产品在运输或安装过程中损坏或擦伤须无偿调换相同产品。</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2.投标人所投产品、辅材及生产工艺符合国家相关规范。</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3.投标人应保证所提供的货物或其任何一部分均不会侵犯任何第三方的专利权、商标权等，如在使用过程中出现的一切经济和法律责任均由投标人负责。</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4.</w:t>
            </w:r>
            <w:r>
              <w:rPr>
                <w:rFonts w:hint="eastAsia"/>
                <w:color w:val="auto"/>
                <w:highlight w:val="none"/>
                <w:lang w:eastAsia="zh-CN"/>
              </w:rPr>
              <w:t>投标报价是履行合同的最终价格，包括投标货物（包括备品备件、专用工具等）的价格（包括已在中国境内的进口货物完税后的仓库交货价、展室交货价或者货架交货价），投标货物运输（含保险）、安装（如有）、调试、检验、技术服务、培训和招标文件要求提供的所有伴随服务、工程等费用和税费</w:t>
            </w:r>
            <w:r>
              <w:rPr>
                <w:rFonts w:hint="eastAsia"/>
                <w:color w:val="auto"/>
                <w:highlight w:val="none"/>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lang w:val="en-US" w:eastAsia="zh-CN"/>
              </w:rPr>
              <w:t>5</w:t>
            </w:r>
            <w:r>
              <w:rPr>
                <w:rFonts w:hint="eastAsia"/>
                <w:color w:val="auto"/>
                <w:highlight w:val="none"/>
              </w:rPr>
              <w:t>.投标人所投产品必须提供产品“三包”服务；定期安排相关人员回访进行质量跟踪；保证提供临床应用和售后技术服务支持方式；保修期后提供终身维修服务及配件供应；其他售后服务按厂家承诺实行。</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cs="Times New Roman"/>
                <w:color w:val="auto"/>
                <w:kern w:val="2"/>
                <w:sz w:val="21"/>
                <w:szCs w:val="24"/>
                <w:highlight w:val="none"/>
                <w:lang w:val="en-US" w:eastAsia="zh-CN" w:bidi="ar-SA"/>
              </w:rPr>
              <w:t>6</w:t>
            </w:r>
            <w:r>
              <w:rPr>
                <w:rFonts w:hint="eastAsia" w:ascii="Times New Roman" w:hAnsi="Times New Roman" w:eastAsia="宋体" w:cs="Times New Roman"/>
                <w:color w:val="auto"/>
                <w:kern w:val="2"/>
                <w:sz w:val="21"/>
                <w:szCs w:val="24"/>
                <w:highlight w:val="none"/>
                <w:lang w:val="en-US" w:eastAsia="zh-CN" w:bidi="ar-SA"/>
              </w:rPr>
              <w:t>.</w:t>
            </w:r>
            <w:r>
              <w:rPr>
                <w:rFonts w:hint="eastAsia" w:ascii="Times New Roman" w:hAnsi="Times New Roman" w:eastAsia="宋体" w:cs="Times New Roman"/>
                <w:b w:val="0"/>
                <w:bCs w:val="0"/>
                <w:color w:val="auto"/>
                <w:kern w:val="2"/>
                <w:sz w:val="21"/>
                <w:szCs w:val="24"/>
                <w:highlight w:val="none"/>
                <w:lang w:val="en-US" w:eastAsia="zh-CN" w:bidi="ar-SA"/>
              </w:rPr>
              <w:t>中标人</w:t>
            </w:r>
            <w:r>
              <w:rPr>
                <w:rFonts w:hint="eastAsia" w:ascii="Times New Roman" w:hAnsi="Times New Roman" w:eastAsia="宋体" w:cs="Times New Roman"/>
                <w:color w:val="auto"/>
                <w:kern w:val="2"/>
                <w:sz w:val="21"/>
                <w:szCs w:val="24"/>
                <w:highlight w:val="none"/>
                <w:lang w:val="en-US" w:eastAsia="zh-CN" w:bidi="ar-SA"/>
              </w:rPr>
              <w:t>需无条件负责按国家相关管理要求对设备进行计量检测，确保检测合格。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售后服务</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1.质保期：设备安装完毕通过验收投入使用之日起整机提供保修服务</w:t>
            </w:r>
            <w:r>
              <w:rPr>
                <w:rFonts w:hint="eastAsia" w:cs="Times New Roman"/>
                <w:color w:val="auto"/>
                <w:kern w:val="2"/>
                <w:sz w:val="21"/>
                <w:szCs w:val="24"/>
                <w:highlight w:val="none"/>
                <w:lang w:val="en-US" w:eastAsia="zh-CN" w:bidi="ar-SA"/>
              </w:rPr>
              <w:t>至少三年</w:t>
            </w:r>
            <w:r>
              <w:rPr>
                <w:rFonts w:hint="eastAsia" w:ascii="Times New Roman" w:hAnsi="Times New Roman" w:eastAsia="宋体" w:cs="Times New Roman"/>
                <w:color w:val="auto"/>
                <w:kern w:val="2"/>
                <w:sz w:val="21"/>
                <w:szCs w:val="24"/>
                <w:highlight w:val="none"/>
                <w:lang w:val="en-US" w:eastAsia="zh-CN" w:bidi="ar-SA"/>
              </w:rPr>
              <w:t>,质保期内所有由于质量问题导致的硬件产品故障以保修、人工及更换备件标准上门服务并提供终身维护。并按国家有关产品“三包”规定执行“三包”，质保期满前1个月内中标人应负责一次全面检查。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2.故障处理：中标人须设有24小时服务电话，质保期内，在使用过程中发现质量问题或故障时，接到维修通知后，2小时内响应，24小时内实施维修服务。一般问题应在48小时内解决，重大问题或其它无法迅速解决的问题应在一周内解决，所发生的一切费用由中标人负责。</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3.定期回访：在保修期内要求每季度至少回访一次，有问题做到及时处理。每半年到现场做一次设备运行状况安全检查。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4.负责送货上门，安装调试（仪器到货后1周内到采购人处安装调试），负责培训1～2名操作人员至能完全独立操作及日常维护。</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5.投标人予以特别注意：如出现未能到期供货的情况，采购人有权终止合同的执行，所有的经济损失由中标人单方承担。</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lang w:val="en-US" w:eastAsia="zh-CN"/>
              </w:rPr>
            </w:pPr>
            <w:r>
              <w:rPr>
                <w:rFonts w:hint="eastAsia" w:ascii="Times New Roman" w:hAnsi="Times New Roman" w:eastAsia="宋体" w:cs="Times New Roman"/>
                <w:b/>
                <w:bCs/>
                <w:color w:val="auto"/>
                <w:kern w:val="2"/>
                <w:sz w:val="21"/>
                <w:szCs w:val="24"/>
                <w:highlight w:val="none"/>
                <w:lang w:val="en-US" w:eastAsia="zh-CN" w:bidi="ar-SA"/>
              </w:rPr>
              <w:t>6.投标文件中提供售后服务方案。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（一）验收标准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（二）履约验收其他事项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采购人验收货物时，可以邀请参加本项目的其他供应商或者第三方机构参与验收，如发现提供的货物与投标文件响应的不相符，采购人将此情况上报政府采购管理监督部门。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三</w:t>
            </w:r>
            <w:r>
              <w:rPr>
                <w:rFonts w:hint="eastAsia" w:ascii="宋体" w:hAnsi="宋体" w:cs="宋体"/>
                <w:b/>
                <w:color w:val="auto"/>
                <w:szCs w:val="21"/>
                <w:highlight w:val="none"/>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进口产品说明</w:t>
            </w:r>
          </w:p>
        </w:tc>
        <w:tc>
          <w:tcPr>
            <w:tcW w:w="7578"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本项目货物不接受进口产品（即通过中国海关报关验放进入中国境内且产自关境外的产品）参与投标，</w:t>
            </w:r>
            <w:r>
              <w:rPr>
                <w:rFonts w:hint="eastAsia" w:ascii="宋体" w:hAnsi="宋体" w:cs="宋体"/>
                <w:b/>
                <w:color w:val="auto"/>
                <w:szCs w:val="21"/>
                <w:highlight w:val="none"/>
              </w:rPr>
              <w:t>如有进口产品参与投标的作无效标处理</w:t>
            </w:r>
            <w:r>
              <w:rPr>
                <w:rFonts w:hint="eastAsia" w:ascii="宋体" w:hAnsi="宋体" w:cs="宋体"/>
                <w:color w:val="auto"/>
                <w:szCs w:val="21"/>
                <w:highlight w:val="none"/>
              </w:rPr>
              <w:t>。</w:t>
            </w:r>
          </w:p>
        </w:tc>
      </w:tr>
    </w:tbl>
    <w:p>
      <w:pPr>
        <w:rPr>
          <w:rFonts w:hint="eastAsia" w:ascii="宋体" w:hAnsi="宋体"/>
          <w:b/>
          <w:bCs/>
          <w:color w:val="auto"/>
          <w:szCs w:val="21"/>
          <w:highlight w:val="none"/>
        </w:rPr>
      </w:pPr>
      <w:r>
        <w:rPr>
          <w:rFonts w:hint="eastAsia" w:ascii="宋体" w:hAnsi="宋体"/>
          <w:b/>
          <w:bCs/>
          <w:color w:val="auto"/>
          <w:szCs w:val="21"/>
          <w:highlight w:val="none"/>
        </w:rPr>
        <w:br w:type="page"/>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b/>
          <w:bCs/>
          <w:color w:val="auto"/>
          <w:szCs w:val="21"/>
          <w:highlight w:val="none"/>
        </w:rPr>
      </w:pPr>
      <w:r>
        <w:rPr>
          <w:rFonts w:hint="eastAsia" w:ascii="宋体" w:hAnsi="宋体"/>
          <w:b/>
          <w:bCs/>
          <w:color w:val="auto"/>
          <w:szCs w:val="21"/>
          <w:highlight w:val="none"/>
        </w:rPr>
        <w:t>3分标预算金额：</w:t>
      </w:r>
      <w:r>
        <w:rPr>
          <w:rFonts w:hint="eastAsia" w:ascii="宋体" w:hAnsi="宋体"/>
          <w:b/>
          <w:bCs/>
          <w:color w:val="auto"/>
          <w:szCs w:val="21"/>
          <w:highlight w:val="none"/>
          <w:lang w:eastAsia="zh-CN"/>
        </w:rPr>
        <w:t>1500000.00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1500000.00</w:t>
      </w:r>
      <w:r>
        <w:rPr>
          <w:rFonts w:hint="eastAsia" w:ascii="宋体" w:hAnsi="宋体"/>
          <w:b/>
          <w:bCs/>
          <w:color w:val="auto"/>
          <w:szCs w:val="21"/>
          <w:highlight w:val="none"/>
        </w:rPr>
        <w:t>元</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b/>
          <w:bCs/>
          <w:color w:val="auto"/>
          <w:szCs w:val="21"/>
          <w:highlight w:val="none"/>
        </w:rPr>
      </w:pPr>
      <w:r>
        <w:rPr>
          <w:rFonts w:hint="eastAsia" w:ascii="宋体" w:hAnsi="宋体"/>
          <w:b/>
          <w:bCs/>
          <w:color w:val="auto"/>
          <w:szCs w:val="21"/>
          <w:highlight w:val="none"/>
          <w:lang w:val="en-US" w:eastAsia="zh-CN"/>
        </w:rPr>
        <w:t>3分标核心产品：“腹部彩色多普勒超声诊断仪”</w:t>
      </w:r>
      <w:r>
        <w:rPr>
          <w:rFonts w:hint="eastAsia" w:ascii="宋体" w:hAnsi="宋体"/>
          <w:b/>
          <w:bCs/>
          <w:color w:val="auto"/>
          <w:szCs w:val="21"/>
          <w:highlight w:val="none"/>
        </w:rPr>
        <w:t xml:space="preserve">  </w:t>
      </w:r>
    </w:p>
    <w:p>
      <w:pPr>
        <w:widowControl/>
        <w:jc w:val="left"/>
        <w:rPr>
          <w:color w:val="auto"/>
          <w:highlight w:val="none"/>
        </w:rPr>
      </w:pPr>
      <w:r>
        <w:rPr>
          <w:rFonts w:hint="eastAsia" w:ascii="宋体" w:hAnsi="宋体"/>
          <w:b/>
          <w:bCs/>
          <w:color w:val="auto"/>
          <w:szCs w:val="21"/>
          <w:highlight w:val="none"/>
        </w:rPr>
        <w:t xml:space="preserve">                      </w:t>
      </w:r>
    </w:p>
    <w:tbl>
      <w:tblPr>
        <w:tblStyle w:val="46"/>
        <w:tblW w:w="9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709"/>
        <w:gridCol w:w="662"/>
        <w:gridCol w:w="67"/>
        <w:gridCol w:w="7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567" w:type="dxa"/>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序号</w:t>
            </w:r>
          </w:p>
        </w:tc>
        <w:tc>
          <w:tcPr>
            <w:tcW w:w="709" w:type="dxa"/>
            <w:noWrap w:val="0"/>
            <w:vAlign w:val="center"/>
          </w:tcPr>
          <w:p>
            <w:pPr>
              <w:tabs>
                <w:tab w:val="left" w:pos="180"/>
                <w:tab w:val="left" w:pos="1620"/>
              </w:tabs>
              <w:spacing w:line="360" w:lineRule="auto"/>
              <w:jc w:val="center"/>
              <w:rPr>
                <w:rFonts w:hint="eastAsia" w:ascii="宋体" w:hAnsi="宋体" w:cs="Arial"/>
                <w:color w:val="auto"/>
                <w:szCs w:val="21"/>
                <w:highlight w:val="none"/>
              </w:rPr>
            </w:pPr>
            <w:r>
              <w:rPr>
                <w:rFonts w:hint="eastAsia" w:ascii="宋体" w:hAnsi="宋体"/>
                <w:b/>
                <w:bCs/>
                <w:color w:val="auto"/>
                <w:szCs w:val="21"/>
                <w:highlight w:val="none"/>
              </w:rPr>
              <w:t>标的名称</w:t>
            </w:r>
          </w:p>
        </w:tc>
        <w:tc>
          <w:tcPr>
            <w:tcW w:w="729" w:type="dxa"/>
            <w:gridSpan w:val="2"/>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数量单位</w:t>
            </w:r>
          </w:p>
        </w:tc>
        <w:tc>
          <w:tcPr>
            <w:tcW w:w="7511" w:type="dxa"/>
            <w:noWrap w:val="0"/>
            <w:vAlign w:val="center"/>
          </w:tcPr>
          <w:p>
            <w:pPr>
              <w:tabs>
                <w:tab w:val="left" w:pos="180"/>
                <w:tab w:val="left" w:pos="1620"/>
              </w:tabs>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567"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09"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olor w:val="auto"/>
                <w:szCs w:val="21"/>
                <w:highlight w:val="none"/>
              </w:rPr>
              <w:t>腹部彩色多普勒超声诊断仪</w:t>
            </w:r>
          </w:p>
        </w:tc>
        <w:tc>
          <w:tcPr>
            <w:tcW w:w="729" w:type="dxa"/>
            <w:gridSpan w:val="2"/>
            <w:noWrap w:val="0"/>
            <w:vAlign w:val="center"/>
          </w:tcPr>
          <w:p>
            <w:pPr>
              <w:pStyle w:val="89"/>
              <w:spacing w:line="360" w:lineRule="auto"/>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1台</w:t>
            </w:r>
          </w:p>
        </w:tc>
        <w:tc>
          <w:tcPr>
            <w:tcW w:w="7511" w:type="dxa"/>
            <w:noWrap w:val="0"/>
            <w:vAlign w:val="center"/>
          </w:tcPr>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1</w:t>
            </w:r>
            <w:r>
              <w:rPr>
                <w:rFonts w:hint="eastAsia" w:ascii="宋体" w:hAnsi="宋体" w:eastAsia="宋体" w:cs="宋体"/>
                <w:b/>
                <w:bCs w:val="0"/>
                <w:color w:val="auto"/>
                <w:sz w:val="21"/>
                <w:szCs w:val="21"/>
                <w:highlight w:val="none"/>
                <w:lang w:val="en-US" w:eastAsia="zh-CN"/>
              </w:rPr>
              <w:t>.</w:t>
            </w:r>
            <w:r>
              <w:rPr>
                <w:rFonts w:hint="eastAsia" w:ascii="宋体" w:hAnsi="宋体" w:eastAsia="宋体" w:cs="宋体"/>
                <w:b/>
                <w:bCs w:val="0"/>
                <w:color w:val="auto"/>
                <w:sz w:val="21"/>
                <w:szCs w:val="21"/>
                <w:highlight w:val="none"/>
              </w:rPr>
              <w:t>主机成像系统</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1.1高分辨率液晶显示器≥23英寸</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 xml:space="preserve">  </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▲1.2操作面板具备液晶触摸屏≥15英寸</w:t>
            </w:r>
            <w:r>
              <w:rPr>
                <w:rFonts w:hint="eastAsia" w:ascii="宋体" w:hAnsi="宋体" w:eastAsia="宋体" w:cs="宋体"/>
                <w:b w:val="0"/>
                <w:bCs/>
                <w:color w:val="auto"/>
                <w:sz w:val="21"/>
                <w:szCs w:val="21"/>
                <w:highlight w:val="none"/>
                <w:lang w:val="en-US"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1.3触摸屏可通过手指滑动触摸屏进行翻页，可将显示器上的超声图像投影到触摸屏上，通过手指进行放大，描迹测量等操作。可自定义手势操作功能</w:t>
            </w:r>
            <w:r>
              <w:rPr>
                <w:rFonts w:hint="eastAsia" w:ascii="宋体" w:hAnsi="宋体" w:eastAsia="宋体" w:cs="宋体"/>
                <w:b w:val="0"/>
                <w:bCs/>
                <w:color w:val="auto"/>
                <w:sz w:val="21"/>
                <w:szCs w:val="21"/>
                <w:highlight w:val="none"/>
                <w:lang w:val="en-US"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1.4控制面板全空间悬浮式调节，可同时旋转和升降，前后拉升</w:t>
            </w:r>
            <w:r>
              <w:rPr>
                <w:rFonts w:hint="eastAsia" w:ascii="宋体" w:hAnsi="宋体" w:eastAsia="宋体" w:cs="宋体"/>
                <w:b w:val="0"/>
                <w:bCs/>
                <w:color w:val="auto"/>
                <w:sz w:val="21"/>
                <w:szCs w:val="21"/>
                <w:highlight w:val="none"/>
                <w:lang w:val="en-US"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1.5控制面板上可自定义按键≥8个，按键上可直接显示自定义的功能名称</w:t>
            </w:r>
            <w:r>
              <w:rPr>
                <w:rFonts w:hint="eastAsia" w:ascii="宋体" w:hAnsi="宋体" w:eastAsia="宋体" w:cs="宋体"/>
                <w:b w:val="0"/>
                <w:bCs/>
                <w:color w:val="auto"/>
                <w:sz w:val="21"/>
                <w:szCs w:val="21"/>
                <w:highlight w:val="none"/>
                <w:lang w:val="en-US"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1.6主机操作面板一体化耦合剂加热装置；</w:t>
            </w:r>
          </w:p>
          <w:p>
            <w:pPr>
              <w:pStyle w:val="89"/>
              <w:spacing w:line="360" w:lineRule="auto"/>
              <w:jc w:val="left"/>
              <w:rPr>
                <w:rFonts w:hint="eastAsia" w:ascii="宋体" w:hAnsi="宋体" w:eastAsia="宋体" w:cs="宋体"/>
                <w:b w:val="0"/>
                <w:bCs/>
                <w:color w:val="auto"/>
                <w:sz w:val="21"/>
                <w:szCs w:val="21"/>
                <w:highlight w:val="none"/>
                <w:lang w:val="en-US" w:eastAsia="zh-CN"/>
              </w:rPr>
            </w:pPr>
            <w:r>
              <w:rPr>
                <w:rFonts w:hint="eastAsia" w:ascii="宋体" w:hAnsi="宋体" w:eastAsia="宋体" w:cs="宋体"/>
                <w:b w:val="0"/>
                <w:bCs/>
                <w:color w:val="auto"/>
                <w:sz w:val="21"/>
                <w:szCs w:val="21"/>
                <w:highlight w:val="none"/>
              </w:rPr>
              <w:t>▲1.7探头接口≥5个，全激活、相互通用</w:t>
            </w:r>
            <w:r>
              <w:rPr>
                <w:rFonts w:hint="eastAsia" w:ascii="宋体" w:hAnsi="宋体" w:eastAsia="宋体" w:cs="宋体"/>
                <w:b w:val="0"/>
                <w:bCs/>
                <w:color w:val="auto"/>
                <w:sz w:val="21"/>
                <w:szCs w:val="21"/>
                <w:highlight w:val="none"/>
                <w:lang w:val="en-US"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1.8数字化全程动态聚焦，数字化可变孔径及动态变迹，A/D≥12 bit</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1.9多倍信号并行处理</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1.10数字化二维灰阶成像及M型显像单元；</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1.11彩色多普勒成像技术；</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1.12彩色多普勒能量图技术；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1.13方向性能量图技术</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1.14解剖M型技术，可360度任意旋转</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1.15数字化频谱多普勒显示和分析单元 (包括 PW 、CW和 HPRF)</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1.16斑点噪声抑制成像技术；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1.17一键快速优化多种参数，自动优化图像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1.18自动血流跟踪技术，一键实时自动优化Color/Power及PW频谱图像、Color/Power框的位置和角度、PW取样门的位置、角度和大小等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▲4.1.19穿刺针增强技术，凸阵和线阵探头均可支持</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4.1.20速度标识功能，标识不同血流速度边界，观察血流分布及速度梯度</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4.1.21图像放大，支持前端放大和后端放大，放大倍数≥5倍</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4.1.22全屏放大，支持≥2种放大模式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4.1.23线阵探头双B图像拼接</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4.1.24声功率可调，实时显示MI/TI（TIB，TIC，TIS）</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4.1.25自动工作流，检查过程中可按照协议自动注释，自动标记体位图，自动切换图像模式等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4.1.26多语言操作界面，英语，中文（包括键盘输入、注释、操作面板等）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4.1.27支持语音注释，可将语音注释信息保存到电影文件中，支持在超声设备或是在PC端回放语音注释</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测量/分析和报告</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2.1一般测量：距离、周长、面积、体积、角度、自动频谱测量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2.2全科测量包，自动生成报告：腹部、妇科、产科、心脏、泌尿、小器官、儿科、血管、神经等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2.3血管内中膜自动测量，可同时自动描记血管前、后壁的内中膜，自动生成测量数据，测量结果参数≥7项</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2.4支持血管内中膜自动实时测量,自动获取6组IMT内膜厚度值,并实时更新</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2.5支持血管体位图手动编辑功能，通过手动编辑体位图，直观显示病变的位置</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3</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电影回放和数据存储</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w:t>
            </w:r>
            <w:r>
              <w:rPr>
                <w:rFonts w:hint="eastAsia" w:ascii="宋体" w:hAnsi="宋体" w:eastAsia="宋体" w:cs="宋体"/>
                <w:b w:val="0"/>
                <w:bCs/>
                <w:color w:val="auto"/>
                <w:sz w:val="21"/>
                <w:szCs w:val="21"/>
                <w:highlight w:val="none"/>
                <w:lang w:val="en-US" w:eastAsia="zh-CN"/>
              </w:rPr>
              <w:t>1</w:t>
            </w:r>
            <w:r>
              <w:rPr>
                <w:rFonts w:hint="eastAsia" w:ascii="宋体" w:hAnsi="宋体" w:eastAsia="宋体" w:cs="宋体"/>
                <w:b w:val="0"/>
                <w:bCs/>
                <w:color w:val="auto"/>
                <w:sz w:val="21"/>
                <w:szCs w:val="21"/>
                <w:highlight w:val="none"/>
              </w:rPr>
              <w:t>支持二维、彩色、造影、4D等模式的手动和自动回放，电影回放支持编辑和剪接功能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3.2</w:t>
            </w:r>
            <w:r>
              <w:rPr>
                <w:rFonts w:hint="eastAsia" w:ascii="宋体" w:hAnsi="宋体" w:eastAsia="宋体" w:cs="宋体"/>
                <w:b w:val="0"/>
                <w:bCs/>
                <w:color w:val="auto"/>
                <w:sz w:val="21"/>
                <w:szCs w:val="21"/>
                <w:highlight w:val="none"/>
              </w:rPr>
              <w:t>电影回放：≥1000秒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3.3</w:t>
            </w:r>
            <w:r>
              <w:rPr>
                <w:rFonts w:hint="eastAsia" w:ascii="宋体" w:hAnsi="宋体" w:eastAsia="宋体" w:cs="宋体"/>
                <w:b w:val="0"/>
                <w:bCs/>
                <w:color w:val="auto"/>
                <w:sz w:val="21"/>
                <w:szCs w:val="21"/>
                <w:highlight w:val="none"/>
              </w:rPr>
              <w:t>支持向后存储和向前存储，时间长度可预置，向后存储≥6分钟的电影，对剪接和编辑的电影图像可多次存储和多次编辑；图像和电影均可以实时扫描、冻结状态下直接存储，并且具有独立的存储功能键</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3.4</w:t>
            </w:r>
            <w:r>
              <w:rPr>
                <w:rFonts w:hint="eastAsia" w:ascii="宋体" w:hAnsi="宋体" w:eastAsia="宋体" w:cs="宋体"/>
                <w:b w:val="0"/>
                <w:bCs/>
                <w:color w:val="auto"/>
                <w:sz w:val="21"/>
                <w:szCs w:val="21"/>
                <w:highlight w:val="none"/>
              </w:rPr>
              <w:t>支持同屏对比多个不同模式的动态、静态图像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3.5</w:t>
            </w:r>
            <w:r>
              <w:rPr>
                <w:rFonts w:hint="eastAsia" w:ascii="宋体" w:hAnsi="宋体" w:eastAsia="宋体" w:cs="宋体"/>
                <w:b w:val="0"/>
                <w:bCs/>
                <w:color w:val="auto"/>
                <w:sz w:val="21"/>
                <w:szCs w:val="21"/>
                <w:highlight w:val="none"/>
              </w:rPr>
              <w:t>原始数据处理，支持动、静态图像冻结后，最大可进行32项参数调节。能支持二维图像离线后进行M成像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3.6</w:t>
            </w:r>
            <w:r>
              <w:rPr>
                <w:rFonts w:hint="eastAsia" w:ascii="宋体" w:hAnsi="宋体" w:eastAsia="宋体" w:cs="宋体"/>
                <w:b w:val="0"/>
                <w:bCs/>
                <w:color w:val="auto"/>
                <w:sz w:val="21"/>
                <w:szCs w:val="21"/>
                <w:highlight w:val="none"/>
              </w:rPr>
              <w:t>硬盘：≥1T硬盘, SSD固态硬盘≥128G</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3.7</w:t>
            </w:r>
            <w:r>
              <w:rPr>
                <w:rFonts w:hint="eastAsia" w:ascii="宋体" w:hAnsi="宋体" w:eastAsia="宋体" w:cs="宋体"/>
                <w:b w:val="0"/>
                <w:bCs/>
                <w:color w:val="auto"/>
                <w:sz w:val="21"/>
                <w:szCs w:val="21"/>
                <w:highlight w:val="none"/>
              </w:rPr>
              <w:t>多种导出图像格式：动态图像、静态图像以PC格式直接导出。导出、备份图像数据资料同时，可进行实时检查，不影响检查操作</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3.8</w:t>
            </w:r>
            <w:r>
              <w:rPr>
                <w:rFonts w:hint="eastAsia" w:ascii="宋体" w:hAnsi="宋体" w:eastAsia="宋体" w:cs="宋体"/>
                <w:b w:val="0"/>
                <w:bCs/>
                <w:color w:val="auto"/>
                <w:sz w:val="21"/>
                <w:szCs w:val="21"/>
                <w:highlight w:val="none"/>
              </w:rPr>
              <w:t>支持通过超声设备一键传输图片到智能手机终端或PC端，便于专家进行远程会诊</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4.</w:t>
            </w:r>
            <w:r>
              <w:rPr>
                <w:rFonts w:hint="eastAsia" w:ascii="宋体" w:hAnsi="宋体" w:eastAsia="宋体" w:cs="宋体"/>
                <w:b/>
                <w:bCs w:val="0"/>
                <w:color w:val="auto"/>
                <w:sz w:val="21"/>
                <w:szCs w:val="21"/>
                <w:highlight w:val="none"/>
              </w:rPr>
              <w:t>连通性要求</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4.1支持网络连接，开放DICOM 3.0接口满足任何厂家PACS联网传输；</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4.2支持移动设备无线传输；</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4.3输入接口：音频输入，ECG信号输入</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4.4输出信号：HDMI视频，S-VIDEO视频, VGA视频</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4.5≥6个USB接口、DVD R/W刻录光驱、TYPE C 数据接口</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系统技术参数及要求</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5.1二维灰阶模式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5.1.1数字化全程动态聚焦，数字化可变孔径及动态变迹，A/D≥12 bit</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5.1.2接收方式：发射、接收通道≥1024，多倍信号并行处理</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5.1.3扫描线：每帧线密度≥512超声线</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5.1.4预设条件：针对不同的检查脏器，预置最佳图像检查条件</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5.1.5复合成像技术：≥7条声束偏转的复合超声成像，提升图像的细节分辨率和加强边界显示，消除伪像；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5.1.6组织特异性成像预设，针对不同脏器预设最佳声波传播速度用于计算成像，减少因成像声速值与实际声速值偏差导致图像失真</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5.1.7声速匹配技术，可根据人体组织真实情况，一键实时自动匹配至最佳成像声速，并以具体数值（SSC值）在屏幕上显示</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5.1.8最大显示深度≥40cm</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5.1.9TGC ≥8段，LGC ≥6段</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 xml:space="preserve">5.1.10动态范围 ≥200 </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5.1.11增益调节</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B/M/D分别独立可调，≥100，可视可调步进≤1db</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5.1.12伪彩图谱≥8种</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5.1.13最大帧率≥1000 帧/秒</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5.1.14成像速度：相控阵探头，帧率≥50帧/秒</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凸阵探头，帧率≥20帧/秒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5.2彩色多普勒成像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5.2.1包括速度、速度方差、能量、方向能量显示等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5.2.2显示方式：B/C、B/C/M、B/POWER、B/C/PW</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5.2.3取样框偏转 ≥±30度，取样框可根据探头血流方向自动调节</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5.2.4速度标识功能，标识不同血流速度边界，观察血流分布及速度梯度</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5.2.5最大帧率 ≥260 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5.2.6成像速度：相控阵探头，帧率≥9帧/秒</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凸阵探头，帧率≥5帧/秒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5.3频谱多普勒模式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5.3.1包括脉冲多普勒、高脉冲重复频率、连续多普勒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5.3.2显示方式：B, PW，B/PW, B/C/PW, B/CW, B/C/CW等等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5.3.3最大速度 ≥7.60m/s（连续多普勒速度 ≥30m/s）</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5.3.4最小速度 ≤1 mm /s（非噪声信号）</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5.3.5取样容积</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0.5-20mm ,支持所有探头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5.3.6偏转角度 ≥±30度 (线阵探头) ，并支持快速角度校正</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5.3.7零位移动≥8 级</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5.3.8支持频谱自动测量</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5.4探头规格</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5.4.1探头配置：腹部探头，高频探头，腹部介入探头(配穿刺架）</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5.4.2频率：超宽频带或变频探头，所配探头均为宽频变频探头,二维、谐波、彩色及频谱多普勒模式分别独立变频，≥3段</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5.4.3扫描频率：凸阵探头：带宽: 1.2-6.0MHz，角度≥72°；线阵探头：带宽: 3.0-14.0MHz，扫描范围≥50mm；腹部介入探头：带宽: 1.2-6.0MHz，角度≥105°</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5.4.4穿刺引导，凸阵、线阵、具备多角度穿刺引导功能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5.5应变式弹性成像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5.5.1支持探头：浅表探头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5.2弹性成像图谱≥5种可选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5.3弹性模式具有压力操作提示图标</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5.5.4具备组织硬度定量分析软件，支持多种比值分析，柱状图分析</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5.5.5具备肿块周边组织弹性定量分析功能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5.5.6具备定量测量映射分析，即在组织图测量时弹性图同步测量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5.6剪切波弹性成像</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5.6.1支持探头：凸阵探头，线阵探头；</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5.6.2支持二维实时剪切波和单点式剪切波成像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5.6.3实时剪切波弹性成像取样框大小可调，可得到取样框内杨氏模量值等定量数据</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5.6.4实时剪切波弹性成像及二维成像双实时成像，图像布局包括上下，左右多种方式可调</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5.6.5同时输出以kPa和m/s为单位的组织硬度定量数据，保证临床可以使用硬度数据进行临床诊断和科研工作</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5.6.6支持肿块周边组织定量分析功能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5.7造影成像及定量分析功能</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5.7.1支持多种探头：凸阵探头、线阵探头，腔内探头</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5.7.2支持微血管造影增强功能</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5.7.3双计时器</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5.7.4支持向后存储，≥6分钟电影；支持向前存储</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5.7.5具备混合模式</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5.7.6支持造影图像和组织图像位置互换</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5.7.7造影定量分析：取样点可跟踪感兴趣区运动、提供TIC时间强度曲线分析、可选择原始曲线和拟合曲线、具有表格报告分析。</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5.8TDI组织多普勒成像</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5.8.1TDI成像模式：彩色速度模式图、能量模式图、频谱模式图、M型模式图</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5.8.2TDI组织多普勒定量分析软件：支持运动追踪功能；同步显示≥6段心肌组织运动速度曲线图</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6</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外设和附件</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6.1耦合剂加热器</w:t>
            </w:r>
          </w:p>
          <w:p>
            <w:pPr>
              <w:pStyle w:val="89"/>
              <w:spacing w:line="360" w:lineRule="auto"/>
              <w:jc w:val="left"/>
              <w:rPr>
                <w:rFonts w:hint="eastAsia" w:ascii="宋体" w:hAnsi="宋体" w:cs="宋体"/>
                <w:b/>
                <w:bCs w:val="0"/>
                <w:color w:val="auto"/>
                <w:sz w:val="21"/>
                <w:szCs w:val="21"/>
                <w:highlight w:val="none"/>
              </w:rPr>
            </w:pPr>
            <w:r>
              <w:rPr>
                <w:rFonts w:hint="eastAsia" w:ascii="宋体" w:hAnsi="宋体" w:eastAsia="宋体" w:cs="宋体"/>
                <w:b w:val="0"/>
                <w:bCs/>
                <w:color w:val="auto"/>
                <w:sz w:val="21"/>
                <w:szCs w:val="21"/>
                <w:highlight w:val="none"/>
              </w:rPr>
              <w:t>6.2腔内探头放置架，可左右互换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▲一、</w:t>
            </w:r>
            <w:r>
              <w:rPr>
                <w:rFonts w:hint="eastAsia" w:ascii="宋体" w:hAnsi="宋体" w:cs="宋体"/>
                <w:b/>
                <w:color w:val="auto"/>
                <w:szCs w:val="21"/>
                <w:highlight w:val="none"/>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交付时间和地点</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ascii="宋体" w:hAnsi="宋体" w:cs="宋体"/>
                <w:color w:val="auto"/>
                <w:szCs w:val="21"/>
                <w:highlight w:val="none"/>
              </w:rPr>
              <w:t>1.交付时间：</w:t>
            </w:r>
            <w:r>
              <w:rPr>
                <w:rFonts w:hint="eastAsia" w:ascii="宋体" w:hAnsi="宋体" w:cs="宋体"/>
                <w:color w:val="auto"/>
                <w:szCs w:val="21"/>
                <w:highlight w:val="none"/>
                <w:lang w:eastAsia="zh-CN"/>
              </w:rPr>
              <w:t>自合同签订之日起60日内安装调试完毕并交付使用</w:t>
            </w:r>
            <w:r>
              <w:rPr>
                <w:rFonts w:hint="eastAsia" w:ascii="宋体" w:hAnsi="宋体" w:cs="宋体"/>
                <w:bCs/>
                <w:color w:val="auto"/>
                <w:szCs w:val="21"/>
                <w:highlight w:val="none"/>
              </w:rPr>
              <w:t>。</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2.交付地点：</w:t>
            </w:r>
            <w:r>
              <w:rPr>
                <w:rFonts w:hint="eastAsia" w:ascii="宋体" w:hAnsi="宋体" w:cs="宋体"/>
                <w:color w:val="auto"/>
                <w:sz w:val="21"/>
                <w:szCs w:val="21"/>
                <w:highlight w:val="none"/>
                <w:lang w:eastAsia="zh-CN"/>
              </w:rPr>
              <w:t>广西壮族自治区桂东人民医院指定地点</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合同签订时间</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自中标通知书发出之日起</w:t>
            </w:r>
            <w:r>
              <w:rPr>
                <w:rFonts w:hint="eastAsia" w:ascii="宋体" w:hAnsi="宋体" w:cs="宋体"/>
                <w:color w:val="auto"/>
                <w:kern w:val="0"/>
                <w:szCs w:val="21"/>
                <w:highlight w:val="none"/>
                <w:u w:val="single"/>
                <w:lang w:val="en-US" w:eastAsia="zh-CN"/>
              </w:rPr>
              <w:t>15</w:t>
            </w:r>
            <w:r>
              <w:rPr>
                <w:rFonts w:hint="eastAsia" w:ascii="宋体" w:hAnsi="宋体" w:cs="宋体"/>
                <w:color w:val="auto"/>
                <w:kern w:val="0"/>
                <w:szCs w:val="21"/>
                <w:highlight w:val="none"/>
              </w:rPr>
              <w:t>日内签订采购合同。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付款方式</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签订合同后，全部货物到达指定地点、安装调试并验收合格后，凭双方签署验收合格证，采购人按中标合同总额分三期支付完：（1）第一期：六个月内支付合同总金额的 60%；（2）第二期：第 18 个月后支付合同总金额的 20%；（3）第三期：第 24 个月后支付合同总金额的 20%；（4）以上均不计利息，每期中标人均须开出对应额度的发票，采购人收到发票后30日内支付。</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注：如中标人为中小企业，付款方式为：（1）第一期：合同签订后10个工作日内，采购人支付合同总金额30%的预付款；（2）第二期：履约验收后六个月内支付合同总金额的30%；（3）：第三期：第 18 个月后支付合同总金额的 20%（4）第四期：第 24 个月后支付合同总金额的 20%；（5）以上均不计利息，预付款后每期中标人均须开出对应额度的发票，采购人收到发票后30日内支付。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项目产品基本</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要求</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1.以上产品必须是具备合法资质的制造商生产的全新正品，并满足招标文件的要求，若产品在运输或安装过程中损坏或擦伤须无偿调换相同产品。</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2.投标人所投产品、辅材及生产工艺符合国家相关规范。</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3.投标人应保证所提供的货物或其任何一部分均不会侵犯任何第三方的专利权、商标权等，如在使用过程中出现的一切经济和法律责任均由投标人负责。</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4.</w:t>
            </w:r>
            <w:r>
              <w:rPr>
                <w:rFonts w:hint="eastAsia"/>
                <w:color w:val="auto"/>
                <w:highlight w:val="none"/>
                <w:lang w:eastAsia="zh-CN"/>
              </w:rPr>
              <w:t>投标报价是履行合同的最终价格，包括投标货物（包括备品备件、专用工具等）的价格（包括已在中国境内的进口货物完税后的仓库交货价、展室交货价或者货架交货价），投标货物运输（含保险）、安装（如有）、调试、检验、技术服务、培训和招标文件要求提供的所有伴随服务、工程等费用和税费</w:t>
            </w:r>
            <w:r>
              <w:rPr>
                <w:rFonts w:hint="eastAsia"/>
                <w:color w:val="auto"/>
                <w:highlight w:val="none"/>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lang w:val="en-US" w:eastAsia="zh-CN"/>
              </w:rPr>
              <w:t>5</w:t>
            </w:r>
            <w:r>
              <w:rPr>
                <w:rFonts w:hint="eastAsia"/>
                <w:color w:val="auto"/>
                <w:highlight w:val="none"/>
              </w:rPr>
              <w:t>.投标人所投产品必须提供产品“三包”服务；定期安排相关人员回访进行质量跟踪；保证提供临床应用和售后技术服务支持方式；保修期后提供终身维修服务及配件供应；其他售后服务按厂家承诺实行。</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cs="Times New Roman"/>
                <w:color w:val="auto"/>
                <w:kern w:val="2"/>
                <w:sz w:val="21"/>
                <w:szCs w:val="24"/>
                <w:highlight w:val="none"/>
                <w:lang w:val="en-US" w:eastAsia="zh-CN" w:bidi="ar-SA"/>
              </w:rPr>
              <w:t>6</w:t>
            </w:r>
            <w:r>
              <w:rPr>
                <w:rFonts w:hint="eastAsia" w:ascii="Times New Roman" w:hAnsi="Times New Roman" w:eastAsia="宋体" w:cs="Times New Roman"/>
                <w:color w:val="auto"/>
                <w:kern w:val="2"/>
                <w:sz w:val="21"/>
                <w:szCs w:val="24"/>
                <w:highlight w:val="none"/>
                <w:lang w:val="en-US" w:eastAsia="zh-CN" w:bidi="ar-SA"/>
              </w:rPr>
              <w:t>.</w:t>
            </w:r>
            <w:r>
              <w:rPr>
                <w:rFonts w:hint="eastAsia" w:ascii="Times New Roman" w:hAnsi="Times New Roman" w:eastAsia="宋体" w:cs="Times New Roman"/>
                <w:b w:val="0"/>
                <w:bCs w:val="0"/>
                <w:color w:val="auto"/>
                <w:kern w:val="2"/>
                <w:sz w:val="21"/>
                <w:szCs w:val="24"/>
                <w:highlight w:val="none"/>
                <w:lang w:val="en-US" w:eastAsia="zh-CN" w:bidi="ar-SA"/>
              </w:rPr>
              <w:t>中标人</w:t>
            </w:r>
            <w:r>
              <w:rPr>
                <w:rFonts w:hint="eastAsia" w:ascii="Times New Roman" w:hAnsi="Times New Roman" w:eastAsia="宋体" w:cs="Times New Roman"/>
                <w:color w:val="auto"/>
                <w:kern w:val="2"/>
                <w:sz w:val="21"/>
                <w:szCs w:val="24"/>
                <w:highlight w:val="none"/>
                <w:lang w:val="en-US" w:eastAsia="zh-CN" w:bidi="ar-SA"/>
              </w:rPr>
              <w:t>需无条件负责按国家相关管理要求对设备进行计量检测，确保检测合格。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售后服务</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1.质保期：设备安装完毕通过验收投入使用之日起整机提供保修服务</w:t>
            </w:r>
            <w:r>
              <w:rPr>
                <w:rFonts w:hint="eastAsia" w:cs="Times New Roman"/>
                <w:color w:val="auto"/>
                <w:kern w:val="2"/>
                <w:sz w:val="21"/>
                <w:szCs w:val="24"/>
                <w:highlight w:val="none"/>
                <w:lang w:val="en-US" w:eastAsia="zh-CN" w:bidi="ar-SA"/>
              </w:rPr>
              <w:t>至少三年</w:t>
            </w:r>
            <w:r>
              <w:rPr>
                <w:rFonts w:hint="eastAsia" w:ascii="Times New Roman" w:hAnsi="Times New Roman" w:eastAsia="宋体" w:cs="Times New Roman"/>
                <w:color w:val="auto"/>
                <w:kern w:val="2"/>
                <w:sz w:val="21"/>
                <w:szCs w:val="24"/>
                <w:highlight w:val="none"/>
                <w:lang w:val="en-US" w:eastAsia="zh-CN" w:bidi="ar-SA"/>
              </w:rPr>
              <w:t>,质保期内所有由于质量问题导致的硬件产品故障以保修、人工及更换备件标准上门服务并提供终身维护。并按国家有关产品“三包”规定执行“三包”，质保期满前1个月内中标人应负责一次全面检查。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2.故障处理：中标人须设有24小时服务电话，质保期内，在使用过程中发现质量问题或故障时，接到维修通知后，2小时内响应，24小时内实施维修服务。一般问题应在48小时内解决，重大问题或其它无法迅速解决的问题应在一周内解决，所发生的一切费用由中标人负责。</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3.定期回访：在保修期内要求每季度至少回访一次，有问题做到及时处理。每半年到现场做一次设备运行状况安全检查。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4.负责送货上门，安装调试（仪器到货后1周内到采购人处安装调试），负责培训1～2名操作人员至能完全独立操作及日常维护。</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5.投标人予以特别注意：如出现未能到期供货的情况，采购人有权终止合同的执行，所有的经济损失由中标人单方承担。</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lang w:val="en-US" w:eastAsia="zh-CN"/>
              </w:rPr>
            </w:pPr>
            <w:r>
              <w:rPr>
                <w:rFonts w:hint="eastAsia" w:ascii="Times New Roman" w:hAnsi="Times New Roman" w:eastAsia="宋体" w:cs="Times New Roman"/>
                <w:b/>
                <w:bCs/>
                <w:color w:val="auto"/>
                <w:kern w:val="2"/>
                <w:sz w:val="21"/>
                <w:szCs w:val="24"/>
                <w:highlight w:val="none"/>
                <w:lang w:val="en-US" w:eastAsia="zh-CN" w:bidi="ar-SA"/>
              </w:rPr>
              <w:t>6.投标文件中提供售后服务方案。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（一）验收标准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（二）履约验收其他事项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采购人验收货物时，可以邀请参加本项目的其他供应商或者第三方机构参与验收，如发现提供的货物与投标文件响应的不相符，采购人将此情况上报政府采购管理监督部门。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三</w:t>
            </w:r>
            <w:r>
              <w:rPr>
                <w:rFonts w:hint="eastAsia" w:ascii="宋体" w:hAnsi="宋体" w:cs="宋体"/>
                <w:b/>
                <w:color w:val="auto"/>
                <w:szCs w:val="21"/>
                <w:highlight w:val="none"/>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进口产品说明</w:t>
            </w:r>
          </w:p>
        </w:tc>
        <w:tc>
          <w:tcPr>
            <w:tcW w:w="7578"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本项目货物不接受进口产品（即通过中国海关报关验放进入中国境内且产自关境外的产品）参与投标，</w:t>
            </w:r>
            <w:r>
              <w:rPr>
                <w:rFonts w:hint="eastAsia" w:ascii="宋体" w:hAnsi="宋体" w:cs="宋体"/>
                <w:b/>
                <w:color w:val="auto"/>
                <w:szCs w:val="21"/>
                <w:highlight w:val="none"/>
              </w:rPr>
              <w:t>如有进口产品参与投标的作无效标处理</w:t>
            </w:r>
            <w:r>
              <w:rPr>
                <w:rFonts w:hint="eastAsia" w:ascii="宋体" w:hAnsi="宋体" w:cs="宋体"/>
                <w:color w:val="auto"/>
                <w:szCs w:val="21"/>
                <w:highlight w:val="none"/>
              </w:rPr>
              <w:t>。</w:t>
            </w: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b/>
          <w:bCs/>
          <w:color w:val="auto"/>
          <w:szCs w:val="21"/>
          <w:highlight w:val="none"/>
        </w:rPr>
      </w:pPr>
      <w:r>
        <w:rPr>
          <w:rFonts w:hint="eastAsia" w:ascii="宋体" w:hAnsi="宋体" w:cs="Arial"/>
          <w:bCs/>
          <w:color w:val="auto"/>
          <w:szCs w:val="21"/>
          <w:highlight w:val="none"/>
          <w:u w:val="single"/>
        </w:rPr>
        <w:br w:type="page"/>
      </w:r>
      <w:bookmarkStart w:id="43" w:name="_Toc25688"/>
      <w:r>
        <w:rPr>
          <w:rFonts w:hint="eastAsia" w:ascii="宋体" w:hAnsi="宋体"/>
          <w:b/>
          <w:bCs/>
          <w:color w:val="auto"/>
          <w:szCs w:val="21"/>
          <w:highlight w:val="none"/>
        </w:rPr>
        <w:t>4分标预算金额：</w:t>
      </w:r>
      <w:r>
        <w:rPr>
          <w:rFonts w:hint="eastAsia" w:ascii="宋体" w:hAnsi="宋体"/>
          <w:b/>
          <w:bCs/>
          <w:color w:val="auto"/>
          <w:szCs w:val="21"/>
          <w:highlight w:val="none"/>
          <w:lang w:eastAsia="zh-CN"/>
        </w:rPr>
        <w:t>1500000.00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1500000.00</w:t>
      </w:r>
      <w:r>
        <w:rPr>
          <w:rFonts w:hint="eastAsia" w:ascii="宋体" w:hAnsi="宋体"/>
          <w:b/>
          <w:bCs/>
          <w:color w:val="auto"/>
          <w:szCs w:val="21"/>
          <w:highlight w:val="none"/>
        </w:rPr>
        <w:t>元</w:t>
      </w:r>
    </w:p>
    <w:p>
      <w:pPr>
        <w:keepNext w:val="0"/>
        <w:keepLines w:val="0"/>
        <w:pageBreakBefore w:val="0"/>
        <w:widowControl/>
        <w:kinsoku/>
        <w:wordWrap/>
        <w:overflowPunct/>
        <w:topLinePunct w:val="0"/>
        <w:autoSpaceDE/>
        <w:autoSpaceDN/>
        <w:bidi w:val="0"/>
        <w:adjustRightInd/>
        <w:snapToGrid/>
        <w:spacing w:line="400" w:lineRule="exact"/>
        <w:jc w:val="left"/>
        <w:textAlignment w:val="auto"/>
        <w:rPr>
          <w:color w:val="auto"/>
          <w:highlight w:val="none"/>
        </w:rPr>
      </w:pPr>
      <w:r>
        <w:rPr>
          <w:rFonts w:hint="eastAsia" w:ascii="宋体" w:hAnsi="宋体"/>
          <w:b/>
          <w:bCs/>
          <w:color w:val="auto"/>
          <w:szCs w:val="21"/>
          <w:highlight w:val="none"/>
          <w:lang w:val="en-US" w:eastAsia="zh-CN"/>
        </w:rPr>
        <w:t>4分标核心产品：“腹部彩色多普勒超声诊断仪”</w:t>
      </w:r>
      <w:r>
        <w:rPr>
          <w:rFonts w:hint="eastAsia" w:ascii="宋体" w:hAnsi="宋体"/>
          <w:b/>
          <w:bCs/>
          <w:color w:val="auto"/>
          <w:szCs w:val="21"/>
          <w:highlight w:val="none"/>
        </w:rPr>
        <w:t xml:space="preserve">              </w:t>
      </w:r>
    </w:p>
    <w:tbl>
      <w:tblPr>
        <w:tblStyle w:val="46"/>
        <w:tblW w:w="9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709"/>
        <w:gridCol w:w="662"/>
        <w:gridCol w:w="67"/>
        <w:gridCol w:w="7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567" w:type="dxa"/>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序号</w:t>
            </w:r>
          </w:p>
        </w:tc>
        <w:tc>
          <w:tcPr>
            <w:tcW w:w="709" w:type="dxa"/>
            <w:noWrap w:val="0"/>
            <w:vAlign w:val="center"/>
          </w:tcPr>
          <w:p>
            <w:pPr>
              <w:tabs>
                <w:tab w:val="left" w:pos="180"/>
                <w:tab w:val="left" w:pos="1620"/>
              </w:tabs>
              <w:spacing w:line="360" w:lineRule="auto"/>
              <w:jc w:val="center"/>
              <w:rPr>
                <w:rFonts w:hint="eastAsia" w:ascii="宋体" w:hAnsi="宋体" w:cs="Arial"/>
                <w:color w:val="auto"/>
                <w:szCs w:val="21"/>
                <w:highlight w:val="none"/>
              </w:rPr>
            </w:pPr>
            <w:r>
              <w:rPr>
                <w:rFonts w:hint="eastAsia" w:ascii="宋体" w:hAnsi="宋体"/>
                <w:b/>
                <w:bCs/>
                <w:color w:val="auto"/>
                <w:szCs w:val="21"/>
                <w:highlight w:val="none"/>
              </w:rPr>
              <w:t>标的名称</w:t>
            </w:r>
          </w:p>
        </w:tc>
        <w:tc>
          <w:tcPr>
            <w:tcW w:w="729" w:type="dxa"/>
            <w:gridSpan w:val="2"/>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数量单位</w:t>
            </w:r>
          </w:p>
        </w:tc>
        <w:tc>
          <w:tcPr>
            <w:tcW w:w="7511" w:type="dxa"/>
            <w:noWrap w:val="0"/>
            <w:vAlign w:val="center"/>
          </w:tcPr>
          <w:p>
            <w:pPr>
              <w:tabs>
                <w:tab w:val="left" w:pos="180"/>
                <w:tab w:val="left" w:pos="1620"/>
              </w:tabs>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567"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09"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olor w:val="auto"/>
                <w:szCs w:val="21"/>
                <w:highlight w:val="none"/>
              </w:rPr>
              <w:t>腹部彩色多普勒超声诊断仪</w:t>
            </w:r>
          </w:p>
        </w:tc>
        <w:tc>
          <w:tcPr>
            <w:tcW w:w="729" w:type="dxa"/>
            <w:gridSpan w:val="2"/>
            <w:noWrap w:val="0"/>
            <w:vAlign w:val="center"/>
          </w:tcPr>
          <w:p>
            <w:pPr>
              <w:pStyle w:val="89"/>
              <w:spacing w:line="360" w:lineRule="auto"/>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1台</w:t>
            </w:r>
          </w:p>
        </w:tc>
        <w:tc>
          <w:tcPr>
            <w:tcW w:w="7511" w:type="dxa"/>
            <w:noWrap w:val="0"/>
            <w:vAlign w:val="center"/>
          </w:tcPr>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1</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主机成像系统</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1.1高分辨率液晶显示器≥23英寸</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▲1.2操作面板具备液晶触摸屏≥15英寸</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1.3触摸屏可通过手指滑动触摸屏进行翻页，可将显示器上的超声图像投影到触摸屏上，通过手指进行放大，描迹测量等操作。可自定义手势操作功能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1.4控制面板全空间悬浮式调节，可同时旋转和升降，前后拉升</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1.5控制面板上可自定义按键≥8个，按键上可直接显示自定义的功能名称</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1.6主机操作面板一体化耦合剂加热装置；</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▲1.7探头接口≥5个，全激活、相互通用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1.8数字化全程动态聚焦，数字化可变孔径及动态变迹，A/D≥12 bit</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1.9多倍信号并行处理</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1.10数字化二维灰阶成像及M型显像单元；</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1.11彩色多普勒成像技术；</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1.12彩色多普勒能量图技术；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1.13方向性能量图技术</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1.14解剖M型技术，可360度任意旋转</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1.15数字化频谱多普勒显示和分析单元 (包括 PW 、CW和 HPRF)</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1.16斑点噪声抑制成像技术；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1.17一键快速优化多种参数，自动优化图像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1.18自动血流跟踪技术，一键实时自动优化Color/Power及PW频谱图像、Color/Power框的位置和角度、PW取样门的位置、角度和大小等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1.19穿刺针增强技术，凸阵和线阵探头均可支持</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1.20速度标识功能，标识不同血流速度边界，观察血流分布及速度梯度</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1.21图像放大，支持前端放大和后端放大，放大倍数≥5倍</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1.22全屏放大，支持≥2种放大模式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1.23线阵探头双B图像拼接</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1.24声功率可调，实时显示MI/TI（TIB，TIC，TIS）</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1.25自动工作流，检查过程中可按照协议自动注释，自动标记体位图，自动切换图像模式等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1.26多语言操作界面，英语，中文（包括键盘输入、注释、操作面板等）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1.27支持语音注释，可将语音注释信息保存到电影文件中，支持在超声设备或是在PC端回放语音注释</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2</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测量/分析和报告</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2.1一般测量：距离、周长、面积、体积、角度、自动频谱测量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2.2全科测量包，自动生成报告：腹部、妇科、产科、心脏、泌尿、小器官、儿科、血管、神经等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2.3血管内中膜自动测量，可同时自动描记血管前、后壁的内中膜，自动生成测量数据，测量结果参数≥7项</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2.4支持血管内中膜自动实时测量,自动获取6组IMT内膜厚度值,并实时更新</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2.5支持血管体位图手动编辑功能，通过手动编辑体位图，直观显示病变的位置</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3</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电影回放和数据存储</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3.1</w:t>
            </w:r>
            <w:r>
              <w:rPr>
                <w:rFonts w:hint="eastAsia" w:ascii="宋体" w:hAnsi="宋体" w:eastAsia="宋体" w:cs="宋体"/>
                <w:b w:val="0"/>
                <w:bCs/>
                <w:color w:val="auto"/>
                <w:sz w:val="21"/>
                <w:szCs w:val="21"/>
                <w:highlight w:val="none"/>
              </w:rPr>
              <w:t>支持二维、彩色、造影、4D等模式的手动和自动回放，电影回放支持编辑和剪接功能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3.2</w:t>
            </w:r>
            <w:r>
              <w:rPr>
                <w:rFonts w:hint="eastAsia" w:ascii="宋体" w:hAnsi="宋体" w:eastAsia="宋体" w:cs="宋体"/>
                <w:b w:val="0"/>
                <w:bCs/>
                <w:color w:val="auto"/>
                <w:sz w:val="21"/>
                <w:szCs w:val="21"/>
                <w:highlight w:val="none"/>
              </w:rPr>
              <w:t>电影回放：≥1000秒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3.3</w:t>
            </w:r>
            <w:r>
              <w:rPr>
                <w:rFonts w:hint="eastAsia" w:ascii="宋体" w:hAnsi="宋体" w:eastAsia="宋体" w:cs="宋体"/>
                <w:b w:val="0"/>
                <w:bCs/>
                <w:color w:val="auto"/>
                <w:sz w:val="21"/>
                <w:szCs w:val="21"/>
                <w:highlight w:val="none"/>
              </w:rPr>
              <w:t>支持向后存储和向前存储，时间长度可预置，向后存储≥6分钟的电影，对剪接和编辑的电影图像可多次存储和多次编辑；图像和电影均可以实时扫描、冻结状态下直接存储，并且具有独立的存储功能键</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3.4</w:t>
            </w:r>
            <w:r>
              <w:rPr>
                <w:rFonts w:hint="eastAsia" w:ascii="宋体" w:hAnsi="宋体" w:eastAsia="宋体" w:cs="宋体"/>
                <w:b w:val="0"/>
                <w:bCs/>
                <w:color w:val="auto"/>
                <w:sz w:val="21"/>
                <w:szCs w:val="21"/>
                <w:highlight w:val="none"/>
              </w:rPr>
              <w:t>支持同屏对比多个不同模式的动态、静态图像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3.5</w:t>
            </w:r>
            <w:r>
              <w:rPr>
                <w:rFonts w:hint="eastAsia" w:ascii="宋体" w:hAnsi="宋体" w:eastAsia="宋体" w:cs="宋体"/>
                <w:b w:val="0"/>
                <w:bCs/>
                <w:color w:val="auto"/>
                <w:sz w:val="21"/>
                <w:szCs w:val="21"/>
                <w:highlight w:val="none"/>
              </w:rPr>
              <w:t>原始数据处理，支持动、静态图像冻结后，最大可进行32项参数调节。能支持二维图像离线后进行M成像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3.6</w:t>
            </w:r>
            <w:r>
              <w:rPr>
                <w:rFonts w:hint="eastAsia" w:ascii="宋体" w:hAnsi="宋体" w:eastAsia="宋体" w:cs="宋体"/>
                <w:b w:val="0"/>
                <w:bCs/>
                <w:color w:val="auto"/>
                <w:sz w:val="21"/>
                <w:szCs w:val="21"/>
                <w:highlight w:val="none"/>
              </w:rPr>
              <w:t>硬盘≥1T硬盘, SSD固态硬盘≥128G</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3.7</w:t>
            </w:r>
            <w:r>
              <w:rPr>
                <w:rFonts w:hint="eastAsia" w:ascii="宋体" w:hAnsi="宋体" w:eastAsia="宋体" w:cs="宋体"/>
                <w:b w:val="0"/>
                <w:bCs/>
                <w:color w:val="auto"/>
                <w:sz w:val="21"/>
                <w:szCs w:val="21"/>
                <w:highlight w:val="none"/>
              </w:rPr>
              <w:t>多种导出图像格式：动态图像、静态图像以PC格式直接导出。导出、备份图像数据资料同时，可进行实时检查，不影响检查操作</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3.8</w:t>
            </w:r>
            <w:r>
              <w:rPr>
                <w:rFonts w:hint="eastAsia" w:ascii="宋体" w:hAnsi="宋体" w:eastAsia="宋体" w:cs="宋体"/>
                <w:b w:val="0"/>
                <w:bCs/>
                <w:color w:val="auto"/>
                <w:sz w:val="21"/>
                <w:szCs w:val="21"/>
                <w:highlight w:val="none"/>
              </w:rPr>
              <w:t>支持通过超声设备一键传输图片到智能手机终端或PC端，便于专家进行远程会诊</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4.</w:t>
            </w:r>
            <w:r>
              <w:rPr>
                <w:rFonts w:hint="eastAsia" w:ascii="宋体" w:hAnsi="宋体" w:eastAsia="宋体" w:cs="宋体"/>
                <w:b/>
                <w:bCs w:val="0"/>
                <w:color w:val="auto"/>
                <w:sz w:val="21"/>
                <w:szCs w:val="21"/>
                <w:highlight w:val="none"/>
              </w:rPr>
              <w:t>连通性要求</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4.1支持网络连接，开放DICOM 3.0接口满足任何厂家PACS联网传输；</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4.2支持移动设备无线传输；</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4.3输入接口：音频输入，ECG信号输入</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4.4输出信号：HDMI视频，S-VIDEO视频, VGA视频</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4.5≥6个USB接口、DVD R/W刻录光驱、TYPE C 数据接口</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系统技术参数及要求</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5.1二维灰阶模式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5.1.1数字化全程动态聚焦，数字化可变孔径及动态变迹，A/D≥12 bit</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5.1.2接收方式：发射、接收通道≥1024，多倍信号并行处理</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5.1.3扫描线：每帧线密度≥512超声线</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5.1.4预设条件：针对不同的检查脏器，预置最佳图像检查条件</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5.1.5复合成像技术：≥7条声束偏转的复合超声成像，提升图像的细节分辨率和加强边界显示，消除伪像；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5.1.6组织特异性成像预设，针对不同脏器预设最佳声波传播速度用于计算成像，减少因成像声速值与实际声速值偏差导致图像失真</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5.1.7声速匹配技术，可根据人体组织真实情况，一键实时自动匹配至最佳成像声速，并以具体数值（SSC值）在屏幕上显示</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 xml:space="preserve">5.1.8最大显示深度≥40cm </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5.1.9TGC≥8段，LGC ≥6段</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 xml:space="preserve">5.1.10动态范围 ≥200 </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5.1.11增益调节</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B/M/D分别独立可调，≥100，可视可调步进≤1db</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5.1.12伪彩图谱 ≥8种</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5.1.13最大帧率≥1000 帧/秒</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5.1.14成像速度：相控阵探头，帧率≥50帧/秒</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凸阵探头，帧率≥20帧/秒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5.2彩色多普勒成像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5.2.1包括速度、速度方差、能量、方向能量显示等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5.2.2显示方式：B/C、B/C/M、B/POWER、B/C/PW</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5.2.3取样框偏转≥±30度，取样框可根据探头血流方向自动调节</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5.2.4速度标识功能，标识不同血流速度边界，观察血流分布及速度梯度</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5.2.5最大帧率 ≥260 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5.2.6成像速度：相控阵探头，帧率≥9帧/秒</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凸阵探头，帧率≥5帧/秒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5.3频谱多普勒模式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5.3.1包括脉冲多普勒、高脉冲重复频率、连续多普勒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5.3.2显示方式：B, PW，B/PW, B/C/PW, B/CW, B/C/CW等等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5.3.3最大速度: ≥7.60m/s（连续多普勒速度: ≥30m/s）</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5.3.4最小速度: ≤1 mm /s（非噪声信号）</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5.3.5取样容积: 0.5-20mm ,支持所有探头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5.3.6偏转角度: ≥±30度 (线阵探头) ，并支持快速角度校正</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5.3.7零位移动：≥8 级</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5.3.8支持频谱自动测量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5.4探头规格</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5.4.1探头配置：腹部探头，高频探头，腔内探头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5.4.2频率：超宽频带或变频探头，所配探头均为宽频变频探头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5.4.3扫描频率：凸阵探头：带宽: 1.2-6.0MHz，角度≥72°；</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线阵探头：带宽: 3.0-14.0MHz，扫描范围≥50mm；</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经阴道腔内探头：带宽: 3-11MHz，扫描角度≥190°</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5.4.4二维、谐波、彩色及频谱多普勒模式分别独立变频，≥3段</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5.5应变式弹性成像</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5.5.1支持探头：浅表探头</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5.5.2弹性成像图谱≥5种可选。</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5.5.3弹性模式具有压力操作提示图标。</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5.5.4具备组织硬度定量分析软件，支持多种比值分析，柱状图分析。</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5.5.5具备肿块周边组织弹性定量分析功能。</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5.5.6具备定量测量映射分析，即在组织图测量时弹性图同步测量。</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5.6剪切波弹性成像</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5.6.1支持探头：凸阵探头，线阵探头；</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5.6.2支持二维实时剪切波和单点式剪切波成像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5.6.3实时剪切波弹性成像取样框大小可调，可得到取样框内杨氏模量值等定量数据</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5.6.4实时剪切波弹性成像及二维成像双实时成像，图像布局包括上下，左右多种方式可调</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5.6.5同时输出以kPa和m/s为单位的组织硬度定量数据，保证临床可以使用硬度数据进行临床诊断和科研工作</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5.6.6支持肿块周边组织定量分析功能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5.7造影成像及定量分析功能</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5.7.1支持多种探头：凸阵探头、线阵探头，腔内探头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5.7.2支持微血管造影增强功能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5.7.3双计时器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5.7.4支持向后存储，≥6分钟电影；支持向前存储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5.7.5具备混合模式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5.7.6支持造影图像和组织图像位置互换</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5.7.7造影定量分析：取样点可跟踪感兴趣区运动、提供TIC时间强度曲线分析、可选择原始曲线和拟合曲线、具有表格报告分析</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5.8TDI组织多普勒成像</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5.8.1TDI成像模式：彩色速度模式图、能量模式图、频谱模式图、M型模式图</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5.8.2TDI组织多普勒定量分析软件：支持运动追踪功能；同步显示≥6段心肌组织运动速度曲线图</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6</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外设和附件</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6.1耦合剂加热器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lang w:eastAsia="zh-CN"/>
              </w:rPr>
            </w:pPr>
            <w:r>
              <w:rPr>
                <w:rFonts w:hint="eastAsia" w:ascii="宋体" w:hAnsi="宋体" w:eastAsia="宋体" w:cs="宋体"/>
                <w:b w:val="0"/>
                <w:bCs/>
                <w:color w:val="auto"/>
                <w:sz w:val="21"/>
                <w:szCs w:val="21"/>
                <w:highlight w:val="none"/>
              </w:rPr>
              <w:t>6.2腔内探头放置架，可左右互换</w:t>
            </w:r>
            <w:r>
              <w:rPr>
                <w:rFonts w:hint="eastAsia" w:ascii="宋体" w:hAnsi="宋体" w:eastAsia="宋体" w:cs="宋体"/>
                <w:b w:val="0"/>
                <w:bCs/>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▲一、</w:t>
            </w:r>
            <w:r>
              <w:rPr>
                <w:rFonts w:hint="eastAsia" w:ascii="宋体" w:hAnsi="宋体" w:cs="宋体"/>
                <w:b/>
                <w:color w:val="auto"/>
                <w:szCs w:val="21"/>
                <w:highlight w:val="none"/>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交付时间和地点</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ascii="宋体" w:hAnsi="宋体" w:cs="宋体"/>
                <w:color w:val="auto"/>
                <w:szCs w:val="21"/>
                <w:highlight w:val="none"/>
              </w:rPr>
              <w:t>1.交付时间：</w:t>
            </w:r>
            <w:r>
              <w:rPr>
                <w:rFonts w:hint="eastAsia" w:ascii="宋体" w:hAnsi="宋体" w:cs="宋体"/>
                <w:color w:val="auto"/>
                <w:szCs w:val="21"/>
                <w:highlight w:val="none"/>
                <w:lang w:eastAsia="zh-CN"/>
              </w:rPr>
              <w:t>自合同签订之日起60日内安装调试完毕并交付使用</w:t>
            </w:r>
            <w:r>
              <w:rPr>
                <w:rFonts w:hint="eastAsia" w:ascii="宋体" w:hAnsi="宋体" w:cs="宋体"/>
                <w:bCs/>
                <w:color w:val="auto"/>
                <w:szCs w:val="21"/>
                <w:highlight w:val="none"/>
              </w:rPr>
              <w:t>。</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2.交付地点：</w:t>
            </w:r>
            <w:r>
              <w:rPr>
                <w:rFonts w:hint="eastAsia" w:ascii="宋体" w:hAnsi="宋体" w:cs="宋体"/>
                <w:color w:val="auto"/>
                <w:sz w:val="21"/>
                <w:szCs w:val="21"/>
                <w:highlight w:val="none"/>
                <w:lang w:eastAsia="zh-CN"/>
              </w:rPr>
              <w:t>广西壮族自治区桂东人民医院指定地点</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合同签订时间</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自中标通知书发出之日起</w:t>
            </w:r>
            <w:r>
              <w:rPr>
                <w:rFonts w:hint="eastAsia" w:ascii="宋体" w:hAnsi="宋体" w:cs="宋体"/>
                <w:color w:val="auto"/>
                <w:kern w:val="0"/>
                <w:szCs w:val="21"/>
                <w:highlight w:val="none"/>
                <w:u w:val="single"/>
                <w:lang w:val="en-US" w:eastAsia="zh-CN"/>
              </w:rPr>
              <w:t>15</w:t>
            </w:r>
            <w:r>
              <w:rPr>
                <w:rFonts w:hint="eastAsia" w:ascii="宋体" w:hAnsi="宋体" w:cs="宋体"/>
                <w:color w:val="auto"/>
                <w:kern w:val="0"/>
                <w:szCs w:val="21"/>
                <w:highlight w:val="none"/>
              </w:rPr>
              <w:t>日内签订采购合同。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付款方式</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签订合同后，全部货物到达指定地点、安装调试并验收合格后，凭双方签署验收合格证，采购人按中标合同总额分三期支付完：（1）第一期：六个月内支付合同总金额的 60%；（2）第二期：第 18 个月后支付合同总金额的 20%；（3）第三期：第 24 个月后支付合同总金额的 20%；（4）以上均不计利息，每期中标人均须开出对应额度的发票，采购人收到发票后30日内支付。</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注：如中标人为中小企业，付款方式为：（1）第一期：合同签订后10个工作日内，采购人支付合同总金额30%的预付款；（2）第二期：履约验收后六个月内支付合同总金额的30%；（3）：第三期：第 18 个月后支付合同总金额的 20%（4）第四期：第 24 个月后支付合同总金额的 20%；（5）以上均不计利息，预付款后每期中标人均须开出对应额度的发票，采购人收到发票后30日内支付。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项目产品基本</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要求</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1.以上产品必须是具备合法资质的制造商生产的全新正品，并满足招标文件的要求，若产品在运输或安装过程中损坏或擦伤须无偿调换相同产品。</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2.投标人所投产品、辅材及生产工艺符合国家相关规范。</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3.投标人应保证所提供的货物或其任何一部分均不会侵犯任何第三方的专利权、商标权等，如在使用过程中出现的一切经济和法律责任均由投标人负责。</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4.</w:t>
            </w:r>
            <w:r>
              <w:rPr>
                <w:rFonts w:hint="eastAsia"/>
                <w:color w:val="auto"/>
                <w:highlight w:val="none"/>
                <w:lang w:eastAsia="zh-CN"/>
              </w:rPr>
              <w:t>投标报价是履行合同的最终价格，包括投标货物（包括备品备件、专用工具等）的价格（包括已在中国境内的进口货物完税后的仓库交货价、展室交货价或者货架交货价），投标货物运输（含保险）、安装（如有）、调试、检验、技术服务、培训和招标文件要求提供的所有伴随服务、工程等费用和税费</w:t>
            </w:r>
            <w:r>
              <w:rPr>
                <w:rFonts w:hint="eastAsia"/>
                <w:color w:val="auto"/>
                <w:highlight w:val="none"/>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lang w:val="en-US" w:eastAsia="zh-CN"/>
              </w:rPr>
              <w:t>5</w:t>
            </w:r>
            <w:r>
              <w:rPr>
                <w:rFonts w:hint="eastAsia"/>
                <w:color w:val="auto"/>
                <w:highlight w:val="none"/>
              </w:rPr>
              <w:t>.投标人所投产品必须提供产品“三包”服务；定期安排相关人员回访进行质量跟踪；保证提供临床应用和售后技术服务支持方式；保修期后提供终身维修服务及配件供应；其他售后服务按厂家承诺实行。</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cs="Times New Roman"/>
                <w:color w:val="auto"/>
                <w:kern w:val="2"/>
                <w:sz w:val="21"/>
                <w:szCs w:val="24"/>
                <w:highlight w:val="none"/>
                <w:lang w:val="en-US" w:eastAsia="zh-CN" w:bidi="ar-SA"/>
              </w:rPr>
              <w:t>6</w:t>
            </w:r>
            <w:r>
              <w:rPr>
                <w:rFonts w:hint="eastAsia" w:ascii="Times New Roman" w:hAnsi="Times New Roman" w:eastAsia="宋体" w:cs="Times New Roman"/>
                <w:color w:val="auto"/>
                <w:kern w:val="2"/>
                <w:sz w:val="21"/>
                <w:szCs w:val="24"/>
                <w:highlight w:val="none"/>
                <w:lang w:val="en-US" w:eastAsia="zh-CN" w:bidi="ar-SA"/>
              </w:rPr>
              <w:t>.</w:t>
            </w:r>
            <w:r>
              <w:rPr>
                <w:rFonts w:hint="eastAsia" w:ascii="Times New Roman" w:hAnsi="Times New Roman" w:eastAsia="宋体" w:cs="Times New Roman"/>
                <w:b w:val="0"/>
                <w:bCs w:val="0"/>
                <w:color w:val="auto"/>
                <w:kern w:val="2"/>
                <w:sz w:val="21"/>
                <w:szCs w:val="24"/>
                <w:highlight w:val="none"/>
                <w:lang w:val="en-US" w:eastAsia="zh-CN" w:bidi="ar-SA"/>
              </w:rPr>
              <w:t>中标人</w:t>
            </w:r>
            <w:r>
              <w:rPr>
                <w:rFonts w:hint="eastAsia" w:ascii="Times New Roman" w:hAnsi="Times New Roman" w:eastAsia="宋体" w:cs="Times New Roman"/>
                <w:color w:val="auto"/>
                <w:kern w:val="2"/>
                <w:sz w:val="21"/>
                <w:szCs w:val="24"/>
                <w:highlight w:val="none"/>
                <w:lang w:val="en-US" w:eastAsia="zh-CN" w:bidi="ar-SA"/>
              </w:rPr>
              <w:t>需无条件负责按国家相关管理要求对设备进行计量检测，确保检测合格。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售后服务</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1.质保期：设备安装完毕通过验收投入使用之日起整机提供保修服务</w:t>
            </w:r>
            <w:r>
              <w:rPr>
                <w:rFonts w:hint="eastAsia" w:cs="Times New Roman"/>
                <w:color w:val="auto"/>
                <w:kern w:val="2"/>
                <w:sz w:val="21"/>
                <w:szCs w:val="24"/>
                <w:highlight w:val="none"/>
                <w:lang w:val="en-US" w:eastAsia="zh-CN" w:bidi="ar-SA"/>
              </w:rPr>
              <w:t>至少三年</w:t>
            </w:r>
            <w:r>
              <w:rPr>
                <w:rFonts w:hint="eastAsia" w:ascii="Times New Roman" w:hAnsi="Times New Roman" w:eastAsia="宋体" w:cs="Times New Roman"/>
                <w:color w:val="auto"/>
                <w:kern w:val="2"/>
                <w:sz w:val="21"/>
                <w:szCs w:val="24"/>
                <w:highlight w:val="none"/>
                <w:lang w:val="en-US" w:eastAsia="zh-CN" w:bidi="ar-SA"/>
              </w:rPr>
              <w:t>,质保期内所有由于质量问题导致的硬件产品故障以保修、人工及更换备件标准上门服务并提供终身维护。并按国家有关产品“三包”规定执行“三包”，质保期满前1个月内中标人应负责一次全面检查。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2.故障处理：中标人须设有24小时服务电话，质保期内，在使用过程中发现质量问题或故障时，接到维修通知后，2小时内响应，24小时内实施维修服务。一般问题应在48小时内解决，重大问题或其它无法迅速解决的问题应在一周内解决，所发生的一切费用由中标人负责。</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3.定期回访：在保修期内要求每季度至少回访一次，有问题做到及时处理。每半年到现场做一次设备运行状况安全检查。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4.负责送货上门，安装调试（仪器到货后1周内到采购人处安装调试），负责培训1～2名操作人员至能完全独立操作及日常维护。</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5.投标人予以特别注意：如出现未能到期供货的情况，采购人有权终止合同的执行，所有的经济损失由中标人单方承担。</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lang w:val="en-US" w:eastAsia="zh-CN"/>
              </w:rPr>
            </w:pPr>
            <w:r>
              <w:rPr>
                <w:rFonts w:hint="eastAsia" w:ascii="Times New Roman" w:hAnsi="Times New Roman" w:eastAsia="宋体" w:cs="Times New Roman"/>
                <w:b/>
                <w:bCs/>
                <w:color w:val="auto"/>
                <w:kern w:val="2"/>
                <w:sz w:val="21"/>
                <w:szCs w:val="24"/>
                <w:highlight w:val="none"/>
                <w:lang w:val="en-US" w:eastAsia="zh-CN" w:bidi="ar-SA"/>
              </w:rPr>
              <w:t>6.投标文件中提供售后服务方案。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（一）验收标准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（二）履约验收其他事项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采购人验收货物时，可以邀请参加本项目的其他供应商或者第三方机构参与验收，如发现提供的货物与投标文件响应的不相符，采购人将此情况上报政府采购管理监督部门。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三</w:t>
            </w:r>
            <w:r>
              <w:rPr>
                <w:rFonts w:hint="eastAsia" w:ascii="宋体" w:hAnsi="宋体" w:cs="宋体"/>
                <w:b/>
                <w:color w:val="auto"/>
                <w:szCs w:val="21"/>
                <w:highlight w:val="none"/>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进口产品说明</w:t>
            </w:r>
          </w:p>
        </w:tc>
        <w:tc>
          <w:tcPr>
            <w:tcW w:w="7578"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本项目货物不接受进口产品（即通过中国海关报关验放进入中国境内且产自关境外的产品）参与投标，</w:t>
            </w:r>
            <w:r>
              <w:rPr>
                <w:rFonts w:hint="eastAsia" w:ascii="宋体" w:hAnsi="宋体" w:cs="宋体"/>
                <w:b/>
                <w:color w:val="auto"/>
                <w:szCs w:val="21"/>
                <w:highlight w:val="none"/>
              </w:rPr>
              <w:t>如有进口产品参与投标的作无效标处理</w:t>
            </w:r>
            <w:r>
              <w:rPr>
                <w:rFonts w:hint="eastAsia" w:ascii="宋体" w:hAnsi="宋体" w:cs="宋体"/>
                <w:color w:val="auto"/>
                <w:szCs w:val="21"/>
                <w:highlight w:val="none"/>
              </w:rPr>
              <w:t>。</w:t>
            </w:r>
          </w:p>
        </w:tc>
      </w:tr>
    </w:tbl>
    <w:p>
      <w:pPr>
        <w:widowControl/>
        <w:spacing w:line="360" w:lineRule="auto"/>
        <w:jc w:val="left"/>
        <w:rPr>
          <w:rFonts w:hint="eastAsia" w:ascii="宋体" w:hAnsi="宋体"/>
          <w:b/>
          <w:bCs/>
          <w:color w:val="auto"/>
          <w:szCs w:val="21"/>
          <w:highlight w:val="none"/>
        </w:rPr>
      </w:pPr>
      <w:r>
        <w:rPr>
          <w:rFonts w:hint="eastAsia" w:ascii="宋体" w:hAnsi="宋体" w:cs="宋体"/>
          <w:bCs/>
          <w:color w:val="auto"/>
          <w:sz w:val="24"/>
          <w:highlight w:val="none"/>
          <w:u w:val="single"/>
        </w:rPr>
        <w:br w:type="page"/>
      </w:r>
      <w:r>
        <w:rPr>
          <w:rFonts w:hint="eastAsia" w:ascii="宋体" w:hAnsi="宋体"/>
          <w:b/>
          <w:bCs/>
          <w:color w:val="auto"/>
          <w:szCs w:val="21"/>
          <w:highlight w:val="none"/>
        </w:rPr>
        <w:t>5分标预算金额：</w:t>
      </w:r>
      <w:r>
        <w:rPr>
          <w:rFonts w:hint="eastAsia" w:ascii="宋体" w:hAnsi="宋体"/>
          <w:b/>
          <w:bCs/>
          <w:color w:val="auto"/>
          <w:szCs w:val="21"/>
          <w:highlight w:val="none"/>
          <w:lang w:eastAsia="zh-CN"/>
        </w:rPr>
        <w:t>2980000.00</w:t>
      </w:r>
      <w:r>
        <w:rPr>
          <w:rFonts w:hint="eastAsia" w:ascii="宋体" w:hAnsi="宋体"/>
          <w:b/>
          <w:bCs/>
          <w:color w:val="auto"/>
          <w:szCs w:val="21"/>
          <w:highlight w:val="none"/>
        </w:rPr>
        <w:t>元，最高限价：</w:t>
      </w:r>
      <w:r>
        <w:rPr>
          <w:rFonts w:hint="eastAsia" w:ascii="宋体" w:hAnsi="宋体"/>
          <w:b/>
          <w:bCs/>
          <w:color w:val="auto"/>
          <w:szCs w:val="21"/>
          <w:highlight w:val="none"/>
          <w:lang w:eastAsia="zh-CN"/>
        </w:rPr>
        <w:t>2980000.00</w:t>
      </w:r>
      <w:r>
        <w:rPr>
          <w:rFonts w:hint="eastAsia" w:ascii="宋体" w:hAnsi="宋体"/>
          <w:b/>
          <w:bCs/>
          <w:color w:val="auto"/>
          <w:szCs w:val="21"/>
          <w:highlight w:val="none"/>
        </w:rPr>
        <w:t>元</w:t>
      </w:r>
    </w:p>
    <w:p>
      <w:pPr>
        <w:widowControl/>
        <w:spacing w:line="360" w:lineRule="auto"/>
        <w:jc w:val="left"/>
        <w:rPr>
          <w:rFonts w:hint="eastAsia" w:ascii="宋体" w:hAnsi="宋体"/>
          <w:b/>
          <w:bCs/>
          <w:color w:val="auto"/>
          <w:szCs w:val="21"/>
          <w:highlight w:val="none"/>
        </w:rPr>
      </w:pPr>
      <w:r>
        <w:rPr>
          <w:rFonts w:hint="eastAsia" w:ascii="宋体" w:hAnsi="宋体"/>
          <w:b/>
          <w:bCs/>
          <w:color w:val="auto"/>
          <w:szCs w:val="21"/>
          <w:highlight w:val="none"/>
          <w:lang w:val="en-US" w:eastAsia="zh-CN"/>
        </w:rPr>
        <w:t>5分标核心产品：“心脏彩色多普勒超声诊断仪”</w:t>
      </w:r>
    </w:p>
    <w:tbl>
      <w:tblPr>
        <w:tblStyle w:val="46"/>
        <w:tblW w:w="951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7"/>
        <w:gridCol w:w="709"/>
        <w:gridCol w:w="662"/>
        <w:gridCol w:w="67"/>
        <w:gridCol w:w="75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1" w:hRule="atLeast"/>
          <w:jc w:val="center"/>
        </w:trPr>
        <w:tc>
          <w:tcPr>
            <w:tcW w:w="567" w:type="dxa"/>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序号</w:t>
            </w:r>
          </w:p>
        </w:tc>
        <w:tc>
          <w:tcPr>
            <w:tcW w:w="709" w:type="dxa"/>
            <w:noWrap w:val="0"/>
            <w:vAlign w:val="center"/>
          </w:tcPr>
          <w:p>
            <w:pPr>
              <w:tabs>
                <w:tab w:val="left" w:pos="180"/>
                <w:tab w:val="left" w:pos="1620"/>
              </w:tabs>
              <w:spacing w:line="360" w:lineRule="auto"/>
              <w:jc w:val="center"/>
              <w:rPr>
                <w:rFonts w:hint="eastAsia" w:ascii="宋体" w:hAnsi="宋体" w:cs="Arial"/>
                <w:color w:val="auto"/>
                <w:szCs w:val="21"/>
                <w:highlight w:val="none"/>
              </w:rPr>
            </w:pPr>
            <w:r>
              <w:rPr>
                <w:rFonts w:hint="eastAsia" w:ascii="宋体" w:hAnsi="宋体"/>
                <w:b/>
                <w:bCs/>
                <w:color w:val="auto"/>
                <w:szCs w:val="21"/>
                <w:highlight w:val="none"/>
              </w:rPr>
              <w:t>标的名称</w:t>
            </w:r>
          </w:p>
        </w:tc>
        <w:tc>
          <w:tcPr>
            <w:tcW w:w="729" w:type="dxa"/>
            <w:gridSpan w:val="2"/>
            <w:noWrap w:val="0"/>
            <w:vAlign w:val="center"/>
          </w:tcPr>
          <w:p>
            <w:pPr>
              <w:tabs>
                <w:tab w:val="left" w:pos="180"/>
                <w:tab w:val="left" w:pos="1620"/>
              </w:tabs>
              <w:spacing w:line="360" w:lineRule="auto"/>
              <w:jc w:val="center"/>
              <w:rPr>
                <w:rFonts w:hint="eastAsia" w:ascii="宋体" w:hAnsi="宋体" w:cs="宋体"/>
                <w:color w:val="auto"/>
                <w:szCs w:val="21"/>
                <w:highlight w:val="none"/>
              </w:rPr>
            </w:pPr>
            <w:r>
              <w:rPr>
                <w:rFonts w:hint="eastAsia" w:ascii="宋体" w:hAnsi="宋体"/>
                <w:b/>
                <w:bCs/>
                <w:color w:val="auto"/>
                <w:szCs w:val="21"/>
                <w:highlight w:val="none"/>
              </w:rPr>
              <w:t>数量单位</w:t>
            </w:r>
          </w:p>
        </w:tc>
        <w:tc>
          <w:tcPr>
            <w:tcW w:w="7511" w:type="dxa"/>
            <w:noWrap w:val="0"/>
            <w:vAlign w:val="center"/>
          </w:tcPr>
          <w:p>
            <w:pPr>
              <w:tabs>
                <w:tab w:val="left" w:pos="180"/>
                <w:tab w:val="left" w:pos="1620"/>
              </w:tabs>
              <w:spacing w:line="360" w:lineRule="auto"/>
              <w:jc w:val="center"/>
              <w:rPr>
                <w:rFonts w:hint="eastAsia" w:ascii="宋体" w:hAnsi="宋体"/>
                <w:b/>
                <w:bCs/>
                <w:color w:val="auto"/>
                <w:szCs w:val="21"/>
                <w:highlight w:val="none"/>
              </w:rPr>
            </w:pPr>
            <w:r>
              <w:rPr>
                <w:rFonts w:hint="eastAsia" w:ascii="宋体" w:hAnsi="宋体"/>
                <w:b/>
                <w:bCs/>
                <w:color w:val="auto"/>
                <w:szCs w:val="21"/>
                <w:highlight w:val="none"/>
              </w:rPr>
              <w:t>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1" w:hRule="atLeast"/>
          <w:jc w:val="center"/>
        </w:trPr>
        <w:tc>
          <w:tcPr>
            <w:tcW w:w="567"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1</w:t>
            </w:r>
          </w:p>
        </w:tc>
        <w:tc>
          <w:tcPr>
            <w:tcW w:w="709" w:type="dxa"/>
            <w:noWrap w:val="0"/>
            <w:vAlign w:val="center"/>
          </w:tcPr>
          <w:p>
            <w:pPr>
              <w:snapToGrid w:val="0"/>
              <w:spacing w:line="360" w:lineRule="auto"/>
              <w:jc w:val="center"/>
              <w:rPr>
                <w:rFonts w:hint="eastAsia" w:ascii="宋体" w:hAnsi="宋体" w:cs="宋体"/>
                <w:color w:val="auto"/>
                <w:szCs w:val="21"/>
                <w:highlight w:val="none"/>
              </w:rPr>
            </w:pPr>
            <w:r>
              <w:rPr>
                <w:rFonts w:hint="eastAsia" w:ascii="宋体" w:hAnsi="宋体"/>
                <w:color w:val="auto"/>
                <w:szCs w:val="21"/>
                <w:highlight w:val="none"/>
              </w:rPr>
              <w:t>心脏彩色多普勒超声诊断仪</w:t>
            </w:r>
          </w:p>
        </w:tc>
        <w:tc>
          <w:tcPr>
            <w:tcW w:w="729" w:type="dxa"/>
            <w:gridSpan w:val="2"/>
            <w:noWrap w:val="0"/>
            <w:vAlign w:val="center"/>
          </w:tcPr>
          <w:p>
            <w:pPr>
              <w:pStyle w:val="89"/>
              <w:spacing w:line="360" w:lineRule="auto"/>
              <w:jc w:val="both"/>
              <w:rPr>
                <w:rFonts w:hint="eastAsia" w:ascii="宋体" w:hAnsi="宋体" w:cs="宋体"/>
                <w:color w:val="auto"/>
                <w:sz w:val="21"/>
                <w:szCs w:val="21"/>
                <w:highlight w:val="none"/>
              </w:rPr>
            </w:pPr>
            <w:r>
              <w:rPr>
                <w:rFonts w:hint="eastAsia" w:ascii="宋体" w:hAnsi="宋体" w:cs="宋体"/>
                <w:color w:val="auto"/>
                <w:sz w:val="21"/>
                <w:szCs w:val="21"/>
                <w:highlight w:val="none"/>
              </w:rPr>
              <w:t>1台</w:t>
            </w:r>
          </w:p>
        </w:tc>
        <w:tc>
          <w:tcPr>
            <w:tcW w:w="7511" w:type="dxa"/>
            <w:noWrap w:val="0"/>
            <w:vAlign w:val="center"/>
          </w:tcPr>
          <w:p>
            <w:pPr>
              <w:pStyle w:val="89"/>
              <w:numPr>
                <w:ilvl w:val="0"/>
                <w:numId w:val="0"/>
              </w:numPr>
              <w:spacing w:line="360" w:lineRule="auto"/>
              <w:jc w:val="left"/>
              <w:rPr>
                <w:rStyle w:val="134"/>
                <w:rFonts w:ascii="宋体" w:hAnsi="宋体" w:cs="宋体"/>
                <w:b/>
                <w:color w:val="auto"/>
                <w:sz w:val="21"/>
                <w:highlight w:val="none"/>
              </w:rPr>
            </w:pPr>
            <w:r>
              <w:rPr>
                <w:rStyle w:val="134"/>
                <w:rFonts w:hint="eastAsia" w:ascii="宋体" w:hAnsi="宋体" w:cs="宋体"/>
                <w:b/>
                <w:color w:val="auto"/>
                <w:sz w:val="21"/>
                <w:highlight w:val="none"/>
                <w:lang w:val="en-US"/>
              </w:rPr>
              <w:t>一、</w:t>
            </w:r>
            <w:r>
              <w:rPr>
                <w:rStyle w:val="134"/>
                <w:rFonts w:ascii="宋体" w:hAnsi="宋体" w:cs="宋体"/>
                <w:b/>
                <w:color w:val="auto"/>
                <w:sz w:val="21"/>
                <w:highlight w:val="none"/>
              </w:rPr>
              <w:t>主要技术规格及系统概述</w:t>
            </w:r>
          </w:p>
          <w:p>
            <w:pPr>
              <w:pStyle w:val="89"/>
              <w:numPr>
                <w:ilvl w:val="0"/>
                <w:numId w:val="0"/>
              </w:numPr>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1.</w:t>
            </w:r>
            <w:r>
              <w:rPr>
                <w:rFonts w:hint="eastAsia" w:ascii="宋体" w:hAnsi="宋体" w:eastAsia="宋体" w:cs="宋体"/>
                <w:b/>
                <w:bCs w:val="0"/>
                <w:color w:val="auto"/>
                <w:sz w:val="21"/>
                <w:szCs w:val="21"/>
                <w:highlight w:val="none"/>
              </w:rPr>
              <w:t>主机成像系统</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cs="宋体"/>
                <w:color w:val="auto"/>
                <w:szCs w:val="21"/>
                <w:highlight w:val="none"/>
              </w:rPr>
              <w:t>▲</w:t>
            </w:r>
            <w:r>
              <w:rPr>
                <w:rFonts w:hint="eastAsia" w:ascii="宋体" w:hAnsi="宋体" w:eastAsia="宋体" w:cs="宋体"/>
                <w:b w:val="0"/>
                <w:bCs/>
                <w:color w:val="auto"/>
                <w:sz w:val="21"/>
                <w:szCs w:val="21"/>
                <w:highlight w:val="none"/>
              </w:rPr>
              <w:t>1.1高分辨率液晶显示器≥21.5英寸</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分辨率≥1920×1080,无闪烁，不间断逐行扫描，可上下左右任意旋转，可前后折叠</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1.2 操作面板具备液晶触摸屏≥12英寸,可通过手指滑动触摸屏进行翻页，直接点击触摸屏即可选择需要调节的参数，操作面板可上下左右进行高度调整及旋转，最大旋转角度达720度</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1.3 集束精准发射技术</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1.4 脉冲优化处理技术</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1.5 海量并行处理技术</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1.6 自适应增益补偿技术</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1.7 数字化二维灰阶成像及M型显像单元；</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1.8 解剖M型技术,可360度任意旋转M型取样线角度方便准确的进行测量，支持所有探头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1.9 脉冲反向谐波成像单元；</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1.10 彩色多普勒成像技术；</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1.11 彩色多普勒能量图技术；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1.12 方向性能量图技术</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1.13 数字化频谱多普勒显示和分析单元 (包括 PW 、CW和 HPRF)；</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1.14 动态范围≥310dB</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cs="宋体"/>
                <w:color w:val="auto"/>
                <w:szCs w:val="21"/>
                <w:highlight w:val="none"/>
              </w:rPr>
              <w:t>▲</w:t>
            </w:r>
            <w:r>
              <w:rPr>
                <w:rFonts w:hint="eastAsia" w:ascii="宋体" w:hAnsi="宋体" w:eastAsia="宋体" w:cs="宋体"/>
                <w:b w:val="0"/>
                <w:bCs/>
                <w:color w:val="auto"/>
                <w:sz w:val="21"/>
                <w:szCs w:val="21"/>
                <w:highlight w:val="none"/>
              </w:rPr>
              <w:t>1.15 数字化通道≥7,000,000</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1.16 智能全程聚焦技术；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1.17 智能化一键图像优化技术；可自适应调整图像的增益等参数获取最佳图像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1.18空间复合成像技术，同时作用于发射和接收（作曲别针试验），支持所有凸阵、微凸阵和线阵成像探头</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1.19自适应核磁像素优化技术，改善边界显示，提高分辨率，减少伪像，支持所有成像探头，可分级调节≥5级</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1.20 内置 DICOM 3.0 标准输出接口；</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1.21内置一体化超声影像后处理系统；</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成像技术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cs="宋体"/>
                <w:color w:val="auto"/>
                <w:szCs w:val="21"/>
                <w:highlight w:val="none"/>
              </w:rPr>
              <w:t>▲</w:t>
            </w:r>
            <w:r>
              <w:rPr>
                <w:rFonts w:hint="eastAsia" w:ascii="宋体" w:hAnsi="宋体" w:eastAsia="宋体" w:cs="宋体"/>
                <w:b w:val="0"/>
                <w:bCs/>
                <w:color w:val="auto"/>
                <w:sz w:val="21"/>
                <w:szCs w:val="21"/>
                <w:highlight w:val="none"/>
              </w:rPr>
              <w:t>2.1具备全屏高清放大功能，放大后图像显示区域尺寸≥21.5英寸，显示比例≥16：9，分辨率≥1080p（1920x1080）</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2.2 超宽视野成像扫描技术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1）测量功能,电影回放功能</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2）线阵、凸阵探头具备</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3）结合成像技术如复合成像技术结合使用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2.3 超声声速自动校正技术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1)针对肥胖及困难病人</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2)可用于乳腺检查，并可调整级别</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3)专门的预置条件</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2.4 扩展成像技术：凸阵、微凸阵、线阵探头均具有此功能，且空间复合成像技术及斑点噪声抑制技术支持其扩展区域</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2.5 组织多普勒技术(TDI/或DTI)，具有彩色，谐波，PW， M型多种模式，并有在机应变及应变率定量分析工具</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cs="宋体"/>
                <w:color w:val="auto"/>
                <w:szCs w:val="21"/>
                <w:highlight w:val="none"/>
              </w:rPr>
              <w:t>▲</w:t>
            </w:r>
            <w:r>
              <w:rPr>
                <w:rFonts w:hint="eastAsia" w:ascii="宋体" w:hAnsi="宋体" w:eastAsia="宋体" w:cs="宋体"/>
                <w:b w:val="0"/>
                <w:bCs/>
                <w:color w:val="auto"/>
                <w:sz w:val="21"/>
                <w:szCs w:val="21"/>
                <w:highlight w:val="none"/>
              </w:rPr>
              <w:t>2.6术者模式，可实时双屏显示，主屏幕与触摸屏实时同步显示扫描图像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2.7具备智能多普勒血管检查技术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1)单键优化二维、多普勒图像质量</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2)单键自动调整取样框角度、位置、取样门位置、角度等</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3)具备血流自动追踪技术，可跟随探头的移动实时追踪血管位置，自动调整彩色图像（包括取样框角度、位置等），自动优化频谱测量以保证测量值的准确性</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2.8脑卒中疾病诊断相关技术</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2.8.</w:t>
            </w:r>
            <w:r>
              <w:rPr>
                <w:rFonts w:hint="eastAsia" w:ascii="宋体" w:hAnsi="宋体" w:eastAsia="宋体" w:cs="宋体"/>
                <w:b w:val="0"/>
                <w:bCs/>
                <w:color w:val="auto"/>
                <w:sz w:val="21"/>
                <w:szCs w:val="21"/>
                <w:highlight w:val="none"/>
              </w:rPr>
              <w:t>1可自动记录颈总动脉和颈内动脉的近端、中端、远端的血流速度测量结果</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2.8.</w:t>
            </w:r>
            <w:r>
              <w:rPr>
                <w:rFonts w:hint="eastAsia" w:ascii="宋体" w:hAnsi="宋体" w:eastAsia="宋体" w:cs="宋体"/>
                <w:b w:val="0"/>
                <w:bCs/>
                <w:color w:val="auto"/>
                <w:sz w:val="21"/>
                <w:szCs w:val="21"/>
                <w:highlight w:val="none"/>
              </w:rPr>
              <w:t>2自动得到颈总动脉和颈内动脉血流速度峰值</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2.8.</w:t>
            </w:r>
            <w:r>
              <w:rPr>
                <w:rFonts w:hint="eastAsia" w:ascii="宋体" w:hAnsi="宋体" w:eastAsia="宋体" w:cs="宋体"/>
                <w:b w:val="0"/>
                <w:bCs/>
                <w:color w:val="auto"/>
                <w:sz w:val="21"/>
                <w:szCs w:val="21"/>
                <w:highlight w:val="none"/>
              </w:rPr>
              <w:t>3计算出颈内动脉和颈总动脉的血流速度峰值速度比</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3.</w:t>
            </w:r>
            <w:r>
              <w:rPr>
                <w:rFonts w:hint="eastAsia" w:ascii="宋体" w:hAnsi="宋体" w:eastAsia="宋体" w:cs="宋体"/>
                <w:b/>
                <w:bCs w:val="0"/>
                <w:color w:val="auto"/>
                <w:sz w:val="21"/>
                <w:szCs w:val="21"/>
                <w:highlight w:val="none"/>
              </w:rPr>
              <w:t>测量和分析：(B型、M型、D型、彩色模式)</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3.1</w:t>
            </w:r>
            <w:r>
              <w:rPr>
                <w:rFonts w:hint="eastAsia" w:ascii="宋体" w:hAnsi="宋体" w:eastAsia="宋体" w:cs="宋体"/>
                <w:b w:val="0"/>
                <w:bCs/>
                <w:color w:val="auto"/>
                <w:sz w:val="21"/>
                <w:szCs w:val="21"/>
                <w:highlight w:val="none"/>
              </w:rPr>
              <w:t>一般测量：距离、面积、周长等；</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3.2</w:t>
            </w:r>
            <w:r>
              <w:rPr>
                <w:rFonts w:hint="eastAsia" w:ascii="宋体" w:hAnsi="宋体" w:eastAsia="宋体" w:cs="宋体"/>
                <w:b w:val="0"/>
                <w:bCs/>
                <w:color w:val="auto"/>
                <w:sz w:val="21"/>
                <w:szCs w:val="21"/>
                <w:highlight w:val="none"/>
              </w:rPr>
              <w:t>产科测量：包括全面的产科径线测量、NT测量、单/双胎儿孕龄及生长曲线、羊水指数、新生儿髋关节角度等；</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3.3</w:t>
            </w:r>
            <w:r>
              <w:rPr>
                <w:rFonts w:hint="eastAsia" w:ascii="宋体" w:hAnsi="宋体" w:eastAsia="宋体" w:cs="宋体"/>
                <w:b w:val="0"/>
                <w:bCs/>
                <w:color w:val="auto"/>
                <w:sz w:val="21"/>
                <w:szCs w:val="21"/>
                <w:highlight w:val="none"/>
              </w:rPr>
              <w:t>外周血管测量和计算功能；</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3.4</w:t>
            </w:r>
            <w:r>
              <w:rPr>
                <w:rFonts w:hint="eastAsia" w:ascii="宋体" w:hAnsi="宋体" w:eastAsia="宋体" w:cs="宋体"/>
                <w:b w:val="0"/>
                <w:bCs/>
                <w:color w:val="auto"/>
                <w:sz w:val="21"/>
                <w:szCs w:val="21"/>
                <w:highlight w:val="none"/>
              </w:rPr>
              <w:t>多普勒血流测量与分析 (含自动多普勒频谱包络计算)</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 xml:space="preserve"> </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3.5</w:t>
            </w:r>
            <w:r>
              <w:rPr>
                <w:rFonts w:hint="eastAsia" w:ascii="宋体" w:hAnsi="宋体" w:eastAsia="宋体" w:cs="宋体"/>
                <w:b w:val="0"/>
                <w:bCs/>
                <w:color w:val="auto"/>
                <w:sz w:val="21"/>
                <w:szCs w:val="21"/>
                <w:highlight w:val="none"/>
              </w:rPr>
              <w:t>心脏功能测量；</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rPr>
              <w:t>4</w:t>
            </w:r>
            <w:r>
              <w:rPr>
                <w:rFonts w:hint="eastAsia" w:ascii="宋体" w:hAnsi="宋体" w:eastAsia="宋体" w:cs="宋体"/>
                <w:b/>
                <w:bCs w:val="0"/>
                <w:color w:val="auto"/>
                <w:sz w:val="21"/>
                <w:szCs w:val="21"/>
                <w:highlight w:val="none"/>
                <w:lang w:eastAsia="zh-CN"/>
              </w:rPr>
              <w:t>.</w:t>
            </w:r>
            <w:r>
              <w:rPr>
                <w:rFonts w:hint="eastAsia" w:ascii="宋体" w:hAnsi="宋体" w:eastAsia="宋体" w:cs="宋体"/>
                <w:b/>
                <w:bCs w:val="0"/>
                <w:color w:val="auto"/>
                <w:sz w:val="21"/>
                <w:szCs w:val="21"/>
                <w:highlight w:val="none"/>
              </w:rPr>
              <w:t>图像存储(电影)回放重显及病案管理单元</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4.1数字化捕捉、回放、存储静、动态图像，实时图像传输，实时JPEG解压缩，可进行参数编程调节；</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4.2硬盘≥500G，DVD／USB图像存储,电影回放重现单元2200帧；</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4.3具备主机硬盘图像数据存储；</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4.4 病案管理单元包括病人资料、报告、图像等的存储、修改、检索和打印等；</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rPr>
              <w:t>4.5可根据检查要求对工作站参数（存储、压缩、回放）进行编程调节；</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5.</w:t>
            </w:r>
            <w:r>
              <w:rPr>
                <w:rFonts w:hint="eastAsia" w:ascii="宋体" w:hAnsi="宋体" w:eastAsia="宋体" w:cs="宋体"/>
                <w:b/>
                <w:bCs w:val="0"/>
                <w:color w:val="auto"/>
                <w:sz w:val="21"/>
                <w:szCs w:val="21"/>
                <w:highlight w:val="none"/>
              </w:rPr>
              <w:t>输入/输出信号</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5.1输入：DICOM DATA</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cs="宋体"/>
                <w:color w:val="auto"/>
                <w:szCs w:val="21"/>
                <w:highlight w:val="none"/>
              </w:rPr>
              <w:t>▲</w:t>
            </w:r>
            <w:r>
              <w:rPr>
                <w:rFonts w:hint="eastAsia" w:ascii="宋体" w:hAnsi="宋体" w:eastAsia="宋体" w:cs="宋体"/>
                <w:b w:val="0"/>
                <w:bCs/>
                <w:color w:val="auto"/>
                <w:sz w:val="21"/>
                <w:szCs w:val="21"/>
                <w:highlight w:val="none"/>
              </w:rPr>
              <w:t>5.2 输出：S-视频、DP高清数字化输出</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6</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连通性：医学数字图像和通信 DICOM 3.0 版接口部件</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二</w:t>
            </w:r>
            <w:r>
              <w:rPr>
                <w:rFonts w:hint="eastAsia" w:ascii="宋体" w:hAnsi="宋体" w:eastAsia="宋体" w:cs="宋体"/>
                <w:b/>
                <w:bCs w:val="0"/>
                <w:color w:val="auto"/>
                <w:sz w:val="21"/>
                <w:szCs w:val="21"/>
                <w:highlight w:val="none"/>
              </w:rPr>
              <w:t>、系统技术参数及要求</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.1 系统通用功能</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.1.1 HD MAX WLED高分辨率液晶显示器≥21.5寸, 分辨率1920×1080，无闪烁，不间断逐行扫描，可上下左右任意旋转，可前后折叠</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.1.2 操作面板具备液晶触摸屏≥12英寸,可通过手指滑动触摸屏进行翻页，直接点击触摸屏即可选择需要调节的参数，操作面板可上下左右进行高度调整及旋转，最大旋转角度达720度</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.1.3 探头接口选择：≥ 4个，微型非针式，并激活可互换通用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.1.4 预设条件: 针对不同的检查脏器,预置最佳化图像的检查条件,减少操作时的调节,及常用所需的外部调节及组合调节</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.1.5 安全性能：符合国家医疗设备安全质量要求；</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.2 探头规格</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.2.1 频率：超宽频带探头，最高频率≥12MHz, 从1 MHz 到12 MHz</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.2.2 二维、彩色多普勒均可独立变频；</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.2.3 类型：电子扇扫、线阵、凸阵 、相控阵</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cs="宋体"/>
                <w:color w:val="auto"/>
                <w:szCs w:val="21"/>
                <w:highlight w:val="none"/>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.2.4 单晶体探头≥2把，具有腹部、心脏全面单晶体探头支持</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.2.5 腹部凸阵探头（1.0-5.0MHz）</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小器官/血管线阵探头（3.0-12.0MHz）</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心脏相控阵探头（1.0-5.0MHz）</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小儿心脏探头（3.0-8.0MHz）</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.2.6 扫描深度≥38cm</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.2.7 B/D 兼用：</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电子线阵：B/PWD</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电子凸阵：B/PWD</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电子微凸阵：B/PWD</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电子矩阵：B/PWD</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电子相控阵：B/PWD、 B/CWD</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.2.8 穿刺导向：探头可配穿刺导向装置；</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.3 二维显像主要参数</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.3.1 成像速度</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相控阵探头，85°角,18CM深度时,帧速度≥58帧/秒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凸阵探头, 85°角,18CM深度时,帧速度≥45帧/秒</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扫描线：每帧线密度≥320超声线</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cs="宋体"/>
                <w:color w:val="auto"/>
                <w:szCs w:val="21"/>
                <w:highlight w:val="none"/>
              </w:rPr>
              <w:t>▲</w:t>
            </w: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 xml:space="preserve">.3.2 增益调节：TGC增益补偿≥8 段，LGC侧向增益补偿≥6段（触摸屏上可视可调），B/M 可独立调节； </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.3.3 高分辨率放大：放大时增加信息量，提高分辨率及帧率；</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.3.4 声束聚焦：发射及接收全程连续聚焦</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.3.5 接收方式：独立接收和发射通道数, 多倍信号并行处理；</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.4 频谱多普勒</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.4.1 显示模式：脉冲多普勒 (PWD)、高脉冲重复频率 (HPRF)、连续波多普勒（CW）；</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.4.2 发射频率</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电子相控阵</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PWD,CWD1.6-1.8MHz</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电子凸阵</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PWD:2.0-2.2MHz</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rPr>
              <w:t>电子线阵</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PWD:5.75-7.0MHz</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.4.3显示方式：B/D、M/D、D、B/CDV、B/CPA、B/CDV/PW；B/CPA/PW；B/CDV/CW；</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.4.4最大测量速度：PWD正或反向血流速度：≥10.0 m/s（0度夹角）；CWD</w:t>
            </w:r>
            <w:r>
              <w:rPr>
                <w:rFonts w:hint="eastAsia" w:ascii="宋体" w:hAnsi="宋体" w:eastAsia="宋体" w:cs="宋体"/>
                <w:b w:val="0"/>
                <w:bCs/>
                <w:color w:val="auto"/>
                <w:sz w:val="21"/>
                <w:szCs w:val="21"/>
                <w:highlight w:val="none"/>
                <w:lang w:eastAsia="zh-CN"/>
              </w:rPr>
              <w:t>：</w:t>
            </w:r>
            <w:r>
              <w:rPr>
                <w:rFonts w:hint="eastAsia" w:ascii="宋体" w:hAnsi="宋体" w:eastAsia="宋体" w:cs="宋体"/>
                <w:b w:val="0"/>
                <w:bCs/>
                <w:color w:val="auto"/>
                <w:sz w:val="21"/>
                <w:szCs w:val="21"/>
                <w:highlight w:val="none"/>
              </w:rPr>
              <w:t>血流速度28.0m/s</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.4.5 最低测量速度：≤ 0.25mm/s (非噪音信号)；</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.4.6 Doppler及M型电影回放：45秒；</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.4.7滤波器：高通滤波或低通滤波两种，分级选择；</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.4.8 取样宽度及位置范围：宽度 0.7mm至20mm多级可调；</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.4.9 零位移动：8级；</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.4.10显示控制：反转显示 (上/下)、零移位、B-刷新、D 扩展、B/D 扩展，局放及移位；</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.4.11 实时自动包络频谱并完成频谱测量计算</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.5 彩色多普勒</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.5.1 显示方式：速度图 (CDV)、能量图 (CPA)、方向性能量图（DCPA）</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.5.2 彩色增强功能:彩色多普勒能量图(CDE/CPI);组织多普勒(TDI)</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.5.3 具有双同步</w:t>
            </w:r>
            <w:r>
              <w:rPr>
                <w:rFonts w:hint="eastAsia" w:ascii="宋体" w:hAnsi="宋体" w:eastAsia="宋体" w:cs="宋体"/>
                <w:b w:val="0"/>
                <w:bCs/>
                <w:color w:val="auto"/>
                <w:sz w:val="21"/>
                <w:szCs w:val="21"/>
                <w:highlight w:val="none"/>
                <w:lang w:val="en-US" w:eastAsia="zh-CN"/>
              </w:rPr>
              <w:t>/</w:t>
            </w:r>
            <w:r>
              <w:rPr>
                <w:rFonts w:hint="eastAsia" w:ascii="宋体" w:hAnsi="宋体" w:eastAsia="宋体" w:cs="宋体"/>
                <w:b w:val="0"/>
                <w:bCs/>
                <w:color w:val="auto"/>
                <w:sz w:val="21"/>
                <w:szCs w:val="21"/>
                <w:highlight w:val="none"/>
              </w:rPr>
              <w:t>三同步显示(B/D/CDV)</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.5.4 彩色显示速度：最低平均血流显示速度≤5mm/s（非噪声信号）</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.5.5 显示控制：零位移动、黑白与彩色比较、彩色对比</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.5.6 显示位置调整：线阵扫描感兴趣的图像范围：-20°～ +20°；</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.6 超声功率输出调节</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.6.1 B/M、PWD、COLOR DOPPLER</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.6.2 输出功率选择分级可调</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bCs w:val="0"/>
                <w:color w:val="auto"/>
                <w:sz w:val="21"/>
                <w:szCs w:val="21"/>
                <w:highlight w:val="none"/>
              </w:rPr>
            </w:pPr>
            <w:r>
              <w:rPr>
                <w:rFonts w:hint="eastAsia" w:ascii="宋体" w:hAnsi="宋体" w:eastAsia="宋体" w:cs="宋体"/>
                <w:b/>
                <w:bCs w:val="0"/>
                <w:color w:val="auto"/>
                <w:sz w:val="21"/>
                <w:szCs w:val="21"/>
                <w:highlight w:val="none"/>
                <w:lang w:val="en-US" w:eastAsia="zh-CN"/>
              </w:rPr>
              <w:t>2</w:t>
            </w:r>
            <w:r>
              <w:rPr>
                <w:rFonts w:hint="eastAsia" w:ascii="宋体" w:hAnsi="宋体" w:eastAsia="宋体" w:cs="宋体"/>
                <w:b/>
                <w:bCs w:val="0"/>
                <w:color w:val="auto"/>
                <w:sz w:val="21"/>
                <w:szCs w:val="21"/>
                <w:highlight w:val="none"/>
              </w:rPr>
              <w:t>.7 记录装置</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.7.1内置一体化超声影像后处理系统：数字化储存静态及动态图像，动态图像及静态图像以AVI、BMP或JPEG等PC通用格式直接储存</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.7.2 主机硬盘容量≥500G</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.7.3 DVD-RW 或USB图像存储</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eastAsia="宋体" w:cs="宋体"/>
                <w:b w:val="0"/>
                <w:bCs/>
                <w:color w:val="auto"/>
                <w:sz w:val="21"/>
                <w:szCs w:val="21"/>
                <w:highlight w:val="none"/>
                <w:lang w:eastAsia="zh-CN"/>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.7.4 USB接口≥4个，用于图像传输</w:t>
            </w:r>
            <w:r>
              <w:rPr>
                <w:rFonts w:hint="eastAsia" w:ascii="宋体" w:hAnsi="宋体" w:eastAsia="宋体" w:cs="宋体"/>
                <w:b w:val="0"/>
                <w:bCs/>
                <w:color w:val="auto"/>
                <w:sz w:val="21"/>
                <w:szCs w:val="21"/>
                <w:highlight w:val="none"/>
                <w:lang w:eastAsia="zh-CN"/>
              </w:rPr>
              <w:t>；</w:t>
            </w:r>
          </w:p>
          <w:p>
            <w:pPr>
              <w:pStyle w:val="89"/>
              <w:spacing w:line="360" w:lineRule="auto"/>
              <w:jc w:val="left"/>
              <w:rPr>
                <w:rFonts w:hint="eastAsia" w:ascii="宋体" w:hAnsi="宋体" w:cs="宋体"/>
                <w:b/>
                <w:bCs w:val="0"/>
                <w:color w:val="auto"/>
                <w:sz w:val="21"/>
                <w:szCs w:val="21"/>
                <w:highlight w:val="none"/>
              </w:rPr>
            </w:pPr>
            <w:r>
              <w:rPr>
                <w:rFonts w:hint="eastAsia" w:ascii="宋体" w:hAnsi="宋体" w:eastAsia="宋体" w:cs="宋体"/>
                <w:b w:val="0"/>
                <w:bCs/>
                <w:color w:val="auto"/>
                <w:sz w:val="21"/>
                <w:szCs w:val="21"/>
                <w:highlight w:val="none"/>
                <w:lang w:val="en-US" w:eastAsia="zh-CN"/>
              </w:rPr>
              <w:t>2</w:t>
            </w:r>
            <w:r>
              <w:rPr>
                <w:rFonts w:hint="eastAsia" w:ascii="宋体" w:hAnsi="宋体" w:eastAsia="宋体" w:cs="宋体"/>
                <w:b w:val="0"/>
                <w:bCs/>
                <w:color w:val="auto"/>
                <w:sz w:val="21"/>
                <w:szCs w:val="21"/>
                <w:highlight w:val="none"/>
              </w:rPr>
              <w:t>.8 技术手册：中文操作手册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▲一、</w:t>
            </w:r>
            <w:r>
              <w:rPr>
                <w:rFonts w:hint="eastAsia" w:ascii="宋体" w:hAnsi="宋体" w:cs="宋体"/>
                <w:b/>
                <w:color w:val="auto"/>
                <w:szCs w:val="21"/>
                <w:highlight w:val="none"/>
              </w:rPr>
              <w:t>商务要求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交付时间和地点</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ascii="宋体" w:hAnsi="宋体" w:cs="宋体"/>
                <w:color w:val="auto"/>
                <w:szCs w:val="21"/>
                <w:highlight w:val="none"/>
              </w:rPr>
              <w:t>1.交付时间：</w:t>
            </w:r>
            <w:r>
              <w:rPr>
                <w:rFonts w:hint="eastAsia" w:ascii="宋体" w:hAnsi="宋体" w:cs="宋体"/>
                <w:color w:val="auto"/>
                <w:szCs w:val="21"/>
                <w:highlight w:val="none"/>
                <w:lang w:eastAsia="zh-CN"/>
              </w:rPr>
              <w:t>自合同签订之日起60日内安装调试完毕并交付使用</w:t>
            </w:r>
            <w:r>
              <w:rPr>
                <w:rFonts w:hint="eastAsia" w:ascii="宋体" w:hAnsi="宋体" w:cs="宋体"/>
                <w:bCs/>
                <w:color w:val="auto"/>
                <w:szCs w:val="21"/>
                <w:highlight w:val="none"/>
              </w:rPr>
              <w:t>。</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highlight w:val="none"/>
              </w:rPr>
            </w:pPr>
            <w:r>
              <w:rPr>
                <w:rFonts w:hint="eastAsia" w:ascii="宋体" w:hAnsi="宋体" w:cs="宋体"/>
                <w:color w:val="auto"/>
                <w:sz w:val="21"/>
                <w:szCs w:val="21"/>
                <w:highlight w:val="none"/>
              </w:rPr>
              <w:t>2.交付地点：</w:t>
            </w:r>
            <w:r>
              <w:rPr>
                <w:rFonts w:hint="eastAsia" w:ascii="宋体" w:hAnsi="宋体" w:cs="宋体"/>
                <w:color w:val="auto"/>
                <w:sz w:val="21"/>
                <w:szCs w:val="21"/>
                <w:highlight w:val="none"/>
                <w:lang w:eastAsia="zh-CN"/>
              </w:rPr>
              <w:t>广西壮族自治区桂东人民医院指定地点</w:t>
            </w:r>
            <w:r>
              <w:rPr>
                <w:rFonts w:hint="eastAsia" w:ascii="宋体" w:hAnsi="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合同签订时间</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15"/>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自中标通知书发出之日起</w:t>
            </w:r>
            <w:r>
              <w:rPr>
                <w:rFonts w:hint="eastAsia" w:ascii="宋体" w:hAnsi="宋体" w:cs="宋体"/>
                <w:color w:val="auto"/>
                <w:kern w:val="0"/>
                <w:szCs w:val="21"/>
                <w:highlight w:val="none"/>
                <w:u w:val="single"/>
                <w:lang w:val="en-US" w:eastAsia="zh-CN"/>
              </w:rPr>
              <w:t>15</w:t>
            </w:r>
            <w:r>
              <w:rPr>
                <w:rFonts w:hint="eastAsia" w:ascii="宋体" w:hAnsi="宋体" w:cs="宋体"/>
                <w:color w:val="auto"/>
                <w:kern w:val="0"/>
                <w:szCs w:val="21"/>
                <w:highlight w:val="none"/>
              </w:rPr>
              <w:t>日内签订采购合同。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付款方式</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cs="宋体"/>
                <w:color w:val="auto"/>
                <w:szCs w:val="21"/>
                <w:highlight w:val="none"/>
                <w:lang w:eastAsia="zh-CN"/>
              </w:rPr>
            </w:pPr>
            <w:r>
              <w:rPr>
                <w:rFonts w:hint="eastAsia" w:ascii="宋体" w:hAnsi="宋体" w:cs="宋体"/>
                <w:color w:val="auto"/>
                <w:szCs w:val="21"/>
                <w:highlight w:val="none"/>
                <w:lang w:eastAsia="zh-CN"/>
              </w:rPr>
              <w:t>签订合同后，全部货物到达指定地点、安装调试并验收合格后，凭双方签署验收合格证，采购人按中标合同总额分三期支付完：（1）第一期：六个月内支付合同总金额的 60%；（2）第二期：第 18 个月后支付合同总金额的 20%；（3）第三期：第 24 个月后支付合同总金额的 20%；（4）以上均不计利息，每期中标人均须开出对应额度的发票，采购人收到发票后30日内支付。</w:t>
            </w:r>
          </w:p>
          <w:p>
            <w:pPr>
              <w:keepNext w:val="0"/>
              <w:keepLines w:val="0"/>
              <w:pageBreakBefore w:val="0"/>
              <w:widowControl/>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eastAsia="zh-CN"/>
              </w:rPr>
              <w:t>注：如中标人为中小企业，付款方式为：（1）第一期：合同签订后10个工作日内，采购人支付合同总金额30%的预付款；（2）第二期：履约验收后六个月内支付合同总金额的30%；（3）：第三期：第 18 个月后支付合同总金额的 20%（4）第四期：第 24 个月后支付合同总金额的 20%；（5）以上均不计利息，预付款后每期中标人均须开出对应额度的发票，采购人收到发票后30日内支付。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项目产品基本</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
                <w:color w:val="auto"/>
                <w:szCs w:val="21"/>
                <w:highlight w:val="none"/>
              </w:rPr>
            </w:pPr>
            <w:r>
              <w:rPr>
                <w:rFonts w:hint="eastAsia" w:ascii="宋体" w:hAnsi="宋体" w:cs="宋体"/>
                <w:color w:val="auto"/>
                <w:szCs w:val="21"/>
                <w:highlight w:val="none"/>
              </w:rPr>
              <w:t>要求</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1.以上产品必须是具备合法资质的制造商生产的全新正品，并满足招标文件的要求，若产品在运输或安装过程中损坏或擦伤须无偿调换相同产品。</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2.投标人所投产品、辅材及生产工艺符合国家相关规范。</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3.投标人应保证所提供的货物或其任何一部分均不会侵犯任何第三方的专利权、商标权等，如在使用过程中出现的一切经济和法律责任均由投标人负责。</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rPr>
              <w:t>4.</w:t>
            </w:r>
            <w:r>
              <w:rPr>
                <w:rFonts w:hint="eastAsia"/>
                <w:color w:val="auto"/>
                <w:highlight w:val="none"/>
                <w:lang w:eastAsia="zh-CN"/>
              </w:rPr>
              <w:t>投标报价是履行合同的最终价格，包括投标货物（包括备品备件、专用工具等）的价格（包括已在中国境内的进口货物完税后的仓库交货价、展室交货价或者货架交货价），投标货物运输（含保险）、安装（如有）、调试、检验、技术服务、培训和招标文件要求提供的所有伴随服务、工程等费用和税费</w:t>
            </w:r>
            <w:r>
              <w:rPr>
                <w:rFonts w:hint="eastAsia"/>
                <w:color w:val="auto"/>
                <w:highlight w:val="none"/>
              </w:rPr>
              <w:t>。</w:t>
            </w:r>
          </w:p>
          <w:p>
            <w:pPr>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rPr>
            </w:pPr>
            <w:r>
              <w:rPr>
                <w:rFonts w:hint="eastAsia"/>
                <w:color w:val="auto"/>
                <w:highlight w:val="none"/>
                <w:lang w:val="en-US" w:eastAsia="zh-CN"/>
              </w:rPr>
              <w:t>5</w:t>
            </w:r>
            <w:r>
              <w:rPr>
                <w:rFonts w:hint="eastAsia"/>
                <w:color w:val="auto"/>
                <w:highlight w:val="none"/>
              </w:rPr>
              <w:t>.投标人所投产品必须提供产品“三包”服务；定期安排相关人员回访进行质量跟踪；保证提供临床应用和售后技术服务支持方式；保修期后提供终身维修服务及配件供应；其他售后服务按厂家承诺实行。</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bCs/>
                <w:color w:val="auto"/>
                <w:szCs w:val="21"/>
                <w:highlight w:val="none"/>
              </w:rPr>
            </w:pPr>
            <w:r>
              <w:rPr>
                <w:rFonts w:hint="eastAsia" w:cs="Times New Roman"/>
                <w:color w:val="auto"/>
                <w:kern w:val="2"/>
                <w:sz w:val="21"/>
                <w:szCs w:val="24"/>
                <w:highlight w:val="none"/>
                <w:lang w:val="en-US" w:eastAsia="zh-CN" w:bidi="ar-SA"/>
              </w:rPr>
              <w:t>6.</w:t>
            </w:r>
            <w:r>
              <w:rPr>
                <w:rFonts w:hint="eastAsia" w:ascii="Times New Roman" w:hAnsi="Times New Roman" w:eastAsia="宋体" w:cs="Times New Roman"/>
                <w:b w:val="0"/>
                <w:bCs w:val="0"/>
                <w:color w:val="auto"/>
                <w:kern w:val="2"/>
                <w:sz w:val="21"/>
                <w:szCs w:val="24"/>
                <w:highlight w:val="none"/>
                <w:lang w:val="en-US" w:eastAsia="zh-CN" w:bidi="ar-SA"/>
              </w:rPr>
              <w:t>中标人</w:t>
            </w:r>
            <w:r>
              <w:rPr>
                <w:rFonts w:hint="eastAsia" w:ascii="Times New Roman" w:hAnsi="Times New Roman" w:eastAsia="宋体" w:cs="Times New Roman"/>
                <w:color w:val="auto"/>
                <w:kern w:val="2"/>
                <w:sz w:val="21"/>
                <w:szCs w:val="24"/>
                <w:highlight w:val="none"/>
                <w:lang w:val="en-US" w:eastAsia="zh-CN" w:bidi="ar-SA"/>
              </w:rPr>
              <w:t>需无条件负责按国家相关管理要求对设备进行计量检测，确保检测合格。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2005"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Cs w:val="21"/>
                <w:highlight w:val="none"/>
              </w:rPr>
            </w:pPr>
            <w:r>
              <w:rPr>
                <w:rFonts w:hint="eastAsia" w:ascii="宋体" w:hAnsi="宋体" w:cs="宋体"/>
                <w:color w:val="auto"/>
                <w:szCs w:val="21"/>
                <w:highlight w:val="none"/>
              </w:rPr>
              <w:t>售后服务</w:t>
            </w:r>
          </w:p>
        </w:tc>
        <w:tc>
          <w:tcPr>
            <w:tcW w:w="7511" w:type="dxa"/>
            <w:tcBorders>
              <w:top w:val="single" w:color="auto" w:sz="4" w:space="0"/>
              <w:left w:val="single" w:color="auto" w:sz="4" w:space="0"/>
              <w:bottom w:val="single" w:color="auto" w:sz="4" w:space="0"/>
              <w:right w:val="single" w:color="auto" w:sz="4" w:space="0"/>
            </w:tcBorders>
            <w:noWrap w:val="0"/>
            <w:vAlign w:val="center"/>
          </w:tcPr>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1.质保期：设备安装完毕通过验收投入使用之日起整机提供保修服务</w:t>
            </w:r>
            <w:r>
              <w:rPr>
                <w:rFonts w:hint="eastAsia" w:cs="Times New Roman"/>
                <w:color w:val="auto"/>
                <w:kern w:val="2"/>
                <w:sz w:val="21"/>
                <w:szCs w:val="24"/>
                <w:highlight w:val="none"/>
                <w:lang w:val="en-US" w:eastAsia="zh-CN" w:bidi="ar-SA"/>
              </w:rPr>
              <w:t>至少两年</w:t>
            </w:r>
            <w:r>
              <w:rPr>
                <w:rFonts w:hint="eastAsia" w:ascii="Times New Roman" w:hAnsi="Times New Roman" w:eastAsia="宋体" w:cs="Times New Roman"/>
                <w:color w:val="auto"/>
                <w:kern w:val="2"/>
                <w:sz w:val="21"/>
                <w:szCs w:val="24"/>
                <w:highlight w:val="none"/>
                <w:lang w:val="en-US" w:eastAsia="zh-CN" w:bidi="ar-SA"/>
              </w:rPr>
              <w:t>,质保期内所有由于质量问题导致的硬件产品故障以保修、人工及更换备件标准上门服务并提供终身维护。并按国家有关产品“三包”规定执行“三包”，质保期满前1个月内中标人应负责一次全面检查。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2.故障处理：中标人须设有24小时服务电话，质保期内，在使用过程中发现质量问题或故障时，接到维修通知后，2小时内响应，24小时内实施维修服务。一般问题应在48小时内解决，重大问题或其它无法迅速解决的问题应在一周内解决，所发生的一切费用由中标人负责。</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3.定期回访：在保修期内要求每季度至少回访一次，有问题做到及时处理。每半年到现场做一次设备运行状况安全检查。</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4.负责送货上门，安装调试（仪器到货后1周内到采购人处安装调试），负责培训1～2名操作人员至能完全独立操作及日常维护。</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ascii="Times New Roman" w:hAnsi="Times New Roman" w:eastAsia="宋体" w:cs="Times New Roman"/>
                <w:color w:val="auto"/>
                <w:kern w:val="2"/>
                <w:sz w:val="21"/>
                <w:szCs w:val="24"/>
                <w:highlight w:val="none"/>
                <w:lang w:val="en-US" w:eastAsia="zh-CN" w:bidi="ar-SA"/>
              </w:rPr>
            </w:pPr>
            <w:r>
              <w:rPr>
                <w:rFonts w:hint="eastAsia" w:ascii="Times New Roman" w:hAnsi="Times New Roman" w:eastAsia="宋体" w:cs="Times New Roman"/>
                <w:color w:val="auto"/>
                <w:kern w:val="2"/>
                <w:sz w:val="21"/>
                <w:szCs w:val="24"/>
                <w:highlight w:val="none"/>
                <w:lang w:val="en-US" w:eastAsia="zh-CN" w:bidi="ar-SA"/>
              </w:rPr>
              <w:t>5.投标人予以特别注意：如出现未能到期供货的情况，采购人有权终止合同的执行，所有的经济损失由中标人单方承担。</w:t>
            </w:r>
          </w:p>
          <w:p>
            <w:pPr>
              <w:pStyle w:val="91"/>
              <w:keepNext w:val="0"/>
              <w:keepLines w:val="0"/>
              <w:pageBreakBefore w:val="0"/>
              <w:kinsoku/>
              <w:wordWrap/>
              <w:overflowPunct/>
              <w:topLinePunct w:val="0"/>
              <w:autoSpaceDE/>
              <w:autoSpaceDN/>
              <w:bidi w:val="0"/>
              <w:adjustRightInd/>
              <w:snapToGrid/>
              <w:spacing w:line="440" w:lineRule="exact"/>
              <w:textAlignment w:val="auto"/>
              <w:rPr>
                <w:rFonts w:hint="eastAsia"/>
                <w:color w:val="auto"/>
                <w:highlight w:val="none"/>
                <w:lang w:val="en-US" w:eastAsia="zh-CN"/>
              </w:rPr>
            </w:pPr>
            <w:r>
              <w:rPr>
                <w:rFonts w:hint="eastAsia" w:ascii="Times New Roman" w:hAnsi="Times New Roman" w:eastAsia="宋体" w:cs="Times New Roman"/>
                <w:b/>
                <w:bCs/>
                <w:color w:val="auto"/>
                <w:kern w:val="2"/>
                <w:sz w:val="21"/>
                <w:szCs w:val="24"/>
                <w:highlight w:val="none"/>
                <w:lang w:val="en-US" w:eastAsia="zh-CN" w:bidi="ar-SA"/>
              </w:rPr>
              <w:t>6.投标文件中提供售后服务方案。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二</w:t>
            </w:r>
            <w:r>
              <w:rPr>
                <w:rFonts w:hint="eastAsia" w:ascii="宋体" w:hAnsi="宋体" w:cs="宋体"/>
                <w:b/>
                <w:color w:val="auto"/>
                <w:szCs w:val="21"/>
                <w:highlight w:val="none"/>
              </w:rPr>
              <w:t>、验收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rPr>
                <w:rFonts w:hint="eastAsia" w:ascii="宋体" w:hAnsi="宋体" w:cs="宋体"/>
                <w:b/>
                <w:color w:val="auto"/>
                <w:szCs w:val="21"/>
                <w:highlight w:val="none"/>
              </w:rPr>
            </w:pPr>
            <w:r>
              <w:rPr>
                <w:rFonts w:hint="eastAsia" w:ascii="宋体" w:hAnsi="宋体" w:cs="宋体"/>
                <w:b/>
                <w:color w:val="auto"/>
                <w:szCs w:val="21"/>
                <w:highlight w:val="none"/>
              </w:rPr>
              <w:t>（一）验收标准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如有国家相关标准、行业标准、地方标准或者其他标准、规范的，应执行相应的标准、规范。如具体采购需求与标准、规范不一致的，高于标准、规范的按具体采购需求执行，低于标准、规范的按标准、规范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80"/>
                <w:tab w:val="left" w:pos="1620"/>
              </w:tabs>
              <w:spacing w:line="360" w:lineRule="auto"/>
              <w:jc w:val="left"/>
              <w:rPr>
                <w:rFonts w:hint="eastAsia" w:ascii="宋体" w:hAnsi="宋体" w:cs="宋体"/>
                <w:b/>
                <w:color w:val="auto"/>
                <w:szCs w:val="21"/>
                <w:highlight w:val="none"/>
              </w:rPr>
            </w:pPr>
            <w:r>
              <w:rPr>
                <w:rFonts w:hint="eastAsia" w:ascii="宋体" w:hAnsi="宋体" w:cs="宋体"/>
                <w:b/>
                <w:color w:val="auto"/>
                <w:szCs w:val="21"/>
                <w:highlight w:val="none"/>
              </w:rPr>
              <w:t>（二）履约验收其他事项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采购人验收货物时，可以邀请参加本项目的其他供应商或者第三方机构参与验收，如发现提供的货物与投标文件响应的不相符，采购人将此情况上报政府采购管理监督部门。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9516" w:type="dxa"/>
            <w:gridSpan w:val="5"/>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b/>
                <w:color w:val="auto"/>
                <w:szCs w:val="21"/>
                <w:highlight w:val="none"/>
              </w:rPr>
            </w:pPr>
            <w:r>
              <w:rPr>
                <w:rFonts w:hint="eastAsia" w:ascii="宋体" w:hAnsi="宋体" w:cs="宋体"/>
                <w:b/>
                <w:color w:val="auto"/>
                <w:szCs w:val="21"/>
                <w:highlight w:val="none"/>
                <w:lang w:val="en-US" w:eastAsia="zh-CN"/>
              </w:rPr>
              <w:t>三</w:t>
            </w:r>
            <w:r>
              <w:rPr>
                <w:rFonts w:hint="eastAsia" w:ascii="宋体" w:hAnsi="宋体" w:cs="宋体"/>
                <w:b/>
                <w:color w:val="auto"/>
                <w:szCs w:val="21"/>
                <w:highlight w:val="none"/>
              </w:rPr>
              <w:t>、进口产品说明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938" w:type="dxa"/>
            <w:gridSpan w:val="3"/>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进口产品说明</w:t>
            </w:r>
          </w:p>
        </w:tc>
        <w:tc>
          <w:tcPr>
            <w:tcW w:w="7578" w:type="dxa"/>
            <w:gridSpan w:val="2"/>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本项目货物不接受进口产品（即通过中国海关报关验放进入中国境内且产自关境外的产品）参与投标，</w:t>
            </w:r>
            <w:r>
              <w:rPr>
                <w:rFonts w:hint="eastAsia" w:ascii="宋体" w:hAnsi="宋体" w:cs="宋体"/>
                <w:b/>
                <w:color w:val="auto"/>
                <w:szCs w:val="21"/>
                <w:highlight w:val="none"/>
              </w:rPr>
              <w:t>如有进口产品参与投标的作无效标处理</w:t>
            </w:r>
            <w:r>
              <w:rPr>
                <w:rFonts w:hint="eastAsia" w:ascii="宋体" w:hAnsi="宋体" w:cs="宋体"/>
                <w:color w:val="auto"/>
                <w:szCs w:val="21"/>
                <w:highlight w:val="none"/>
              </w:rPr>
              <w:t>。</w:t>
            </w:r>
          </w:p>
        </w:tc>
      </w:tr>
    </w:tbl>
    <w:p>
      <w:pPr>
        <w:spacing w:line="428" w:lineRule="exact"/>
        <w:ind w:left="119"/>
        <w:rPr>
          <w:rFonts w:ascii="Arial Unicode MS" w:hAnsi="Arial Unicode MS" w:eastAsia="Arial Unicode MS" w:cs="Arial Unicode MS"/>
          <w:color w:val="auto"/>
          <w:sz w:val="32"/>
          <w:szCs w:val="32"/>
          <w:highlight w:val="none"/>
        </w:rPr>
      </w:pPr>
      <w:r>
        <w:rPr>
          <w:rFonts w:hint="eastAsia" w:ascii="黑体" w:hAnsi="黑体" w:eastAsia="黑体" w:cs="黑体"/>
          <w:color w:val="auto"/>
          <w:sz w:val="32"/>
          <w:szCs w:val="32"/>
          <w:highlight w:val="none"/>
        </w:rPr>
        <w:br w:type="page"/>
      </w:r>
      <w:r>
        <w:rPr>
          <w:rFonts w:hint="eastAsia" w:ascii="黑体" w:hAnsi="黑体" w:eastAsia="黑体" w:cs="黑体"/>
          <w:color w:val="auto"/>
          <w:sz w:val="32"/>
          <w:szCs w:val="32"/>
          <w:highlight w:val="none"/>
        </w:rPr>
        <w:t>附件1：</w:t>
      </w:r>
    </w:p>
    <w:p>
      <w:pPr>
        <w:spacing w:before="7"/>
        <w:rPr>
          <w:rFonts w:hint="eastAsia" w:ascii="Arial Unicode MS" w:hAnsi="Arial Unicode MS" w:eastAsia="Arial Unicode MS" w:cs="Arial Unicode MS"/>
          <w:color w:val="auto"/>
          <w:sz w:val="17"/>
          <w:szCs w:val="17"/>
          <w:highlight w:val="none"/>
        </w:rPr>
      </w:pPr>
    </w:p>
    <w:p>
      <w:pPr>
        <w:spacing w:line="528" w:lineRule="exact"/>
        <w:ind w:left="1871"/>
        <w:rPr>
          <w:rFonts w:hint="eastAsia" w:ascii="Arial Unicode MS" w:hAnsi="Arial Unicode MS" w:eastAsia="Arial Unicode MS" w:cs="Arial Unicode MS"/>
          <w:color w:val="auto"/>
          <w:sz w:val="40"/>
          <w:szCs w:val="40"/>
          <w:highlight w:val="none"/>
        </w:rPr>
      </w:pPr>
      <w:r>
        <w:rPr>
          <w:rFonts w:hint="eastAsia" w:ascii="方正小标宋简体" w:hAnsi="方正小标宋简体" w:eastAsia="方正小标宋简体" w:cs="方正小标宋简体"/>
          <w:color w:val="auto"/>
          <w:sz w:val="44"/>
          <w:szCs w:val="44"/>
          <w:highlight w:val="none"/>
        </w:rPr>
        <w:t>节能产品政府采购品目清单</w:t>
      </w:r>
    </w:p>
    <w:tbl>
      <w:tblPr>
        <w:tblStyle w:val="4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22"/>
        <w:gridCol w:w="1496"/>
        <w:gridCol w:w="1373"/>
        <w:gridCol w:w="3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color w:val="auto"/>
                <w:szCs w:val="22"/>
                <w:highlight w:val="none"/>
              </w:rPr>
            </w:pPr>
            <w:r>
              <w:rPr>
                <w:rFonts w:hint="eastAsia" w:ascii="宋体" w:hAnsi="宋体" w:cs="宋体"/>
                <w:b/>
                <w:bCs/>
                <w:color w:val="auto"/>
                <w:w w:val="99"/>
                <w:highlight w:val="none"/>
              </w:rPr>
              <w:t>品目序号</w:t>
            </w:r>
          </w:p>
        </w:tc>
        <w:tc>
          <w:tcPr>
            <w:tcW w:w="4291"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color w:val="auto"/>
                <w:szCs w:val="22"/>
                <w:highlight w:val="none"/>
              </w:rPr>
            </w:pPr>
            <w:r>
              <w:rPr>
                <w:rFonts w:hint="eastAsia" w:ascii="宋体" w:hAnsi="宋体" w:cs="宋体"/>
                <w:b/>
                <w:bCs/>
                <w:color w:val="auto"/>
                <w:w w:val="99"/>
                <w:highlight w:val="none"/>
              </w:rPr>
              <w:t>名称</w:t>
            </w:r>
          </w:p>
        </w:tc>
        <w:tc>
          <w:tcPr>
            <w:tcW w:w="356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Calibri" w:hAnsi="Calibri"/>
                <w:color w:val="auto"/>
                <w:szCs w:val="22"/>
                <w:highlight w:val="none"/>
              </w:rPr>
            </w:pPr>
            <w:r>
              <w:rPr>
                <w:rFonts w:hint="eastAsia" w:ascii="宋体" w:hAnsi="宋体" w:cs="宋体"/>
                <w:b/>
                <w:bCs/>
                <w:color w:val="auto"/>
                <w:w w:val="99"/>
                <w:highlight w:val="none"/>
              </w:rPr>
              <w:t>依据的标准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w:t>
            </w:r>
          </w:p>
        </w:tc>
        <w:tc>
          <w:tcPr>
            <w:tcW w:w="1422"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s="仿宋_GB2312"/>
                <w:color w:val="auto"/>
                <w:szCs w:val="21"/>
                <w:highlight w:val="none"/>
              </w:rPr>
              <w:t>A02010100</w:t>
            </w:r>
            <w:r>
              <w:rPr>
                <w:rFonts w:hint="eastAsia" w:ascii="宋体" w:hAnsi="宋体" w:cs="宋体"/>
                <w:color w:val="auto"/>
                <w:w w:val="99"/>
                <w:szCs w:val="21"/>
                <w:highlight w:val="none"/>
              </w:rPr>
              <w:t>计算机</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93"/>
              <w:ind w:left="7" w:right="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w:t>
            </w:r>
            <w:r>
              <w:rPr>
                <w:rFonts w:hint="eastAsia" w:ascii="宋体" w:hAnsi="宋体" w:cs="仿宋_GB2312"/>
                <w:color w:val="auto"/>
                <w:kern w:val="2"/>
                <w:sz w:val="21"/>
                <w:szCs w:val="21"/>
                <w:highlight w:val="none"/>
              </w:rPr>
              <w:t>A02010105</w:t>
            </w:r>
            <w:r>
              <w:rPr>
                <w:rFonts w:hint="eastAsia" w:ascii="宋体" w:hAnsi="宋体" w:cs="宋体"/>
                <w:color w:val="auto"/>
                <w:w w:val="99"/>
                <w:kern w:val="2"/>
                <w:sz w:val="21"/>
                <w:szCs w:val="21"/>
                <w:highlight w:val="none"/>
              </w:rPr>
              <w:t>台式计算机</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93"/>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《微型计算机能效限定</w:t>
            </w:r>
            <w:r>
              <w:rPr>
                <w:rFonts w:hint="eastAsia" w:ascii="宋体" w:hAnsi="宋体" w:cs="宋体"/>
                <w:color w:val="auto"/>
                <w:spacing w:val="9"/>
                <w:w w:val="99"/>
                <w:kern w:val="2"/>
                <w:sz w:val="21"/>
                <w:szCs w:val="21"/>
                <w:highlight w:val="none"/>
                <w:lang w:eastAsia="zh-CN"/>
              </w:rPr>
              <w:t>值</w:t>
            </w:r>
            <w:r>
              <w:rPr>
                <w:rFonts w:hint="eastAsia" w:ascii="宋体" w:hAnsi="宋体" w:cs="宋体"/>
                <w:color w:val="auto"/>
                <w:spacing w:val="12"/>
                <w:w w:val="99"/>
                <w:kern w:val="2"/>
                <w:sz w:val="21"/>
                <w:szCs w:val="21"/>
                <w:highlight w:val="none"/>
                <w:lang w:eastAsia="zh-CN"/>
              </w:rPr>
              <w:t>及能</w:t>
            </w:r>
            <w:r>
              <w:rPr>
                <w:rFonts w:hint="eastAsia" w:ascii="宋体" w:hAnsi="宋体" w:cs="宋体"/>
                <w:color w:val="auto"/>
                <w:w w:val="99"/>
                <w:kern w:val="2"/>
                <w:sz w:val="21"/>
                <w:szCs w:val="21"/>
                <w:highlight w:val="none"/>
                <w:lang w:eastAsia="zh-CN"/>
              </w:rPr>
              <w:t>效等级》（</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28380</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44"/>
              <w:ind w:left="7" w:right="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w:t>
            </w:r>
            <w:r>
              <w:rPr>
                <w:rFonts w:hint="eastAsia" w:ascii="宋体" w:hAnsi="宋体" w:cs="仿宋_GB2312"/>
                <w:color w:val="auto"/>
                <w:kern w:val="2"/>
                <w:sz w:val="21"/>
                <w:szCs w:val="21"/>
                <w:highlight w:val="none"/>
              </w:rPr>
              <w:t>A02010108</w:t>
            </w:r>
            <w:r>
              <w:rPr>
                <w:rFonts w:hint="eastAsia" w:ascii="宋体" w:hAnsi="宋体" w:cs="宋体"/>
                <w:color w:val="auto"/>
                <w:w w:val="99"/>
                <w:kern w:val="2"/>
                <w:sz w:val="21"/>
                <w:szCs w:val="21"/>
                <w:highlight w:val="none"/>
              </w:rPr>
              <w:t>便携式计算机</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44"/>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《微型计算机能效限定</w:t>
            </w:r>
            <w:r>
              <w:rPr>
                <w:rFonts w:hint="eastAsia" w:ascii="宋体" w:hAnsi="宋体" w:cs="宋体"/>
                <w:color w:val="auto"/>
                <w:spacing w:val="9"/>
                <w:w w:val="99"/>
                <w:kern w:val="2"/>
                <w:sz w:val="21"/>
                <w:szCs w:val="21"/>
                <w:highlight w:val="none"/>
                <w:lang w:eastAsia="zh-CN"/>
              </w:rPr>
              <w:t>值</w:t>
            </w:r>
            <w:r>
              <w:rPr>
                <w:rFonts w:hint="eastAsia" w:ascii="宋体" w:hAnsi="宋体" w:cs="宋体"/>
                <w:color w:val="auto"/>
                <w:spacing w:val="12"/>
                <w:w w:val="99"/>
                <w:kern w:val="2"/>
                <w:sz w:val="21"/>
                <w:szCs w:val="21"/>
                <w:highlight w:val="none"/>
                <w:lang w:eastAsia="zh-CN"/>
              </w:rPr>
              <w:t>及能</w:t>
            </w:r>
            <w:r>
              <w:rPr>
                <w:rFonts w:hint="eastAsia" w:ascii="宋体" w:hAnsi="宋体" w:cs="宋体"/>
                <w:color w:val="auto"/>
                <w:w w:val="99"/>
                <w:kern w:val="2"/>
                <w:sz w:val="21"/>
                <w:szCs w:val="21"/>
                <w:highlight w:val="none"/>
                <w:lang w:eastAsia="zh-CN"/>
              </w:rPr>
              <w:t>效等级》（</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28380</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64"/>
              <w:ind w:left="7" w:right="5"/>
              <w:jc w:val="center"/>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w:t>
            </w:r>
            <w:r>
              <w:rPr>
                <w:rFonts w:hint="eastAsia" w:ascii="宋体" w:hAnsi="宋体" w:cs="仿宋_GB2312"/>
                <w:color w:val="auto"/>
                <w:kern w:val="2"/>
                <w:sz w:val="21"/>
                <w:szCs w:val="21"/>
                <w:highlight w:val="none"/>
                <w:lang w:eastAsia="zh-CN"/>
              </w:rPr>
              <w:t>A02010109平板式计算机</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64"/>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《微型计算机能效限定</w:t>
            </w:r>
            <w:r>
              <w:rPr>
                <w:rFonts w:hint="eastAsia" w:ascii="宋体" w:hAnsi="宋体" w:cs="宋体"/>
                <w:color w:val="auto"/>
                <w:spacing w:val="9"/>
                <w:w w:val="99"/>
                <w:kern w:val="2"/>
                <w:sz w:val="21"/>
                <w:szCs w:val="21"/>
                <w:highlight w:val="none"/>
                <w:lang w:eastAsia="zh-CN"/>
              </w:rPr>
              <w:t>值</w:t>
            </w:r>
            <w:r>
              <w:rPr>
                <w:rFonts w:hint="eastAsia" w:ascii="宋体" w:hAnsi="宋体" w:cs="宋体"/>
                <w:color w:val="auto"/>
                <w:spacing w:val="12"/>
                <w:w w:val="99"/>
                <w:kern w:val="2"/>
                <w:sz w:val="21"/>
                <w:szCs w:val="21"/>
                <w:highlight w:val="none"/>
                <w:lang w:eastAsia="zh-CN"/>
              </w:rPr>
              <w:t>及能</w:t>
            </w:r>
            <w:r>
              <w:rPr>
                <w:rFonts w:hint="eastAsia" w:ascii="宋体" w:hAnsi="宋体" w:cs="宋体"/>
                <w:color w:val="auto"/>
                <w:w w:val="99"/>
                <w:kern w:val="2"/>
                <w:sz w:val="21"/>
                <w:szCs w:val="21"/>
                <w:highlight w:val="none"/>
                <w:lang w:eastAsia="zh-CN"/>
              </w:rPr>
              <w:t>效等级》（</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28380</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2</w:t>
            </w:r>
          </w:p>
        </w:tc>
        <w:tc>
          <w:tcPr>
            <w:tcW w:w="14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ind w:left="7"/>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A02020000</w:t>
            </w:r>
            <w:r>
              <w:rPr>
                <w:rFonts w:hint="eastAsia" w:ascii="宋体" w:hAnsi="宋体" w:cs="宋体"/>
                <w:color w:val="auto"/>
                <w:w w:val="99"/>
                <w:kern w:val="2"/>
                <w:sz w:val="21"/>
                <w:szCs w:val="21"/>
                <w:highlight w:val="none"/>
              </w:rPr>
              <w:t>办公设备</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s="宋体"/>
                <w:color w:val="auto"/>
                <w:spacing w:val="1"/>
                <w:w w:val="99"/>
                <w:szCs w:val="21"/>
                <w:highlight w:val="none"/>
              </w:rPr>
              <w:t>A02021000</w:t>
            </w:r>
            <w:r>
              <w:rPr>
                <w:rFonts w:hint="eastAsia" w:ascii="宋体" w:hAnsi="宋体" w:cs="Arial"/>
                <w:color w:val="auto"/>
                <w:szCs w:val="21"/>
                <w:highlight w:val="none"/>
                <w:shd w:val="clear" w:color="auto" w:fill="FFFFFF"/>
              </w:rPr>
              <w:t>打印机</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A02021001 A3黑白打印机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《复印</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spacing w:val="-58"/>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打</w:t>
            </w:r>
            <w:r>
              <w:rPr>
                <w:rFonts w:hint="eastAsia" w:ascii="宋体" w:hAnsi="宋体" w:cs="宋体"/>
                <w:color w:val="auto"/>
                <w:w w:val="99"/>
                <w:kern w:val="2"/>
                <w:sz w:val="21"/>
                <w:szCs w:val="21"/>
                <w:highlight w:val="none"/>
                <w:lang w:eastAsia="zh-CN"/>
              </w:rPr>
              <w:t>印机</w:t>
            </w:r>
            <w:r>
              <w:rPr>
                <w:rFonts w:hint="eastAsia" w:ascii="宋体" w:hAnsi="宋体" w:cs="宋体"/>
                <w:color w:val="auto"/>
                <w:spacing w:val="2"/>
                <w:w w:val="99"/>
                <w:kern w:val="2"/>
                <w:sz w:val="21"/>
                <w:szCs w:val="21"/>
                <w:highlight w:val="none"/>
                <w:lang w:eastAsia="zh-CN"/>
              </w:rPr>
              <w:t>和</w:t>
            </w:r>
            <w:r>
              <w:rPr>
                <w:rFonts w:hint="eastAsia" w:ascii="宋体" w:hAnsi="宋体" w:cs="宋体"/>
                <w:color w:val="auto"/>
                <w:w w:val="99"/>
                <w:kern w:val="2"/>
                <w:sz w:val="21"/>
                <w:szCs w:val="21"/>
                <w:highlight w:val="none"/>
                <w:lang w:eastAsia="zh-CN"/>
              </w:rPr>
              <w:t>传真</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A02021002 A3彩色打印机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《复印</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spacing w:val="-58"/>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打</w:t>
            </w:r>
            <w:r>
              <w:rPr>
                <w:rFonts w:hint="eastAsia" w:ascii="宋体" w:hAnsi="宋体" w:cs="宋体"/>
                <w:color w:val="auto"/>
                <w:w w:val="99"/>
                <w:kern w:val="2"/>
                <w:sz w:val="21"/>
                <w:szCs w:val="21"/>
                <w:highlight w:val="none"/>
                <w:lang w:eastAsia="zh-CN"/>
              </w:rPr>
              <w:t>印机</w:t>
            </w:r>
            <w:r>
              <w:rPr>
                <w:rFonts w:hint="eastAsia" w:ascii="宋体" w:hAnsi="宋体" w:cs="宋体"/>
                <w:color w:val="auto"/>
                <w:spacing w:val="2"/>
                <w:w w:val="99"/>
                <w:kern w:val="2"/>
                <w:sz w:val="21"/>
                <w:szCs w:val="21"/>
                <w:highlight w:val="none"/>
                <w:lang w:eastAsia="zh-CN"/>
              </w:rPr>
              <w:t>和</w:t>
            </w:r>
            <w:r>
              <w:rPr>
                <w:rFonts w:hint="eastAsia" w:ascii="宋体" w:hAnsi="宋体" w:cs="宋体"/>
                <w:color w:val="auto"/>
                <w:w w:val="99"/>
                <w:kern w:val="2"/>
                <w:sz w:val="21"/>
                <w:szCs w:val="21"/>
                <w:highlight w:val="none"/>
                <w:lang w:eastAsia="zh-CN"/>
              </w:rPr>
              <w:t>传真</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A02021003 A4黑白打印机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《复印</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spacing w:val="-58"/>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打</w:t>
            </w:r>
            <w:r>
              <w:rPr>
                <w:rFonts w:hint="eastAsia" w:ascii="宋体" w:hAnsi="宋体" w:cs="宋体"/>
                <w:color w:val="auto"/>
                <w:w w:val="99"/>
                <w:kern w:val="2"/>
                <w:sz w:val="21"/>
                <w:szCs w:val="21"/>
                <w:highlight w:val="none"/>
                <w:lang w:eastAsia="zh-CN"/>
              </w:rPr>
              <w:t>印机</w:t>
            </w:r>
            <w:r>
              <w:rPr>
                <w:rFonts w:hint="eastAsia" w:ascii="宋体" w:hAnsi="宋体" w:cs="宋体"/>
                <w:color w:val="auto"/>
                <w:spacing w:val="2"/>
                <w:w w:val="99"/>
                <w:kern w:val="2"/>
                <w:sz w:val="21"/>
                <w:szCs w:val="21"/>
                <w:highlight w:val="none"/>
                <w:lang w:eastAsia="zh-CN"/>
              </w:rPr>
              <w:t>和</w:t>
            </w:r>
            <w:r>
              <w:rPr>
                <w:rFonts w:hint="eastAsia" w:ascii="宋体" w:hAnsi="宋体" w:cs="宋体"/>
                <w:color w:val="auto"/>
                <w:w w:val="99"/>
                <w:kern w:val="2"/>
                <w:sz w:val="21"/>
                <w:szCs w:val="21"/>
                <w:highlight w:val="none"/>
                <w:lang w:eastAsia="zh-CN"/>
              </w:rPr>
              <w:t>传真</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A02021004 A4彩色打印机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《复印</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spacing w:val="-58"/>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打</w:t>
            </w:r>
            <w:r>
              <w:rPr>
                <w:rFonts w:hint="eastAsia" w:ascii="宋体" w:hAnsi="宋体" w:cs="宋体"/>
                <w:color w:val="auto"/>
                <w:w w:val="99"/>
                <w:kern w:val="2"/>
                <w:sz w:val="21"/>
                <w:szCs w:val="21"/>
                <w:highlight w:val="none"/>
                <w:lang w:eastAsia="zh-CN"/>
              </w:rPr>
              <w:t>印机</w:t>
            </w:r>
            <w:r>
              <w:rPr>
                <w:rFonts w:hint="eastAsia" w:ascii="宋体" w:hAnsi="宋体" w:cs="宋体"/>
                <w:color w:val="auto"/>
                <w:spacing w:val="2"/>
                <w:w w:val="99"/>
                <w:kern w:val="2"/>
                <w:sz w:val="21"/>
                <w:szCs w:val="21"/>
                <w:highlight w:val="none"/>
                <w:lang w:eastAsia="zh-CN"/>
              </w:rPr>
              <w:t>和</w:t>
            </w:r>
            <w:r>
              <w:rPr>
                <w:rFonts w:hint="eastAsia" w:ascii="宋体" w:hAnsi="宋体" w:cs="宋体"/>
                <w:color w:val="auto"/>
                <w:w w:val="99"/>
                <w:kern w:val="2"/>
                <w:sz w:val="21"/>
                <w:szCs w:val="21"/>
                <w:highlight w:val="none"/>
                <w:lang w:eastAsia="zh-CN"/>
              </w:rPr>
              <w:t>传真</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A02021005 3D打印机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《复印</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spacing w:val="-58"/>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打</w:t>
            </w:r>
            <w:r>
              <w:rPr>
                <w:rFonts w:hint="eastAsia" w:ascii="宋体" w:hAnsi="宋体" w:cs="宋体"/>
                <w:color w:val="auto"/>
                <w:w w:val="99"/>
                <w:kern w:val="2"/>
                <w:sz w:val="21"/>
                <w:szCs w:val="21"/>
                <w:highlight w:val="none"/>
                <w:lang w:eastAsia="zh-CN"/>
              </w:rPr>
              <w:t>印机</w:t>
            </w:r>
            <w:r>
              <w:rPr>
                <w:rFonts w:hint="eastAsia" w:ascii="宋体" w:hAnsi="宋体" w:cs="宋体"/>
                <w:color w:val="auto"/>
                <w:spacing w:val="2"/>
                <w:w w:val="99"/>
                <w:kern w:val="2"/>
                <w:sz w:val="21"/>
                <w:szCs w:val="21"/>
                <w:highlight w:val="none"/>
                <w:lang w:eastAsia="zh-CN"/>
              </w:rPr>
              <w:t>和</w:t>
            </w:r>
            <w:r>
              <w:rPr>
                <w:rFonts w:hint="eastAsia" w:ascii="宋体" w:hAnsi="宋体" w:cs="宋体"/>
                <w:color w:val="auto"/>
                <w:w w:val="99"/>
                <w:kern w:val="2"/>
                <w:sz w:val="21"/>
                <w:szCs w:val="21"/>
                <w:highlight w:val="none"/>
                <w:lang w:eastAsia="zh-CN"/>
              </w:rPr>
              <w:t>传真</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A02021006票据打印机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《复印</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spacing w:val="-58"/>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打</w:t>
            </w:r>
            <w:r>
              <w:rPr>
                <w:rFonts w:hint="eastAsia" w:ascii="宋体" w:hAnsi="宋体" w:cs="宋体"/>
                <w:color w:val="auto"/>
                <w:w w:val="99"/>
                <w:kern w:val="2"/>
                <w:sz w:val="21"/>
                <w:szCs w:val="21"/>
                <w:highlight w:val="none"/>
                <w:lang w:eastAsia="zh-CN"/>
              </w:rPr>
              <w:t>印机</w:t>
            </w:r>
            <w:r>
              <w:rPr>
                <w:rFonts w:hint="eastAsia" w:ascii="宋体" w:hAnsi="宋体" w:cs="宋体"/>
                <w:color w:val="auto"/>
                <w:spacing w:val="2"/>
                <w:w w:val="99"/>
                <w:kern w:val="2"/>
                <w:sz w:val="21"/>
                <w:szCs w:val="21"/>
                <w:highlight w:val="none"/>
                <w:lang w:eastAsia="zh-CN"/>
              </w:rPr>
              <w:t>和</w:t>
            </w:r>
            <w:r>
              <w:rPr>
                <w:rFonts w:hint="eastAsia" w:ascii="宋体" w:hAnsi="宋体" w:cs="宋体"/>
                <w:color w:val="auto"/>
                <w:w w:val="99"/>
                <w:kern w:val="2"/>
                <w:sz w:val="21"/>
                <w:szCs w:val="21"/>
                <w:highlight w:val="none"/>
                <w:lang w:eastAsia="zh-CN"/>
              </w:rPr>
              <w:t>传真</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A02021007条码打印机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《复印</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spacing w:val="-58"/>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打</w:t>
            </w:r>
            <w:r>
              <w:rPr>
                <w:rFonts w:hint="eastAsia" w:ascii="宋体" w:hAnsi="宋体" w:cs="宋体"/>
                <w:color w:val="auto"/>
                <w:w w:val="99"/>
                <w:kern w:val="2"/>
                <w:sz w:val="21"/>
                <w:szCs w:val="21"/>
                <w:highlight w:val="none"/>
                <w:lang w:eastAsia="zh-CN"/>
              </w:rPr>
              <w:t>印机</w:t>
            </w:r>
            <w:r>
              <w:rPr>
                <w:rFonts w:hint="eastAsia" w:ascii="宋体" w:hAnsi="宋体" w:cs="宋体"/>
                <w:color w:val="auto"/>
                <w:spacing w:val="2"/>
                <w:w w:val="99"/>
                <w:kern w:val="2"/>
                <w:sz w:val="21"/>
                <w:szCs w:val="21"/>
                <w:highlight w:val="none"/>
                <w:lang w:eastAsia="zh-CN"/>
              </w:rPr>
              <w:t>和</w:t>
            </w:r>
            <w:r>
              <w:rPr>
                <w:rFonts w:hint="eastAsia" w:ascii="宋体" w:hAnsi="宋体" w:cs="宋体"/>
                <w:color w:val="auto"/>
                <w:w w:val="99"/>
                <w:kern w:val="2"/>
                <w:sz w:val="21"/>
                <w:szCs w:val="21"/>
                <w:highlight w:val="none"/>
                <w:lang w:eastAsia="zh-CN"/>
              </w:rPr>
              <w:t>传真</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A02021008地址打印机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《复印</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spacing w:val="-58"/>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打</w:t>
            </w:r>
            <w:r>
              <w:rPr>
                <w:rFonts w:hint="eastAsia" w:ascii="宋体" w:hAnsi="宋体" w:cs="宋体"/>
                <w:color w:val="auto"/>
                <w:w w:val="99"/>
                <w:kern w:val="2"/>
                <w:sz w:val="21"/>
                <w:szCs w:val="21"/>
                <w:highlight w:val="none"/>
                <w:lang w:eastAsia="zh-CN"/>
              </w:rPr>
              <w:t>印机</w:t>
            </w:r>
            <w:r>
              <w:rPr>
                <w:rFonts w:hint="eastAsia" w:ascii="宋体" w:hAnsi="宋体" w:cs="宋体"/>
                <w:color w:val="auto"/>
                <w:spacing w:val="2"/>
                <w:w w:val="99"/>
                <w:kern w:val="2"/>
                <w:sz w:val="21"/>
                <w:szCs w:val="21"/>
                <w:highlight w:val="none"/>
                <w:lang w:eastAsia="zh-CN"/>
              </w:rPr>
              <w:t>和</w:t>
            </w:r>
            <w:r>
              <w:rPr>
                <w:rFonts w:hint="eastAsia" w:ascii="宋体" w:hAnsi="宋体" w:cs="宋体"/>
                <w:color w:val="auto"/>
                <w:w w:val="99"/>
                <w:kern w:val="2"/>
                <w:sz w:val="21"/>
                <w:szCs w:val="21"/>
                <w:highlight w:val="none"/>
                <w:lang w:eastAsia="zh-CN"/>
              </w:rPr>
              <w:t>传真</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A02021099其他打印机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《复印</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spacing w:val="-58"/>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打</w:t>
            </w:r>
            <w:r>
              <w:rPr>
                <w:rFonts w:hint="eastAsia" w:ascii="宋体" w:hAnsi="宋体" w:cs="宋体"/>
                <w:color w:val="auto"/>
                <w:w w:val="99"/>
                <w:kern w:val="2"/>
                <w:sz w:val="21"/>
                <w:szCs w:val="21"/>
                <w:highlight w:val="none"/>
                <w:lang w:eastAsia="zh-CN"/>
              </w:rPr>
              <w:t>印机</w:t>
            </w:r>
            <w:r>
              <w:rPr>
                <w:rFonts w:hint="eastAsia" w:ascii="宋体" w:hAnsi="宋体" w:cs="宋体"/>
                <w:color w:val="auto"/>
                <w:spacing w:val="2"/>
                <w:w w:val="99"/>
                <w:kern w:val="2"/>
                <w:sz w:val="21"/>
                <w:szCs w:val="21"/>
                <w:highlight w:val="none"/>
                <w:lang w:eastAsia="zh-CN"/>
              </w:rPr>
              <w:t>和</w:t>
            </w:r>
            <w:r>
              <w:rPr>
                <w:rFonts w:hint="eastAsia" w:ascii="宋体" w:hAnsi="宋体" w:cs="宋体"/>
                <w:color w:val="auto"/>
                <w:w w:val="99"/>
                <w:kern w:val="2"/>
                <w:sz w:val="21"/>
                <w:szCs w:val="21"/>
                <w:highlight w:val="none"/>
                <w:lang w:eastAsia="zh-CN"/>
              </w:rPr>
              <w:t>传真</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A02021100输入输出设备</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A02021104液晶显示器</w:t>
            </w:r>
          </w:p>
        </w:tc>
        <w:tc>
          <w:tcPr>
            <w:tcW w:w="35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olor w:val="auto"/>
                <w:szCs w:val="21"/>
                <w:highlight w:val="none"/>
              </w:rPr>
            </w:pPr>
            <w:r>
              <w:rPr>
                <w:rFonts w:hint="eastAsia" w:ascii="宋体" w:hAnsi="宋体" w:cs="宋体"/>
                <w:color w:val="auto"/>
                <w:spacing w:val="12"/>
                <w:w w:val="99"/>
                <w:szCs w:val="21"/>
                <w:highlight w:val="none"/>
              </w:rPr>
              <w:t>《计算机显示器能效限</w:t>
            </w:r>
            <w:r>
              <w:rPr>
                <w:rFonts w:hint="eastAsia" w:ascii="宋体" w:hAnsi="宋体" w:cs="宋体"/>
                <w:color w:val="auto"/>
                <w:spacing w:val="9"/>
                <w:w w:val="99"/>
                <w:szCs w:val="21"/>
                <w:highlight w:val="none"/>
              </w:rPr>
              <w:t>定</w:t>
            </w:r>
            <w:r>
              <w:rPr>
                <w:rFonts w:hint="eastAsia" w:ascii="宋体" w:hAnsi="宋体" w:cs="宋体"/>
                <w:color w:val="auto"/>
                <w:spacing w:val="12"/>
                <w:w w:val="99"/>
                <w:szCs w:val="21"/>
                <w:highlight w:val="none"/>
              </w:rPr>
              <w:t>值及</w:t>
            </w:r>
            <w:r>
              <w:rPr>
                <w:rFonts w:hint="eastAsia" w:ascii="宋体" w:hAnsi="宋体" w:cs="宋体"/>
                <w:color w:val="auto"/>
                <w:w w:val="99"/>
                <w:szCs w:val="21"/>
                <w:highlight w:val="none"/>
              </w:rPr>
              <w:t>能效等级</w:t>
            </w:r>
            <w:r>
              <w:rPr>
                <w:rFonts w:hint="eastAsia" w:ascii="宋体" w:hAnsi="宋体" w:cs="宋体"/>
                <w:color w:val="auto"/>
                <w:spacing w:val="2"/>
                <w:w w:val="99"/>
                <w:szCs w:val="21"/>
                <w:highlight w:val="none"/>
              </w:rPr>
              <w:t>》</w:t>
            </w:r>
            <w:r>
              <w:rPr>
                <w:rFonts w:hint="eastAsia" w:ascii="宋体" w:hAnsi="宋体" w:cs="宋体"/>
                <w:color w:val="auto"/>
                <w:w w:val="99"/>
                <w:szCs w:val="21"/>
                <w:highlight w:val="none"/>
              </w:rPr>
              <w:t>（</w:t>
            </w:r>
            <w:r>
              <w:rPr>
                <w:rFonts w:hint="eastAsia" w:ascii="宋体" w:hAnsi="宋体" w:cs="宋体"/>
                <w:color w:val="auto"/>
                <w:spacing w:val="1"/>
                <w:w w:val="99"/>
                <w:szCs w:val="21"/>
                <w:highlight w:val="none"/>
              </w:rPr>
              <w:t>G</w:t>
            </w:r>
            <w:r>
              <w:rPr>
                <w:rFonts w:hint="eastAsia" w:ascii="宋体" w:hAnsi="宋体" w:cs="宋体"/>
                <w:color w:val="auto"/>
                <w:w w:val="99"/>
                <w:szCs w:val="21"/>
                <w:highlight w:val="none"/>
              </w:rPr>
              <w:t>B</w:t>
            </w:r>
            <w:r>
              <w:rPr>
                <w:rFonts w:hint="eastAsia" w:ascii="宋体" w:hAnsi="宋体" w:cs="宋体"/>
                <w:color w:val="auto"/>
                <w:spacing w:val="1"/>
                <w:w w:val="99"/>
                <w:szCs w:val="21"/>
                <w:highlight w:val="none"/>
              </w:rPr>
              <w:t>21</w:t>
            </w:r>
            <w:r>
              <w:rPr>
                <w:rFonts w:hint="eastAsia" w:ascii="宋体" w:hAnsi="宋体" w:cs="宋体"/>
                <w:color w:val="auto"/>
                <w:w w:val="99"/>
                <w:szCs w:val="21"/>
                <w:highlight w:val="none"/>
              </w:rPr>
              <w:t>52</w:t>
            </w:r>
            <w:r>
              <w:rPr>
                <w:rFonts w:hint="eastAsia" w:ascii="宋体" w:hAnsi="宋体" w:cs="宋体"/>
                <w:color w:val="auto"/>
                <w:spacing w:val="1"/>
                <w:w w:val="99"/>
                <w:szCs w:val="21"/>
                <w:highlight w:val="none"/>
              </w:rPr>
              <w:t>0</w:t>
            </w:r>
            <w:r>
              <w:rPr>
                <w:rFonts w:hint="eastAsia" w:ascii="宋体" w:hAnsi="宋体" w:cs="宋体"/>
                <w:color w:val="auto"/>
                <w:w w:val="99"/>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A02021118扫描仪</w:t>
            </w:r>
          </w:p>
        </w:tc>
        <w:tc>
          <w:tcPr>
            <w:tcW w:w="35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olor w:val="auto"/>
                <w:szCs w:val="21"/>
                <w:highlight w:val="none"/>
              </w:rPr>
            </w:pPr>
            <w:r>
              <w:rPr>
                <w:rFonts w:hint="eastAsia" w:ascii="宋体" w:hAnsi="宋体" w:cs="宋体"/>
                <w:color w:val="auto"/>
                <w:w w:val="99"/>
                <w:szCs w:val="21"/>
                <w:highlight w:val="none"/>
              </w:rPr>
              <w:t>参</w:t>
            </w:r>
            <w:r>
              <w:rPr>
                <w:rFonts w:hint="eastAsia" w:ascii="宋体" w:hAnsi="宋体" w:cs="宋体"/>
                <w:color w:val="auto"/>
                <w:spacing w:val="-29"/>
                <w:w w:val="99"/>
                <w:szCs w:val="21"/>
                <w:highlight w:val="none"/>
              </w:rPr>
              <w:t>照</w:t>
            </w:r>
            <w:r>
              <w:rPr>
                <w:rFonts w:hint="eastAsia" w:ascii="宋体" w:hAnsi="宋体" w:cs="宋体"/>
                <w:color w:val="auto"/>
                <w:w w:val="99"/>
                <w:szCs w:val="21"/>
                <w:highlight w:val="none"/>
              </w:rPr>
              <w:t>《</w:t>
            </w:r>
            <w:r>
              <w:rPr>
                <w:rFonts w:hint="eastAsia" w:ascii="宋体" w:hAnsi="宋体" w:cs="宋体"/>
                <w:color w:val="auto"/>
                <w:spacing w:val="2"/>
                <w:w w:val="99"/>
                <w:szCs w:val="21"/>
                <w:highlight w:val="none"/>
              </w:rPr>
              <w:t>复</w:t>
            </w:r>
            <w:r>
              <w:rPr>
                <w:rFonts w:hint="eastAsia" w:ascii="宋体" w:hAnsi="宋体" w:cs="宋体"/>
                <w:color w:val="auto"/>
                <w:w w:val="99"/>
                <w:szCs w:val="21"/>
                <w:highlight w:val="none"/>
              </w:rPr>
              <w:t>印</w:t>
            </w:r>
            <w:r>
              <w:rPr>
                <w:rFonts w:hint="eastAsia" w:ascii="宋体" w:hAnsi="宋体" w:cs="宋体"/>
                <w:color w:val="auto"/>
                <w:spacing w:val="2"/>
                <w:w w:val="99"/>
                <w:szCs w:val="21"/>
                <w:highlight w:val="none"/>
              </w:rPr>
              <w:t>机</w:t>
            </w:r>
            <w:r>
              <w:rPr>
                <w:rFonts w:hint="eastAsia" w:ascii="宋体" w:hAnsi="宋体" w:cs="宋体"/>
                <w:color w:val="auto"/>
                <w:spacing w:val="-29"/>
                <w:w w:val="99"/>
                <w:szCs w:val="21"/>
                <w:highlight w:val="none"/>
              </w:rPr>
              <w:t>、</w:t>
            </w:r>
            <w:r>
              <w:rPr>
                <w:rFonts w:hint="eastAsia" w:ascii="宋体" w:hAnsi="宋体" w:cs="宋体"/>
                <w:color w:val="auto"/>
                <w:w w:val="99"/>
                <w:szCs w:val="21"/>
                <w:highlight w:val="none"/>
              </w:rPr>
              <w:t>打</w:t>
            </w:r>
            <w:r>
              <w:rPr>
                <w:rFonts w:hint="eastAsia" w:ascii="宋体" w:hAnsi="宋体" w:cs="宋体"/>
                <w:color w:val="auto"/>
                <w:spacing w:val="2"/>
                <w:w w:val="99"/>
                <w:szCs w:val="21"/>
                <w:highlight w:val="none"/>
              </w:rPr>
              <w:t>印</w:t>
            </w:r>
            <w:r>
              <w:rPr>
                <w:rFonts w:hint="eastAsia" w:ascii="宋体" w:hAnsi="宋体" w:cs="宋体"/>
                <w:color w:val="auto"/>
                <w:w w:val="99"/>
                <w:szCs w:val="21"/>
                <w:highlight w:val="none"/>
              </w:rPr>
              <w:t>机和</w:t>
            </w:r>
            <w:r>
              <w:rPr>
                <w:rFonts w:hint="eastAsia" w:ascii="宋体" w:hAnsi="宋体" w:cs="宋体"/>
                <w:color w:val="auto"/>
                <w:spacing w:val="2"/>
                <w:w w:val="99"/>
                <w:szCs w:val="21"/>
                <w:highlight w:val="none"/>
              </w:rPr>
              <w:t>传</w:t>
            </w:r>
            <w:r>
              <w:rPr>
                <w:rFonts w:hint="eastAsia" w:ascii="宋体" w:hAnsi="宋体" w:cs="宋体"/>
                <w:color w:val="auto"/>
                <w:w w:val="99"/>
                <w:szCs w:val="21"/>
                <w:highlight w:val="none"/>
              </w:rPr>
              <w:t>真机能效限定</w:t>
            </w:r>
            <w:r>
              <w:rPr>
                <w:rFonts w:hint="eastAsia" w:ascii="宋体" w:hAnsi="宋体" w:cs="宋体"/>
                <w:color w:val="auto"/>
                <w:spacing w:val="2"/>
                <w:w w:val="99"/>
                <w:szCs w:val="21"/>
                <w:highlight w:val="none"/>
              </w:rPr>
              <w:t>值</w:t>
            </w:r>
            <w:r>
              <w:rPr>
                <w:rFonts w:hint="eastAsia" w:ascii="宋体" w:hAnsi="宋体" w:cs="宋体"/>
                <w:color w:val="auto"/>
                <w:w w:val="99"/>
                <w:szCs w:val="21"/>
                <w:highlight w:val="none"/>
              </w:rPr>
              <w:t>及能</w:t>
            </w:r>
            <w:r>
              <w:rPr>
                <w:rFonts w:hint="eastAsia" w:ascii="宋体" w:hAnsi="宋体" w:cs="宋体"/>
                <w:color w:val="auto"/>
                <w:spacing w:val="2"/>
                <w:w w:val="99"/>
                <w:szCs w:val="21"/>
                <w:highlight w:val="none"/>
              </w:rPr>
              <w:t>效</w:t>
            </w:r>
            <w:r>
              <w:rPr>
                <w:rFonts w:hint="eastAsia" w:ascii="宋体" w:hAnsi="宋体" w:cs="宋体"/>
                <w:color w:val="auto"/>
                <w:w w:val="99"/>
                <w:szCs w:val="21"/>
                <w:highlight w:val="none"/>
              </w:rPr>
              <w:t>等级</w:t>
            </w:r>
            <w:r>
              <w:rPr>
                <w:rFonts w:hint="eastAsia" w:ascii="宋体" w:hAnsi="宋体" w:cs="宋体"/>
                <w:color w:val="auto"/>
                <w:spacing w:val="-106"/>
                <w:w w:val="99"/>
                <w:szCs w:val="21"/>
                <w:highlight w:val="none"/>
              </w:rPr>
              <w:t>》</w:t>
            </w:r>
            <w:r>
              <w:rPr>
                <w:rFonts w:hint="eastAsia" w:ascii="宋体" w:hAnsi="宋体" w:cs="宋体"/>
                <w:color w:val="auto"/>
                <w:w w:val="99"/>
                <w:szCs w:val="21"/>
                <w:highlight w:val="none"/>
              </w:rPr>
              <w:t>（</w:t>
            </w:r>
            <w:r>
              <w:rPr>
                <w:rFonts w:hint="eastAsia" w:ascii="宋体" w:hAnsi="宋体" w:cs="宋体"/>
                <w:color w:val="auto"/>
                <w:spacing w:val="1"/>
                <w:w w:val="99"/>
                <w:szCs w:val="21"/>
                <w:highlight w:val="none"/>
              </w:rPr>
              <w:t>G</w:t>
            </w:r>
            <w:r>
              <w:rPr>
                <w:rFonts w:hint="eastAsia" w:ascii="宋体" w:hAnsi="宋体" w:cs="宋体"/>
                <w:color w:val="auto"/>
                <w:w w:val="99"/>
                <w:szCs w:val="21"/>
                <w:highlight w:val="none"/>
              </w:rPr>
              <w:t>B</w:t>
            </w:r>
            <w:r>
              <w:rPr>
                <w:rFonts w:hint="eastAsia" w:ascii="宋体" w:hAnsi="宋体" w:cs="宋体"/>
                <w:color w:val="auto"/>
                <w:spacing w:val="1"/>
                <w:w w:val="99"/>
                <w:szCs w:val="21"/>
                <w:highlight w:val="none"/>
              </w:rPr>
              <w:t>2152</w:t>
            </w:r>
            <w:r>
              <w:rPr>
                <w:rFonts w:hint="eastAsia" w:ascii="宋体" w:hAnsi="宋体" w:cs="宋体"/>
                <w:color w:val="auto"/>
                <w:w w:val="99"/>
                <w:szCs w:val="21"/>
                <w:highlight w:val="none"/>
              </w:rPr>
              <w:t>1）</w:t>
            </w:r>
            <w:r>
              <w:rPr>
                <w:rFonts w:hint="eastAsia" w:ascii="宋体" w:hAnsi="宋体" w:cs="宋体"/>
                <w:color w:val="auto"/>
                <w:spacing w:val="2"/>
                <w:w w:val="99"/>
                <w:szCs w:val="21"/>
                <w:highlight w:val="none"/>
              </w:rPr>
              <w:t>中</w:t>
            </w:r>
            <w:r>
              <w:rPr>
                <w:rFonts w:hint="eastAsia" w:ascii="宋体" w:hAnsi="宋体" w:cs="宋体"/>
                <w:color w:val="auto"/>
                <w:spacing w:val="4"/>
                <w:w w:val="99"/>
                <w:szCs w:val="21"/>
                <w:highlight w:val="none"/>
              </w:rPr>
              <w:t>打印速</w:t>
            </w:r>
            <w:r>
              <w:rPr>
                <w:rFonts w:hint="eastAsia" w:ascii="宋体" w:hAnsi="宋体" w:cs="宋体"/>
                <w:color w:val="auto"/>
                <w:spacing w:val="2"/>
                <w:w w:val="99"/>
                <w:szCs w:val="21"/>
                <w:highlight w:val="none"/>
              </w:rPr>
              <w:t>度</w:t>
            </w:r>
            <w:r>
              <w:rPr>
                <w:rFonts w:hint="eastAsia" w:ascii="宋体" w:hAnsi="宋体" w:cs="宋体"/>
                <w:color w:val="auto"/>
                <w:w w:val="99"/>
                <w:szCs w:val="21"/>
                <w:highlight w:val="none"/>
              </w:rPr>
              <w:t>为</w:t>
            </w:r>
            <w:r>
              <w:rPr>
                <w:rFonts w:hint="eastAsia" w:ascii="宋体" w:hAnsi="宋体" w:cs="宋体"/>
                <w:color w:val="auto"/>
                <w:spacing w:val="1"/>
                <w:w w:val="99"/>
                <w:szCs w:val="21"/>
                <w:highlight w:val="none"/>
              </w:rPr>
              <w:t>1</w:t>
            </w:r>
            <w:r>
              <w:rPr>
                <w:rFonts w:hint="eastAsia" w:ascii="宋体" w:hAnsi="宋体" w:cs="宋体"/>
                <w:color w:val="auto"/>
                <w:w w:val="99"/>
                <w:szCs w:val="21"/>
                <w:highlight w:val="none"/>
              </w:rPr>
              <w:t>5</w:t>
            </w:r>
            <w:r>
              <w:rPr>
                <w:rFonts w:hint="eastAsia" w:ascii="宋体" w:hAnsi="宋体" w:cs="宋体"/>
                <w:color w:val="auto"/>
                <w:spacing w:val="2"/>
                <w:w w:val="99"/>
                <w:szCs w:val="21"/>
                <w:highlight w:val="none"/>
              </w:rPr>
              <w:t>页</w:t>
            </w:r>
            <w:r>
              <w:rPr>
                <w:rFonts w:hint="eastAsia" w:ascii="宋体" w:hAnsi="宋体" w:cs="宋体"/>
                <w:color w:val="auto"/>
                <w:spacing w:val="5"/>
                <w:w w:val="99"/>
                <w:szCs w:val="21"/>
                <w:highlight w:val="none"/>
              </w:rPr>
              <w:t>/</w:t>
            </w:r>
            <w:r>
              <w:rPr>
                <w:rFonts w:hint="eastAsia" w:ascii="宋体" w:hAnsi="宋体" w:cs="宋体"/>
                <w:color w:val="auto"/>
                <w:spacing w:val="4"/>
                <w:w w:val="99"/>
                <w:szCs w:val="21"/>
                <w:highlight w:val="none"/>
              </w:rPr>
              <w:t>分的</w:t>
            </w:r>
            <w:r>
              <w:rPr>
                <w:rFonts w:hint="eastAsia" w:ascii="宋体" w:hAnsi="宋体" w:cs="宋体"/>
                <w:color w:val="auto"/>
                <w:spacing w:val="2"/>
                <w:w w:val="99"/>
                <w:szCs w:val="21"/>
                <w:highlight w:val="none"/>
              </w:rPr>
              <w:t>针</w:t>
            </w:r>
            <w:r>
              <w:rPr>
                <w:rFonts w:hint="eastAsia" w:ascii="宋体" w:hAnsi="宋体" w:cs="宋体"/>
                <w:color w:val="auto"/>
                <w:spacing w:val="4"/>
                <w:w w:val="99"/>
                <w:szCs w:val="21"/>
                <w:highlight w:val="none"/>
              </w:rPr>
              <w:t>式</w:t>
            </w:r>
            <w:r>
              <w:rPr>
                <w:rFonts w:hint="eastAsia" w:ascii="宋体" w:hAnsi="宋体" w:cs="宋体"/>
                <w:color w:val="auto"/>
                <w:w w:val="99"/>
                <w:szCs w:val="21"/>
                <w:highlight w:val="none"/>
              </w:rPr>
              <w:t>打印机相</w:t>
            </w:r>
            <w:r>
              <w:rPr>
                <w:rFonts w:hint="eastAsia" w:ascii="宋体" w:hAnsi="宋体" w:cs="宋体"/>
                <w:color w:val="auto"/>
                <w:spacing w:val="2"/>
                <w:w w:val="99"/>
                <w:szCs w:val="21"/>
                <w:highlight w:val="none"/>
              </w:rPr>
              <w:t>关</w:t>
            </w:r>
            <w:r>
              <w:rPr>
                <w:rFonts w:hint="eastAsia" w:ascii="宋体" w:hAnsi="宋体" w:cs="宋体"/>
                <w:color w:val="auto"/>
                <w:w w:val="99"/>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w w:val="99"/>
                <w:szCs w:val="21"/>
                <w:highlight w:val="none"/>
              </w:rPr>
              <w:t>3</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A02020200投影仪</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olor w:val="auto"/>
                <w:szCs w:val="21"/>
                <w:highlight w:val="none"/>
              </w:rPr>
            </w:pPr>
            <w:r>
              <w:rPr>
                <w:rFonts w:hint="eastAsia" w:ascii="宋体" w:hAnsi="宋体" w:cs="宋体"/>
                <w:color w:val="auto"/>
                <w:w w:val="99"/>
                <w:szCs w:val="21"/>
                <w:highlight w:val="none"/>
              </w:rPr>
              <w:t>《投影</w:t>
            </w:r>
            <w:r>
              <w:rPr>
                <w:rFonts w:hint="eastAsia" w:ascii="宋体" w:hAnsi="宋体" w:cs="宋体"/>
                <w:color w:val="auto"/>
                <w:spacing w:val="2"/>
                <w:w w:val="99"/>
                <w:szCs w:val="21"/>
                <w:highlight w:val="none"/>
              </w:rPr>
              <w:t>机</w:t>
            </w:r>
            <w:r>
              <w:rPr>
                <w:rFonts w:hint="eastAsia" w:ascii="宋体" w:hAnsi="宋体" w:cs="宋体"/>
                <w:color w:val="auto"/>
                <w:w w:val="99"/>
                <w:szCs w:val="21"/>
                <w:highlight w:val="none"/>
              </w:rPr>
              <w:t>能效</w:t>
            </w:r>
            <w:r>
              <w:rPr>
                <w:rFonts w:hint="eastAsia" w:ascii="宋体" w:hAnsi="宋体" w:cs="宋体"/>
                <w:color w:val="auto"/>
                <w:spacing w:val="2"/>
                <w:w w:val="99"/>
                <w:szCs w:val="21"/>
                <w:highlight w:val="none"/>
              </w:rPr>
              <w:t>限</w:t>
            </w:r>
            <w:r>
              <w:rPr>
                <w:rFonts w:hint="eastAsia" w:ascii="宋体" w:hAnsi="宋体" w:cs="宋体"/>
                <w:color w:val="auto"/>
                <w:w w:val="99"/>
                <w:szCs w:val="21"/>
                <w:highlight w:val="none"/>
              </w:rPr>
              <w:t>定值</w:t>
            </w:r>
            <w:r>
              <w:rPr>
                <w:rFonts w:hint="eastAsia" w:ascii="宋体" w:hAnsi="宋体" w:cs="宋体"/>
                <w:color w:val="auto"/>
                <w:spacing w:val="2"/>
                <w:w w:val="99"/>
                <w:szCs w:val="21"/>
                <w:highlight w:val="none"/>
              </w:rPr>
              <w:t>及</w:t>
            </w:r>
            <w:r>
              <w:rPr>
                <w:rFonts w:hint="eastAsia" w:ascii="宋体" w:hAnsi="宋体" w:cs="宋体"/>
                <w:color w:val="auto"/>
                <w:w w:val="99"/>
                <w:szCs w:val="21"/>
                <w:highlight w:val="none"/>
              </w:rPr>
              <w:t>能</w:t>
            </w:r>
            <w:r>
              <w:rPr>
                <w:rFonts w:hint="eastAsia" w:ascii="宋体" w:hAnsi="宋体" w:cs="宋体"/>
                <w:color w:val="auto"/>
                <w:spacing w:val="2"/>
                <w:w w:val="99"/>
                <w:szCs w:val="21"/>
                <w:highlight w:val="none"/>
              </w:rPr>
              <w:t>效</w:t>
            </w:r>
            <w:r>
              <w:rPr>
                <w:rFonts w:hint="eastAsia" w:ascii="宋体" w:hAnsi="宋体" w:cs="宋体"/>
                <w:color w:val="auto"/>
                <w:w w:val="99"/>
                <w:szCs w:val="21"/>
                <w:highlight w:val="none"/>
              </w:rPr>
              <w:t>等级》（</w:t>
            </w:r>
            <w:r>
              <w:rPr>
                <w:rFonts w:hint="eastAsia" w:ascii="宋体" w:hAnsi="宋体" w:cs="宋体"/>
                <w:color w:val="auto"/>
                <w:spacing w:val="1"/>
                <w:w w:val="99"/>
                <w:szCs w:val="21"/>
                <w:highlight w:val="none"/>
              </w:rPr>
              <w:t>G</w:t>
            </w:r>
            <w:r>
              <w:rPr>
                <w:rFonts w:hint="eastAsia" w:ascii="宋体" w:hAnsi="宋体" w:cs="宋体"/>
                <w:color w:val="auto"/>
                <w:w w:val="99"/>
                <w:szCs w:val="21"/>
                <w:highlight w:val="none"/>
              </w:rPr>
              <w:t>B</w:t>
            </w:r>
            <w:r>
              <w:rPr>
                <w:rFonts w:hint="eastAsia" w:ascii="宋体" w:hAnsi="宋体" w:cs="宋体"/>
                <w:color w:val="auto"/>
                <w:spacing w:val="1"/>
                <w:w w:val="99"/>
                <w:szCs w:val="21"/>
                <w:highlight w:val="none"/>
              </w:rPr>
              <w:t>3</w:t>
            </w:r>
            <w:r>
              <w:rPr>
                <w:rFonts w:hint="eastAsia" w:ascii="宋体" w:hAnsi="宋体" w:cs="宋体"/>
                <w:color w:val="auto"/>
                <w:w w:val="99"/>
                <w:szCs w:val="21"/>
                <w:highlight w:val="none"/>
              </w:rPr>
              <w:t>20</w:t>
            </w:r>
            <w:r>
              <w:rPr>
                <w:rFonts w:hint="eastAsia" w:ascii="宋体" w:hAnsi="宋体" w:cs="宋体"/>
                <w:color w:val="auto"/>
                <w:spacing w:val="1"/>
                <w:w w:val="99"/>
                <w:szCs w:val="21"/>
                <w:highlight w:val="none"/>
              </w:rPr>
              <w:t>28</w:t>
            </w:r>
            <w:r>
              <w:rPr>
                <w:rFonts w:hint="eastAsia" w:ascii="宋体" w:hAnsi="宋体" w:cs="宋体"/>
                <w:color w:val="auto"/>
                <w:w w:val="99"/>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4</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66"/>
              <w:ind w:left="7"/>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A02020400</w:t>
            </w:r>
            <w:r>
              <w:rPr>
                <w:rFonts w:hint="eastAsia" w:ascii="宋体" w:hAnsi="宋体" w:cs="宋体"/>
                <w:color w:val="auto"/>
                <w:w w:val="99"/>
                <w:kern w:val="2"/>
                <w:sz w:val="21"/>
                <w:szCs w:val="21"/>
                <w:highlight w:val="none"/>
              </w:rPr>
              <w:t>多功能一体机</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center"/>
          </w:tcPr>
          <w:p>
            <w:pPr>
              <w:rPr>
                <w:rFonts w:ascii="宋体" w:hAnsi="宋体"/>
                <w:color w:val="auto"/>
                <w:szCs w:val="21"/>
                <w:highlight w:val="none"/>
              </w:rPr>
            </w:pPr>
            <w:r>
              <w:rPr>
                <w:rFonts w:hint="eastAsia" w:ascii="宋体" w:hAnsi="宋体" w:cs="宋体"/>
                <w:color w:val="auto"/>
                <w:w w:val="99"/>
                <w:szCs w:val="21"/>
                <w:highlight w:val="none"/>
              </w:rPr>
              <w:t>《复印</w:t>
            </w:r>
            <w:r>
              <w:rPr>
                <w:rFonts w:hint="eastAsia" w:ascii="宋体" w:hAnsi="宋体" w:cs="宋体"/>
                <w:color w:val="auto"/>
                <w:spacing w:val="2"/>
                <w:w w:val="99"/>
                <w:szCs w:val="21"/>
                <w:highlight w:val="none"/>
              </w:rPr>
              <w:t>机</w:t>
            </w:r>
            <w:r>
              <w:rPr>
                <w:rFonts w:hint="eastAsia" w:ascii="宋体" w:hAnsi="宋体" w:cs="宋体"/>
                <w:color w:val="auto"/>
                <w:spacing w:val="-58"/>
                <w:w w:val="99"/>
                <w:szCs w:val="21"/>
                <w:highlight w:val="none"/>
              </w:rPr>
              <w:t>、</w:t>
            </w:r>
            <w:r>
              <w:rPr>
                <w:rFonts w:hint="eastAsia" w:ascii="宋体" w:hAnsi="宋体" w:cs="宋体"/>
                <w:color w:val="auto"/>
                <w:spacing w:val="2"/>
                <w:w w:val="99"/>
                <w:szCs w:val="21"/>
                <w:highlight w:val="none"/>
              </w:rPr>
              <w:t>打</w:t>
            </w:r>
            <w:r>
              <w:rPr>
                <w:rFonts w:hint="eastAsia" w:ascii="宋体" w:hAnsi="宋体" w:cs="宋体"/>
                <w:color w:val="auto"/>
                <w:w w:val="99"/>
                <w:szCs w:val="21"/>
                <w:highlight w:val="none"/>
              </w:rPr>
              <w:t>印机</w:t>
            </w:r>
            <w:r>
              <w:rPr>
                <w:rFonts w:hint="eastAsia" w:ascii="宋体" w:hAnsi="宋体" w:cs="宋体"/>
                <w:color w:val="auto"/>
                <w:spacing w:val="2"/>
                <w:w w:val="99"/>
                <w:szCs w:val="21"/>
                <w:highlight w:val="none"/>
              </w:rPr>
              <w:t>和</w:t>
            </w:r>
            <w:r>
              <w:rPr>
                <w:rFonts w:hint="eastAsia" w:ascii="宋体" w:hAnsi="宋体" w:cs="宋体"/>
                <w:color w:val="auto"/>
                <w:w w:val="99"/>
                <w:szCs w:val="21"/>
                <w:highlight w:val="none"/>
              </w:rPr>
              <w:t>传真</w:t>
            </w:r>
            <w:r>
              <w:rPr>
                <w:rFonts w:hint="eastAsia" w:ascii="宋体" w:hAnsi="宋体" w:cs="宋体"/>
                <w:color w:val="auto"/>
                <w:spacing w:val="2"/>
                <w:w w:val="99"/>
                <w:szCs w:val="21"/>
                <w:highlight w:val="none"/>
              </w:rPr>
              <w:t>机</w:t>
            </w:r>
            <w:r>
              <w:rPr>
                <w:rFonts w:hint="eastAsia" w:ascii="宋体" w:hAnsi="宋体" w:cs="宋体"/>
                <w:color w:val="auto"/>
                <w:w w:val="99"/>
                <w:szCs w:val="21"/>
                <w:highlight w:val="none"/>
              </w:rPr>
              <w:t>能效限定值及</w:t>
            </w:r>
            <w:r>
              <w:rPr>
                <w:rFonts w:hint="eastAsia" w:ascii="宋体" w:hAnsi="宋体" w:cs="宋体"/>
                <w:color w:val="auto"/>
                <w:spacing w:val="2"/>
                <w:w w:val="99"/>
                <w:szCs w:val="21"/>
                <w:highlight w:val="none"/>
              </w:rPr>
              <w:t>能</w:t>
            </w:r>
            <w:r>
              <w:rPr>
                <w:rFonts w:hint="eastAsia" w:ascii="宋体" w:hAnsi="宋体" w:cs="宋体"/>
                <w:color w:val="auto"/>
                <w:w w:val="99"/>
                <w:szCs w:val="21"/>
                <w:highlight w:val="none"/>
              </w:rPr>
              <w:t>效等</w:t>
            </w:r>
            <w:r>
              <w:rPr>
                <w:rFonts w:hint="eastAsia" w:ascii="宋体" w:hAnsi="宋体" w:cs="宋体"/>
                <w:color w:val="auto"/>
                <w:spacing w:val="2"/>
                <w:w w:val="99"/>
                <w:szCs w:val="21"/>
                <w:highlight w:val="none"/>
              </w:rPr>
              <w:t>级</w:t>
            </w:r>
            <w:r>
              <w:rPr>
                <w:rFonts w:hint="eastAsia" w:ascii="宋体" w:hAnsi="宋体" w:cs="宋体"/>
                <w:color w:val="auto"/>
                <w:w w:val="99"/>
                <w:szCs w:val="21"/>
                <w:highlight w:val="none"/>
              </w:rPr>
              <w:t>》（</w:t>
            </w:r>
            <w:r>
              <w:rPr>
                <w:rFonts w:hint="eastAsia" w:ascii="宋体" w:hAnsi="宋体" w:cs="宋体"/>
                <w:color w:val="auto"/>
                <w:spacing w:val="1"/>
                <w:w w:val="99"/>
                <w:szCs w:val="21"/>
                <w:highlight w:val="none"/>
              </w:rPr>
              <w:t>G</w:t>
            </w:r>
            <w:r>
              <w:rPr>
                <w:rFonts w:hint="eastAsia" w:ascii="宋体" w:hAnsi="宋体" w:cs="宋体"/>
                <w:color w:val="auto"/>
                <w:w w:val="99"/>
                <w:szCs w:val="21"/>
                <w:highlight w:val="none"/>
              </w:rPr>
              <w:t>B</w:t>
            </w:r>
            <w:r>
              <w:rPr>
                <w:rFonts w:hint="eastAsia" w:ascii="宋体" w:hAnsi="宋体" w:cs="宋体"/>
                <w:color w:val="auto"/>
                <w:spacing w:val="1"/>
                <w:w w:val="99"/>
                <w:szCs w:val="21"/>
                <w:highlight w:val="none"/>
              </w:rPr>
              <w:t>21</w:t>
            </w:r>
            <w:r>
              <w:rPr>
                <w:rFonts w:hint="eastAsia" w:ascii="宋体" w:hAnsi="宋体" w:cs="宋体"/>
                <w:color w:val="auto"/>
                <w:w w:val="99"/>
                <w:szCs w:val="21"/>
                <w:highlight w:val="none"/>
              </w:rPr>
              <w:t>52</w:t>
            </w:r>
            <w:r>
              <w:rPr>
                <w:rFonts w:hint="eastAsia" w:ascii="宋体" w:hAnsi="宋体" w:cs="宋体"/>
                <w:color w:val="auto"/>
                <w:spacing w:val="1"/>
                <w:w w:val="99"/>
                <w:szCs w:val="21"/>
                <w:highlight w:val="none"/>
              </w:rPr>
              <w:t>1</w:t>
            </w:r>
            <w:r>
              <w:rPr>
                <w:rFonts w:hint="eastAsia" w:ascii="宋体" w:hAnsi="宋体" w:cs="宋体"/>
                <w:color w:val="auto"/>
                <w:w w:val="99"/>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160"/>
              <w:ind w:right="1"/>
              <w:jc w:val="center"/>
              <w:rPr>
                <w:rFonts w:ascii="宋体" w:hAnsi="宋体" w:cs="宋体"/>
                <w:color w:val="auto"/>
                <w:kern w:val="2"/>
                <w:sz w:val="21"/>
                <w:szCs w:val="21"/>
                <w:highlight w:val="none"/>
              </w:rPr>
            </w:pPr>
            <w:r>
              <w:rPr>
                <w:rFonts w:hint="eastAsia" w:ascii="宋体" w:hAnsi="宋体"/>
                <w:color w:val="auto"/>
                <w:w w:val="99"/>
                <w:kern w:val="2"/>
                <w:sz w:val="21"/>
                <w:szCs w:val="21"/>
                <w:highlight w:val="none"/>
              </w:rPr>
              <w:t>5</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160"/>
              <w:ind w:left="7"/>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A02051900</w:t>
            </w:r>
            <w:r>
              <w:rPr>
                <w:rFonts w:hint="eastAsia" w:ascii="宋体" w:hAnsi="宋体" w:cs="宋体"/>
                <w:color w:val="auto"/>
                <w:w w:val="99"/>
                <w:kern w:val="2"/>
                <w:sz w:val="21"/>
                <w:szCs w:val="21"/>
                <w:highlight w:val="none"/>
              </w:rPr>
              <w:t>泵</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160"/>
              <w:ind w:left="7"/>
              <w:jc w:val="center"/>
              <w:rPr>
                <w:rFonts w:ascii="宋体" w:hAnsi="宋体" w:cs="宋体"/>
                <w:color w:val="auto"/>
                <w:kern w:val="2"/>
                <w:sz w:val="21"/>
                <w:szCs w:val="21"/>
                <w:highlight w:val="none"/>
              </w:rPr>
            </w:pPr>
            <w:r>
              <w:rPr>
                <w:rFonts w:hint="eastAsia" w:ascii="宋体" w:hAnsi="宋体" w:cs="宋体"/>
                <w:color w:val="auto"/>
                <w:spacing w:val="1"/>
                <w:w w:val="99"/>
                <w:kern w:val="2"/>
                <w:sz w:val="21"/>
                <w:szCs w:val="21"/>
                <w:highlight w:val="none"/>
              </w:rPr>
              <w:t>A02</w:t>
            </w:r>
            <w:r>
              <w:rPr>
                <w:rFonts w:hint="eastAsia" w:ascii="宋体" w:hAnsi="宋体" w:cs="宋体"/>
                <w:color w:val="auto"/>
                <w:w w:val="99"/>
                <w:kern w:val="2"/>
                <w:sz w:val="21"/>
                <w:szCs w:val="21"/>
                <w:highlight w:val="none"/>
              </w:rPr>
              <w:t>05</w:t>
            </w:r>
            <w:r>
              <w:rPr>
                <w:rFonts w:hint="eastAsia" w:ascii="宋体" w:hAnsi="宋体" w:cs="宋体"/>
                <w:color w:val="auto"/>
                <w:spacing w:val="1"/>
                <w:w w:val="99"/>
                <w:kern w:val="2"/>
                <w:sz w:val="21"/>
                <w:szCs w:val="21"/>
                <w:highlight w:val="none"/>
              </w:rPr>
              <w:t>1</w:t>
            </w:r>
            <w:r>
              <w:rPr>
                <w:rFonts w:hint="eastAsia" w:ascii="宋体" w:hAnsi="宋体" w:cs="宋体"/>
                <w:color w:val="auto"/>
                <w:w w:val="99"/>
                <w:kern w:val="2"/>
                <w:sz w:val="21"/>
                <w:szCs w:val="21"/>
                <w:highlight w:val="none"/>
              </w:rPr>
              <w:t>901离心泵</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4"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《清水离心泵能效限定</w:t>
            </w:r>
            <w:r>
              <w:rPr>
                <w:rFonts w:hint="eastAsia" w:ascii="宋体" w:hAnsi="宋体" w:cs="宋体"/>
                <w:color w:val="auto"/>
                <w:spacing w:val="9"/>
                <w:w w:val="99"/>
                <w:kern w:val="2"/>
                <w:sz w:val="21"/>
                <w:szCs w:val="21"/>
                <w:highlight w:val="none"/>
                <w:lang w:eastAsia="zh-CN"/>
              </w:rPr>
              <w:t>值</w:t>
            </w:r>
            <w:r>
              <w:rPr>
                <w:rFonts w:hint="eastAsia" w:ascii="宋体" w:hAnsi="宋体" w:cs="宋体"/>
                <w:color w:val="auto"/>
                <w:spacing w:val="12"/>
                <w:w w:val="99"/>
                <w:kern w:val="2"/>
                <w:sz w:val="21"/>
                <w:szCs w:val="21"/>
                <w:highlight w:val="none"/>
                <w:lang w:eastAsia="zh-CN"/>
              </w:rPr>
              <w:t>及节</w:t>
            </w:r>
            <w:r>
              <w:rPr>
                <w:rFonts w:hint="eastAsia" w:ascii="宋体" w:hAnsi="宋体" w:cs="宋体"/>
                <w:color w:val="auto"/>
                <w:w w:val="99"/>
                <w:kern w:val="2"/>
                <w:sz w:val="21"/>
                <w:szCs w:val="21"/>
                <w:highlight w:val="none"/>
                <w:lang w:eastAsia="zh-CN"/>
              </w:rPr>
              <w:t>能评价值</w:t>
            </w:r>
            <w:r>
              <w:rPr>
                <w:rFonts w:hint="eastAsia" w:ascii="宋体" w:hAnsi="宋体" w:cs="宋体"/>
                <w:color w:val="auto"/>
                <w:spacing w:val="2"/>
                <w:w w:val="99"/>
                <w:kern w:val="2"/>
                <w:sz w:val="21"/>
                <w:szCs w:val="21"/>
                <w:highlight w:val="none"/>
                <w:lang w:eastAsia="zh-CN"/>
              </w:rPr>
              <w:t>》</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19</w:t>
            </w:r>
            <w:r>
              <w:rPr>
                <w:rFonts w:hint="eastAsia" w:ascii="宋体" w:hAnsi="宋体" w:cs="宋体"/>
                <w:color w:val="auto"/>
                <w:w w:val="99"/>
                <w:kern w:val="2"/>
                <w:sz w:val="21"/>
                <w:szCs w:val="21"/>
                <w:highlight w:val="none"/>
                <w:lang w:eastAsia="zh-CN"/>
              </w:rPr>
              <w:t>76</w:t>
            </w:r>
            <w:r>
              <w:rPr>
                <w:rFonts w:hint="eastAsia" w:ascii="宋体" w:hAnsi="宋体" w:cs="宋体"/>
                <w:color w:val="auto"/>
                <w:spacing w:val="1"/>
                <w:w w:val="99"/>
                <w:kern w:val="2"/>
                <w:sz w:val="21"/>
                <w:szCs w:val="21"/>
                <w:highlight w:val="none"/>
                <w:lang w:eastAsia="zh-CN"/>
              </w:rPr>
              <w:t>2</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14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A02052300</w:t>
            </w:r>
            <w:r>
              <w:rPr>
                <w:rFonts w:hint="eastAsia" w:ascii="宋体" w:hAnsi="宋体" w:cs="宋体"/>
                <w:color w:val="auto"/>
                <w:w w:val="99"/>
                <w:kern w:val="2"/>
                <w:sz w:val="21"/>
                <w:szCs w:val="21"/>
                <w:highlight w:val="none"/>
              </w:rPr>
              <w:t>制冷空调设备</w:t>
            </w: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spacing w:line="276" w:lineRule="auto"/>
              <w:ind w:right="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w:t>
            </w:r>
            <w:r>
              <w:rPr>
                <w:rFonts w:hint="eastAsia" w:ascii="宋体" w:hAnsi="宋体" w:cs="宋体"/>
                <w:color w:val="auto"/>
                <w:spacing w:val="1"/>
                <w:w w:val="99"/>
                <w:kern w:val="2"/>
                <w:sz w:val="21"/>
                <w:szCs w:val="21"/>
                <w:highlight w:val="none"/>
              </w:rPr>
              <w:t>A020</w:t>
            </w:r>
            <w:r>
              <w:rPr>
                <w:rFonts w:hint="eastAsia" w:ascii="宋体" w:hAnsi="宋体" w:cs="宋体"/>
                <w:color w:val="auto"/>
                <w:w w:val="99"/>
                <w:kern w:val="2"/>
                <w:sz w:val="21"/>
                <w:szCs w:val="21"/>
                <w:highlight w:val="none"/>
              </w:rPr>
              <w:t>52</w:t>
            </w:r>
            <w:r>
              <w:rPr>
                <w:rFonts w:hint="eastAsia" w:ascii="宋体" w:hAnsi="宋体" w:cs="宋体"/>
                <w:color w:val="auto"/>
                <w:spacing w:val="1"/>
                <w:w w:val="99"/>
                <w:kern w:val="2"/>
                <w:sz w:val="21"/>
                <w:szCs w:val="21"/>
                <w:highlight w:val="none"/>
              </w:rPr>
              <w:t>3</w:t>
            </w:r>
            <w:r>
              <w:rPr>
                <w:rFonts w:hint="eastAsia" w:ascii="宋体" w:hAnsi="宋体" w:cs="宋体"/>
                <w:color w:val="auto"/>
                <w:w w:val="99"/>
                <w:kern w:val="2"/>
                <w:sz w:val="21"/>
                <w:szCs w:val="21"/>
                <w:highlight w:val="none"/>
              </w:rPr>
              <w:t>01制冷压缩机</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冷水机组</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30" w:line="276" w:lineRule="auto"/>
              <w:ind w:left="7" w:right="4"/>
              <w:jc w:val="both"/>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《冷水机组能效限定值</w:t>
            </w:r>
            <w:r>
              <w:rPr>
                <w:rFonts w:hint="eastAsia" w:ascii="宋体" w:hAnsi="宋体" w:cs="宋体"/>
                <w:color w:val="auto"/>
                <w:spacing w:val="9"/>
                <w:w w:val="99"/>
                <w:kern w:val="2"/>
                <w:sz w:val="21"/>
                <w:szCs w:val="21"/>
                <w:highlight w:val="none"/>
                <w:lang w:eastAsia="zh-CN"/>
              </w:rPr>
              <w:t>及</w:t>
            </w:r>
            <w:r>
              <w:rPr>
                <w:rFonts w:hint="eastAsia" w:ascii="宋体" w:hAnsi="宋体" w:cs="宋体"/>
                <w:color w:val="auto"/>
                <w:spacing w:val="12"/>
                <w:w w:val="99"/>
                <w:kern w:val="2"/>
                <w:sz w:val="21"/>
                <w:szCs w:val="21"/>
                <w:highlight w:val="none"/>
                <w:lang w:eastAsia="zh-CN"/>
              </w:rPr>
              <w:t>能效</w:t>
            </w:r>
            <w:r>
              <w:rPr>
                <w:rFonts w:hint="eastAsia" w:ascii="宋体" w:hAnsi="宋体" w:cs="宋体"/>
                <w:color w:val="auto"/>
                <w:w w:val="99"/>
                <w:kern w:val="2"/>
                <w:sz w:val="21"/>
                <w:szCs w:val="21"/>
                <w:highlight w:val="none"/>
                <w:lang w:eastAsia="zh-CN"/>
              </w:rPr>
              <w:t>等级</w:t>
            </w:r>
            <w:r>
              <w:rPr>
                <w:rFonts w:hint="eastAsia" w:ascii="宋体" w:hAnsi="宋体" w:cs="宋体"/>
                <w:color w:val="auto"/>
                <w:spacing w:val="-3"/>
                <w:w w:val="99"/>
                <w:kern w:val="2"/>
                <w:sz w:val="21"/>
                <w:szCs w:val="21"/>
                <w:highlight w:val="none"/>
                <w:lang w:eastAsia="zh-CN"/>
              </w:rPr>
              <w:t>》</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195</w:t>
            </w:r>
            <w:r>
              <w:rPr>
                <w:rFonts w:hint="eastAsia" w:ascii="宋体" w:hAnsi="宋体" w:cs="宋体"/>
                <w:color w:val="auto"/>
                <w:w w:val="99"/>
                <w:kern w:val="2"/>
                <w:sz w:val="21"/>
                <w:szCs w:val="21"/>
                <w:highlight w:val="none"/>
                <w:lang w:eastAsia="zh-CN"/>
              </w:rPr>
              <w:t>77</w:t>
            </w:r>
            <w:r>
              <w:rPr>
                <w:rFonts w:hint="eastAsia" w:ascii="宋体" w:hAnsi="宋体" w:cs="宋体"/>
                <w:color w:val="auto"/>
                <w:spacing w:val="-3"/>
                <w:w w:val="99"/>
                <w:kern w:val="2"/>
                <w:sz w:val="21"/>
                <w:szCs w:val="21"/>
                <w:highlight w:val="none"/>
                <w:lang w:eastAsia="zh-CN"/>
              </w:rPr>
              <w:t>），</w:t>
            </w:r>
            <w:r>
              <w:rPr>
                <w:rFonts w:hint="eastAsia" w:ascii="宋体" w:hAnsi="宋体" w:cs="宋体"/>
                <w:color w:val="auto"/>
                <w:w w:val="99"/>
                <w:kern w:val="2"/>
                <w:sz w:val="21"/>
                <w:szCs w:val="21"/>
                <w:highlight w:val="none"/>
                <w:lang w:eastAsia="zh-CN"/>
              </w:rPr>
              <w:t>《低</w:t>
            </w:r>
            <w:r>
              <w:rPr>
                <w:rFonts w:hint="eastAsia" w:ascii="宋体" w:hAnsi="宋体" w:cs="宋体"/>
                <w:color w:val="auto"/>
                <w:spacing w:val="2"/>
                <w:w w:val="99"/>
                <w:kern w:val="2"/>
                <w:sz w:val="21"/>
                <w:szCs w:val="21"/>
                <w:highlight w:val="none"/>
                <w:lang w:eastAsia="zh-CN"/>
              </w:rPr>
              <w:t>环</w:t>
            </w:r>
            <w:r>
              <w:rPr>
                <w:rFonts w:hint="eastAsia" w:ascii="宋体" w:hAnsi="宋体" w:cs="宋体"/>
                <w:color w:val="auto"/>
                <w:w w:val="99"/>
                <w:kern w:val="2"/>
                <w:sz w:val="21"/>
                <w:szCs w:val="21"/>
                <w:highlight w:val="none"/>
                <w:lang w:eastAsia="zh-CN"/>
              </w:rPr>
              <w:t>境温度空气源</w:t>
            </w:r>
            <w:r>
              <w:rPr>
                <w:rFonts w:hint="eastAsia" w:ascii="宋体" w:hAnsi="宋体" w:cs="宋体"/>
                <w:color w:val="auto"/>
                <w:spacing w:val="2"/>
                <w:w w:val="99"/>
                <w:kern w:val="2"/>
                <w:sz w:val="21"/>
                <w:szCs w:val="21"/>
                <w:highlight w:val="none"/>
                <w:lang w:eastAsia="zh-CN"/>
              </w:rPr>
              <w:t>热</w:t>
            </w:r>
            <w:r>
              <w:rPr>
                <w:rFonts w:hint="eastAsia" w:ascii="宋体" w:hAnsi="宋体" w:cs="宋体"/>
                <w:color w:val="auto"/>
                <w:spacing w:val="-29"/>
                <w:w w:val="99"/>
                <w:kern w:val="2"/>
                <w:sz w:val="21"/>
                <w:szCs w:val="21"/>
                <w:highlight w:val="none"/>
                <w:lang w:eastAsia="zh-CN"/>
              </w:rPr>
              <w:t>泵</w:t>
            </w:r>
            <w:r>
              <w:rPr>
                <w:rFonts w:hint="eastAsia" w:ascii="宋体" w:hAnsi="宋体" w:cs="宋体"/>
                <w:color w:val="auto"/>
                <w:spacing w:val="2"/>
                <w:w w:val="99"/>
                <w:kern w:val="2"/>
                <w:sz w:val="21"/>
                <w:szCs w:val="21"/>
                <w:highlight w:val="none"/>
                <w:lang w:eastAsia="zh-CN"/>
              </w:rPr>
              <w:t>（</w:t>
            </w:r>
            <w:r>
              <w:rPr>
                <w:rFonts w:hint="eastAsia" w:ascii="宋体" w:hAnsi="宋体" w:cs="宋体"/>
                <w:color w:val="auto"/>
                <w:w w:val="99"/>
                <w:kern w:val="2"/>
                <w:sz w:val="21"/>
                <w:szCs w:val="21"/>
                <w:highlight w:val="none"/>
                <w:lang w:eastAsia="zh-CN"/>
              </w:rPr>
              <w:t>冷水</w:t>
            </w:r>
            <w:r>
              <w:rPr>
                <w:rFonts w:hint="eastAsia" w:ascii="宋体" w:hAnsi="宋体" w:cs="宋体"/>
                <w:color w:val="auto"/>
                <w:spacing w:val="-27"/>
                <w:w w:val="99"/>
                <w:kern w:val="2"/>
                <w:sz w:val="21"/>
                <w:szCs w:val="21"/>
                <w:highlight w:val="none"/>
                <w:lang w:eastAsia="zh-CN"/>
              </w:rPr>
              <w:t>）</w:t>
            </w:r>
            <w:r>
              <w:rPr>
                <w:rFonts w:hint="eastAsia" w:ascii="宋体" w:hAnsi="宋体" w:cs="宋体"/>
                <w:color w:val="auto"/>
                <w:w w:val="99"/>
                <w:kern w:val="2"/>
                <w:sz w:val="21"/>
                <w:szCs w:val="21"/>
                <w:highlight w:val="none"/>
                <w:lang w:eastAsia="zh-CN"/>
              </w:rPr>
              <w:t>机组</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效限定值及能</w:t>
            </w:r>
            <w:r>
              <w:rPr>
                <w:rFonts w:hint="eastAsia" w:ascii="宋体" w:hAnsi="宋体" w:cs="宋体"/>
                <w:color w:val="auto"/>
                <w:spacing w:val="2"/>
                <w:w w:val="99"/>
                <w:kern w:val="2"/>
                <w:sz w:val="21"/>
                <w:szCs w:val="21"/>
                <w:highlight w:val="none"/>
                <w:lang w:eastAsia="zh-CN"/>
              </w:rPr>
              <w:t>效</w:t>
            </w:r>
            <w:r>
              <w:rPr>
                <w:rFonts w:hint="eastAsia" w:ascii="宋体" w:hAnsi="宋体" w:cs="宋体"/>
                <w:color w:val="auto"/>
                <w:w w:val="99"/>
                <w:kern w:val="2"/>
                <w:sz w:val="21"/>
                <w:szCs w:val="21"/>
                <w:highlight w:val="none"/>
                <w:lang w:eastAsia="zh-CN"/>
              </w:rPr>
              <w:t>等级</w:t>
            </w:r>
            <w:r>
              <w:rPr>
                <w:rFonts w:hint="eastAsia" w:ascii="宋体" w:hAnsi="宋体" w:cs="宋体"/>
                <w:color w:val="auto"/>
                <w:spacing w:val="2"/>
                <w:w w:val="99"/>
                <w:kern w:val="2"/>
                <w:sz w:val="21"/>
                <w:szCs w:val="21"/>
                <w:highlight w:val="none"/>
                <w:lang w:eastAsia="zh-CN"/>
              </w:rPr>
              <w:t>》</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37</w:t>
            </w:r>
            <w:r>
              <w:rPr>
                <w:rFonts w:hint="eastAsia" w:ascii="宋体" w:hAnsi="宋体" w:cs="宋体"/>
                <w:color w:val="auto"/>
                <w:w w:val="99"/>
                <w:kern w:val="2"/>
                <w:sz w:val="21"/>
                <w:szCs w:val="21"/>
                <w:highlight w:val="none"/>
                <w:lang w:eastAsia="zh-CN"/>
              </w:rPr>
              <w:t>48</w:t>
            </w:r>
            <w:r>
              <w:rPr>
                <w:rFonts w:hint="eastAsia" w:ascii="宋体" w:hAnsi="宋体" w:cs="宋体"/>
                <w:color w:val="auto"/>
                <w:spacing w:val="-2"/>
                <w:w w:val="99"/>
                <w:kern w:val="2"/>
                <w:sz w:val="21"/>
                <w:szCs w:val="21"/>
                <w:highlight w:val="none"/>
                <w:lang w:eastAsia="zh-CN"/>
              </w:rPr>
              <w:t>0</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溴化锂吸收式冷水机组</w:t>
            </w:r>
          </w:p>
        </w:tc>
        <w:tc>
          <w:tcPr>
            <w:tcW w:w="356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93"/>
              <w:ind w:left="7"/>
              <w:rPr>
                <w:rFonts w:ascii="宋体" w:hAnsi="宋体" w:cs="宋体"/>
                <w:color w:val="auto"/>
                <w:w w:val="99"/>
                <w:kern w:val="2"/>
                <w:sz w:val="21"/>
                <w:szCs w:val="21"/>
                <w:highlight w:val="none"/>
                <w:lang w:eastAsia="zh-CN"/>
              </w:rPr>
            </w:pPr>
            <w:r>
              <w:rPr>
                <w:rFonts w:hint="eastAsia" w:ascii="宋体" w:hAnsi="宋体" w:cs="宋体"/>
                <w:color w:val="auto"/>
                <w:w w:val="99"/>
                <w:kern w:val="2"/>
                <w:sz w:val="21"/>
                <w:szCs w:val="21"/>
                <w:highlight w:val="none"/>
                <w:lang w:eastAsia="zh-CN"/>
              </w:rPr>
              <w:t>《溴化锂吸收式冷水机组能效限</w:t>
            </w:r>
          </w:p>
          <w:p>
            <w:pPr>
              <w:rPr>
                <w:rFonts w:ascii="宋体" w:hAnsi="宋体"/>
                <w:color w:val="auto"/>
                <w:szCs w:val="21"/>
                <w:highlight w:val="none"/>
              </w:rPr>
            </w:pPr>
            <w:r>
              <w:rPr>
                <w:rFonts w:hint="eastAsia" w:ascii="宋体" w:hAnsi="宋体" w:cs="宋体"/>
                <w:color w:val="auto"/>
                <w:w w:val="99"/>
                <w:szCs w:val="21"/>
                <w:highlight w:val="none"/>
              </w:rPr>
              <w:t>定值及能效等级》（GB29540）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spacing w:line="276" w:lineRule="auto"/>
              <w:ind w:right="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★A02052305空调机组</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4" w:line="276" w:lineRule="auto"/>
              <w:ind w:left="7" w:right="7"/>
              <w:jc w:val="center"/>
              <w:rPr>
                <w:rFonts w:ascii="宋体" w:hAnsi="宋体" w:cs="宋体"/>
                <w:color w:val="auto"/>
                <w:w w:val="99"/>
                <w:kern w:val="2"/>
                <w:sz w:val="21"/>
                <w:szCs w:val="21"/>
                <w:highlight w:val="none"/>
                <w:lang w:eastAsia="zh-CN"/>
              </w:rPr>
            </w:pPr>
            <w:r>
              <w:rPr>
                <w:rFonts w:hint="eastAsia" w:ascii="宋体" w:hAnsi="宋体" w:cs="宋体"/>
                <w:color w:val="auto"/>
                <w:w w:val="99"/>
                <w:kern w:val="2"/>
                <w:sz w:val="21"/>
                <w:szCs w:val="21"/>
                <w:highlight w:val="none"/>
                <w:lang w:eastAsia="zh-CN"/>
              </w:rPr>
              <w:t>多联式空调（热泵）机组（制冷量&gt;14000W）</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60" w:line="276" w:lineRule="auto"/>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《多联式空调（热泵）机组能效限定值及能源效率等级》（GB21454）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s="宋体"/>
                <w:color w:val="auto"/>
                <w:w w:val="99"/>
                <w:szCs w:val="21"/>
                <w:highlight w:val="none"/>
              </w:rPr>
              <w:t>单元式空气调节机</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rPr>
                <w:rFonts w:ascii="宋体" w:hAnsi="宋体"/>
                <w:color w:val="auto"/>
                <w:szCs w:val="21"/>
                <w:highlight w:val="none"/>
              </w:rPr>
            </w:pPr>
            <w:r>
              <w:rPr>
                <w:rFonts w:hint="eastAsia" w:ascii="宋体" w:hAnsi="宋体" w:cs="宋体"/>
                <w:color w:val="auto"/>
                <w:w w:val="99"/>
                <w:szCs w:val="21"/>
                <w:highlight w:val="none"/>
              </w:rPr>
              <w:t>《单元式空气调节机能效限定值及能效等级》（GB19576）《风管送风式空调机组能效限定值及能效等级》（GB37479）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83"/>
              <w:ind w:left="7"/>
              <w:jc w:val="center"/>
              <w:rPr>
                <w:rFonts w:ascii="宋体" w:hAnsi="宋体" w:cs="宋体"/>
                <w:color w:val="auto"/>
                <w:w w:val="99"/>
                <w:kern w:val="2"/>
                <w:sz w:val="21"/>
                <w:szCs w:val="21"/>
                <w:highlight w:val="none"/>
                <w:lang w:eastAsia="zh-CN"/>
              </w:rPr>
            </w:pPr>
            <w:r>
              <w:rPr>
                <w:rFonts w:hint="eastAsia" w:ascii="宋体" w:hAnsi="宋体" w:cs="宋体"/>
                <w:color w:val="auto"/>
                <w:w w:val="99"/>
                <w:kern w:val="2"/>
                <w:sz w:val="21"/>
                <w:szCs w:val="21"/>
                <w:highlight w:val="none"/>
                <w:lang w:eastAsia="zh-CN"/>
              </w:rPr>
              <w:t>★A02052309专用制冷、空调设备</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机房空调</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83"/>
              <w:ind w:left="7"/>
              <w:rPr>
                <w:rFonts w:ascii="宋体" w:hAnsi="宋体" w:cs="宋体"/>
                <w:color w:val="auto"/>
                <w:w w:val="99"/>
                <w:kern w:val="2"/>
                <w:sz w:val="21"/>
                <w:szCs w:val="21"/>
                <w:highlight w:val="none"/>
                <w:lang w:eastAsia="zh-CN"/>
              </w:rPr>
            </w:pPr>
            <w:r>
              <w:rPr>
                <w:rFonts w:hint="eastAsia" w:ascii="宋体" w:hAnsi="宋体" w:cs="宋体"/>
                <w:color w:val="auto"/>
                <w:w w:val="99"/>
                <w:kern w:val="2"/>
                <w:sz w:val="21"/>
                <w:szCs w:val="21"/>
                <w:highlight w:val="none"/>
                <w:lang w:eastAsia="zh-CN"/>
              </w:rPr>
              <w:t>《单元式空气调节机能效限定值</w:t>
            </w:r>
          </w:p>
          <w:p>
            <w:pPr>
              <w:pStyle w:val="125"/>
              <w:spacing w:before="83"/>
              <w:ind w:lef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及能效等级》（GB19576）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line="254" w:lineRule="exact"/>
              <w:ind w:left="7"/>
              <w:jc w:val="center"/>
              <w:rPr>
                <w:rFonts w:ascii="宋体" w:hAnsi="宋体" w:cs="宋体"/>
                <w:color w:val="auto"/>
                <w:w w:val="99"/>
                <w:kern w:val="2"/>
                <w:sz w:val="21"/>
                <w:szCs w:val="21"/>
                <w:highlight w:val="none"/>
              </w:rPr>
            </w:pPr>
            <w:r>
              <w:rPr>
                <w:rFonts w:hint="eastAsia" w:ascii="宋体" w:hAnsi="宋体" w:cs="宋体"/>
                <w:color w:val="auto"/>
                <w:w w:val="99"/>
                <w:kern w:val="2"/>
                <w:sz w:val="21"/>
                <w:szCs w:val="21"/>
                <w:highlight w:val="none"/>
              </w:rPr>
              <w:t>A02052399其他制冷</w:t>
            </w:r>
          </w:p>
          <w:p>
            <w:pPr>
              <w:pStyle w:val="125"/>
              <w:spacing w:line="254" w:lineRule="exact"/>
              <w:ind w:left="7"/>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空调设备</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宋体" w:hAnsi="宋体" w:cs="宋体"/>
                <w:color w:val="auto"/>
                <w:szCs w:val="21"/>
                <w:highlight w:val="none"/>
                <w:lang w:eastAsia="en-US"/>
              </w:rPr>
            </w:pPr>
            <w:r>
              <w:rPr>
                <w:rFonts w:hint="eastAsia" w:ascii="宋体" w:hAnsi="宋体" w:cs="宋体"/>
                <w:color w:val="auto"/>
                <w:w w:val="99"/>
                <w:szCs w:val="21"/>
                <w:highlight w:val="none"/>
              </w:rPr>
              <w:t>冷却塔</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line="254" w:lineRule="exact"/>
              <w:ind w:left="7"/>
              <w:rPr>
                <w:rFonts w:ascii="宋体" w:hAnsi="宋体" w:cs="宋体"/>
                <w:color w:val="auto"/>
                <w:w w:val="99"/>
                <w:kern w:val="2"/>
                <w:sz w:val="21"/>
                <w:szCs w:val="21"/>
                <w:highlight w:val="none"/>
                <w:lang w:eastAsia="zh-CN"/>
              </w:rPr>
            </w:pPr>
            <w:r>
              <w:rPr>
                <w:rFonts w:hint="eastAsia" w:ascii="宋体" w:hAnsi="宋体" w:cs="宋体"/>
                <w:color w:val="auto"/>
                <w:w w:val="99"/>
                <w:kern w:val="2"/>
                <w:sz w:val="21"/>
                <w:szCs w:val="21"/>
                <w:highlight w:val="none"/>
                <w:lang w:eastAsia="zh-CN"/>
              </w:rPr>
              <w:t>《机械通风冷却塔第1部分：中小型开式冷却塔》（GB/T7190.1）</w:t>
            </w:r>
          </w:p>
          <w:p>
            <w:pPr>
              <w:pStyle w:val="125"/>
              <w:spacing w:line="254" w:lineRule="exact"/>
              <w:ind w:lef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《机械通风冷却塔第2部分：大型开式冷却塔》（GB/T7190.2）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ind w:right="1"/>
              <w:jc w:val="center"/>
              <w:rPr>
                <w:rFonts w:ascii="宋体" w:hAnsi="宋体" w:cs="宋体"/>
                <w:color w:val="auto"/>
                <w:kern w:val="2"/>
                <w:sz w:val="21"/>
                <w:szCs w:val="21"/>
                <w:highlight w:val="none"/>
              </w:rPr>
            </w:pPr>
            <w:r>
              <w:rPr>
                <w:rFonts w:hint="eastAsia" w:ascii="宋体" w:hAnsi="宋体"/>
                <w:color w:val="auto"/>
                <w:w w:val="99"/>
                <w:kern w:val="2"/>
                <w:sz w:val="21"/>
                <w:szCs w:val="21"/>
                <w:highlight w:val="none"/>
              </w:rPr>
              <w:t>7</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A02060100</w:t>
            </w:r>
            <w:r>
              <w:rPr>
                <w:rFonts w:hint="eastAsia" w:ascii="宋体" w:hAnsi="宋体" w:cs="宋体"/>
                <w:color w:val="auto"/>
                <w:w w:val="99"/>
                <w:kern w:val="2"/>
                <w:sz w:val="21"/>
                <w:szCs w:val="21"/>
                <w:highlight w:val="none"/>
              </w:rPr>
              <w:t>电机</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line="276" w:lineRule="auto"/>
              <w:ind w:left="7" w:right="4"/>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《中小型三相异步电动机能效限定值及能效等级》（GB18613）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ind w:right="1"/>
              <w:jc w:val="center"/>
              <w:rPr>
                <w:rFonts w:ascii="宋体" w:hAnsi="宋体" w:cs="宋体"/>
                <w:color w:val="auto"/>
                <w:kern w:val="2"/>
                <w:sz w:val="21"/>
                <w:szCs w:val="21"/>
                <w:highlight w:val="none"/>
              </w:rPr>
            </w:pPr>
            <w:r>
              <w:rPr>
                <w:rFonts w:hint="eastAsia" w:ascii="宋体" w:hAnsi="宋体"/>
                <w:color w:val="auto"/>
                <w:w w:val="99"/>
                <w:kern w:val="2"/>
                <w:sz w:val="21"/>
                <w:szCs w:val="21"/>
                <w:highlight w:val="none"/>
              </w:rPr>
              <w:t>8</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30"/>
              <w:ind w:left="7"/>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A02060200</w:t>
            </w:r>
            <w:r>
              <w:rPr>
                <w:rFonts w:hint="eastAsia" w:ascii="宋体" w:hAnsi="宋体" w:cs="宋体"/>
                <w:color w:val="auto"/>
                <w:w w:val="99"/>
                <w:kern w:val="2"/>
                <w:sz w:val="21"/>
                <w:szCs w:val="21"/>
                <w:highlight w:val="none"/>
              </w:rPr>
              <w:t>变压</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配电变压器</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30"/>
              <w:ind w:lef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《三相配电变压器能效限定值及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ind w:right="1"/>
              <w:jc w:val="center"/>
              <w:rPr>
                <w:rFonts w:ascii="宋体" w:hAnsi="宋体" w:cs="宋体"/>
                <w:color w:val="auto"/>
                <w:kern w:val="2"/>
                <w:sz w:val="21"/>
                <w:szCs w:val="21"/>
                <w:highlight w:val="none"/>
              </w:rPr>
            </w:pPr>
            <w:r>
              <w:rPr>
                <w:rFonts w:hint="eastAsia" w:ascii="宋体" w:hAnsi="宋体"/>
                <w:color w:val="auto"/>
                <w:w w:val="99"/>
                <w:kern w:val="2"/>
                <w:sz w:val="21"/>
                <w:szCs w:val="21"/>
                <w:highlight w:val="none"/>
              </w:rPr>
              <w:t>9</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126"/>
              <w:ind w:left="7"/>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★A02060900镇流器</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管型荧光灯镇流器</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26"/>
              <w:ind w:lef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《管形荧光灯镇流器能效限定值及能效等级》（GB17896）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olor w:val="auto"/>
                <w:w w:val="99"/>
                <w:kern w:val="2"/>
                <w:sz w:val="21"/>
                <w:szCs w:val="21"/>
                <w:highlight w:val="none"/>
              </w:rPr>
              <w:t>10</w:t>
            </w:r>
          </w:p>
        </w:tc>
        <w:tc>
          <w:tcPr>
            <w:tcW w:w="14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A02061800生活用电器</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A02061801电冰箱</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26"/>
              <w:ind w:left="7"/>
              <w:rPr>
                <w:rFonts w:ascii="宋体" w:hAnsi="宋体" w:cs="宋体"/>
                <w:color w:val="auto"/>
                <w:w w:val="99"/>
                <w:kern w:val="2"/>
                <w:sz w:val="21"/>
                <w:szCs w:val="21"/>
                <w:highlight w:val="none"/>
                <w:lang w:eastAsia="zh-CN"/>
              </w:rPr>
            </w:pPr>
            <w:r>
              <w:rPr>
                <w:rFonts w:hint="eastAsia" w:ascii="宋体" w:hAnsi="宋体" w:cs="宋体"/>
                <w:color w:val="auto"/>
                <w:w w:val="99"/>
                <w:kern w:val="2"/>
                <w:sz w:val="21"/>
                <w:szCs w:val="21"/>
                <w:highlight w:val="none"/>
                <w:lang w:eastAsia="zh-CN"/>
              </w:rPr>
              <w:t>《家用电冰箱耗电量限定值及能效等级》（GB12021.2）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spacing w:before="171"/>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w:t>
            </w:r>
            <w:r>
              <w:rPr>
                <w:rFonts w:hint="eastAsia" w:ascii="宋体" w:hAnsi="宋体" w:cs="仿宋_GB2312"/>
                <w:color w:val="auto"/>
                <w:kern w:val="2"/>
                <w:sz w:val="21"/>
                <w:szCs w:val="21"/>
                <w:highlight w:val="none"/>
              </w:rPr>
              <w:t>A02061804</w:t>
            </w:r>
            <w:r>
              <w:rPr>
                <w:rFonts w:hint="eastAsia" w:ascii="宋体" w:hAnsi="宋体" w:cs="宋体"/>
                <w:color w:val="auto"/>
                <w:w w:val="99"/>
                <w:kern w:val="2"/>
                <w:sz w:val="21"/>
                <w:szCs w:val="21"/>
                <w:highlight w:val="none"/>
              </w:rPr>
              <w:t>空调机</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房间空气调节器</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line="256" w:lineRule="exact"/>
              <w:ind w:lef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《房间空气调节器能效限定值及能效等级》（GB21455-2019）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4" w:line="276" w:lineRule="auto"/>
              <w:ind w:left="7" w:right="7"/>
              <w:jc w:val="center"/>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多联式空调（热泵）机组（制冷量≤ 14000W）</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60" w:line="276" w:lineRule="auto"/>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《多联式空调（热泵）机组能效限定值及能源效率等级》（GB21454）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单元式空气调节机（制冷量≤ 14000W）</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4"/>
              <w:ind w:lef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《单元式空气调节机能效限定值及能源效率等级》（GB19576）《风管送风式空调机组能效限定值及能效等级》（GB37479）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162"/>
              <w:ind w:left="7"/>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A02061810</w:t>
            </w:r>
            <w:r>
              <w:rPr>
                <w:rFonts w:hint="eastAsia" w:ascii="宋体" w:hAnsi="宋体" w:cs="宋体"/>
                <w:color w:val="auto"/>
                <w:w w:val="99"/>
                <w:kern w:val="2"/>
                <w:sz w:val="21"/>
                <w:szCs w:val="21"/>
                <w:highlight w:val="none"/>
              </w:rPr>
              <w:t>洗衣机</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6" w:line="276" w:lineRule="auto"/>
              <w:ind w:left="7" w:right="4"/>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《电动洗衣机能效水效限定值及等级》（GB12021.4）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spacing w:before="161"/>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A02061819</w:t>
            </w:r>
            <w:r>
              <w:rPr>
                <w:rFonts w:hint="eastAsia" w:ascii="宋体" w:hAnsi="宋体" w:cs="宋体"/>
                <w:color w:val="auto"/>
                <w:w w:val="99"/>
                <w:kern w:val="2"/>
                <w:sz w:val="21"/>
                <w:szCs w:val="21"/>
                <w:highlight w:val="none"/>
              </w:rPr>
              <w:t>热水器</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★电热</w:t>
            </w:r>
            <w:r>
              <w:rPr>
                <w:rFonts w:hint="eastAsia" w:ascii="宋体" w:hAnsi="宋体" w:cs="宋体"/>
                <w:color w:val="auto"/>
                <w:spacing w:val="2"/>
                <w:w w:val="99"/>
                <w:kern w:val="2"/>
                <w:sz w:val="21"/>
                <w:szCs w:val="21"/>
                <w:highlight w:val="none"/>
              </w:rPr>
              <w:t>水</w:t>
            </w:r>
            <w:r>
              <w:rPr>
                <w:rFonts w:hint="eastAsia" w:ascii="宋体" w:hAnsi="宋体" w:cs="宋体"/>
                <w:color w:val="auto"/>
                <w:w w:val="99"/>
                <w:kern w:val="2"/>
                <w:sz w:val="21"/>
                <w:szCs w:val="21"/>
                <w:highlight w:val="none"/>
              </w:rPr>
              <w:t>器</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tabs>
                <w:tab w:val="left" w:pos="1608"/>
              </w:tabs>
              <w:spacing w:before="52"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《储水式电热水器能效</w:t>
            </w:r>
            <w:r>
              <w:rPr>
                <w:rFonts w:hint="eastAsia" w:ascii="宋体" w:hAnsi="宋体" w:cs="宋体"/>
                <w:color w:val="auto"/>
                <w:spacing w:val="9"/>
                <w:w w:val="99"/>
                <w:kern w:val="2"/>
                <w:sz w:val="21"/>
                <w:szCs w:val="21"/>
                <w:highlight w:val="none"/>
                <w:lang w:eastAsia="zh-CN"/>
              </w:rPr>
              <w:t>限</w:t>
            </w:r>
            <w:r>
              <w:rPr>
                <w:rFonts w:hint="eastAsia" w:ascii="宋体" w:hAnsi="宋体" w:cs="宋体"/>
                <w:color w:val="auto"/>
                <w:spacing w:val="12"/>
                <w:w w:val="99"/>
                <w:kern w:val="2"/>
                <w:sz w:val="21"/>
                <w:szCs w:val="21"/>
                <w:highlight w:val="none"/>
                <w:lang w:eastAsia="zh-CN"/>
              </w:rPr>
              <w:t>定值</w:t>
            </w:r>
            <w:r>
              <w:rPr>
                <w:rFonts w:hint="eastAsia" w:ascii="宋体" w:hAnsi="宋体" w:cs="宋体"/>
                <w:color w:val="auto"/>
                <w:w w:val="99"/>
                <w:kern w:val="2"/>
                <w:sz w:val="21"/>
                <w:szCs w:val="21"/>
                <w:highlight w:val="none"/>
                <w:lang w:eastAsia="zh-CN"/>
              </w:rPr>
              <w:t>及能效等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51</w:t>
            </w:r>
            <w:r>
              <w:rPr>
                <w:rFonts w:hint="eastAsia" w:ascii="宋体" w:hAnsi="宋体" w:cs="宋体"/>
                <w:color w:val="auto"/>
                <w:spacing w:val="1"/>
                <w:w w:val="99"/>
                <w:kern w:val="2"/>
                <w:sz w:val="21"/>
                <w:szCs w:val="21"/>
                <w:highlight w:val="none"/>
                <w:lang w:eastAsia="zh-CN"/>
              </w:rPr>
              <w:t>9</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燃气热</w:t>
            </w:r>
            <w:r>
              <w:rPr>
                <w:rFonts w:hint="eastAsia" w:ascii="宋体" w:hAnsi="宋体" w:cs="宋体"/>
                <w:color w:val="auto"/>
                <w:spacing w:val="2"/>
                <w:w w:val="99"/>
                <w:kern w:val="2"/>
                <w:sz w:val="21"/>
                <w:szCs w:val="21"/>
                <w:highlight w:val="none"/>
              </w:rPr>
              <w:t>水</w:t>
            </w:r>
            <w:r>
              <w:rPr>
                <w:rFonts w:hint="eastAsia" w:ascii="宋体" w:hAnsi="宋体" w:cs="宋体"/>
                <w:color w:val="auto"/>
                <w:w w:val="99"/>
                <w:kern w:val="2"/>
                <w:sz w:val="21"/>
                <w:szCs w:val="21"/>
                <w:highlight w:val="none"/>
              </w:rPr>
              <w:t>器</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4"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《家用燃气快速热水器</w:t>
            </w:r>
            <w:r>
              <w:rPr>
                <w:rFonts w:hint="eastAsia" w:ascii="宋体" w:hAnsi="宋体" w:cs="宋体"/>
                <w:color w:val="auto"/>
                <w:spacing w:val="9"/>
                <w:w w:val="99"/>
                <w:kern w:val="2"/>
                <w:sz w:val="21"/>
                <w:szCs w:val="21"/>
                <w:highlight w:val="none"/>
                <w:lang w:eastAsia="zh-CN"/>
              </w:rPr>
              <w:t>和</w:t>
            </w:r>
            <w:r>
              <w:rPr>
                <w:rFonts w:hint="eastAsia" w:ascii="宋体" w:hAnsi="宋体" w:cs="宋体"/>
                <w:color w:val="auto"/>
                <w:spacing w:val="12"/>
                <w:w w:val="99"/>
                <w:kern w:val="2"/>
                <w:sz w:val="21"/>
                <w:szCs w:val="21"/>
                <w:highlight w:val="none"/>
                <w:lang w:eastAsia="zh-CN"/>
              </w:rPr>
              <w:t>燃气</w:t>
            </w:r>
            <w:r>
              <w:rPr>
                <w:rFonts w:hint="eastAsia" w:ascii="宋体" w:hAnsi="宋体" w:cs="宋体"/>
                <w:color w:val="auto"/>
                <w:w w:val="99"/>
                <w:kern w:val="2"/>
                <w:sz w:val="21"/>
                <w:szCs w:val="21"/>
                <w:highlight w:val="none"/>
                <w:lang w:eastAsia="zh-CN"/>
              </w:rPr>
              <w:t>采暖热水</w:t>
            </w:r>
            <w:r>
              <w:rPr>
                <w:rFonts w:hint="eastAsia" w:ascii="宋体" w:hAnsi="宋体" w:cs="宋体"/>
                <w:color w:val="auto"/>
                <w:spacing w:val="2"/>
                <w:w w:val="99"/>
                <w:kern w:val="2"/>
                <w:sz w:val="21"/>
                <w:szCs w:val="21"/>
                <w:highlight w:val="none"/>
                <w:lang w:eastAsia="zh-CN"/>
              </w:rPr>
              <w:t>炉</w:t>
            </w:r>
            <w:r>
              <w:rPr>
                <w:rFonts w:hint="eastAsia" w:ascii="宋体" w:hAnsi="宋体" w:cs="宋体"/>
                <w:color w:val="auto"/>
                <w:w w:val="99"/>
                <w:kern w:val="2"/>
                <w:sz w:val="21"/>
                <w:szCs w:val="21"/>
                <w:highlight w:val="none"/>
                <w:lang w:eastAsia="zh-CN"/>
              </w:rPr>
              <w:t>能效</w:t>
            </w:r>
            <w:r>
              <w:rPr>
                <w:rFonts w:hint="eastAsia" w:ascii="宋体" w:hAnsi="宋体" w:cs="宋体"/>
                <w:color w:val="auto"/>
                <w:spacing w:val="2"/>
                <w:w w:val="99"/>
                <w:kern w:val="2"/>
                <w:sz w:val="21"/>
                <w:szCs w:val="21"/>
                <w:highlight w:val="none"/>
                <w:lang w:eastAsia="zh-CN"/>
              </w:rPr>
              <w:t>限</w:t>
            </w:r>
            <w:r>
              <w:rPr>
                <w:rFonts w:hint="eastAsia" w:ascii="宋体" w:hAnsi="宋体" w:cs="宋体"/>
                <w:color w:val="auto"/>
                <w:w w:val="99"/>
                <w:kern w:val="2"/>
                <w:sz w:val="21"/>
                <w:szCs w:val="21"/>
                <w:highlight w:val="none"/>
                <w:lang w:eastAsia="zh-CN"/>
              </w:rPr>
              <w:t>定值</w:t>
            </w:r>
            <w:r>
              <w:rPr>
                <w:rFonts w:hint="eastAsia" w:ascii="宋体" w:hAnsi="宋体" w:cs="宋体"/>
                <w:color w:val="auto"/>
                <w:spacing w:val="2"/>
                <w:w w:val="99"/>
                <w:kern w:val="2"/>
                <w:sz w:val="21"/>
                <w:szCs w:val="21"/>
                <w:highlight w:val="none"/>
                <w:lang w:eastAsia="zh-CN"/>
              </w:rPr>
              <w:t>及</w:t>
            </w:r>
            <w:r>
              <w:rPr>
                <w:rFonts w:hint="eastAsia" w:ascii="宋体" w:hAnsi="宋体" w:cs="宋体"/>
                <w:color w:val="auto"/>
                <w:w w:val="99"/>
                <w:kern w:val="2"/>
                <w:sz w:val="21"/>
                <w:szCs w:val="21"/>
                <w:highlight w:val="none"/>
                <w:lang w:eastAsia="zh-CN"/>
              </w:rPr>
              <w:t>能</w:t>
            </w:r>
            <w:r>
              <w:rPr>
                <w:rFonts w:hint="eastAsia" w:ascii="宋体" w:hAnsi="宋体" w:cs="宋体"/>
                <w:color w:val="auto"/>
                <w:spacing w:val="2"/>
                <w:w w:val="99"/>
                <w:kern w:val="2"/>
                <w:sz w:val="21"/>
                <w:szCs w:val="21"/>
                <w:highlight w:val="none"/>
                <w:lang w:eastAsia="zh-CN"/>
              </w:rPr>
              <w:t>效</w:t>
            </w:r>
            <w:r>
              <w:rPr>
                <w:rFonts w:hint="eastAsia" w:ascii="宋体" w:hAnsi="宋体" w:cs="宋体"/>
                <w:color w:val="auto"/>
                <w:w w:val="99"/>
                <w:kern w:val="2"/>
                <w:sz w:val="21"/>
                <w:szCs w:val="21"/>
                <w:highlight w:val="none"/>
                <w:lang w:eastAsia="zh-CN"/>
              </w:rPr>
              <w:t>等级》（</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w:t>
            </w:r>
            <w:r>
              <w:rPr>
                <w:rFonts w:hint="eastAsia" w:ascii="宋体" w:hAnsi="宋体" w:cs="宋体"/>
                <w:color w:val="auto"/>
                <w:w w:val="99"/>
                <w:kern w:val="2"/>
                <w:sz w:val="21"/>
                <w:szCs w:val="21"/>
                <w:highlight w:val="none"/>
                <w:lang w:eastAsia="zh-CN"/>
              </w:rPr>
              <w:t>06</w:t>
            </w:r>
            <w:r>
              <w:rPr>
                <w:rFonts w:hint="eastAsia" w:ascii="宋体" w:hAnsi="宋体" w:cs="宋体"/>
                <w:color w:val="auto"/>
                <w:spacing w:val="1"/>
                <w:w w:val="99"/>
                <w:kern w:val="2"/>
                <w:sz w:val="21"/>
                <w:szCs w:val="21"/>
                <w:highlight w:val="none"/>
                <w:lang w:eastAsia="zh-CN"/>
              </w:rPr>
              <w:t>65</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热泵热</w:t>
            </w:r>
            <w:r>
              <w:rPr>
                <w:rFonts w:hint="eastAsia" w:ascii="宋体" w:hAnsi="宋体" w:cs="宋体"/>
                <w:color w:val="auto"/>
                <w:spacing w:val="2"/>
                <w:w w:val="99"/>
                <w:kern w:val="2"/>
                <w:sz w:val="21"/>
                <w:szCs w:val="21"/>
                <w:highlight w:val="none"/>
              </w:rPr>
              <w:t>水</w:t>
            </w:r>
            <w:r>
              <w:rPr>
                <w:rFonts w:hint="eastAsia" w:ascii="宋体" w:hAnsi="宋体" w:cs="宋体"/>
                <w:color w:val="auto"/>
                <w:w w:val="99"/>
                <w:kern w:val="2"/>
                <w:sz w:val="21"/>
                <w:szCs w:val="21"/>
                <w:highlight w:val="none"/>
              </w:rPr>
              <w:t>器</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93" w:line="276" w:lineRule="auto"/>
              <w:ind w:left="7" w:righ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《热泵</w:t>
            </w:r>
            <w:r>
              <w:rPr>
                <w:rFonts w:hint="eastAsia" w:ascii="宋体" w:hAnsi="宋体" w:cs="宋体"/>
                <w:color w:val="auto"/>
                <w:spacing w:val="2"/>
                <w:w w:val="99"/>
                <w:kern w:val="2"/>
                <w:sz w:val="21"/>
                <w:szCs w:val="21"/>
                <w:highlight w:val="none"/>
                <w:lang w:eastAsia="zh-CN"/>
              </w:rPr>
              <w:t>热</w:t>
            </w:r>
            <w:r>
              <w:rPr>
                <w:rFonts w:hint="eastAsia" w:ascii="宋体" w:hAnsi="宋体" w:cs="宋体"/>
                <w:color w:val="auto"/>
                <w:w w:val="99"/>
                <w:kern w:val="2"/>
                <w:sz w:val="21"/>
                <w:szCs w:val="21"/>
                <w:highlight w:val="none"/>
                <w:lang w:eastAsia="zh-CN"/>
              </w:rPr>
              <w:t>水</w:t>
            </w:r>
            <w:r>
              <w:rPr>
                <w:rFonts w:hint="eastAsia" w:ascii="宋体" w:hAnsi="宋体" w:cs="宋体"/>
                <w:color w:val="auto"/>
                <w:spacing w:val="-27"/>
                <w:w w:val="99"/>
                <w:kern w:val="2"/>
                <w:sz w:val="21"/>
                <w:szCs w:val="21"/>
                <w:highlight w:val="none"/>
                <w:lang w:eastAsia="zh-CN"/>
              </w:rPr>
              <w:t>机</w:t>
            </w:r>
            <w:r>
              <w:rPr>
                <w:rFonts w:hint="eastAsia" w:ascii="宋体" w:hAnsi="宋体" w:cs="宋体"/>
                <w:color w:val="auto"/>
                <w:w w:val="99"/>
                <w:kern w:val="2"/>
                <w:sz w:val="21"/>
                <w:szCs w:val="21"/>
                <w:highlight w:val="none"/>
                <w:lang w:eastAsia="zh-CN"/>
              </w:rPr>
              <w:t>（器</w:t>
            </w:r>
            <w:r>
              <w:rPr>
                <w:rFonts w:hint="eastAsia" w:ascii="宋体" w:hAnsi="宋体" w:cs="宋体"/>
                <w:color w:val="auto"/>
                <w:spacing w:val="-27"/>
                <w:w w:val="99"/>
                <w:kern w:val="2"/>
                <w:sz w:val="21"/>
                <w:szCs w:val="21"/>
                <w:highlight w:val="none"/>
                <w:lang w:eastAsia="zh-CN"/>
              </w:rPr>
              <w:t>）</w:t>
            </w:r>
            <w:r>
              <w:rPr>
                <w:rFonts w:hint="eastAsia" w:ascii="宋体" w:hAnsi="宋体" w:cs="宋体"/>
                <w:color w:val="auto"/>
                <w:w w:val="99"/>
                <w:kern w:val="2"/>
                <w:sz w:val="21"/>
                <w:szCs w:val="21"/>
                <w:highlight w:val="none"/>
                <w:lang w:eastAsia="zh-CN"/>
              </w:rPr>
              <w:t>能效</w:t>
            </w:r>
            <w:r>
              <w:rPr>
                <w:rFonts w:hint="eastAsia" w:ascii="宋体" w:hAnsi="宋体" w:cs="宋体"/>
                <w:color w:val="auto"/>
                <w:spacing w:val="2"/>
                <w:w w:val="99"/>
                <w:kern w:val="2"/>
                <w:sz w:val="21"/>
                <w:szCs w:val="21"/>
                <w:highlight w:val="none"/>
                <w:lang w:eastAsia="zh-CN"/>
              </w:rPr>
              <w:t>限</w:t>
            </w:r>
            <w:r>
              <w:rPr>
                <w:rFonts w:hint="eastAsia" w:ascii="宋体" w:hAnsi="宋体" w:cs="宋体"/>
                <w:color w:val="auto"/>
                <w:w w:val="99"/>
                <w:kern w:val="2"/>
                <w:sz w:val="21"/>
                <w:szCs w:val="21"/>
                <w:highlight w:val="none"/>
                <w:lang w:eastAsia="zh-CN"/>
              </w:rPr>
              <w:t>定值及能效等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295</w:t>
            </w:r>
            <w:r>
              <w:rPr>
                <w:rFonts w:hint="eastAsia" w:ascii="宋体" w:hAnsi="宋体" w:cs="宋体"/>
                <w:color w:val="auto"/>
                <w:w w:val="99"/>
                <w:kern w:val="2"/>
                <w:sz w:val="21"/>
                <w:szCs w:val="21"/>
                <w:highlight w:val="none"/>
                <w:lang w:eastAsia="zh-CN"/>
              </w:rPr>
              <w:t>4</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太阳能</w:t>
            </w:r>
            <w:r>
              <w:rPr>
                <w:rFonts w:hint="eastAsia" w:ascii="宋体" w:hAnsi="宋体" w:cs="宋体"/>
                <w:color w:val="auto"/>
                <w:spacing w:val="2"/>
                <w:w w:val="99"/>
                <w:kern w:val="2"/>
                <w:sz w:val="21"/>
                <w:szCs w:val="21"/>
                <w:highlight w:val="none"/>
              </w:rPr>
              <w:t>热</w:t>
            </w:r>
            <w:r>
              <w:rPr>
                <w:rFonts w:hint="eastAsia" w:ascii="宋体" w:hAnsi="宋体" w:cs="宋体"/>
                <w:color w:val="auto"/>
                <w:w w:val="99"/>
                <w:kern w:val="2"/>
                <w:sz w:val="21"/>
                <w:szCs w:val="21"/>
                <w:highlight w:val="none"/>
              </w:rPr>
              <w:t>水系统</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2"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《家用太阳能热水系统</w:t>
            </w:r>
            <w:r>
              <w:rPr>
                <w:rFonts w:hint="eastAsia" w:ascii="宋体" w:hAnsi="宋体" w:cs="宋体"/>
                <w:color w:val="auto"/>
                <w:spacing w:val="9"/>
                <w:w w:val="99"/>
                <w:kern w:val="2"/>
                <w:sz w:val="21"/>
                <w:szCs w:val="21"/>
                <w:highlight w:val="none"/>
                <w:lang w:eastAsia="zh-CN"/>
              </w:rPr>
              <w:t>能</w:t>
            </w:r>
            <w:r>
              <w:rPr>
                <w:rFonts w:hint="eastAsia" w:ascii="宋体" w:hAnsi="宋体" w:cs="宋体"/>
                <w:color w:val="auto"/>
                <w:spacing w:val="12"/>
                <w:w w:val="99"/>
                <w:kern w:val="2"/>
                <w:sz w:val="21"/>
                <w:szCs w:val="21"/>
                <w:highlight w:val="none"/>
                <w:lang w:eastAsia="zh-CN"/>
              </w:rPr>
              <w:t>效限</w:t>
            </w:r>
            <w:r>
              <w:rPr>
                <w:rFonts w:hint="eastAsia" w:ascii="宋体" w:hAnsi="宋体" w:cs="宋体"/>
                <w:color w:val="auto"/>
                <w:w w:val="99"/>
                <w:kern w:val="2"/>
                <w:sz w:val="21"/>
                <w:szCs w:val="21"/>
                <w:highlight w:val="none"/>
                <w:lang w:eastAsia="zh-CN"/>
              </w:rPr>
              <w:t>定值及能</w:t>
            </w:r>
            <w:r>
              <w:rPr>
                <w:rFonts w:hint="eastAsia" w:ascii="宋体" w:hAnsi="宋体" w:cs="宋体"/>
                <w:color w:val="auto"/>
                <w:spacing w:val="2"/>
                <w:w w:val="99"/>
                <w:kern w:val="2"/>
                <w:sz w:val="21"/>
                <w:szCs w:val="21"/>
                <w:highlight w:val="none"/>
                <w:lang w:eastAsia="zh-CN"/>
              </w:rPr>
              <w:t>效</w:t>
            </w:r>
            <w:r>
              <w:rPr>
                <w:rFonts w:hint="eastAsia" w:ascii="宋体" w:hAnsi="宋体" w:cs="宋体"/>
                <w:color w:val="auto"/>
                <w:w w:val="99"/>
                <w:kern w:val="2"/>
                <w:sz w:val="21"/>
                <w:szCs w:val="21"/>
                <w:highlight w:val="none"/>
                <w:lang w:eastAsia="zh-CN"/>
              </w:rPr>
              <w:t>等级</w:t>
            </w:r>
            <w:r>
              <w:rPr>
                <w:rFonts w:hint="eastAsia" w:ascii="宋体" w:hAnsi="宋体" w:cs="宋体"/>
                <w:color w:val="auto"/>
                <w:spacing w:val="2"/>
                <w:w w:val="99"/>
                <w:kern w:val="2"/>
                <w:sz w:val="21"/>
                <w:szCs w:val="21"/>
                <w:highlight w:val="none"/>
                <w:lang w:eastAsia="zh-CN"/>
              </w:rPr>
              <w:t>》</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26</w:t>
            </w:r>
            <w:r>
              <w:rPr>
                <w:rFonts w:hint="eastAsia" w:ascii="宋体" w:hAnsi="宋体" w:cs="宋体"/>
                <w:color w:val="auto"/>
                <w:w w:val="99"/>
                <w:kern w:val="2"/>
                <w:sz w:val="21"/>
                <w:szCs w:val="21"/>
                <w:highlight w:val="none"/>
                <w:lang w:eastAsia="zh-CN"/>
              </w:rPr>
              <w:t>96</w:t>
            </w:r>
            <w:r>
              <w:rPr>
                <w:rFonts w:hint="eastAsia" w:ascii="宋体" w:hAnsi="宋体" w:cs="宋体"/>
                <w:color w:val="auto"/>
                <w:spacing w:val="-2"/>
                <w:w w:val="99"/>
                <w:kern w:val="2"/>
                <w:sz w:val="21"/>
                <w:szCs w:val="21"/>
                <w:highlight w:val="none"/>
                <w:lang w:eastAsia="zh-CN"/>
              </w:rPr>
              <w:t>9</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olor w:val="auto"/>
                <w:spacing w:val="1"/>
                <w:w w:val="99"/>
                <w:kern w:val="2"/>
                <w:sz w:val="21"/>
                <w:szCs w:val="21"/>
                <w:highlight w:val="none"/>
              </w:rPr>
              <w:t>1</w:t>
            </w:r>
            <w:r>
              <w:rPr>
                <w:rFonts w:hint="eastAsia" w:ascii="宋体" w:hAnsi="宋体"/>
                <w:color w:val="auto"/>
                <w:w w:val="99"/>
                <w:kern w:val="2"/>
                <w:sz w:val="21"/>
                <w:szCs w:val="21"/>
                <w:highlight w:val="none"/>
              </w:rPr>
              <w:t>1</w:t>
            </w:r>
          </w:p>
        </w:tc>
        <w:tc>
          <w:tcPr>
            <w:tcW w:w="14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spacing w:before="157"/>
              <w:jc w:val="center"/>
              <w:rPr>
                <w:rFonts w:ascii="宋体" w:hAnsi="宋体" w:cs="宋体"/>
                <w:color w:val="auto"/>
                <w:kern w:val="2"/>
                <w:sz w:val="21"/>
                <w:szCs w:val="21"/>
                <w:highlight w:val="none"/>
              </w:rPr>
            </w:pPr>
            <w:r>
              <w:rPr>
                <w:rFonts w:hint="eastAsia" w:ascii="宋体" w:hAnsi="宋体" w:cs="宋体"/>
                <w:color w:val="auto"/>
                <w:spacing w:val="1"/>
                <w:w w:val="99"/>
                <w:kern w:val="2"/>
                <w:sz w:val="21"/>
                <w:szCs w:val="21"/>
                <w:highlight w:val="none"/>
              </w:rPr>
              <w:t>A02</w:t>
            </w:r>
            <w:r>
              <w:rPr>
                <w:rFonts w:hint="eastAsia" w:ascii="宋体" w:hAnsi="宋体" w:cs="宋体"/>
                <w:color w:val="auto"/>
                <w:w w:val="99"/>
                <w:kern w:val="2"/>
                <w:sz w:val="21"/>
                <w:szCs w:val="21"/>
                <w:highlight w:val="none"/>
              </w:rPr>
              <w:t>06</w:t>
            </w:r>
            <w:r>
              <w:rPr>
                <w:rFonts w:hint="eastAsia" w:ascii="宋体" w:hAnsi="宋体" w:cs="宋体"/>
                <w:color w:val="auto"/>
                <w:spacing w:val="1"/>
                <w:w w:val="99"/>
                <w:kern w:val="2"/>
                <w:sz w:val="21"/>
                <w:szCs w:val="21"/>
                <w:highlight w:val="none"/>
              </w:rPr>
              <w:t>1</w:t>
            </w:r>
            <w:r>
              <w:rPr>
                <w:rFonts w:hint="eastAsia" w:ascii="宋体" w:hAnsi="宋体" w:cs="宋体"/>
                <w:color w:val="auto"/>
                <w:w w:val="99"/>
                <w:kern w:val="2"/>
                <w:sz w:val="21"/>
                <w:szCs w:val="21"/>
                <w:highlight w:val="none"/>
              </w:rPr>
              <w:t>900照明设备</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133" w:line="276" w:lineRule="auto"/>
              <w:ind w:left="7" w:right="7"/>
              <w:jc w:val="center"/>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★通照明用</w:t>
            </w:r>
            <w:r>
              <w:rPr>
                <w:rFonts w:hint="eastAsia" w:ascii="宋体" w:hAnsi="宋体" w:cs="宋体"/>
                <w:color w:val="auto"/>
                <w:w w:val="99"/>
                <w:kern w:val="2"/>
                <w:sz w:val="21"/>
                <w:szCs w:val="21"/>
                <w:highlight w:val="none"/>
                <w:lang w:val="en-US" w:eastAsia="zh-CN"/>
              </w:rPr>
              <w:t>双</w:t>
            </w:r>
            <w:r>
              <w:rPr>
                <w:rFonts w:hint="eastAsia" w:ascii="宋体" w:hAnsi="宋体" w:cs="宋体"/>
                <w:color w:val="auto"/>
                <w:w w:val="99"/>
                <w:kern w:val="2"/>
                <w:sz w:val="21"/>
                <w:szCs w:val="21"/>
                <w:highlight w:val="none"/>
                <w:lang w:eastAsia="zh-CN"/>
              </w:rPr>
              <w:t>端荧光灯</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33"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《普通照明用双端荧光</w:t>
            </w:r>
            <w:r>
              <w:rPr>
                <w:rFonts w:hint="eastAsia" w:ascii="宋体" w:hAnsi="宋体" w:cs="宋体"/>
                <w:color w:val="auto"/>
                <w:spacing w:val="9"/>
                <w:w w:val="99"/>
                <w:kern w:val="2"/>
                <w:sz w:val="21"/>
                <w:szCs w:val="21"/>
                <w:highlight w:val="none"/>
                <w:lang w:eastAsia="zh-CN"/>
              </w:rPr>
              <w:t>灯</w:t>
            </w:r>
            <w:r>
              <w:rPr>
                <w:rFonts w:hint="eastAsia" w:ascii="宋体" w:hAnsi="宋体" w:cs="宋体"/>
                <w:color w:val="auto"/>
                <w:spacing w:val="12"/>
                <w:w w:val="99"/>
                <w:kern w:val="2"/>
                <w:sz w:val="21"/>
                <w:szCs w:val="21"/>
                <w:highlight w:val="none"/>
                <w:lang w:eastAsia="zh-CN"/>
              </w:rPr>
              <w:t>能效</w:t>
            </w:r>
            <w:r>
              <w:rPr>
                <w:rFonts w:hint="eastAsia" w:ascii="宋体" w:hAnsi="宋体" w:cs="宋体"/>
                <w:color w:val="auto"/>
                <w:w w:val="99"/>
                <w:kern w:val="2"/>
                <w:sz w:val="21"/>
                <w:szCs w:val="21"/>
                <w:highlight w:val="none"/>
                <w:lang w:eastAsia="zh-CN"/>
              </w:rPr>
              <w:t>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19</w:t>
            </w:r>
            <w:r>
              <w:rPr>
                <w:rFonts w:hint="eastAsia" w:ascii="宋体" w:hAnsi="宋体" w:cs="宋体"/>
                <w:color w:val="auto"/>
                <w:w w:val="99"/>
                <w:kern w:val="2"/>
                <w:sz w:val="21"/>
                <w:szCs w:val="21"/>
                <w:highlight w:val="none"/>
                <w:lang w:eastAsia="zh-CN"/>
              </w:rPr>
              <w:t>04</w:t>
            </w:r>
            <w:r>
              <w:rPr>
                <w:rFonts w:hint="eastAsia" w:ascii="宋体" w:hAnsi="宋体" w:cs="宋体"/>
                <w:color w:val="auto"/>
                <w:spacing w:val="1"/>
                <w:w w:val="99"/>
                <w:kern w:val="2"/>
                <w:sz w:val="21"/>
                <w:szCs w:val="21"/>
                <w:highlight w:val="none"/>
                <w:lang w:eastAsia="zh-CN"/>
              </w:rPr>
              <w:t>3</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92" w:line="276" w:lineRule="auto"/>
              <w:ind w:left="7" w:right="2"/>
              <w:jc w:val="center"/>
              <w:rPr>
                <w:rFonts w:ascii="宋体" w:hAnsi="宋体" w:cs="宋体"/>
                <w:color w:val="auto"/>
                <w:kern w:val="2"/>
                <w:sz w:val="21"/>
                <w:szCs w:val="21"/>
                <w:highlight w:val="none"/>
              </w:rPr>
            </w:pPr>
            <w:r>
              <w:rPr>
                <w:rFonts w:hint="eastAsia" w:ascii="宋体" w:hAnsi="宋体" w:cs="宋体"/>
                <w:color w:val="auto"/>
                <w:spacing w:val="1"/>
                <w:w w:val="99"/>
                <w:kern w:val="2"/>
                <w:sz w:val="21"/>
                <w:szCs w:val="21"/>
                <w:highlight w:val="none"/>
              </w:rPr>
              <w:t>LE</w:t>
            </w:r>
            <w:r>
              <w:rPr>
                <w:rFonts w:hint="eastAsia" w:ascii="宋体" w:hAnsi="宋体" w:cs="宋体"/>
                <w:color w:val="auto"/>
                <w:w w:val="99"/>
                <w:kern w:val="2"/>
                <w:sz w:val="21"/>
                <w:szCs w:val="21"/>
                <w:highlight w:val="none"/>
              </w:rPr>
              <w:t>D</w:t>
            </w:r>
            <w:r>
              <w:rPr>
                <w:rFonts w:hint="eastAsia" w:ascii="宋体" w:hAnsi="宋体" w:cs="宋体"/>
                <w:color w:val="auto"/>
                <w:spacing w:val="12"/>
                <w:w w:val="99"/>
                <w:kern w:val="2"/>
                <w:sz w:val="21"/>
                <w:szCs w:val="21"/>
                <w:highlight w:val="none"/>
              </w:rPr>
              <w:t>道</w:t>
            </w:r>
            <w:r>
              <w:rPr>
                <w:rFonts w:hint="eastAsia" w:ascii="宋体" w:hAnsi="宋体" w:cs="宋体"/>
                <w:color w:val="auto"/>
                <w:spacing w:val="9"/>
                <w:w w:val="99"/>
                <w:kern w:val="2"/>
                <w:sz w:val="21"/>
                <w:szCs w:val="21"/>
                <w:highlight w:val="none"/>
              </w:rPr>
              <w:t>路</w:t>
            </w:r>
            <w:r>
              <w:rPr>
                <w:rFonts w:hint="eastAsia" w:ascii="宋体" w:hAnsi="宋体" w:cs="宋体"/>
                <w:color w:val="auto"/>
                <w:spacing w:val="13"/>
                <w:w w:val="99"/>
                <w:kern w:val="2"/>
                <w:sz w:val="21"/>
                <w:szCs w:val="21"/>
                <w:highlight w:val="none"/>
              </w:rPr>
              <w:t>/</w:t>
            </w:r>
            <w:r>
              <w:rPr>
                <w:rFonts w:hint="eastAsia" w:ascii="宋体" w:hAnsi="宋体" w:cs="宋体"/>
                <w:color w:val="auto"/>
                <w:spacing w:val="12"/>
                <w:w w:val="99"/>
                <w:kern w:val="2"/>
                <w:sz w:val="21"/>
                <w:szCs w:val="21"/>
                <w:highlight w:val="none"/>
              </w:rPr>
              <w:t>隧道照</w:t>
            </w:r>
            <w:r>
              <w:rPr>
                <w:rFonts w:hint="eastAsia" w:ascii="宋体" w:hAnsi="宋体" w:cs="宋体"/>
                <w:color w:val="auto"/>
                <w:w w:val="99"/>
                <w:kern w:val="2"/>
                <w:sz w:val="21"/>
                <w:szCs w:val="21"/>
                <w:highlight w:val="none"/>
              </w:rPr>
              <w:t>明产品</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92" w:line="276" w:lineRule="auto"/>
              <w:ind w:left="7" w:right="7"/>
              <w:rPr>
                <w:rFonts w:ascii="宋体" w:hAnsi="宋体" w:cs="宋体"/>
                <w:color w:val="auto"/>
                <w:kern w:val="2"/>
                <w:sz w:val="21"/>
                <w:szCs w:val="21"/>
                <w:highlight w:val="none"/>
                <w:lang w:eastAsia="zh-CN"/>
              </w:rPr>
            </w:pPr>
            <w:r>
              <w:rPr>
                <w:rFonts w:hint="eastAsia" w:ascii="宋体" w:hAnsi="宋体" w:cs="宋体"/>
                <w:color w:val="auto"/>
                <w:spacing w:val="4"/>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道</w:t>
            </w:r>
            <w:r>
              <w:rPr>
                <w:rFonts w:hint="eastAsia" w:ascii="宋体" w:hAnsi="宋体" w:cs="宋体"/>
                <w:color w:val="auto"/>
                <w:spacing w:val="4"/>
                <w:w w:val="99"/>
                <w:kern w:val="2"/>
                <w:sz w:val="21"/>
                <w:szCs w:val="21"/>
                <w:highlight w:val="none"/>
                <w:lang w:eastAsia="zh-CN"/>
              </w:rPr>
              <w:t>路和隧道照</w:t>
            </w:r>
            <w:r>
              <w:rPr>
                <w:rFonts w:hint="eastAsia" w:ascii="宋体" w:hAnsi="宋体" w:cs="宋体"/>
                <w:color w:val="auto"/>
                <w:spacing w:val="2"/>
                <w:w w:val="99"/>
                <w:kern w:val="2"/>
                <w:sz w:val="21"/>
                <w:szCs w:val="21"/>
                <w:highlight w:val="none"/>
                <w:lang w:eastAsia="zh-CN"/>
              </w:rPr>
              <w:t>明</w:t>
            </w:r>
            <w:r>
              <w:rPr>
                <w:rFonts w:hint="eastAsia" w:ascii="宋体" w:hAnsi="宋体" w:cs="宋体"/>
                <w:color w:val="auto"/>
                <w:w w:val="99"/>
                <w:kern w:val="2"/>
                <w:sz w:val="21"/>
                <w:szCs w:val="21"/>
                <w:highlight w:val="none"/>
                <w:lang w:eastAsia="zh-CN"/>
              </w:rPr>
              <w:t>用</w:t>
            </w:r>
            <w:r>
              <w:rPr>
                <w:rFonts w:hint="eastAsia" w:ascii="宋体" w:hAnsi="宋体" w:cs="宋体"/>
                <w:color w:val="auto"/>
                <w:spacing w:val="1"/>
                <w:w w:val="99"/>
                <w:kern w:val="2"/>
                <w:sz w:val="21"/>
                <w:szCs w:val="21"/>
                <w:highlight w:val="none"/>
                <w:lang w:eastAsia="zh-CN"/>
              </w:rPr>
              <w:t>LE</w:t>
            </w:r>
            <w:r>
              <w:rPr>
                <w:rFonts w:hint="eastAsia" w:ascii="宋体" w:hAnsi="宋体" w:cs="宋体"/>
                <w:color w:val="auto"/>
                <w:w w:val="99"/>
                <w:kern w:val="2"/>
                <w:sz w:val="21"/>
                <w:szCs w:val="21"/>
                <w:highlight w:val="none"/>
                <w:lang w:eastAsia="zh-CN"/>
              </w:rPr>
              <w:t>D</w:t>
            </w:r>
            <w:r>
              <w:rPr>
                <w:rFonts w:hint="eastAsia" w:ascii="宋体" w:hAnsi="宋体" w:cs="宋体"/>
                <w:color w:val="auto"/>
                <w:spacing w:val="4"/>
                <w:w w:val="99"/>
                <w:kern w:val="2"/>
                <w:sz w:val="21"/>
                <w:szCs w:val="21"/>
                <w:highlight w:val="none"/>
                <w:lang w:eastAsia="zh-CN"/>
              </w:rPr>
              <w:t>灯</w:t>
            </w:r>
            <w:r>
              <w:rPr>
                <w:rFonts w:hint="eastAsia" w:ascii="宋体" w:hAnsi="宋体" w:cs="宋体"/>
                <w:color w:val="auto"/>
                <w:spacing w:val="2"/>
                <w:w w:val="99"/>
                <w:kern w:val="2"/>
                <w:sz w:val="21"/>
                <w:szCs w:val="21"/>
                <w:highlight w:val="none"/>
                <w:lang w:eastAsia="zh-CN"/>
              </w:rPr>
              <w:t>具</w:t>
            </w:r>
            <w:r>
              <w:rPr>
                <w:rFonts w:hint="eastAsia" w:ascii="宋体" w:hAnsi="宋体" w:cs="宋体"/>
                <w:color w:val="auto"/>
                <w:w w:val="99"/>
                <w:kern w:val="2"/>
                <w:sz w:val="21"/>
                <w:szCs w:val="21"/>
                <w:highlight w:val="none"/>
                <w:lang w:eastAsia="zh-CN"/>
              </w:rPr>
              <w:t>能效限定</w:t>
            </w:r>
            <w:r>
              <w:rPr>
                <w:rFonts w:hint="eastAsia" w:ascii="宋体" w:hAnsi="宋体" w:cs="宋体"/>
                <w:color w:val="auto"/>
                <w:spacing w:val="2"/>
                <w:w w:val="99"/>
                <w:kern w:val="2"/>
                <w:sz w:val="21"/>
                <w:szCs w:val="21"/>
                <w:highlight w:val="none"/>
                <w:lang w:eastAsia="zh-CN"/>
              </w:rPr>
              <w:t>值</w:t>
            </w:r>
            <w:r>
              <w:rPr>
                <w:rFonts w:hint="eastAsia" w:ascii="宋体" w:hAnsi="宋体" w:cs="宋体"/>
                <w:color w:val="auto"/>
                <w:w w:val="99"/>
                <w:kern w:val="2"/>
                <w:sz w:val="21"/>
                <w:szCs w:val="21"/>
                <w:highlight w:val="none"/>
                <w:lang w:eastAsia="zh-CN"/>
              </w:rPr>
              <w:t>及能</w:t>
            </w:r>
            <w:r>
              <w:rPr>
                <w:rFonts w:hint="eastAsia" w:ascii="宋体" w:hAnsi="宋体" w:cs="宋体"/>
                <w:color w:val="auto"/>
                <w:spacing w:val="2"/>
                <w:w w:val="99"/>
                <w:kern w:val="2"/>
                <w:sz w:val="21"/>
                <w:szCs w:val="21"/>
                <w:highlight w:val="none"/>
                <w:lang w:eastAsia="zh-CN"/>
              </w:rPr>
              <w:t>效</w:t>
            </w:r>
            <w:r>
              <w:rPr>
                <w:rFonts w:hint="eastAsia" w:ascii="宋体" w:hAnsi="宋体" w:cs="宋体"/>
                <w:color w:val="auto"/>
                <w:w w:val="99"/>
                <w:kern w:val="2"/>
                <w:sz w:val="21"/>
                <w:szCs w:val="21"/>
                <w:highlight w:val="none"/>
                <w:lang w:eastAsia="zh-CN"/>
              </w:rPr>
              <w:t>等级</w:t>
            </w:r>
            <w:r>
              <w:rPr>
                <w:rFonts w:hint="eastAsia" w:ascii="宋体" w:hAnsi="宋体" w:cs="宋体"/>
                <w:color w:val="auto"/>
                <w:spacing w:val="-106"/>
                <w:w w:val="99"/>
                <w:kern w:val="2"/>
                <w:sz w:val="21"/>
                <w:szCs w:val="21"/>
                <w:highlight w:val="none"/>
                <w:lang w:eastAsia="zh-CN"/>
              </w:rPr>
              <w:t>》</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3747</w:t>
            </w:r>
            <w:r>
              <w:rPr>
                <w:rFonts w:hint="eastAsia" w:ascii="宋体" w:hAnsi="宋体" w:cs="宋体"/>
                <w:color w:val="auto"/>
                <w:w w:val="99"/>
                <w:kern w:val="2"/>
                <w:sz w:val="21"/>
                <w:szCs w:val="21"/>
                <w:highlight w:val="none"/>
                <w:lang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spacing w:val="1"/>
                <w:w w:val="99"/>
                <w:kern w:val="2"/>
                <w:sz w:val="21"/>
                <w:szCs w:val="21"/>
                <w:highlight w:val="none"/>
              </w:rPr>
              <w:t>LE</w:t>
            </w:r>
            <w:r>
              <w:rPr>
                <w:rFonts w:hint="eastAsia" w:ascii="宋体" w:hAnsi="宋体" w:cs="宋体"/>
                <w:color w:val="auto"/>
                <w:w w:val="99"/>
                <w:kern w:val="2"/>
                <w:sz w:val="21"/>
                <w:szCs w:val="21"/>
                <w:highlight w:val="none"/>
              </w:rPr>
              <w:t>D筒灯</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83" w:line="276" w:lineRule="auto"/>
              <w:ind w:left="7" w:right="7"/>
              <w:rPr>
                <w:rFonts w:ascii="宋体" w:hAnsi="宋体" w:cs="宋体"/>
                <w:color w:val="auto"/>
                <w:kern w:val="2"/>
                <w:sz w:val="21"/>
                <w:szCs w:val="21"/>
                <w:highlight w:val="none"/>
                <w:lang w:eastAsia="zh-CN"/>
              </w:rPr>
            </w:pPr>
            <w:r>
              <w:rPr>
                <w:rFonts w:hint="eastAsia" w:ascii="宋体" w:hAnsi="宋体" w:cs="宋体"/>
                <w:color w:val="auto"/>
                <w:spacing w:val="4"/>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室</w:t>
            </w:r>
            <w:r>
              <w:rPr>
                <w:rFonts w:hint="eastAsia" w:ascii="宋体" w:hAnsi="宋体" w:cs="宋体"/>
                <w:color w:val="auto"/>
                <w:spacing w:val="4"/>
                <w:w w:val="99"/>
                <w:kern w:val="2"/>
                <w:sz w:val="21"/>
                <w:szCs w:val="21"/>
                <w:highlight w:val="none"/>
                <w:lang w:eastAsia="zh-CN"/>
              </w:rPr>
              <w:t>内照明</w:t>
            </w:r>
            <w:r>
              <w:rPr>
                <w:rFonts w:hint="eastAsia" w:ascii="宋体" w:hAnsi="宋体" w:cs="宋体"/>
                <w:color w:val="auto"/>
                <w:w w:val="99"/>
                <w:kern w:val="2"/>
                <w:sz w:val="21"/>
                <w:szCs w:val="21"/>
                <w:highlight w:val="none"/>
                <w:lang w:eastAsia="zh-CN"/>
              </w:rPr>
              <w:t>用</w:t>
            </w:r>
            <w:r>
              <w:rPr>
                <w:rFonts w:hint="eastAsia" w:ascii="宋体" w:hAnsi="宋体" w:cs="宋体"/>
                <w:color w:val="auto"/>
                <w:spacing w:val="1"/>
                <w:w w:val="99"/>
                <w:kern w:val="2"/>
                <w:sz w:val="21"/>
                <w:szCs w:val="21"/>
                <w:highlight w:val="none"/>
                <w:lang w:eastAsia="zh-CN"/>
              </w:rPr>
              <w:t>LE</w:t>
            </w:r>
            <w:r>
              <w:rPr>
                <w:rFonts w:hint="eastAsia" w:ascii="宋体" w:hAnsi="宋体" w:cs="宋体"/>
                <w:color w:val="auto"/>
                <w:w w:val="99"/>
                <w:kern w:val="2"/>
                <w:sz w:val="21"/>
                <w:szCs w:val="21"/>
                <w:highlight w:val="none"/>
                <w:lang w:eastAsia="zh-CN"/>
              </w:rPr>
              <w:t>D</w:t>
            </w:r>
            <w:r>
              <w:rPr>
                <w:rFonts w:hint="eastAsia" w:ascii="宋体" w:hAnsi="宋体" w:cs="宋体"/>
                <w:color w:val="auto"/>
                <w:spacing w:val="4"/>
                <w:w w:val="99"/>
                <w:kern w:val="2"/>
                <w:sz w:val="21"/>
                <w:szCs w:val="21"/>
                <w:highlight w:val="none"/>
                <w:lang w:eastAsia="zh-CN"/>
              </w:rPr>
              <w:t>产</w:t>
            </w:r>
            <w:r>
              <w:rPr>
                <w:rFonts w:hint="eastAsia" w:ascii="宋体" w:hAnsi="宋体" w:cs="宋体"/>
                <w:color w:val="auto"/>
                <w:spacing w:val="2"/>
                <w:w w:val="99"/>
                <w:kern w:val="2"/>
                <w:sz w:val="21"/>
                <w:szCs w:val="21"/>
                <w:highlight w:val="none"/>
                <w:lang w:eastAsia="zh-CN"/>
              </w:rPr>
              <w:t>品</w:t>
            </w:r>
            <w:r>
              <w:rPr>
                <w:rFonts w:hint="eastAsia" w:ascii="宋体" w:hAnsi="宋体" w:cs="宋体"/>
                <w:color w:val="auto"/>
                <w:spacing w:val="4"/>
                <w:w w:val="99"/>
                <w:kern w:val="2"/>
                <w:sz w:val="21"/>
                <w:szCs w:val="21"/>
                <w:highlight w:val="none"/>
                <w:lang w:eastAsia="zh-CN"/>
              </w:rPr>
              <w:t>能效</w:t>
            </w:r>
            <w:r>
              <w:rPr>
                <w:rFonts w:hint="eastAsia" w:ascii="宋体" w:hAnsi="宋体" w:cs="宋体"/>
                <w:color w:val="auto"/>
                <w:spacing w:val="2"/>
                <w:w w:val="99"/>
                <w:kern w:val="2"/>
                <w:sz w:val="21"/>
                <w:szCs w:val="21"/>
                <w:highlight w:val="none"/>
                <w:lang w:eastAsia="zh-CN"/>
              </w:rPr>
              <w:t>限</w:t>
            </w:r>
            <w:r>
              <w:rPr>
                <w:rFonts w:hint="eastAsia" w:ascii="宋体" w:hAnsi="宋体" w:cs="宋体"/>
                <w:color w:val="auto"/>
                <w:w w:val="99"/>
                <w:kern w:val="2"/>
                <w:sz w:val="21"/>
                <w:szCs w:val="21"/>
                <w:highlight w:val="none"/>
                <w:lang w:eastAsia="zh-CN"/>
              </w:rPr>
              <w:t>定值及能</w:t>
            </w:r>
            <w:r>
              <w:rPr>
                <w:rFonts w:hint="eastAsia" w:ascii="宋体" w:hAnsi="宋体" w:cs="宋体"/>
                <w:color w:val="auto"/>
                <w:spacing w:val="2"/>
                <w:w w:val="99"/>
                <w:kern w:val="2"/>
                <w:sz w:val="21"/>
                <w:szCs w:val="21"/>
                <w:highlight w:val="none"/>
                <w:lang w:eastAsia="zh-CN"/>
              </w:rPr>
              <w:t>效</w:t>
            </w:r>
            <w:r>
              <w:rPr>
                <w:rFonts w:hint="eastAsia" w:ascii="宋体" w:hAnsi="宋体" w:cs="宋体"/>
                <w:color w:val="auto"/>
                <w:w w:val="99"/>
                <w:kern w:val="2"/>
                <w:sz w:val="21"/>
                <w:szCs w:val="21"/>
                <w:highlight w:val="none"/>
                <w:lang w:eastAsia="zh-CN"/>
              </w:rPr>
              <w:t>等级</w:t>
            </w:r>
            <w:r>
              <w:rPr>
                <w:rFonts w:hint="eastAsia" w:ascii="宋体" w:hAnsi="宋体" w:cs="宋体"/>
                <w:color w:val="auto"/>
                <w:spacing w:val="2"/>
                <w:w w:val="99"/>
                <w:kern w:val="2"/>
                <w:sz w:val="21"/>
                <w:szCs w:val="21"/>
                <w:highlight w:val="none"/>
                <w:lang w:eastAsia="zh-CN"/>
              </w:rPr>
              <w:t>》</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30</w:t>
            </w:r>
            <w:r>
              <w:rPr>
                <w:rFonts w:hint="eastAsia" w:ascii="宋体" w:hAnsi="宋体" w:cs="宋体"/>
                <w:color w:val="auto"/>
                <w:w w:val="99"/>
                <w:kern w:val="2"/>
                <w:sz w:val="21"/>
                <w:szCs w:val="21"/>
                <w:highlight w:val="none"/>
                <w:lang w:eastAsia="zh-CN"/>
              </w:rPr>
              <w:t>25</w:t>
            </w:r>
            <w:r>
              <w:rPr>
                <w:rFonts w:hint="eastAsia" w:ascii="宋体" w:hAnsi="宋体" w:cs="宋体"/>
                <w:color w:val="auto"/>
                <w:spacing w:val="-2"/>
                <w:w w:val="99"/>
                <w:kern w:val="2"/>
                <w:sz w:val="21"/>
                <w:szCs w:val="21"/>
                <w:highlight w:val="none"/>
                <w:lang w:eastAsia="zh-CN"/>
              </w:rPr>
              <w:t>5</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szCs w:val="21"/>
                <w:highlight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line="276" w:lineRule="auto"/>
              <w:ind w:right="7"/>
              <w:jc w:val="center"/>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普</w:t>
            </w:r>
            <w:r>
              <w:rPr>
                <w:rFonts w:hint="eastAsia" w:ascii="宋体" w:hAnsi="宋体" w:cs="宋体"/>
                <w:color w:val="auto"/>
                <w:spacing w:val="24"/>
                <w:w w:val="99"/>
                <w:kern w:val="2"/>
                <w:sz w:val="21"/>
                <w:szCs w:val="21"/>
                <w:highlight w:val="none"/>
                <w:lang w:eastAsia="zh-CN"/>
              </w:rPr>
              <w:t>通</w:t>
            </w:r>
            <w:r>
              <w:rPr>
                <w:rFonts w:hint="eastAsia" w:ascii="宋体" w:hAnsi="宋体" w:cs="宋体"/>
                <w:color w:val="auto"/>
                <w:w w:val="99"/>
                <w:kern w:val="2"/>
                <w:sz w:val="21"/>
                <w:szCs w:val="21"/>
                <w:highlight w:val="none"/>
                <w:lang w:eastAsia="zh-CN"/>
              </w:rPr>
              <w:t>照明用非</w:t>
            </w:r>
            <w:r>
              <w:rPr>
                <w:rFonts w:hint="eastAsia" w:ascii="宋体" w:hAnsi="宋体" w:cs="宋体"/>
                <w:color w:val="auto"/>
                <w:spacing w:val="24"/>
                <w:w w:val="99"/>
                <w:kern w:val="2"/>
                <w:sz w:val="21"/>
                <w:szCs w:val="21"/>
                <w:highlight w:val="none"/>
                <w:lang w:eastAsia="zh-CN"/>
              </w:rPr>
              <w:t>定</w:t>
            </w:r>
            <w:r>
              <w:rPr>
                <w:rFonts w:hint="eastAsia" w:ascii="宋体" w:hAnsi="宋体" w:cs="宋体"/>
                <w:color w:val="auto"/>
                <w:w w:val="99"/>
                <w:kern w:val="2"/>
                <w:sz w:val="21"/>
                <w:szCs w:val="21"/>
                <w:highlight w:val="none"/>
                <w:lang w:eastAsia="zh-CN"/>
              </w:rPr>
              <w:t>向自镇流</w:t>
            </w:r>
            <w:r>
              <w:rPr>
                <w:rFonts w:hint="eastAsia" w:ascii="宋体" w:hAnsi="宋体" w:cs="宋体"/>
                <w:color w:val="auto"/>
                <w:spacing w:val="1"/>
                <w:w w:val="99"/>
                <w:kern w:val="2"/>
                <w:sz w:val="21"/>
                <w:szCs w:val="21"/>
                <w:highlight w:val="none"/>
                <w:lang w:eastAsia="zh-CN"/>
              </w:rPr>
              <w:t>LE</w:t>
            </w:r>
            <w:r>
              <w:rPr>
                <w:rFonts w:hint="eastAsia" w:ascii="宋体" w:hAnsi="宋体" w:cs="宋体"/>
                <w:color w:val="auto"/>
                <w:w w:val="99"/>
                <w:kern w:val="2"/>
                <w:sz w:val="21"/>
                <w:szCs w:val="21"/>
                <w:highlight w:val="none"/>
                <w:lang w:eastAsia="zh-CN"/>
              </w:rPr>
              <w:t>D灯</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5"/>
              <w:rPr>
                <w:rFonts w:ascii="宋体" w:hAnsi="宋体" w:cs="宋体"/>
                <w:color w:val="auto"/>
                <w:kern w:val="2"/>
                <w:sz w:val="21"/>
                <w:szCs w:val="21"/>
                <w:highlight w:val="none"/>
                <w:lang w:eastAsia="zh-CN"/>
              </w:rPr>
            </w:pPr>
          </w:p>
          <w:p>
            <w:pPr>
              <w:pStyle w:val="125"/>
              <w:spacing w:line="276" w:lineRule="auto"/>
              <w:ind w:left="7" w:right="7"/>
              <w:rPr>
                <w:rFonts w:ascii="宋体" w:hAnsi="宋体" w:cs="宋体"/>
                <w:color w:val="auto"/>
                <w:kern w:val="2"/>
                <w:sz w:val="21"/>
                <w:szCs w:val="21"/>
                <w:highlight w:val="none"/>
                <w:lang w:eastAsia="zh-CN"/>
              </w:rPr>
            </w:pPr>
            <w:r>
              <w:rPr>
                <w:rFonts w:hint="eastAsia" w:ascii="宋体" w:hAnsi="宋体" w:cs="宋体"/>
                <w:color w:val="auto"/>
                <w:spacing w:val="4"/>
                <w:w w:val="99"/>
                <w:kern w:val="2"/>
                <w:sz w:val="21"/>
                <w:szCs w:val="21"/>
                <w:highlight w:val="none"/>
                <w:lang w:eastAsia="zh-CN"/>
              </w:rPr>
              <w:t>《</w:t>
            </w:r>
            <w:r>
              <w:rPr>
                <w:rFonts w:hint="eastAsia" w:ascii="宋体" w:hAnsi="宋体" w:cs="宋体"/>
                <w:color w:val="auto"/>
                <w:spacing w:val="2"/>
                <w:w w:val="99"/>
                <w:kern w:val="2"/>
                <w:sz w:val="21"/>
                <w:szCs w:val="21"/>
                <w:highlight w:val="none"/>
                <w:lang w:eastAsia="zh-CN"/>
              </w:rPr>
              <w:t>室</w:t>
            </w:r>
            <w:r>
              <w:rPr>
                <w:rFonts w:hint="eastAsia" w:ascii="宋体" w:hAnsi="宋体" w:cs="宋体"/>
                <w:color w:val="auto"/>
                <w:spacing w:val="4"/>
                <w:w w:val="99"/>
                <w:kern w:val="2"/>
                <w:sz w:val="21"/>
                <w:szCs w:val="21"/>
                <w:highlight w:val="none"/>
                <w:lang w:eastAsia="zh-CN"/>
              </w:rPr>
              <w:t>内照明</w:t>
            </w:r>
            <w:r>
              <w:rPr>
                <w:rFonts w:hint="eastAsia" w:ascii="宋体" w:hAnsi="宋体" w:cs="宋体"/>
                <w:color w:val="auto"/>
                <w:w w:val="99"/>
                <w:kern w:val="2"/>
                <w:sz w:val="21"/>
                <w:szCs w:val="21"/>
                <w:highlight w:val="none"/>
                <w:lang w:eastAsia="zh-CN"/>
              </w:rPr>
              <w:t>用</w:t>
            </w:r>
            <w:r>
              <w:rPr>
                <w:rFonts w:hint="eastAsia" w:ascii="宋体" w:hAnsi="宋体" w:cs="宋体"/>
                <w:color w:val="auto"/>
                <w:spacing w:val="1"/>
                <w:w w:val="99"/>
                <w:kern w:val="2"/>
                <w:sz w:val="21"/>
                <w:szCs w:val="21"/>
                <w:highlight w:val="none"/>
                <w:lang w:eastAsia="zh-CN"/>
              </w:rPr>
              <w:t>LE</w:t>
            </w:r>
            <w:r>
              <w:rPr>
                <w:rFonts w:hint="eastAsia" w:ascii="宋体" w:hAnsi="宋体" w:cs="宋体"/>
                <w:color w:val="auto"/>
                <w:w w:val="99"/>
                <w:kern w:val="2"/>
                <w:sz w:val="21"/>
                <w:szCs w:val="21"/>
                <w:highlight w:val="none"/>
                <w:lang w:eastAsia="zh-CN"/>
              </w:rPr>
              <w:t>D</w:t>
            </w:r>
            <w:r>
              <w:rPr>
                <w:rFonts w:hint="eastAsia" w:ascii="宋体" w:hAnsi="宋体" w:cs="宋体"/>
                <w:color w:val="auto"/>
                <w:spacing w:val="4"/>
                <w:w w:val="99"/>
                <w:kern w:val="2"/>
                <w:sz w:val="21"/>
                <w:szCs w:val="21"/>
                <w:highlight w:val="none"/>
                <w:lang w:eastAsia="zh-CN"/>
              </w:rPr>
              <w:t>产</w:t>
            </w:r>
            <w:r>
              <w:rPr>
                <w:rFonts w:hint="eastAsia" w:ascii="宋体" w:hAnsi="宋体" w:cs="宋体"/>
                <w:color w:val="auto"/>
                <w:spacing w:val="2"/>
                <w:w w:val="99"/>
                <w:kern w:val="2"/>
                <w:sz w:val="21"/>
                <w:szCs w:val="21"/>
                <w:highlight w:val="none"/>
                <w:lang w:eastAsia="zh-CN"/>
              </w:rPr>
              <w:t>品</w:t>
            </w:r>
            <w:r>
              <w:rPr>
                <w:rFonts w:hint="eastAsia" w:ascii="宋体" w:hAnsi="宋体" w:cs="宋体"/>
                <w:color w:val="auto"/>
                <w:spacing w:val="4"/>
                <w:w w:val="99"/>
                <w:kern w:val="2"/>
                <w:sz w:val="21"/>
                <w:szCs w:val="21"/>
                <w:highlight w:val="none"/>
                <w:lang w:eastAsia="zh-CN"/>
              </w:rPr>
              <w:t>能效</w:t>
            </w:r>
            <w:r>
              <w:rPr>
                <w:rFonts w:hint="eastAsia" w:ascii="宋体" w:hAnsi="宋体" w:cs="宋体"/>
                <w:color w:val="auto"/>
                <w:spacing w:val="2"/>
                <w:w w:val="99"/>
                <w:kern w:val="2"/>
                <w:sz w:val="21"/>
                <w:szCs w:val="21"/>
                <w:highlight w:val="none"/>
                <w:lang w:eastAsia="zh-CN"/>
              </w:rPr>
              <w:t>限</w:t>
            </w:r>
            <w:r>
              <w:rPr>
                <w:rFonts w:hint="eastAsia" w:ascii="宋体" w:hAnsi="宋体" w:cs="宋体"/>
                <w:color w:val="auto"/>
                <w:w w:val="99"/>
                <w:kern w:val="2"/>
                <w:sz w:val="21"/>
                <w:szCs w:val="21"/>
                <w:highlight w:val="none"/>
                <w:lang w:eastAsia="zh-CN"/>
              </w:rPr>
              <w:t>定值及能</w:t>
            </w:r>
            <w:r>
              <w:rPr>
                <w:rFonts w:hint="eastAsia" w:ascii="宋体" w:hAnsi="宋体" w:cs="宋体"/>
                <w:color w:val="auto"/>
                <w:spacing w:val="2"/>
                <w:w w:val="99"/>
                <w:kern w:val="2"/>
                <w:sz w:val="21"/>
                <w:szCs w:val="21"/>
                <w:highlight w:val="none"/>
                <w:lang w:eastAsia="zh-CN"/>
              </w:rPr>
              <w:t>效</w:t>
            </w:r>
            <w:r>
              <w:rPr>
                <w:rFonts w:hint="eastAsia" w:ascii="宋体" w:hAnsi="宋体" w:cs="宋体"/>
                <w:color w:val="auto"/>
                <w:w w:val="99"/>
                <w:kern w:val="2"/>
                <w:sz w:val="21"/>
                <w:szCs w:val="21"/>
                <w:highlight w:val="none"/>
                <w:lang w:eastAsia="zh-CN"/>
              </w:rPr>
              <w:t>等级</w:t>
            </w:r>
            <w:r>
              <w:rPr>
                <w:rFonts w:hint="eastAsia" w:ascii="宋体" w:hAnsi="宋体" w:cs="宋体"/>
                <w:color w:val="auto"/>
                <w:spacing w:val="2"/>
                <w:w w:val="99"/>
                <w:kern w:val="2"/>
                <w:sz w:val="21"/>
                <w:szCs w:val="21"/>
                <w:highlight w:val="none"/>
                <w:lang w:eastAsia="zh-CN"/>
              </w:rPr>
              <w:t>》</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30</w:t>
            </w:r>
            <w:r>
              <w:rPr>
                <w:rFonts w:hint="eastAsia" w:ascii="宋体" w:hAnsi="宋体" w:cs="宋体"/>
                <w:color w:val="auto"/>
                <w:w w:val="99"/>
                <w:kern w:val="2"/>
                <w:sz w:val="21"/>
                <w:szCs w:val="21"/>
                <w:highlight w:val="none"/>
                <w:lang w:eastAsia="zh-CN"/>
              </w:rPr>
              <w:t>25</w:t>
            </w:r>
            <w:r>
              <w:rPr>
                <w:rFonts w:hint="eastAsia" w:ascii="宋体" w:hAnsi="宋体" w:cs="宋体"/>
                <w:color w:val="auto"/>
                <w:spacing w:val="-2"/>
                <w:w w:val="99"/>
                <w:kern w:val="2"/>
                <w:sz w:val="21"/>
                <w:szCs w:val="21"/>
                <w:highlight w:val="none"/>
                <w:lang w:eastAsia="zh-CN"/>
              </w:rPr>
              <w:t>5</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olor w:val="auto"/>
                <w:spacing w:val="1"/>
                <w:w w:val="99"/>
                <w:kern w:val="2"/>
                <w:sz w:val="21"/>
                <w:szCs w:val="21"/>
                <w:highlight w:val="none"/>
              </w:rPr>
              <w:t>1</w:t>
            </w:r>
            <w:r>
              <w:rPr>
                <w:rFonts w:hint="eastAsia" w:ascii="宋体" w:hAnsi="宋体"/>
                <w:color w:val="auto"/>
                <w:w w:val="99"/>
                <w:kern w:val="2"/>
                <w:sz w:val="21"/>
                <w:szCs w:val="21"/>
                <w:highlight w:val="none"/>
              </w:rPr>
              <w:t>2</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81"/>
              <w:ind w:left="7"/>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w:t>
            </w:r>
            <w:r>
              <w:rPr>
                <w:rFonts w:hint="eastAsia" w:ascii="宋体" w:hAnsi="宋体" w:cs="宋体"/>
                <w:color w:val="auto"/>
                <w:spacing w:val="1"/>
                <w:w w:val="99"/>
                <w:kern w:val="2"/>
                <w:sz w:val="21"/>
                <w:szCs w:val="21"/>
                <w:highlight w:val="none"/>
              </w:rPr>
              <w:t>A020</w:t>
            </w:r>
            <w:r>
              <w:rPr>
                <w:rFonts w:hint="eastAsia" w:ascii="宋体" w:hAnsi="宋体" w:cs="宋体"/>
                <w:color w:val="auto"/>
                <w:w w:val="99"/>
                <w:kern w:val="2"/>
                <w:sz w:val="21"/>
                <w:szCs w:val="21"/>
                <w:highlight w:val="none"/>
              </w:rPr>
              <w:t>91000电视设备</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81" w:line="276" w:lineRule="auto"/>
              <w:ind w:left="7" w:right="5"/>
              <w:jc w:val="center"/>
              <w:rPr>
                <w:rFonts w:ascii="宋体" w:hAnsi="宋体" w:cs="宋体"/>
                <w:color w:val="auto"/>
                <w:kern w:val="2"/>
                <w:sz w:val="21"/>
                <w:szCs w:val="21"/>
                <w:highlight w:val="none"/>
                <w:lang w:eastAsia="zh-CN"/>
              </w:rPr>
            </w:pPr>
            <w:r>
              <w:rPr>
                <w:rFonts w:hint="eastAsia" w:ascii="宋体" w:hAnsi="宋体" w:cs="宋体"/>
                <w:color w:val="auto"/>
                <w:spacing w:val="1"/>
                <w:w w:val="99"/>
                <w:kern w:val="2"/>
                <w:sz w:val="21"/>
                <w:szCs w:val="21"/>
                <w:highlight w:val="none"/>
                <w:lang w:eastAsia="zh-CN"/>
              </w:rPr>
              <w:t>A02</w:t>
            </w:r>
            <w:r>
              <w:rPr>
                <w:rFonts w:hint="eastAsia" w:ascii="宋体" w:hAnsi="宋体" w:cs="宋体"/>
                <w:color w:val="auto"/>
                <w:w w:val="99"/>
                <w:kern w:val="2"/>
                <w:sz w:val="21"/>
                <w:szCs w:val="21"/>
                <w:highlight w:val="none"/>
                <w:lang w:eastAsia="zh-CN"/>
              </w:rPr>
              <w:t>09</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001普通电视设备（</w:t>
            </w:r>
            <w:r>
              <w:rPr>
                <w:rFonts w:hint="eastAsia" w:ascii="宋体" w:hAnsi="宋体" w:cs="宋体"/>
                <w:color w:val="auto"/>
                <w:spacing w:val="2"/>
                <w:w w:val="99"/>
                <w:kern w:val="2"/>
                <w:sz w:val="21"/>
                <w:szCs w:val="21"/>
                <w:highlight w:val="none"/>
                <w:lang w:eastAsia="zh-CN"/>
              </w:rPr>
              <w:t>电</w:t>
            </w:r>
            <w:r>
              <w:rPr>
                <w:rFonts w:hint="eastAsia" w:ascii="宋体" w:hAnsi="宋体" w:cs="宋体"/>
                <w:color w:val="auto"/>
                <w:w w:val="99"/>
                <w:kern w:val="2"/>
                <w:sz w:val="21"/>
                <w:szCs w:val="21"/>
                <w:highlight w:val="none"/>
                <w:lang w:eastAsia="zh-CN"/>
              </w:rPr>
              <w:t>视机）</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81"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《平板电视能效限定值</w:t>
            </w:r>
            <w:r>
              <w:rPr>
                <w:rFonts w:hint="eastAsia" w:ascii="宋体" w:hAnsi="宋体" w:cs="宋体"/>
                <w:color w:val="auto"/>
                <w:spacing w:val="9"/>
                <w:w w:val="99"/>
                <w:kern w:val="2"/>
                <w:sz w:val="21"/>
                <w:szCs w:val="21"/>
                <w:highlight w:val="none"/>
                <w:lang w:eastAsia="zh-CN"/>
              </w:rPr>
              <w:t>及</w:t>
            </w:r>
            <w:r>
              <w:rPr>
                <w:rFonts w:hint="eastAsia" w:ascii="宋体" w:hAnsi="宋体" w:cs="宋体"/>
                <w:color w:val="auto"/>
                <w:spacing w:val="12"/>
                <w:w w:val="99"/>
                <w:kern w:val="2"/>
                <w:sz w:val="21"/>
                <w:szCs w:val="21"/>
                <w:highlight w:val="none"/>
                <w:lang w:eastAsia="zh-CN"/>
              </w:rPr>
              <w:t>能效</w:t>
            </w:r>
            <w:r>
              <w:rPr>
                <w:rFonts w:hint="eastAsia" w:ascii="宋体" w:hAnsi="宋体" w:cs="宋体"/>
                <w:color w:val="auto"/>
                <w:w w:val="99"/>
                <w:kern w:val="2"/>
                <w:sz w:val="21"/>
                <w:szCs w:val="21"/>
                <w:highlight w:val="none"/>
                <w:lang w:eastAsia="zh-CN"/>
              </w:rPr>
              <w:t>等级》（</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248</w:t>
            </w:r>
            <w:r>
              <w:rPr>
                <w:rFonts w:hint="eastAsia" w:ascii="宋体" w:hAnsi="宋体" w:cs="宋体"/>
                <w:color w:val="auto"/>
                <w:w w:val="99"/>
                <w:kern w:val="2"/>
                <w:sz w:val="21"/>
                <w:szCs w:val="21"/>
                <w:highlight w:val="none"/>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olor w:val="auto"/>
                <w:spacing w:val="1"/>
                <w:w w:val="99"/>
                <w:kern w:val="2"/>
                <w:sz w:val="21"/>
                <w:szCs w:val="21"/>
                <w:highlight w:val="none"/>
              </w:rPr>
              <w:t>1</w:t>
            </w:r>
            <w:r>
              <w:rPr>
                <w:rFonts w:hint="eastAsia" w:ascii="宋体" w:hAnsi="宋体"/>
                <w:color w:val="auto"/>
                <w:w w:val="99"/>
                <w:kern w:val="2"/>
                <w:sz w:val="21"/>
                <w:szCs w:val="21"/>
                <w:highlight w:val="none"/>
              </w:rPr>
              <w:t>3</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w:t>
            </w:r>
            <w:r>
              <w:rPr>
                <w:rFonts w:hint="eastAsia" w:ascii="宋体" w:hAnsi="宋体" w:cs="宋体"/>
                <w:color w:val="auto"/>
                <w:spacing w:val="1"/>
                <w:w w:val="99"/>
                <w:kern w:val="2"/>
                <w:sz w:val="21"/>
                <w:szCs w:val="21"/>
                <w:highlight w:val="none"/>
              </w:rPr>
              <w:t>A020</w:t>
            </w:r>
            <w:r>
              <w:rPr>
                <w:rFonts w:hint="eastAsia" w:ascii="宋体" w:hAnsi="宋体" w:cs="宋体"/>
                <w:color w:val="auto"/>
                <w:w w:val="99"/>
                <w:kern w:val="2"/>
                <w:sz w:val="21"/>
                <w:szCs w:val="21"/>
                <w:highlight w:val="none"/>
              </w:rPr>
              <w:t>91100视频设备</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spacing w:line="276" w:lineRule="auto"/>
              <w:ind w:right="5"/>
              <w:jc w:val="center"/>
              <w:rPr>
                <w:rFonts w:ascii="宋体" w:hAnsi="宋体" w:cs="宋体"/>
                <w:color w:val="auto"/>
                <w:kern w:val="2"/>
                <w:sz w:val="21"/>
                <w:szCs w:val="21"/>
                <w:highlight w:val="none"/>
              </w:rPr>
            </w:pPr>
            <w:r>
              <w:rPr>
                <w:rFonts w:hint="eastAsia" w:ascii="宋体" w:hAnsi="宋体" w:cs="宋体"/>
                <w:color w:val="auto"/>
                <w:spacing w:val="1"/>
                <w:w w:val="99"/>
                <w:kern w:val="2"/>
                <w:sz w:val="21"/>
                <w:szCs w:val="21"/>
                <w:highlight w:val="none"/>
              </w:rPr>
              <w:t>A02</w:t>
            </w:r>
            <w:r>
              <w:rPr>
                <w:rFonts w:hint="eastAsia" w:ascii="宋体" w:hAnsi="宋体" w:cs="宋体"/>
                <w:color w:val="auto"/>
                <w:w w:val="99"/>
                <w:kern w:val="2"/>
                <w:sz w:val="21"/>
                <w:szCs w:val="21"/>
                <w:highlight w:val="none"/>
              </w:rPr>
              <w:t>09</w:t>
            </w:r>
            <w:r>
              <w:rPr>
                <w:rFonts w:hint="eastAsia" w:ascii="宋体" w:hAnsi="宋体" w:cs="宋体"/>
                <w:color w:val="auto"/>
                <w:spacing w:val="1"/>
                <w:w w:val="99"/>
                <w:kern w:val="2"/>
                <w:sz w:val="21"/>
                <w:szCs w:val="21"/>
                <w:highlight w:val="none"/>
              </w:rPr>
              <w:t>1</w:t>
            </w:r>
            <w:r>
              <w:rPr>
                <w:rFonts w:hint="eastAsia" w:ascii="宋体" w:hAnsi="宋体" w:cs="宋体"/>
                <w:color w:val="auto"/>
                <w:w w:val="99"/>
                <w:kern w:val="2"/>
                <w:sz w:val="21"/>
                <w:szCs w:val="21"/>
                <w:highlight w:val="none"/>
              </w:rPr>
              <w:t>107视频监控设备</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监视器</w:t>
            </w: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28" w:line="276" w:lineRule="auto"/>
              <w:ind w:left="7" w:right="5"/>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以射频信号为主要信号</w:t>
            </w:r>
            <w:r>
              <w:rPr>
                <w:rFonts w:hint="eastAsia" w:ascii="宋体" w:hAnsi="宋体" w:cs="宋体"/>
                <w:color w:val="auto"/>
                <w:spacing w:val="9"/>
                <w:w w:val="99"/>
                <w:kern w:val="2"/>
                <w:sz w:val="21"/>
                <w:szCs w:val="21"/>
                <w:highlight w:val="none"/>
                <w:lang w:eastAsia="zh-CN"/>
              </w:rPr>
              <w:t>输</w:t>
            </w:r>
            <w:r>
              <w:rPr>
                <w:rFonts w:hint="eastAsia" w:ascii="宋体" w:hAnsi="宋体" w:cs="宋体"/>
                <w:color w:val="auto"/>
                <w:spacing w:val="12"/>
                <w:w w:val="99"/>
                <w:kern w:val="2"/>
                <w:sz w:val="21"/>
                <w:szCs w:val="21"/>
                <w:highlight w:val="none"/>
                <w:lang w:eastAsia="zh-CN"/>
              </w:rPr>
              <w:t>入的</w:t>
            </w:r>
            <w:r>
              <w:rPr>
                <w:rFonts w:hint="eastAsia" w:ascii="宋体" w:hAnsi="宋体" w:cs="宋体"/>
                <w:color w:val="auto"/>
                <w:w w:val="99"/>
                <w:kern w:val="2"/>
                <w:sz w:val="21"/>
                <w:szCs w:val="21"/>
                <w:highlight w:val="none"/>
                <w:lang w:eastAsia="zh-CN"/>
              </w:rPr>
              <w:t>监视器应</w:t>
            </w:r>
            <w:r>
              <w:rPr>
                <w:rFonts w:hint="eastAsia" w:ascii="宋体" w:hAnsi="宋体" w:cs="宋体"/>
                <w:color w:val="auto"/>
                <w:spacing w:val="2"/>
                <w:w w:val="99"/>
                <w:kern w:val="2"/>
                <w:sz w:val="21"/>
                <w:szCs w:val="21"/>
                <w:highlight w:val="none"/>
                <w:lang w:eastAsia="zh-CN"/>
              </w:rPr>
              <w:t>符</w:t>
            </w:r>
            <w:r>
              <w:rPr>
                <w:rFonts w:hint="eastAsia" w:ascii="宋体" w:hAnsi="宋体" w:cs="宋体"/>
                <w:color w:val="auto"/>
                <w:spacing w:val="-58"/>
                <w:w w:val="99"/>
                <w:kern w:val="2"/>
                <w:sz w:val="21"/>
                <w:szCs w:val="21"/>
                <w:highlight w:val="none"/>
                <w:lang w:eastAsia="zh-CN"/>
              </w:rPr>
              <w:t>合</w:t>
            </w:r>
            <w:r>
              <w:rPr>
                <w:rFonts w:hint="eastAsia" w:ascii="宋体" w:hAnsi="宋体" w:cs="宋体"/>
                <w:color w:val="auto"/>
                <w:spacing w:val="2"/>
                <w:w w:val="99"/>
                <w:kern w:val="2"/>
                <w:sz w:val="21"/>
                <w:szCs w:val="21"/>
                <w:highlight w:val="none"/>
                <w:lang w:eastAsia="zh-CN"/>
              </w:rPr>
              <w:t>《</w:t>
            </w:r>
            <w:r>
              <w:rPr>
                <w:rFonts w:hint="eastAsia" w:ascii="宋体" w:hAnsi="宋体" w:cs="宋体"/>
                <w:color w:val="auto"/>
                <w:w w:val="99"/>
                <w:kern w:val="2"/>
                <w:sz w:val="21"/>
                <w:szCs w:val="21"/>
                <w:highlight w:val="none"/>
                <w:lang w:eastAsia="zh-CN"/>
              </w:rPr>
              <w:t>平板</w:t>
            </w:r>
            <w:r>
              <w:rPr>
                <w:rFonts w:hint="eastAsia" w:ascii="宋体" w:hAnsi="宋体" w:cs="宋体"/>
                <w:color w:val="auto"/>
                <w:spacing w:val="2"/>
                <w:w w:val="99"/>
                <w:kern w:val="2"/>
                <w:sz w:val="21"/>
                <w:szCs w:val="21"/>
                <w:highlight w:val="none"/>
                <w:lang w:eastAsia="zh-CN"/>
              </w:rPr>
              <w:t>电</w:t>
            </w:r>
            <w:r>
              <w:rPr>
                <w:rFonts w:hint="eastAsia" w:ascii="宋体" w:hAnsi="宋体" w:cs="宋体"/>
                <w:color w:val="auto"/>
                <w:w w:val="99"/>
                <w:kern w:val="2"/>
                <w:sz w:val="21"/>
                <w:szCs w:val="21"/>
                <w:highlight w:val="none"/>
                <w:lang w:eastAsia="zh-CN"/>
              </w:rPr>
              <w:t>视能</w:t>
            </w:r>
            <w:r>
              <w:rPr>
                <w:rFonts w:hint="eastAsia" w:ascii="宋体" w:hAnsi="宋体" w:cs="宋体"/>
                <w:color w:val="auto"/>
                <w:spacing w:val="2"/>
                <w:w w:val="99"/>
                <w:kern w:val="2"/>
                <w:sz w:val="21"/>
                <w:szCs w:val="21"/>
                <w:highlight w:val="none"/>
                <w:lang w:eastAsia="zh-CN"/>
              </w:rPr>
              <w:t>效</w:t>
            </w:r>
            <w:r>
              <w:rPr>
                <w:rFonts w:hint="eastAsia" w:ascii="宋体" w:hAnsi="宋体" w:cs="宋体"/>
                <w:color w:val="auto"/>
                <w:w w:val="99"/>
                <w:kern w:val="2"/>
                <w:sz w:val="21"/>
                <w:szCs w:val="21"/>
                <w:highlight w:val="none"/>
                <w:lang w:eastAsia="zh-CN"/>
              </w:rPr>
              <w:t>限定值及能效</w:t>
            </w:r>
            <w:r>
              <w:rPr>
                <w:rFonts w:hint="eastAsia" w:ascii="宋体" w:hAnsi="宋体" w:cs="宋体"/>
                <w:color w:val="auto"/>
                <w:spacing w:val="2"/>
                <w:w w:val="99"/>
                <w:kern w:val="2"/>
                <w:sz w:val="21"/>
                <w:szCs w:val="21"/>
                <w:highlight w:val="none"/>
                <w:lang w:eastAsia="zh-CN"/>
              </w:rPr>
              <w:t>等</w:t>
            </w:r>
            <w:r>
              <w:rPr>
                <w:rFonts w:hint="eastAsia" w:ascii="宋体" w:hAnsi="宋体" w:cs="宋体"/>
                <w:color w:val="auto"/>
                <w:w w:val="99"/>
                <w:kern w:val="2"/>
                <w:sz w:val="21"/>
                <w:szCs w:val="21"/>
                <w:highlight w:val="none"/>
                <w:lang w:eastAsia="zh-CN"/>
              </w:rPr>
              <w:t>级》（</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24850</w:t>
            </w:r>
            <w:r>
              <w:rPr>
                <w:rFonts w:hint="eastAsia" w:ascii="宋体" w:hAnsi="宋体" w:cs="宋体"/>
                <w:color w:val="auto"/>
                <w:spacing w:val="-3"/>
                <w:w w:val="99"/>
                <w:kern w:val="2"/>
                <w:sz w:val="21"/>
                <w:szCs w:val="21"/>
                <w:highlight w:val="none"/>
                <w:lang w:eastAsia="zh-CN"/>
              </w:rPr>
              <w:t>）</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2"/>
                <w:w w:val="99"/>
                <w:kern w:val="2"/>
                <w:sz w:val="21"/>
                <w:szCs w:val="21"/>
                <w:highlight w:val="none"/>
                <w:lang w:eastAsia="zh-CN"/>
              </w:rPr>
              <w:t>以数字信号为主要信号</w:t>
            </w:r>
            <w:r>
              <w:rPr>
                <w:rFonts w:hint="eastAsia" w:ascii="宋体" w:hAnsi="宋体" w:cs="宋体"/>
                <w:color w:val="auto"/>
                <w:spacing w:val="9"/>
                <w:w w:val="99"/>
                <w:kern w:val="2"/>
                <w:sz w:val="21"/>
                <w:szCs w:val="21"/>
                <w:highlight w:val="none"/>
                <w:lang w:eastAsia="zh-CN"/>
              </w:rPr>
              <w:t>输</w:t>
            </w:r>
            <w:r>
              <w:rPr>
                <w:rFonts w:hint="eastAsia" w:ascii="宋体" w:hAnsi="宋体" w:cs="宋体"/>
                <w:color w:val="auto"/>
                <w:spacing w:val="12"/>
                <w:w w:val="99"/>
                <w:kern w:val="2"/>
                <w:sz w:val="21"/>
                <w:szCs w:val="21"/>
                <w:highlight w:val="none"/>
                <w:lang w:eastAsia="zh-CN"/>
              </w:rPr>
              <w:t>入的</w:t>
            </w:r>
            <w:r>
              <w:rPr>
                <w:rFonts w:hint="eastAsia" w:ascii="宋体" w:hAnsi="宋体" w:cs="宋体"/>
                <w:color w:val="auto"/>
                <w:w w:val="99"/>
                <w:kern w:val="2"/>
                <w:sz w:val="21"/>
                <w:szCs w:val="21"/>
                <w:highlight w:val="none"/>
                <w:lang w:eastAsia="zh-CN"/>
              </w:rPr>
              <w:t>监视器应</w:t>
            </w:r>
            <w:r>
              <w:rPr>
                <w:rFonts w:hint="eastAsia" w:ascii="宋体" w:hAnsi="宋体" w:cs="宋体"/>
                <w:color w:val="auto"/>
                <w:spacing w:val="2"/>
                <w:w w:val="99"/>
                <w:kern w:val="2"/>
                <w:sz w:val="21"/>
                <w:szCs w:val="21"/>
                <w:highlight w:val="none"/>
                <w:lang w:eastAsia="zh-CN"/>
              </w:rPr>
              <w:t>符</w:t>
            </w:r>
            <w:r>
              <w:rPr>
                <w:rFonts w:hint="eastAsia" w:ascii="宋体" w:hAnsi="宋体" w:cs="宋体"/>
                <w:color w:val="auto"/>
                <w:spacing w:val="-58"/>
                <w:w w:val="99"/>
                <w:kern w:val="2"/>
                <w:sz w:val="21"/>
                <w:szCs w:val="21"/>
                <w:highlight w:val="none"/>
                <w:lang w:eastAsia="zh-CN"/>
              </w:rPr>
              <w:t>合</w:t>
            </w:r>
            <w:r>
              <w:rPr>
                <w:rFonts w:hint="eastAsia" w:ascii="宋体" w:hAnsi="宋体" w:cs="宋体"/>
                <w:color w:val="auto"/>
                <w:spacing w:val="2"/>
                <w:w w:val="99"/>
                <w:kern w:val="2"/>
                <w:sz w:val="21"/>
                <w:szCs w:val="21"/>
                <w:highlight w:val="none"/>
                <w:lang w:eastAsia="zh-CN"/>
              </w:rPr>
              <w:t>《</w:t>
            </w:r>
            <w:r>
              <w:rPr>
                <w:rFonts w:hint="eastAsia" w:ascii="宋体" w:hAnsi="宋体" w:cs="宋体"/>
                <w:color w:val="auto"/>
                <w:w w:val="99"/>
                <w:kern w:val="2"/>
                <w:sz w:val="21"/>
                <w:szCs w:val="21"/>
                <w:highlight w:val="none"/>
                <w:lang w:eastAsia="zh-CN"/>
              </w:rPr>
              <w:t>计算</w:t>
            </w:r>
            <w:r>
              <w:rPr>
                <w:rFonts w:hint="eastAsia" w:ascii="宋体" w:hAnsi="宋体" w:cs="宋体"/>
                <w:color w:val="auto"/>
                <w:spacing w:val="2"/>
                <w:w w:val="99"/>
                <w:kern w:val="2"/>
                <w:sz w:val="21"/>
                <w:szCs w:val="21"/>
                <w:highlight w:val="none"/>
                <w:lang w:eastAsia="zh-CN"/>
              </w:rPr>
              <w:t>机</w:t>
            </w:r>
            <w:r>
              <w:rPr>
                <w:rFonts w:hint="eastAsia" w:ascii="宋体" w:hAnsi="宋体" w:cs="宋体"/>
                <w:color w:val="auto"/>
                <w:w w:val="99"/>
                <w:kern w:val="2"/>
                <w:sz w:val="21"/>
                <w:szCs w:val="21"/>
                <w:highlight w:val="none"/>
                <w:lang w:eastAsia="zh-CN"/>
              </w:rPr>
              <w:t>显示</w:t>
            </w:r>
            <w:r>
              <w:rPr>
                <w:rFonts w:hint="eastAsia" w:ascii="宋体" w:hAnsi="宋体" w:cs="宋体"/>
                <w:color w:val="auto"/>
                <w:spacing w:val="2"/>
                <w:w w:val="99"/>
                <w:kern w:val="2"/>
                <w:sz w:val="21"/>
                <w:szCs w:val="21"/>
                <w:highlight w:val="none"/>
                <w:lang w:eastAsia="zh-CN"/>
              </w:rPr>
              <w:t>器</w:t>
            </w:r>
            <w:r>
              <w:rPr>
                <w:rFonts w:hint="eastAsia" w:ascii="宋体" w:hAnsi="宋体" w:cs="宋体"/>
                <w:color w:val="auto"/>
                <w:w w:val="99"/>
                <w:kern w:val="2"/>
                <w:sz w:val="21"/>
                <w:szCs w:val="21"/>
                <w:highlight w:val="none"/>
                <w:lang w:eastAsia="zh-CN"/>
              </w:rPr>
              <w:t>能效限定值及</w:t>
            </w:r>
            <w:r>
              <w:rPr>
                <w:rFonts w:hint="eastAsia" w:ascii="宋体" w:hAnsi="宋体" w:cs="宋体"/>
                <w:color w:val="auto"/>
                <w:spacing w:val="2"/>
                <w:w w:val="99"/>
                <w:kern w:val="2"/>
                <w:sz w:val="21"/>
                <w:szCs w:val="21"/>
                <w:highlight w:val="none"/>
                <w:lang w:eastAsia="zh-CN"/>
              </w:rPr>
              <w:t>能</w:t>
            </w:r>
            <w:r>
              <w:rPr>
                <w:rFonts w:hint="eastAsia" w:ascii="宋体" w:hAnsi="宋体" w:cs="宋体"/>
                <w:color w:val="auto"/>
                <w:w w:val="99"/>
                <w:kern w:val="2"/>
                <w:sz w:val="21"/>
                <w:szCs w:val="21"/>
                <w:highlight w:val="none"/>
                <w:lang w:eastAsia="zh-CN"/>
              </w:rPr>
              <w:t>效等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21</w:t>
            </w:r>
            <w:r>
              <w:rPr>
                <w:rFonts w:hint="eastAsia" w:ascii="宋体" w:hAnsi="宋体" w:cs="宋体"/>
                <w:color w:val="auto"/>
                <w:w w:val="99"/>
                <w:kern w:val="2"/>
                <w:sz w:val="21"/>
                <w:szCs w:val="21"/>
                <w:highlight w:val="none"/>
                <w:lang w:eastAsia="zh-CN"/>
              </w:rPr>
              <w:t>52</w:t>
            </w:r>
            <w:r>
              <w:rPr>
                <w:rFonts w:hint="eastAsia" w:ascii="宋体" w:hAnsi="宋体" w:cs="宋体"/>
                <w:color w:val="auto"/>
                <w:spacing w:val="1"/>
                <w:w w:val="99"/>
                <w:kern w:val="2"/>
                <w:sz w:val="21"/>
                <w:szCs w:val="21"/>
                <w:highlight w:val="none"/>
                <w:lang w:eastAsia="zh-CN"/>
              </w:rPr>
              <w:t>0</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olor w:val="auto"/>
                <w:spacing w:val="1"/>
                <w:w w:val="99"/>
                <w:kern w:val="2"/>
                <w:sz w:val="21"/>
                <w:szCs w:val="21"/>
                <w:highlight w:val="none"/>
              </w:rPr>
              <w:t>1</w:t>
            </w:r>
            <w:r>
              <w:rPr>
                <w:rFonts w:hint="eastAsia" w:ascii="宋体" w:hAnsi="宋体"/>
                <w:color w:val="auto"/>
                <w:w w:val="99"/>
                <w:kern w:val="2"/>
                <w:sz w:val="21"/>
                <w:szCs w:val="21"/>
                <w:highlight w:val="none"/>
              </w:rPr>
              <w:t>4</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76"/>
              <w:ind w:left="7"/>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A02241000</w:t>
            </w:r>
            <w:r>
              <w:rPr>
                <w:rFonts w:hint="eastAsia" w:ascii="宋体" w:hAnsi="宋体" w:cs="宋体"/>
                <w:color w:val="auto"/>
                <w:w w:val="99"/>
                <w:kern w:val="2"/>
                <w:sz w:val="21"/>
                <w:szCs w:val="21"/>
                <w:highlight w:val="none"/>
              </w:rPr>
              <w:t>饮食炊事机械</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商用燃</w:t>
            </w:r>
            <w:r>
              <w:rPr>
                <w:rFonts w:hint="eastAsia" w:ascii="宋体" w:hAnsi="宋体" w:cs="宋体"/>
                <w:color w:val="auto"/>
                <w:spacing w:val="2"/>
                <w:w w:val="99"/>
                <w:kern w:val="2"/>
                <w:sz w:val="21"/>
                <w:szCs w:val="21"/>
                <w:highlight w:val="none"/>
              </w:rPr>
              <w:t>气</w:t>
            </w:r>
            <w:r>
              <w:rPr>
                <w:rFonts w:hint="eastAsia" w:ascii="宋体" w:hAnsi="宋体" w:cs="宋体"/>
                <w:color w:val="auto"/>
                <w:w w:val="99"/>
                <w:kern w:val="2"/>
                <w:sz w:val="21"/>
                <w:szCs w:val="21"/>
                <w:highlight w:val="none"/>
              </w:rPr>
              <w:t>灶具</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76"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《商用燃气灶具能效限</w:t>
            </w:r>
            <w:r>
              <w:rPr>
                <w:rFonts w:hint="eastAsia" w:ascii="宋体" w:hAnsi="宋体" w:cs="宋体"/>
                <w:color w:val="auto"/>
                <w:spacing w:val="9"/>
                <w:w w:val="99"/>
                <w:kern w:val="2"/>
                <w:sz w:val="21"/>
                <w:szCs w:val="21"/>
                <w:highlight w:val="none"/>
                <w:lang w:eastAsia="zh-CN"/>
              </w:rPr>
              <w:t>定</w:t>
            </w:r>
            <w:r>
              <w:rPr>
                <w:rFonts w:hint="eastAsia" w:ascii="宋体" w:hAnsi="宋体" w:cs="宋体"/>
                <w:color w:val="auto"/>
                <w:spacing w:val="12"/>
                <w:w w:val="99"/>
                <w:kern w:val="2"/>
                <w:sz w:val="21"/>
                <w:szCs w:val="21"/>
                <w:highlight w:val="none"/>
                <w:lang w:eastAsia="zh-CN"/>
              </w:rPr>
              <w:t>值及</w:t>
            </w:r>
            <w:r>
              <w:rPr>
                <w:rFonts w:hint="eastAsia" w:ascii="宋体" w:hAnsi="宋体" w:cs="宋体"/>
                <w:color w:val="auto"/>
                <w:w w:val="99"/>
                <w:kern w:val="2"/>
                <w:sz w:val="21"/>
                <w:szCs w:val="21"/>
                <w:highlight w:val="none"/>
                <w:lang w:eastAsia="zh-CN"/>
              </w:rPr>
              <w:t>能效等级</w:t>
            </w:r>
            <w:r>
              <w:rPr>
                <w:rFonts w:hint="eastAsia" w:ascii="宋体" w:hAnsi="宋体" w:cs="宋体"/>
                <w:color w:val="auto"/>
                <w:spacing w:val="2"/>
                <w:w w:val="99"/>
                <w:kern w:val="2"/>
                <w:sz w:val="21"/>
                <w:szCs w:val="21"/>
                <w:highlight w:val="none"/>
                <w:lang w:eastAsia="zh-CN"/>
              </w:rPr>
              <w:t>》</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30</w:t>
            </w:r>
            <w:r>
              <w:rPr>
                <w:rFonts w:hint="eastAsia" w:ascii="宋体" w:hAnsi="宋体" w:cs="宋体"/>
                <w:color w:val="auto"/>
                <w:w w:val="99"/>
                <w:kern w:val="2"/>
                <w:sz w:val="21"/>
                <w:szCs w:val="21"/>
                <w:highlight w:val="none"/>
                <w:lang w:eastAsia="zh-CN"/>
              </w:rPr>
              <w:t>53</w:t>
            </w:r>
            <w:r>
              <w:rPr>
                <w:rFonts w:hint="eastAsia" w:ascii="宋体" w:hAnsi="宋体" w:cs="宋体"/>
                <w:color w:val="auto"/>
                <w:spacing w:val="1"/>
                <w:w w:val="99"/>
                <w:kern w:val="2"/>
                <w:sz w:val="21"/>
                <w:szCs w:val="21"/>
                <w:highlight w:val="none"/>
                <w:lang w:eastAsia="zh-CN"/>
              </w:rPr>
              <w:t>1</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restart"/>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r>
              <w:rPr>
                <w:rFonts w:hint="eastAsia" w:ascii="宋体" w:hAnsi="宋体"/>
                <w:color w:val="auto"/>
                <w:szCs w:val="21"/>
                <w:highlight w:val="none"/>
              </w:rPr>
              <w:t>15</w:t>
            </w:r>
          </w:p>
        </w:tc>
        <w:tc>
          <w:tcPr>
            <w:tcW w:w="1422" w:type="dxa"/>
            <w:vMerge w:val="restart"/>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w w:val="99"/>
                <w:kern w:val="2"/>
                <w:sz w:val="21"/>
                <w:szCs w:val="21"/>
                <w:highlight w:val="none"/>
              </w:rPr>
            </w:pPr>
            <w:r>
              <w:rPr>
                <w:rFonts w:hint="eastAsia" w:ascii="宋体" w:hAnsi="宋体" w:cs="宋体"/>
                <w:color w:val="auto"/>
                <w:w w:val="99"/>
                <w:kern w:val="2"/>
                <w:sz w:val="21"/>
                <w:szCs w:val="21"/>
                <w:highlight w:val="none"/>
              </w:rPr>
              <w:t>★</w:t>
            </w:r>
            <w:r>
              <w:rPr>
                <w:rFonts w:hint="eastAsia" w:ascii="宋体" w:hAnsi="宋体" w:cs="仿宋_GB2312"/>
                <w:color w:val="auto"/>
                <w:kern w:val="2"/>
                <w:sz w:val="21"/>
                <w:szCs w:val="21"/>
                <w:highlight w:val="none"/>
              </w:rPr>
              <w:t>A05020105</w:t>
            </w:r>
            <w:r>
              <w:rPr>
                <w:rFonts w:hint="eastAsia" w:ascii="宋体" w:hAnsi="宋体" w:cs="宋体"/>
                <w:color w:val="auto"/>
                <w:w w:val="99"/>
                <w:kern w:val="2"/>
                <w:sz w:val="21"/>
                <w:szCs w:val="21"/>
                <w:highlight w:val="none"/>
              </w:rPr>
              <w:t>便器</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坐便器</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24"/>
              <w:ind w:left="7"/>
              <w:rPr>
                <w:rFonts w:ascii="宋体" w:hAnsi="宋体" w:cs="宋体"/>
                <w:color w:val="auto"/>
                <w:kern w:val="2"/>
                <w:sz w:val="21"/>
                <w:szCs w:val="21"/>
                <w:highlight w:val="none"/>
                <w:lang w:eastAsia="zh-CN"/>
              </w:rPr>
            </w:pPr>
            <w:r>
              <w:rPr>
                <w:rFonts w:hint="eastAsia" w:ascii="宋体" w:hAnsi="宋体" w:cs="宋体"/>
                <w:color w:val="auto"/>
                <w:w w:val="99"/>
                <w:kern w:val="2"/>
                <w:sz w:val="21"/>
                <w:szCs w:val="21"/>
                <w:highlight w:val="none"/>
                <w:lang w:eastAsia="zh-CN"/>
              </w:rPr>
              <w:t>《坐便</w:t>
            </w:r>
            <w:r>
              <w:rPr>
                <w:rFonts w:hint="eastAsia" w:ascii="宋体" w:hAnsi="宋体" w:cs="宋体"/>
                <w:color w:val="auto"/>
                <w:spacing w:val="2"/>
                <w:w w:val="99"/>
                <w:kern w:val="2"/>
                <w:sz w:val="21"/>
                <w:szCs w:val="21"/>
                <w:highlight w:val="none"/>
                <w:lang w:eastAsia="zh-CN"/>
              </w:rPr>
              <w:t>器</w:t>
            </w:r>
            <w:r>
              <w:rPr>
                <w:rFonts w:hint="eastAsia" w:ascii="宋体" w:hAnsi="宋体" w:cs="宋体"/>
                <w:color w:val="auto"/>
                <w:w w:val="99"/>
                <w:kern w:val="2"/>
                <w:sz w:val="21"/>
                <w:szCs w:val="21"/>
                <w:highlight w:val="none"/>
                <w:lang w:eastAsia="zh-CN"/>
              </w:rPr>
              <w:t>水效</w:t>
            </w:r>
            <w:r>
              <w:rPr>
                <w:rFonts w:hint="eastAsia" w:ascii="宋体" w:hAnsi="宋体" w:cs="宋体"/>
                <w:color w:val="auto"/>
                <w:spacing w:val="2"/>
                <w:w w:val="99"/>
                <w:kern w:val="2"/>
                <w:sz w:val="21"/>
                <w:szCs w:val="21"/>
                <w:highlight w:val="none"/>
                <w:lang w:eastAsia="zh-CN"/>
              </w:rPr>
              <w:t>限</w:t>
            </w:r>
            <w:r>
              <w:rPr>
                <w:rFonts w:hint="eastAsia" w:ascii="宋体" w:hAnsi="宋体" w:cs="宋体"/>
                <w:color w:val="auto"/>
                <w:w w:val="99"/>
                <w:kern w:val="2"/>
                <w:sz w:val="21"/>
                <w:szCs w:val="21"/>
                <w:highlight w:val="none"/>
                <w:lang w:eastAsia="zh-CN"/>
              </w:rPr>
              <w:t>定值</w:t>
            </w:r>
            <w:r>
              <w:rPr>
                <w:rFonts w:hint="eastAsia" w:ascii="宋体" w:hAnsi="宋体" w:cs="宋体"/>
                <w:color w:val="auto"/>
                <w:spacing w:val="2"/>
                <w:w w:val="99"/>
                <w:kern w:val="2"/>
                <w:sz w:val="21"/>
                <w:szCs w:val="21"/>
                <w:highlight w:val="none"/>
                <w:lang w:eastAsia="zh-CN"/>
              </w:rPr>
              <w:t>及</w:t>
            </w:r>
            <w:r>
              <w:rPr>
                <w:rFonts w:hint="eastAsia" w:ascii="宋体" w:hAnsi="宋体" w:cs="宋体"/>
                <w:color w:val="auto"/>
                <w:w w:val="99"/>
                <w:kern w:val="2"/>
                <w:sz w:val="21"/>
                <w:szCs w:val="21"/>
                <w:highlight w:val="none"/>
                <w:lang w:eastAsia="zh-CN"/>
              </w:rPr>
              <w:t>水</w:t>
            </w:r>
            <w:r>
              <w:rPr>
                <w:rFonts w:hint="eastAsia" w:ascii="宋体" w:hAnsi="宋体" w:cs="宋体"/>
                <w:color w:val="auto"/>
                <w:spacing w:val="2"/>
                <w:w w:val="99"/>
                <w:kern w:val="2"/>
                <w:sz w:val="21"/>
                <w:szCs w:val="21"/>
                <w:highlight w:val="none"/>
                <w:lang w:eastAsia="zh-CN"/>
              </w:rPr>
              <w:t>效</w:t>
            </w:r>
            <w:r>
              <w:rPr>
                <w:rFonts w:hint="eastAsia" w:ascii="宋体" w:hAnsi="宋体" w:cs="宋体"/>
                <w:color w:val="auto"/>
                <w:w w:val="99"/>
                <w:kern w:val="2"/>
                <w:sz w:val="21"/>
                <w:szCs w:val="21"/>
                <w:highlight w:val="none"/>
                <w:lang w:eastAsia="zh-CN"/>
              </w:rPr>
              <w:t>等级》</w:t>
            </w:r>
          </w:p>
          <w:p>
            <w:pPr>
              <w:pStyle w:val="125"/>
              <w:spacing w:before="50"/>
              <w:ind w:left="7"/>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w:t>
            </w:r>
            <w:r>
              <w:rPr>
                <w:rFonts w:hint="eastAsia" w:ascii="宋体" w:hAnsi="宋体" w:cs="宋体"/>
                <w:color w:val="auto"/>
                <w:spacing w:val="1"/>
                <w:w w:val="99"/>
                <w:kern w:val="2"/>
                <w:sz w:val="21"/>
                <w:szCs w:val="21"/>
                <w:highlight w:val="none"/>
              </w:rPr>
              <w:t>G</w:t>
            </w:r>
            <w:r>
              <w:rPr>
                <w:rFonts w:hint="eastAsia" w:ascii="宋体" w:hAnsi="宋体" w:cs="宋体"/>
                <w:color w:val="auto"/>
                <w:w w:val="99"/>
                <w:kern w:val="2"/>
                <w:sz w:val="21"/>
                <w:szCs w:val="21"/>
                <w:highlight w:val="none"/>
              </w:rPr>
              <w:t>B</w:t>
            </w:r>
            <w:r>
              <w:rPr>
                <w:rFonts w:hint="eastAsia" w:ascii="宋体" w:hAnsi="宋体" w:cs="宋体"/>
                <w:color w:val="auto"/>
                <w:spacing w:val="1"/>
                <w:w w:val="99"/>
                <w:kern w:val="2"/>
                <w:sz w:val="21"/>
                <w:szCs w:val="21"/>
                <w:highlight w:val="none"/>
              </w:rPr>
              <w:t>2</w:t>
            </w:r>
            <w:r>
              <w:rPr>
                <w:rFonts w:hint="eastAsia" w:ascii="宋体" w:hAnsi="宋体" w:cs="宋体"/>
                <w:color w:val="auto"/>
                <w:w w:val="99"/>
                <w:kern w:val="2"/>
                <w:sz w:val="21"/>
                <w:szCs w:val="21"/>
                <w:highlight w:val="none"/>
              </w:rPr>
              <w:t>55</w:t>
            </w:r>
            <w:r>
              <w:rPr>
                <w:rFonts w:hint="eastAsia" w:ascii="宋体" w:hAnsi="宋体" w:cs="宋体"/>
                <w:color w:val="auto"/>
                <w:spacing w:val="1"/>
                <w:w w:val="99"/>
                <w:kern w:val="2"/>
                <w:sz w:val="21"/>
                <w:szCs w:val="21"/>
                <w:highlight w:val="none"/>
              </w:rPr>
              <w:t>02</w:t>
            </w:r>
            <w:r>
              <w:rPr>
                <w:rFonts w:hint="eastAsia" w:ascii="宋体" w:hAnsi="宋体" w:cs="宋体"/>
                <w:color w:val="auto"/>
                <w:w w:val="99"/>
                <w:kern w:val="2"/>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w w:val="99"/>
                <w:szCs w:val="21"/>
                <w:highlight w:val="none"/>
                <w:lang w:eastAsia="en-US"/>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蹲便器</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24"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《蹲便器用水效率限定</w:t>
            </w:r>
            <w:r>
              <w:rPr>
                <w:rFonts w:hint="eastAsia" w:ascii="宋体" w:hAnsi="宋体" w:cs="宋体"/>
                <w:color w:val="auto"/>
                <w:spacing w:val="9"/>
                <w:w w:val="99"/>
                <w:kern w:val="2"/>
                <w:sz w:val="21"/>
                <w:szCs w:val="21"/>
                <w:highlight w:val="none"/>
                <w:lang w:eastAsia="zh-CN"/>
              </w:rPr>
              <w:t>值</w:t>
            </w:r>
            <w:r>
              <w:rPr>
                <w:rFonts w:hint="eastAsia" w:ascii="宋体" w:hAnsi="宋体" w:cs="宋体"/>
                <w:color w:val="auto"/>
                <w:spacing w:val="12"/>
                <w:w w:val="99"/>
                <w:kern w:val="2"/>
                <w:sz w:val="21"/>
                <w:szCs w:val="21"/>
                <w:highlight w:val="none"/>
                <w:lang w:eastAsia="zh-CN"/>
              </w:rPr>
              <w:t>及用</w:t>
            </w:r>
            <w:r>
              <w:rPr>
                <w:rFonts w:hint="eastAsia" w:ascii="宋体" w:hAnsi="宋体" w:cs="宋体"/>
                <w:color w:val="auto"/>
                <w:w w:val="99"/>
                <w:kern w:val="2"/>
                <w:sz w:val="21"/>
                <w:szCs w:val="21"/>
                <w:highlight w:val="none"/>
                <w:lang w:eastAsia="zh-CN"/>
              </w:rPr>
              <w:t>水效率等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307</w:t>
            </w:r>
            <w:r>
              <w:rPr>
                <w:rFonts w:hint="eastAsia" w:ascii="宋体" w:hAnsi="宋体" w:cs="宋体"/>
                <w:color w:val="auto"/>
                <w:w w:val="99"/>
                <w:kern w:val="2"/>
                <w:sz w:val="21"/>
                <w:szCs w:val="21"/>
                <w:highlight w:val="none"/>
                <w:lang w:eastAsia="zh-CN"/>
              </w:rPr>
              <w:t>1</w:t>
            </w:r>
            <w:r>
              <w:rPr>
                <w:rFonts w:hint="eastAsia" w:ascii="宋体" w:hAnsi="宋体" w:cs="宋体"/>
                <w:color w:val="auto"/>
                <w:spacing w:val="-1"/>
                <w:w w:val="99"/>
                <w:kern w:val="2"/>
                <w:sz w:val="21"/>
                <w:szCs w:val="21"/>
                <w:highlight w:val="none"/>
                <w:lang w:eastAsia="zh-CN"/>
              </w:rPr>
              <w:t>7</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olor w:val="auto"/>
                <w:szCs w:val="21"/>
                <w:highlight w:val="none"/>
              </w:rPr>
            </w:pPr>
          </w:p>
        </w:tc>
        <w:tc>
          <w:tcPr>
            <w:tcW w:w="1422"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left"/>
              <w:rPr>
                <w:rFonts w:ascii="宋体" w:hAnsi="宋体" w:cs="宋体"/>
                <w:color w:val="auto"/>
                <w:w w:val="99"/>
                <w:szCs w:val="21"/>
                <w:highlight w:val="none"/>
              </w:rPr>
            </w:pP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s="宋体"/>
                <w:color w:val="auto"/>
                <w:w w:val="99"/>
                <w:kern w:val="2"/>
                <w:sz w:val="21"/>
                <w:szCs w:val="21"/>
                <w:highlight w:val="none"/>
              </w:rPr>
              <w:t>小便器</w:t>
            </w: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24"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2"/>
                <w:w w:val="99"/>
                <w:kern w:val="2"/>
                <w:sz w:val="21"/>
                <w:szCs w:val="21"/>
                <w:highlight w:val="none"/>
                <w:lang w:eastAsia="zh-CN"/>
              </w:rPr>
              <w:t>《小便器用水效率限定</w:t>
            </w:r>
            <w:r>
              <w:rPr>
                <w:rFonts w:hint="eastAsia" w:ascii="宋体" w:hAnsi="宋体" w:cs="宋体"/>
                <w:color w:val="auto"/>
                <w:spacing w:val="9"/>
                <w:w w:val="99"/>
                <w:kern w:val="2"/>
                <w:sz w:val="21"/>
                <w:szCs w:val="21"/>
                <w:highlight w:val="none"/>
                <w:lang w:eastAsia="zh-CN"/>
              </w:rPr>
              <w:t>值</w:t>
            </w:r>
            <w:r>
              <w:rPr>
                <w:rFonts w:hint="eastAsia" w:ascii="宋体" w:hAnsi="宋体" w:cs="宋体"/>
                <w:color w:val="auto"/>
                <w:spacing w:val="12"/>
                <w:w w:val="99"/>
                <w:kern w:val="2"/>
                <w:sz w:val="21"/>
                <w:szCs w:val="21"/>
                <w:highlight w:val="none"/>
                <w:lang w:eastAsia="zh-CN"/>
              </w:rPr>
              <w:t>及用</w:t>
            </w:r>
            <w:r>
              <w:rPr>
                <w:rFonts w:hint="eastAsia" w:ascii="宋体" w:hAnsi="宋体" w:cs="宋体"/>
                <w:color w:val="auto"/>
                <w:w w:val="99"/>
                <w:kern w:val="2"/>
                <w:sz w:val="21"/>
                <w:szCs w:val="21"/>
                <w:highlight w:val="none"/>
                <w:lang w:eastAsia="zh-CN"/>
              </w:rPr>
              <w:t>水效率等</w:t>
            </w:r>
            <w:r>
              <w:rPr>
                <w:rFonts w:hint="eastAsia" w:ascii="宋体" w:hAnsi="宋体" w:cs="宋体"/>
                <w:color w:val="auto"/>
                <w:spacing w:val="2"/>
                <w:w w:val="99"/>
                <w:kern w:val="2"/>
                <w:sz w:val="21"/>
                <w:szCs w:val="21"/>
                <w:highlight w:val="none"/>
                <w:lang w:eastAsia="zh-CN"/>
              </w:rPr>
              <w:t>级</w:t>
            </w:r>
            <w:r>
              <w:rPr>
                <w:rFonts w:hint="eastAsia" w:ascii="宋体" w:hAnsi="宋体" w:cs="宋体"/>
                <w:color w:val="auto"/>
                <w:w w:val="99"/>
                <w:kern w:val="2"/>
                <w:sz w:val="21"/>
                <w:szCs w:val="21"/>
                <w:highlight w:val="none"/>
                <w:lang w:eastAsia="zh-CN"/>
              </w:rPr>
              <w:t>》（</w:t>
            </w:r>
            <w:r>
              <w:rPr>
                <w:rFonts w:hint="eastAsia" w:ascii="宋体" w:hAnsi="宋体" w:cs="宋体"/>
                <w:color w:val="auto"/>
                <w:spacing w:val="1"/>
                <w:w w:val="99"/>
                <w:kern w:val="2"/>
                <w:sz w:val="21"/>
                <w:szCs w:val="21"/>
                <w:highlight w:val="none"/>
                <w:lang w:eastAsia="zh-CN"/>
              </w:rPr>
              <w:t>G</w:t>
            </w:r>
            <w:r>
              <w:rPr>
                <w:rFonts w:hint="eastAsia" w:ascii="宋体" w:hAnsi="宋体" w:cs="宋体"/>
                <w:color w:val="auto"/>
                <w:w w:val="99"/>
                <w:kern w:val="2"/>
                <w:sz w:val="21"/>
                <w:szCs w:val="21"/>
                <w:highlight w:val="none"/>
                <w:lang w:eastAsia="zh-CN"/>
              </w:rPr>
              <w:t>B</w:t>
            </w:r>
            <w:r>
              <w:rPr>
                <w:rFonts w:hint="eastAsia" w:ascii="宋体" w:hAnsi="宋体" w:cs="宋体"/>
                <w:color w:val="auto"/>
                <w:spacing w:val="1"/>
                <w:w w:val="99"/>
                <w:kern w:val="2"/>
                <w:sz w:val="21"/>
                <w:szCs w:val="21"/>
                <w:highlight w:val="none"/>
                <w:lang w:eastAsia="zh-CN"/>
              </w:rPr>
              <w:t>283</w:t>
            </w:r>
            <w:r>
              <w:rPr>
                <w:rFonts w:hint="eastAsia" w:ascii="宋体" w:hAnsi="宋体" w:cs="宋体"/>
                <w:color w:val="auto"/>
                <w:w w:val="99"/>
                <w:kern w:val="2"/>
                <w:sz w:val="21"/>
                <w:szCs w:val="21"/>
                <w:highlight w:val="none"/>
                <w:lang w:eastAsia="zh-CN"/>
              </w:rPr>
              <w:t>7</w:t>
            </w:r>
            <w:r>
              <w:rPr>
                <w:rFonts w:hint="eastAsia" w:ascii="宋体" w:hAnsi="宋体" w:cs="宋体"/>
                <w:color w:val="auto"/>
                <w:spacing w:val="-1"/>
                <w:w w:val="99"/>
                <w:kern w:val="2"/>
                <w:sz w:val="21"/>
                <w:szCs w:val="21"/>
                <w:highlight w:val="none"/>
                <w:lang w:eastAsia="zh-CN"/>
              </w:rPr>
              <w:t>7</w:t>
            </w:r>
            <w:r>
              <w:rPr>
                <w:rFonts w:hint="eastAsia" w:ascii="宋体" w:hAnsi="宋体" w:cs="宋体"/>
                <w:color w:val="auto"/>
                <w:w w:val="99"/>
                <w:kern w:val="2"/>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olor w:val="auto"/>
                <w:kern w:val="2"/>
                <w:sz w:val="21"/>
                <w:szCs w:val="21"/>
                <w:highlight w:val="none"/>
              </w:rPr>
              <w:t>16</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153"/>
              <w:ind w:left="7"/>
              <w:jc w:val="center"/>
              <w:rPr>
                <w:rFonts w:ascii="宋体" w:hAnsi="宋体" w:cs="宋体"/>
                <w:color w:val="auto"/>
                <w:kern w:val="2"/>
                <w:sz w:val="21"/>
                <w:szCs w:val="21"/>
                <w:highlight w:val="none"/>
              </w:rPr>
            </w:pPr>
            <w:r>
              <w:rPr>
                <w:rFonts w:hint="eastAsia" w:ascii="宋体" w:hAnsi="宋体" w:cs="宋体"/>
                <w:color w:val="auto"/>
                <w:kern w:val="2"/>
                <w:sz w:val="21"/>
                <w:szCs w:val="21"/>
                <w:highlight w:val="none"/>
              </w:rPr>
              <w:t>★</w:t>
            </w:r>
            <w:r>
              <w:rPr>
                <w:rFonts w:hint="eastAsia" w:ascii="宋体" w:hAnsi="宋体" w:cs="仿宋_GB2312"/>
                <w:color w:val="auto"/>
                <w:kern w:val="2"/>
                <w:sz w:val="21"/>
                <w:szCs w:val="21"/>
                <w:highlight w:val="none"/>
              </w:rPr>
              <w:t>A05020106</w:t>
            </w:r>
            <w:r>
              <w:rPr>
                <w:rFonts w:hint="eastAsia" w:ascii="宋体" w:hAnsi="宋体" w:cs="宋体"/>
                <w:color w:val="auto"/>
                <w:kern w:val="2"/>
                <w:sz w:val="21"/>
                <w:szCs w:val="21"/>
                <w:highlight w:val="none"/>
              </w:rPr>
              <w:t>水</w:t>
            </w:r>
            <w:r>
              <w:rPr>
                <w:rFonts w:hint="eastAsia" w:ascii="宋体" w:hAnsi="宋体" w:cs="宋体"/>
                <w:color w:val="auto"/>
                <w:w w:val="99"/>
                <w:kern w:val="2"/>
                <w:sz w:val="21"/>
                <w:szCs w:val="21"/>
                <w:highlight w:val="none"/>
              </w:rPr>
              <w:t>嘴</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lang w:eastAsia="en-US"/>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lang w:eastAsia="en-US"/>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53"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0"/>
                <w:kern w:val="2"/>
                <w:sz w:val="21"/>
                <w:szCs w:val="21"/>
                <w:highlight w:val="none"/>
                <w:lang w:eastAsia="zh-CN"/>
              </w:rPr>
              <w:t>《水嘴用水效率限定值及用水效</w:t>
            </w:r>
            <w:r>
              <w:rPr>
                <w:rFonts w:hint="eastAsia" w:ascii="宋体" w:hAnsi="宋体" w:cs="宋体"/>
                <w:color w:val="auto"/>
                <w:kern w:val="2"/>
                <w:sz w:val="21"/>
                <w:szCs w:val="21"/>
                <w:highlight w:val="none"/>
                <w:lang w:eastAsia="zh-CN"/>
              </w:rPr>
              <w:t>率等级》（GB 25501）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olor w:val="auto"/>
                <w:kern w:val="2"/>
                <w:sz w:val="21"/>
                <w:szCs w:val="21"/>
                <w:highlight w:val="none"/>
              </w:rPr>
              <w:t>17</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112"/>
              <w:ind w:left="7"/>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A05020107</w:t>
            </w:r>
            <w:r>
              <w:rPr>
                <w:rFonts w:hint="eastAsia" w:ascii="宋体" w:hAnsi="宋体" w:cs="宋体"/>
                <w:color w:val="auto"/>
                <w:kern w:val="2"/>
                <w:sz w:val="21"/>
                <w:szCs w:val="21"/>
                <w:highlight w:val="none"/>
              </w:rPr>
              <w:t>便器冲洗阀</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lang w:eastAsia="en-US"/>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lang w:eastAsia="en-US"/>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12"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0"/>
                <w:kern w:val="2"/>
                <w:sz w:val="21"/>
                <w:szCs w:val="21"/>
                <w:highlight w:val="none"/>
                <w:lang w:eastAsia="zh-CN"/>
              </w:rPr>
              <w:t>《便器冲洗阀用水效率限定值及</w:t>
            </w:r>
            <w:r>
              <w:rPr>
                <w:rFonts w:hint="eastAsia" w:ascii="宋体" w:hAnsi="宋体" w:cs="宋体"/>
                <w:color w:val="auto"/>
                <w:kern w:val="2"/>
                <w:sz w:val="21"/>
                <w:szCs w:val="21"/>
                <w:highlight w:val="none"/>
                <w:lang w:eastAsia="zh-CN"/>
              </w:rPr>
              <w:t>用水效率等级》（GB28379）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1" w:type="dxa"/>
            <w:tcBorders>
              <w:top w:val="single" w:color="000000" w:sz="4" w:space="0"/>
              <w:left w:val="single" w:color="000000" w:sz="4" w:space="0"/>
              <w:bottom w:val="single" w:color="000000" w:sz="4" w:space="0"/>
              <w:right w:val="single" w:color="000000" w:sz="4" w:space="0"/>
            </w:tcBorders>
            <w:noWrap w:val="0"/>
            <w:vAlign w:val="center"/>
          </w:tcPr>
          <w:p>
            <w:pPr>
              <w:pStyle w:val="125"/>
              <w:jc w:val="center"/>
              <w:rPr>
                <w:rFonts w:ascii="宋体" w:hAnsi="宋体" w:cs="宋体"/>
                <w:color w:val="auto"/>
                <w:kern w:val="2"/>
                <w:sz w:val="21"/>
                <w:szCs w:val="21"/>
                <w:highlight w:val="none"/>
              </w:rPr>
            </w:pPr>
            <w:r>
              <w:rPr>
                <w:rFonts w:hint="eastAsia" w:ascii="宋体" w:hAnsi="宋体"/>
                <w:color w:val="auto"/>
                <w:kern w:val="2"/>
                <w:sz w:val="21"/>
                <w:szCs w:val="21"/>
                <w:highlight w:val="none"/>
              </w:rPr>
              <w:t>18</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pStyle w:val="125"/>
              <w:spacing w:before="131"/>
              <w:ind w:left="7"/>
              <w:jc w:val="center"/>
              <w:rPr>
                <w:rFonts w:ascii="宋体" w:hAnsi="宋体" w:cs="宋体"/>
                <w:color w:val="auto"/>
                <w:kern w:val="2"/>
                <w:sz w:val="21"/>
                <w:szCs w:val="21"/>
                <w:highlight w:val="none"/>
              </w:rPr>
            </w:pPr>
            <w:r>
              <w:rPr>
                <w:rFonts w:hint="eastAsia" w:ascii="宋体" w:hAnsi="宋体" w:cs="仿宋_GB2312"/>
                <w:color w:val="auto"/>
                <w:kern w:val="2"/>
                <w:sz w:val="21"/>
                <w:szCs w:val="21"/>
                <w:highlight w:val="none"/>
              </w:rPr>
              <w:t>A05020110</w:t>
            </w:r>
            <w:r>
              <w:rPr>
                <w:rFonts w:hint="eastAsia" w:ascii="宋体" w:hAnsi="宋体" w:cs="宋体"/>
                <w:color w:val="auto"/>
                <w:kern w:val="2"/>
                <w:sz w:val="21"/>
                <w:szCs w:val="21"/>
                <w:highlight w:val="none"/>
              </w:rPr>
              <w:t>淋浴</w:t>
            </w:r>
            <w:r>
              <w:rPr>
                <w:rFonts w:hint="eastAsia" w:ascii="宋体" w:hAnsi="宋体" w:cs="宋体"/>
                <w:color w:val="auto"/>
                <w:w w:val="99"/>
                <w:kern w:val="2"/>
                <w:sz w:val="21"/>
                <w:szCs w:val="21"/>
                <w:highlight w:val="none"/>
              </w:rPr>
              <w:t>器</w:t>
            </w:r>
          </w:p>
        </w:tc>
        <w:tc>
          <w:tcPr>
            <w:tcW w:w="14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lang w:eastAsia="en-US"/>
              </w:rPr>
            </w:pPr>
          </w:p>
        </w:tc>
        <w:tc>
          <w:tcPr>
            <w:tcW w:w="137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olor w:val="auto"/>
                <w:szCs w:val="21"/>
                <w:highlight w:val="none"/>
                <w:lang w:eastAsia="en-US"/>
              </w:rPr>
            </w:pPr>
          </w:p>
        </w:tc>
        <w:tc>
          <w:tcPr>
            <w:tcW w:w="3566" w:type="dxa"/>
            <w:tcBorders>
              <w:top w:val="single" w:color="000000" w:sz="4" w:space="0"/>
              <w:left w:val="single" w:color="000000" w:sz="4" w:space="0"/>
              <w:bottom w:val="single" w:color="000000" w:sz="4" w:space="0"/>
              <w:right w:val="single" w:color="000000" w:sz="4" w:space="0"/>
            </w:tcBorders>
            <w:noWrap w:val="0"/>
            <w:vAlign w:val="top"/>
          </w:tcPr>
          <w:p>
            <w:pPr>
              <w:pStyle w:val="125"/>
              <w:spacing w:before="131" w:line="276" w:lineRule="auto"/>
              <w:ind w:left="7" w:right="4"/>
              <w:rPr>
                <w:rFonts w:ascii="宋体" w:hAnsi="宋体" w:cs="宋体"/>
                <w:color w:val="auto"/>
                <w:kern w:val="2"/>
                <w:sz w:val="21"/>
                <w:szCs w:val="21"/>
                <w:highlight w:val="none"/>
                <w:lang w:eastAsia="zh-CN"/>
              </w:rPr>
            </w:pPr>
            <w:r>
              <w:rPr>
                <w:rFonts w:hint="eastAsia" w:ascii="宋体" w:hAnsi="宋体" w:cs="宋体"/>
                <w:color w:val="auto"/>
                <w:spacing w:val="10"/>
                <w:kern w:val="2"/>
                <w:sz w:val="21"/>
                <w:szCs w:val="21"/>
                <w:highlight w:val="none"/>
                <w:lang w:eastAsia="zh-CN"/>
              </w:rPr>
              <w:t>《淋浴器用水效率限定值及用水</w:t>
            </w:r>
            <w:r>
              <w:rPr>
                <w:rFonts w:hint="eastAsia" w:ascii="宋体" w:hAnsi="宋体" w:cs="宋体"/>
                <w:color w:val="auto"/>
                <w:kern w:val="2"/>
                <w:sz w:val="21"/>
                <w:szCs w:val="21"/>
                <w:highlight w:val="none"/>
                <w:lang w:eastAsia="zh-CN"/>
              </w:rPr>
              <w:t>效率等级》（GB28378）</w:t>
            </w:r>
          </w:p>
        </w:tc>
      </w:tr>
    </w:tbl>
    <w:p>
      <w:pPr>
        <w:pStyle w:val="17"/>
        <w:spacing w:line="360" w:lineRule="auto"/>
        <w:rPr>
          <w:rFonts w:hint="eastAsia" w:ascii="宋体" w:hAnsi="宋体"/>
          <w:color w:val="auto"/>
          <w:kern w:val="2"/>
          <w:sz w:val="21"/>
          <w:szCs w:val="21"/>
          <w:highlight w:val="none"/>
        </w:rPr>
      </w:pPr>
      <w:r>
        <w:rPr>
          <w:rFonts w:hint="eastAsia" w:ascii="宋体" w:hAnsi="宋体"/>
          <w:color w:val="auto"/>
          <w:spacing w:val="-3"/>
          <w:sz w:val="21"/>
          <w:szCs w:val="21"/>
          <w:highlight w:val="none"/>
        </w:rPr>
        <w:t>注：</w:t>
      </w:r>
      <w:r>
        <w:rPr>
          <w:rFonts w:ascii="宋体" w:hAnsi="宋体"/>
          <w:color w:val="auto"/>
          <w:spacing w:val="-3"/>
          <w:sz w:val="21"/>
          <w:szCs w:val="21"/>
          <w:highlight w:val="none"/>
        </w:rPr>
        <w:t>1.</w:t>
      </w:r>
      <w:r>
        <w:rPr>
          <w:rFonts w:hint="eastAsia" w:ascii="宋体" w:hAnsi="宋体"/>
          <w:color w:val="auto"/>
          <w:spacing w:val="-3"/>
          <w:sz w:val="21"/>
          <w:szCs w:val="21"/>
          <w:highlight w:val="none"/>
        </w:rPr>
        <w:t>节能产品认证应依据相关国家标准的最新版本，依据国家标准中二级能效（水效）</w:t>
      </w:r>
      <w:r>
        <w:rPr>
          <w:rFonts w:hint="eastAsia" w:ascii="宋体" w:hAnsi="宋体"/>
          <w:color w:val="auto"/>
          <w:sz w:val="21"/>
          <w:szCs w:val="21"/>
          <w:highlight w:val="none"/>
        </w:rPr>
        <w:t>指标。</w:t>
      </w:r>
    </w:p>
    <w:p>
      <w:pPr>
        <w:pStyle w:val="17"/>
        <w:spacing w:line="360" w:lineRule="auto"/>
        <w:ind w:firstLine="465"/>
        <w:rPr>
          <w:rFonts w:hint="eastAsia" w:ascii="宋体" w:hAnsi="宋体"/>
          <w:color w:val="auto"/>
          <w:sz w:val="21"/>
          <w:szCs w:val="21"/>
          <w:highlight w:val="none"/>
          <w:lang w:eastAsia="zh-CN"/>
        </w:rPr>
      </w:pPr>
      <w:r>
        <w:rPr>
          <w:rFonts w:ascii="宋体" w:hAnsi="宋体"/>
          <w:color w:val="auto"/>
          <w:sz w:val="21"/>
          <w:szCs w:val="21"/>
          <w:highlight w:val="none"/>
        </w:rPr>
        <w:t>2</w:t>
      </w:r>
      <w:r>
        <w:rPr>
          <w:rFonts w:hint="eastAsia" w:ascii="宋体" w:hAnsi="宋体"/>
          <w:color w:val="auto"/>
          <w:sz w:val="21"/>
          <w:szCs w:val="21"/>
          <w:highlight w:val="none"/>
          <w:lang w:eastAsia="zh-CN"/>
        </w:rPr>
        <w:t>.</w:t>
      </w:r>
      <w:r>
        <w:rPr>
          <w:rFonts w:hint="eastAsia" w:ascii="宋体" w:hAnsi="宋体"/>
          <w:color w:val="auto"/>
          <w:sz w:val="21"/>
          <w:szCs w:val="21"/>
          <w:highlight w:val="none"/>
        </w:rPr>
        <w:t>以</w:t>
      </w:r>
      <w:r>
        <w:rPr>
          <w:rFonts w:ascii="宋体" w:hAnsi="宋体"/>
          <w:color w:val="auto"/>
          <w:sz w:val="21"/>
          <w:szCs w:val="21"/>
          <w:highlight w:val="none"/>
        </w:rPr>
        <w:t>“</w:t>
      </w:r>
      <w:r>
        <w:rPr>
          <w:rFonts w:hint="eastAsia" w:ascii="宋体" w:hAnsi="宋体"/>
          <w:color w:val="auto"/>
          <w:sz w:val="21"/>
          <w:szCs w:val="21"/>
          <w:highlight w:val="none"/>
        </w:rPr>
        <w:t>★</w:t>
      </w:r>
      <w:r>
        <w:rPr>
          <w:rFonts w:ascii="宋体" w:hAnsi="宋体"/>
          <w:color w:val="auto"/>
          <w:sz w:val="21"/>
          <w:szCs w:val="21"/>
          <w:highlight w:val="none"/>
        </w:rPr>
        <w:t>”</w:t>
      </w:r>
      <w:r>
        <w:rPr>
          <w:rFonts w:hint="eastAsia" w:ascii="宋体" w:hAnsi="宋体"/>
          <w:color w:val="auto"/>
          <w:sz w:val="21"/>
          <w:szCs w:val="21"/>
          <w:highlight w:val="none"/>
        </w:rPr>
        <w:t>标注的为政府强制采购产品。</w:t>
      </w:r>
    </w:p>
    <w:p>
      <w:pPr>
        <w:pStyle w:val="17"/>
        <w:spacing w:line="360" w:lineRule="auto"/>
        <w:ind w:firstLine="465"/>
        <w:rPr>
          <w:rFonts w:hint="eastAsia" w:ascii="宋体" w:hAnsi="宋体"/>
          <w:color w:val="auto"/>
          <w:sz w:val="21"/>
          <w:szCs w:val="21"/>
          <w:highlight w:val="none"/>
        </w:rPr>
      </w:pPr>
      <w:r>
        <w:rPr>
          <w:rFonts w:hint="eastAsia" w:ascii="宋体" w:hAnsi="宋体"/>
          <w:color w:val="auto"/>
          <w:sz w:val="21"/>
          <w:szCs w:val="21"/>
          <w:highlight w:val="none"/>
        </w:rPr>
        <w:t>3.本表格原为《关于印发节能产品政府采购品目清单的通知》（财库〔2019〕19号）规定的表格附件，其中名称及编码已根据《财政部关于印发〈政府采购品目分类目录〉的通知》（财库〔2022〕31号）修改。</w:t>
      </w:r>
    </w:p>
    <w:p>
      <w:pPr>
        <w:widowControl/>
        <w:jc w:val="left"/>
        <w:rPr>
          <w:rFonts w:ascii="宋体" w:hAnsi="宋体" w:cs="宋体"/>
          <w:color w:val="auto"/>
          <w:sz w:val="20"/>
          <w:szCs w:val="20"/>
          <w:highlight w:val="none"/>
        </w:rPr>
      </w:pPr>
    </w:p>
    <w:p>
      <w:pPr>
        <w:widowControl/>
        <w:jc w:val="left"/>
        <w:rPr>
          <w:rFonts w:ascii="宋体" w:hAnsi="宋体" w:cs="宋体"/>
          <w:color w:val="auto"/>
          <w:sz w:val="20"/>
          <w:szCs w:val="20"/>
          <w:highlight w:val="none"/>
        </w:rPr>
      </w:pPr>
    </w:p>
    <w:p>
      <w:pPr>
        <w:widowControl/>
        <w:jc w:val="left"/>
        <w:rPr>
          <w:rFonts w:hint="eastAsia" w:ascii="黑体" w:hAnsi="黑体" w:eastAsia="黑体" w:cs="黑体"/>
          <w:color w:val="auto"/>
          <w:sz w:val="32"/>
          <w:szCs w:val="32"/>
          <w:highlight w:val="none"/>
        </w:rPr>
      </w:pPr>
      <w:r>
        <w:rPr>
          <w:rFonts w:ascii="宋体" w:hAnsi="宋体" w:cs="宋体"/>
          <w:color w:val="auto"/>
          <w:sz w:val="20"/>
          <w:szCs w:val="20"/>
          <w:highlight w:val="none"/>
        </w:rPr>
        <w:br w:type="page"/>
      </w:r>
      <w:r>
        <w:rPr>
          <w:rFonts w:hint="eastAsia" w:ascii="黑体" w:hAnsi="黑体" w:eastAsia="黑体" w:cs="黑体"/>
          <w:color w:val="auto"/>
          <w:sz w:val="32"/>
          <w:szCs w:val="32"/>
          <w:highlight w:val="none"/>
        </w:rPr>
        <w:t>附件2：</w:t>
      </w:r>
    </w:p>
    <w:p>
      <w:pPr>
        <w:pStyle w:val="17"/>
        <w:jc w:val="center"/>
        <w:rPr>
          <w:rFonts w:hint="eastAsia"/>
          <w:b/>
          <w:color w:val="auto"/>
          <w:sz w:val="28"/>
          <w:szCs w:val="28"/>
          <w:highlight w:val="none"/>
          <w:lang w:val="en-US" w:eastAsia="zh-CN"/>
        </w:rPr>
      </w:pPr>
      <w:r>
        <w:rPr>
          <w:rFonts w:hint="eastAsia"/>
          <w:b/>
          <w:color w:val="auto"/>
          <w:sz w:val="28"/>
          <w:szCs w:val="28"/>
          <w:highlight w:val="none"/>
          <w:lang w:val="en-US" w:eastAsia="zh-CN"/>
        </w:rPr>
        <w:t>中小企业划型标准规定</w:t>
      </w:r>
    </w:p>
    <w:p>
      <w:pPr>
        <w:pStyle w:val="17"/>
        <w:jc w:val="center"/>
        <w:rPr>
          <w:rFonts w:hint="eastAsia" w:ascii="宋体" w:hAnsi="宋体"/>
          <w:color w:val="auto"/>
          <w:sz w:val="21"/>
          <w:szCs w:val="21"/>
          <w:highlight w:val="none"/>
          <w:lang w:val="en-US" w:eastAsia="zh-CN"/>
        </w:rPr>
      </w:pPr>
      <w:r>
        <w:rPr>
          <w:rFonts w:hint="eastAsia" w:ascii="宋体" w:hAnsi="宋体"/>
          <w:color w:val="auto"/>
          <w:sz w:val="21"/>
          <w:szCs w:val="21"/>
          <w:highlight w:val="none"/>
          <w:lang w:val="en-US" w:eastAsia="zh-CN"/>
        </w:rPr>
        <w:t>工信部联企业[2011]300号</w:t>
      </w:r>
    </w:p>
    <w:p>
      <w:pPr>
        <w:pStyle w:val="17"/>
        <w:rPr>
          <w:color w:val="auto"/>
          <w:sz w:val="21"/>
          <w:szCs w:val="21"/>
          <w:highlight w:val="none"/>
          <w:lang w:val="en-US" w:eastAsia="zh-CN"/>
        </w:rPr>
      </w:pPr>
    </w:p>
    <w:p>
      <w:pPr>
        <w:pStyle w:val="17"/>
        <w:rPr>
          <w:color w:val="auto"/>
          <w:sz w:val="21"/>
          <w:szCs w:val="21"/>
          <w:highlight w:val="none"/>
          <w:lang w:val="en-US" w:eastAsia="zh-CN"/>
        </w:rPr>
      </w:pPr>
      <w:r>
        <w:rPr>
          <w:rFonts w:hint="eastAsia"/>
          <w:color w:val="auto"/>
          <w:sz w:val="21"/>
          <w:szCs w:val="21"/>
          <w:highlight w:val="none"/>
          <w:lang w:val="en-US" w:eastAsia="zh-CN"/>
        </w:rPr>
        <w:t>　　一、根据《中华人民共和国中小企业促进法》和《国务院关于进一步促进中小企业发展的若干意见》(国发[2009]36号)，制定本规定。</w:t>
      </w:r>
    </w:p>
    <w:p>
      <w:pPr>
        <w:pStyle w:val="17"/>
        <w:rPr>
          <w:color w:val="auto"/>
          <w:sz w:val="21"/>
          <w:szCs w:val="21"/>
          <w:highlight w:val="none"/>
          <w:lang w:val="en-US" w:eastAsia="zh-CN"/>
        </w:rPr>
      </w:pPr>
      <w:r>
        <w:rPr>
          <w:rFonts w:hint="eastAsia"/>
          <w:color w:val="auto"/>
          <w:sz w:val="21"/>
          <w:szCs w:val="21"/>
          <w:highlight w:val="none"/>
          <w:lang w:val="en-US" w:eastAsia="zh-CN"/>
        </w:rPr>
        <w:t>　　二、中小企业划分为中型、小型、微型三种类型，具体标准根据企业从业人员、营业收入、资产总额等指标，结合行业特点制定。</w:t>
      </w:r>
    </w:p>
    <w:p>
      <w:pPr>
        <w:pStyle w:val="17"/>
        <w:rPr>
          <w:color w:val="auto"/>
          <w:sz w:val="21"/>
          <w:szCs w:val="21"/>
          <w:highlight w:val="none"/>
          <w:lang w:val="en-US" w:eastAsia="zh-CN"/>
        </w:rPr>
      </w:pPr>
      <w:r>
        <w:rPr>
          <w:rFonts w:hint="eastAsia"/>
          <w:color w:val="auto"/>
          <w:sz w:val="21"/>
          <w:szCs w:val="21"/>
          <w:highlight w:val="none"/>
          <w:lang w:val="en-US" w:eastAsia="zh-CN"/>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7"/>
        <w:rPr>
          <w:color w:val="auto"/>
          <w:sz w:val="21"/>
          <w:szCs w:val="21"/>
          <w:highlight w:val="none"/>
          <w:lang w:val="en-US" w:eastAsia="zh-CN"/>
        </w:rPr>
      </w:pPr>
      <w:r>
        <w:rPr>
          <w:rFonts w:hint="eastAsia"/>
          <w:color w:val="auto"/>
          <w:sz w:val="21"/>
          <w:szCs w:val="21"/>
          <w:highlight w:val="none"/>
          <w:lang w:val="en-US" w:eastAsia="zh-CN"/>
        </w:rPr>
        <w:t>　　四、各行业划型标准为：</w:t>
      </w:r>
    </w:p>
    <w:p>
      <w:pPr>
        <w:pStyle w:val="17"/>
        <w:rPr>
          <w:color w:val="auto"/>
          <w:sz w:val="21"/>
          <w:szCs w:val="21"/>
          <w:highlight w:val="none"/>
          <w:lang w:val="en-US" w:eastAsia="zh-CN"/>
        </w:rPr>
      </w:pPr>
      <w:r>
        <w:rPr>
          <w:rFonts w:hint="eastAsia"/>
          <w:color w:val="auto"/>
          <w:sz w:val="21"/>
          <w:szCs w:val="21"/>
          <w:highlight w:val="none"/>
          <w:lang w:val="en-US" w:eastAsia="zh-CN"/>
        </w:rPr>
        <w:t>　　（一）农、林、牧、渔业。营业收入20000万元以下的为中小微型企业。其中，营业收入500万元及以上的为中型企业，营业收入50万元及以上的为小型企业，营业收入50万元以下的为微型企业。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（十六）其他未列明行业。从业人员300人以下的为中小微型企业。其中，从业人员100人及以上的为中型企业；从业人员10人及以上的为小型企业；从业人员10人以下的为微型企业。</w:t>
      </w:r>
    </w:p>
    <w:p>
      <w:pPr>
        <w:pStyle w:val="17"/>
        <w:rPr>
          <w:color w:val="auto"/>
          <w:sz w:val="21"/>
          <w:szCs w:val="21"/>
          <w:highlight w:val="none"/>
          <w:lang w:val="en-US" w:eastAsia="zh-CN"/>
        </w:rPr>
      </w:pPr>
      <w:r>
        <w:rPr>
          <w:rFonts w:hint="eastAsia"/>
          <w:color w:val="auto"/>
          <w:sz w:val="21"/>
          <w:szCs w:val="21"/>
          <w:highlight w:val="none"/>
          <w:lang w:val="en-US" w:eastAsia="zh-CN"/>
        </w:rPr>
        <w:t>　　五、企业类型的划分以统计部门的统计数据为依据。</w:t>
      </w:r>
    </w:p>
    <w:p>
      <w:pPr>
        <w:pStyle w:val="17"/>
        <w:rPr>
          <w:color w:val="auto"/>
          <w:sz w:val="21"/>
          <w:szCs w:val="21"/>
          <w:highlight w:val="none"/>
          <w:lang w:val="en-US" w:eastAsia="zh-CN"/>
        </w:rPr>
      </w:pPr>
      <w:r>
        <w:rPr>
          <w:rFonts w:hint="eastAsia"/>
          <w:color w:val="auto"/>
          <w:sz w:val="21"/>
          <w:szCs w:val="21"/>
          <w:highlight w:val="none"/>
          <w:lang w:val="en-US" w:eastAsia="zh-CN"/>
        </w:rPr>
        <w:t>　　六、本规定适用于在中华人民共和国境内依法设立的各类所有制和各种组织形式的企业。个体工商户和本规定以外的行业，参照本规定进行划型。</w:t>
      </w:r>
    </w:p>
    <w:p>
      <w:pPr>
        <w:pStyle w:val="17"/>
        <w:rPr>
          <w:color w:val="auto"/>
          <w:sz w:val="21"/>
          <w:szCs w:val="21"/>
          <w:highlight w:val="none"/>
          <w:lang w:val="en-US" w:eastAsia="zh-CN"/>
        </w:rPr>
      </w:pPr>
      <w:r>
        <w:rPr>
          <w:rFonts w:hint="eastAsia"/>
          <w:color w:val="auto"/>
          <w:sz w:val="21"/>
          <w:szCs w:val="21"/>
          <w:highlight w:val="none"/>
          <w:lang w:val="en-US" w:eastAsia="zh-CN"/>
        </w:rPr>
        <w:t>　　七、本规定的中型企业标准上限即为大型企业标准的下限，国家统计部门据此制定大中小微型企业的统计分类。国务院有关部门据此进行相关数据分析，不得制定与本规定不一致的企业划型标准。</w:t>
      </w:r>
    </w:p>
    <w:p>
      <w:pPr>
        <w:pStyle w:val="17"/>
        <w:rPr>
          <w:color w:val="auto"/>
          <w:sz w:val="21"/>
          <w:szCs w:val="21"/>
          <w:highlight w:val="none"/>
          <w:lang w:val="en-US" w:eastAsia="zh-CN"/>
        </w:rPr>
      </w:pPr>
      <w:r>
        <w:rPr>
          <w:rFonts w:hint="eastAsia"/>
          <w:color w:val="auto"/>
          <w:sz w:val="21"/>
          <w:szCs w:val="21"/>
          <w:highlight w:val="none"/>
          <w:lang w:val="en-US" w:eastAsia="zh-CN"/>
        </w:rPr>
        <w:t>　　八、本规定由工业和信息化部、国家统计局会同有关部门根据《国民经济行业分类》修订情况和企业发展变化情况适时修订。</w:t>
      </w:r>
    </w:p>
    <w:p>
      <w:pPr>
        <w:pStyle w:val="17"/>
        <w:rPr>
          <w:color w:val="auto"/>
          <w:sz w:val="21"/>
          <w:szCs w:val="21"/>
          <w:highlight w:val="none"/>
          <w:lang w:val="en-US" w:eastAsia="zh-CN"/>
        </w:rPr>
      </w:pPr>
      <w:r>
        <w:rPr>
          <w:rFonts w:hint="eastAsia"/>
          <w:color w:val="auto"/>
          <w:sz w:val="21"/>
          <w:szCs w:val="21"/>
          <w:highlight w:val="none"/>
          <w:lang w:val="en-US" w:eastAsia="zh-CN"/>
        </w:rPr>
        <w:t>　　九、本规定由工业和信息化部、国家统计局会同有关部门负责解释。</w:t>
      </w:r>
    </w:p>
    <w:p>
      <w:pPr>
        <w:pStyle w:val="17"/>
        <w:ind w:firstLine="420"/>
        <w:rPr>
          <w:rFonts w:hint="eastAsia"/>
          <w:color w:val="auto"/>
          <w:sz w:val="21"/>
          <w:szCs w:val="21"/>
          <w:highlight w:val="none"/>
          <w:lang w:val="en-US" w:eastAsia="zh-CN"/>
        </w:rPr>
      </w:pPr>
      <w:r>
        <w:rPr>
          <w:rFonts w:hint="eastAsia"/>
          <w:color w:val="auto"/>
          <w:sz w:val="21"/>
          <w:szCs w:val="21"/>
          <w:highlight w:val="none"/>
          <w:lang w:val="en-US" w:eastAsia="zh-CN"/>
        </w:rPr>
        <w:t>十、本规定自发布之日起执行，原国家经贸委、原国家计委、财政部和国家统计局2003年颁布的《中小企业标准暂行规定》同时废止。</w:t>
      </w:r>
    </w:p>
    <w:p>
      <w:pPr>
        <w:pStyle w:val="17"/>
        <w:spacing w:line="360" w:lineRule="auto"/>
        <w:rPr>
          <w:rFonts w:hint="eastAsia"/>
          <w:color w:val="auto"/>
          <w:spacing w:val="-3"/>
          <w:szCs w:val="21"/>
          <w:highlight w:val="none"/>
        </w:rPr>
      </w:pPr>
    </w:p>
    <w:p>
      <w:pPr>
        <w:widowControl/>
        <w:spacing w:line="360" w:lineRule="auto"/>
        <w:jc w:val="center"/>
        <w:rPr>
          <w:rFonts w:hint="eastAsia"/>
          <w:color w:val="auto"/>
          <w:highlight w:val="none"/>
        </w:rPr>
      </w:pPr>
      <w:r>
        <w:rPr>
          <w:rFonts w:hint="eastAsia" w:ascii="宋体" w:hAnsi="宋体" w:cs="宋体"/>
          <w:bCs/>
          <w:color w:val="auto"/>
          <w:sz w:val="24"/>
          <w:highlight w:val="none"/>
          <w:u w:val="single"/>
        </w:rPr>
        <w:br w:type="page"/>
      </w:r>
      <w:r>
        <w:rPr>
          <w:rFonts w:hint="eastAsia"/>
          <w:b/>
          <w:bCs/>
          <w:color w:val="auto"/>
          <w:sz w:val="44"/>
          <w:szCs w:val="44"/>
          <w:highlight w:val="none"/>
        </w:rPr>
        <w:t>第三章  投标人须知</w:t>
      </w:r>
      <w:bookmarkEnd w:id="43"/>
    </w:p>
    <w:p>
      <w:pPr>
        <w:jc w:val="center"/>
        <w:rPr>
          <w:rFonts w:hint="eastAsia"/>
          <w:color w:val="auto"/>
          <w:sz w:val="36"/>
          <w:szCs w:val="36"/>
          <w:highlight w:val="none"/>
        </w:rPr>
      </w:pPr>
      <w:bookmarkStart w:id="44" w:name="_Toc254970667"/>
      <w:bookmarkStart w:id="45" w:name="_Toc254970526"/>
      <w:r>
        <w:rPr>
          <w:rFonts w:hint="eastAsia"/>
          <w:color w:val="auto"/>
          <w:sz w:val="36"/>
          <w:szCs w:val="36"/>
          <w:highlight w:val="none"/>
        </w:rPr>
        <w:t>投标人须知前附表</w:t>
      </w:r>
      <w:bookmarkEnd w:id="44"/>
      <w:bookmarkEnd w:id="45"/>
    </w:p>
    <w:tbl>
      <w:tblPr>
        <w:tblStyle w:val="46"/>
        <w:tblW w:w="915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78"/>
        <w:gridCol w:w="81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条款号</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编列内容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w:t>
            </w:r>
            <w:r>
              <w:rPr>
                <w:rFonts w:hint="eastAsia" w:ascii="宋体" w:hAnsi="宋体"/>
                <w:color w:val="auto"/>
                <w:szCs w:val="21"/>
                <w:highlight w:val="none"/>
              </w:rPr>
              <w:t>投标人的资格要求详见招标公告。</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2</w:t>
            </w:r>
            <w:r>
              <w:rPr>
                <w:rFonts w:ascii="宋体" w:hAnsi="宋体"/>
                <w:color w:val="auto"/>
                <w:szCs w:val="21"/>
                <w:highlight w:val="none"/>
              </w:rPr>
              <w:t>.</w:t>
            </w:r>
            <w:r>
              <w:rPr>
                <w:rFonts w:hint="eastAsia" w:ascii="宋体" w:hAnsi="宋体"/>
                <w:color w:val="auto"/>
                <w:szCs w:val="21"/>
                <w:highlight w:val="none"/>
              </w:rPr>
              <w:t>投标人出现下列情形之一的，不得参加政府采购活动：</w:t>
            </w:r>
          </w:p>
          <w:p>
            <w:pPr>
              <w:snapToGrid w:val="0"/>
              <w:spacing w:line="360" w:lineRule="auto"/>
              <w:jc w:val="left"/>
              <w:rPr>
                <w:rFonts w:hint="eastAsia" w:ascii="宋体" w:hAnsi="宋体"/>
                <w:color w:val="auto"/>
                <w:szCs w:val="21"/>
                <w:highlight w:val="none"/>
              </w:rPr>
            </w:pPr>
            <w:r>
              <w:rPr>
                <w:rFonts w:ascii="宋体" w:hAnsi="宋体"/>
                <w:color w:val="auto"/>
                <w:szCs w:val="21"/>
                <w:highlight w:val="none"/>
              </w:rPr>
              <w:t>2.1</w:t>
            </w:r>
            <w:r>
              <w:rPr>
                <w:rFonts w:hint="eastAsia" w:ascii="宋体" w:hAnsi="宋体"/>
                <w:color w:val="auto"/>
                <w:szCs w:val="21"/>
                <w:highlight w:val="none"/>
              </w:rPr>
              <w:t>单位负责人为同一人或者存在直接控股、管理关系的不同供应商，不得参加同一合同项下的政府采购活动。为本项目提供过整体设计、规范编制或者项目管理、监理、检测等服务的供应商，不得再参加本项目上述服务以外的其他采购活动。</w:t>
            </w:r>
          </w:p>
          <w:p>
            <w:pPr>
              <w:snapToGrid w:val="0"/>
              <w:spacing w:line="360" w:lineRule="auto"/>
              <w:jc w:val="left"/>
              <w:rPr>
                <w:rFonts w:hint="eastAsia" w:ascii="宋体" w:hAnsi="宋体"/>
                <w:color w:val="auto"/>
                <w:szCs w:val="21"/>
                <w:highlight w:val="none"/>
              </w:rPr>
            </w:pPr>
            <w:r>
              <w:rPr>
                <w:rFonts w:ascii="宋体" w:hAnsi="宋体"/>
                <w:color w:val="auto"/>
                <w:szCs w:val="21"/>
                <w:highlight w:val="none"/>
              </w:rPr>
              <w:t>2.2</w:t>
            </w:r>
            <w:r>
              <w:rPr>
                <w:rFonts w:hint="eastAsia" w:ascii="宋体" w:hAnsi="宋体"/>
                <w:color w:val="auto"/>
                <w:szCs w:val="21"/>
                <w:highlight w:val="none"/>
              </w:rPr>
              <w:t>对在“信用中国”网站（www.creditchina.gov.cn） 、中国政府采购网（www.ccgp.gov.cn）被列入失信被执行人、重大税收违法失信主体、政府采购严重违法失信行为记录名单及其他不符合《中华人民共和国政府采购法》第二十二条规定条件的供应商，不得参与政府采购活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bookmarkStart w:id="46" w:name="_5"/>
            <w:bookmarkEnd w:id="46"/>
            <w:bookmarkStart w:id="47" w:name="_9.2"/>
            <w:bookmarkEnd w:id="47"/>
            <w:bookmarkStart w:id="48" w:name="_8.1"/>
            <w:bookmarkEnd w:id="48"/>
            <w:r>
              <w:rPr>
                <w:rFonts w:hint="eastAsia" w:ascii="宋体" w:hAnsi="宋体"/>
                <w:color w:val="auto"/>
                <w:szCs w:val="21"/>
                <w:highlight w:val="none"/>
              </w:rPr>
              <w:t>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15"/>
              <w:spacing w:line="360" w:lineRule="auto"/>
              <w:rPr>
                <w:rFonts w:hint="eastAsia" w:ascii="宋体" w:hAnsi="宋体"/>
                <w:color w:val="auto"/>
                <w:szCs w:val="21"/>
                <w:highlight w:val="none"/>
              </w:rPr>
            </w:pPr>
            <w:r>
              <w:rPr>
                <w:rFonts w:hint="eastAsia" w:ascii="宋体" w:hAnsi="宋体"/>
                <w:color w:val="auto"/>
                <w:szCs w:val="21"/>
                <w:highlight w:val="none"/>
              </w:rPr>
              <w:t>本项目是否接受联合体投标：详见招标公告。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ascii="宋体" w:hAnsi="宋体"/>
                <w:color w:val="auto"/>
                <w:szCs w:val="21"/>
                <w:highlight w:val="none"/>
              </w:rPr>
              <w:t>6.2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15"/>
              <w:spacing w:line="360" w:lineRule="auto"/>
              <w:rPr>
                <w:rFonts w:hint="eastAsia" w:ascii="宋体" w:hAnsi="宋体"/>
                <w:color w:val="auto"/>
                <w:szCs w:val="21"/>
                <w:highlight w:val="none"/>
              </w:rPr>
            </w:pPr>
            <w:bookmarkStart w:id="49" w:name="_Hlk54105293"/>
            <w:r>
              <w:rPr>
                <w:rFonts w:hint="eastAsia" w:ascii="宋体" w:hAnsi="宋体"/>
                <w:color w:val="auto"/>
                <w:szCs w:val="21"/>
                <w:highlight w:val="none"/>
              </w:rPr>
              <w:t>如接受联合体投标，</w:t>
            </w:r>
            <w:bookmarkEnd w:id="49"/>
            <w:r>
              <w:rPr>
                <w:rFonts w:hint="eastAsia" w:ascii="宋体" w:hAnsi="宋体"/>
                <w:color w:val="auto"/>
                <w:szCs w:val="21"/>
                <w:highlight w:val="none"/>
              </w:rPr>
              <w:t>联合体投标要求如下：无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7.2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15"/>
              <w:spacing w:line="360" w:lineRule="auto"/>
              <w:rPr>
                <w:rFonts w:hint="eastAsia" w:ascii="宋体" w:hAnsi="宋体"/>
                <w:color w:val="auto"/>
                <w:szCs w:val="21"/>
                <w:highlight w:val="none"/>
              </w:rPr>
            </w:pPr>
            <w:r>
              <w:rPr>
                <w:rFonts w:hint="eastAsia" w:ascii="宋体" w:hAnsi="宋体"/>
                <w:color w:val="auto"/>
                <w:szCs w:val="21"/>
                <w:highlight w:val="none"/>
              </w:rPr>
              <w:t>☑不允许分包</w:t>
            </w:r>
          </w:p>
          <w:p>
            <w:pPr>
              <w:pStyle w:val="15"/>
              <w:spacing w:line="360" w:lineRule="auto"/>
              <w:rPr>
                <w:rFonts w:hint="eastAsia" w:ascii="宋体" w:hAnsi="宋体"/>
                <w:color w:val="auto"/>
                <w:szCs w:val="21"/>
                <w:highlight w:val="none"/>
              </w:rPr>
            </w:pPr>
            <w:r>
              <w:rPr>
                <w:rFonts w:hint="eastAsia" w:ascii="宋体" w:hAnsi="宋体"/>
                <w:color w:val="auto"/>
                <w:szCs w:val="21"/>
                <w:highlight w:val="none"/>
              </w:rPr>
              <w:t>□允许分包</w:t>
            </w:r>
          </w:p>
          <w:p>
            <w:pPr>
              <w:pStyle w:val="15"/>
              <w:spacing w:line="360" w:lineRule="auto"/>
              <w:rPr>
                <w:rFonts w:hint="eastAsia" w:ascii="宋体" w:hAnsi="宋体"/>
                <w:color w:val="auto"/>
                <w:szCs w:val="21"/>
                <w:highlight w:val="none"/>
                <w:u w:val="single"/>
              </w:rPr>
            </w:pPr>
            <w:r>
              <w:rPr>
                <w:rFonts w:hint="eastAsia" w:ascii="宋体" w:hAnsi="宋体"/>
                <w:color w:val="auto"/>
                <w:szCs w:val="21"/>
                <w:highlight w:val="none"/>
              </w:rPr>
              <w:t>分包内容：</w:t>
            </w:r>
            <w:r>
              <w:rPr>
                <w:rFonts w:hint="eastAsia" w:ascii="宋体" w:hAnsi="宋体"/>
                <w:color w:val="auto"/>
                <w:szCs w:val="21"/>
                <w:highlight w:val="none"/>
                <w:u w:val="single"/>
              </w:rPr>
              <w:t xml:space="preserve">                                     。</w:t>
            </w:r>
          </w:p>
          <w:p>
            <w:pPr>
              <w:pStyle w:val="15"/>
              <w:spacing w:line="360" w:lineRule="auto"/>
              <w:jc w:val="both"/>
              <w:rPr>
                <w:rFonts w:hint="eastAsia" w:ascii="宋体" w:hAnsi="宋体"/>
                <w:color w:val="auto"/>
                <w:szCs w:val="21"/>
                <w:highlight w:val="none"/>
                <w:u w:val="single"/>
              </w:rPr>
            </w:pPr>
            <w:r>
              <w:rPr>
                <w:rFonts w:hint="eastAsia" w:ascii="宋体" w:hAnsi="宋体"/>
                <w:color w:val="auto"/>
                <w:szCs w:val="21"/>
                <w:highlight w:val="none"/>
              </w:rPr>
              <w:t>分包金额或者比例：</w:t>
            </w:r>
            <w:r>
              <w:rPr>
                <w:rFonts w:hint="eastAsia"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8.1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 w:val="22"/>
                <w:szCs w:val="22"/>
                <w:highlight w:val="none"/>
              </w:rPr>
              <w:t>采用综合评分法的采购项目，</w:t>
            </w:r>
            <w:r>
              <w:rPr>
                <w:rFonts w:hint="eastAsia" w:ascii="宋体" w:hAnsi="宋体"/>
                <w:color w:val="auto"/>
                <w:szCs w:val="21"/>
                <w:highlight w:val="none"/>
              </w:rPr>
              <w:t>提供相同品牌产品（非单一产品采购项目的，指核心产品）的不同投标人评审得分相同时，按照下列方式确定一个投标人获得中标人推荐资格：</w:t>
            </w:r>
          </w:p>
          <w:p>
            <w:pPr>
              <w:autoSpaceDE w:val="0"/>
              <w:autoSpaceDN w:val="0"/>
              <w:snapToGrid w:val="0"/>
              <w:spacing w:line="360" w:lineRule="auto"/>
              <w:textAlignment w:val="bottom"/>
              <w:rPr>
                <w:rFonts w:hint="eastAsia" w:ascii="宋体" w:hAnsi="宋体"/>
                <w:i w:val="0"/>
                <w:iCs/>
                <w:color w:val="auto"/>
                <w:szCs w:val="21"/>
                <w:highlight w:val="none"/>
              </w:rPr>
            </w:pPr>
            <w:r>
              <w:rPr>
                <w:rFonts w:hint="eastAsia" w:ascii="宋体" w:hAnsi="宋体"/>
                <w:color w:val="auto"/>
                <w:szCs w:val="21"/>
                <w:highlight w:val="none"/>
                <w:lang w:eastAsia="zh-CN"/>
              </w:rPr>
              <w:t>☑</w:t>
            </w:r>
            <w:r>
              <w:rPr>
                <w:rFonts w:hint="eastAsia" w:ascii="宋体" w:hAnsi="宋体"/>
                <w:i w:val="0"/>
                <w:iCs/>
                <w:color w:val="auto"/>
                <w:szCs w:val="21"/>
                <w:highlight w:val="none"/>
              </w:rPr>
              <w:t>依次按投标报价低的优先、政策分得分高的优先、技术评分高的优先、商务评分高的优先、质保期长优先、交货期短优先、故障响应时间短优先的顺序推荐；</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□随机抽取；</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66" w:hRule="atLeast"/>
        </w:trPr>
        <w:tc>
          <w:tcPr>
            <w:tcW w:w="978" w:type="dxa"/>
            <w:vMerge w:val="restart"/>
            <w:tcBorders>
              <w:top w:val="single" w:color="auto" w:sz="4" w:space="0"/>
              <w:left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1.2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t>☑不组织现场考察</w:t>
            </w:r>
          </w:p>
          <w:p>
            <w:pPr>
              <w:snapToGrid w:val="0"/>
              <w:spacing w:line="360" w:lineRule="auto"/>
              <w:rPr>
                <w:rFonts w:ascii="宋体" w:hAnsi="宋体"/>
                <w:color w:val="auto"/>
                <w:szCs w:val="21"/>
                <w:highlight w:val="none"/>
              </w:rPr>
            </w:pPr>
            <w:r>
              <w:rPr>
                <w:rFonts w:hint="eastAsia" w:ascii="宋体" w:hAnsi="宋体"/>
                <w:color w:val="auto"/>
                <w:szCs w:val="21"/>
                <w:highlight w:val="none"/>
              </w:rPr>
              <w:t>□组织现场考察：</w:t>
            </w:r>
          </w:p>
          <w:p>
            <w:pPr>
              <w:snapToGrid w:val="0"/>
              <w:spacing w:line="360" w:lineRule="auto"/>
              <w:rPr>
                <w:rFonts w:ascii="宋体" w:hAnsi="宋体"/>
                <w:color w:val="auto"/>
                <w:szCs w:val="21"/>
                <w:highlight w:val="none"/>
                <w:u w:val="single"/>
              </w:rPr>
            </w:pPr>
            <w:r>
              <w:rPr>
                <w:rFonts w:hint="eastAsia" w:ascii="宋体" w:hAnsi="宋体"/>
                <w:color w:val="auto"/>
                <w:szCs w:val="21"/>
                <w:highlight w:val="none"/>
              </w:rPr>
              <w:t>集中时间：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，逾期后果自负。集中地点：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联系人：</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r>
              <w:rPr>
                <w:rFonts w:hint="eastAsia" w:ascii="宋体" w:hAnsi="宋体"/>
                <w:color w:val="auto"/>
                <w:szCs w:val="21"/>
                <w:highlight w:val="none"/>
              </w:rPr>
              <w:t>；联系电话：</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978" w:type="dxa"/>
            <w:vMerge w:val="continue"/>
            <w:tcBorders>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ascii="宋体" w:hAnsi="宋体"/>
                <w:color w:val="auto"/>
                <w:szCs w:val="21"/>
                <w:highlight w:val="none"/>
              </w:rPr>
            </w:pPr>
            <w:r>
              <w:rPr>
                <w:rFonts w:hint="eastAsia" w:ascii="宋体" w:hAnsi="宋体"/>
                <w:color w:val="auto"/>
                <w:szCs w:val="21"/>
                <w:highlight w:val="none"/>
              </w:rPr>
              <w:sym w:font="Wingdings 2" w:char="0052"/>
            </w:r>
            <w:r>
              <w:rPr>
                <w:rFonts w:hint="eastAsia" w:ascii="宋体" w:hAnsi="宋体"/>
                <w:color w:val="auto"/>
                <w:szCs w:val="21"/>
                <w:highlight w:val="none"/>
              </w:rPr>
              <w:t>不组织召开开标前答疑会</w:t>
            </w:r>
          </w:p>
          <w:p>
            <w:pPr>
              <w:snapToGrid w:val="0"/>
              <w:spacing w:line="360" w:lineRule="auto"/>
              <w:rPr>
                <w:rFonts w:ascii="宋体" w:hAnsi="宋体"/>
                <w:color w:val="auto"/>
                <w:szCs w:val="21"/>
                <w:highlight w:val="none"/>
              </w:rPr>
            </w:pPr>
            <w:r>
              <w:rPr>
                <w:rFonts w:hint="eastAsia" w:ascii="宋体" w:hAnsi="宋体"/>
                <w:color w:val="auto"/>
                <w:szCs w:val="21"/>
                <w:highlight w:val="none"/>
              </w:rPr>
              <w:t>□组织召开开标前答疑会</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会议开始时间：</w:t>
            </w:r>
            <w:r>
              <w:rPr>
                <w:rFonts w:hint="eastAsia" w:ascii="宋体" w:hAnsi="宋体"/>
                <w:color w:val="auto"/>
                <w:szCs w:val="21"/>
                <w:highlight w:val="none"/>
                <w:u w:val="single"/>
              </w:rPr>
              <w:t xml:space="preserve">   </w:t>
            </w:r>
            <w:r>
              <w:rPr>
                <w:rFonts w:hint="eastAsia" w:ascii="宋体" w:hAnsi="宋体"/>
                <w:color w:val="auto"/>
                <w:szCs w:val="21"/>
                <w:highlight w:val="none"/>
              </w:rPr>
              <w:t>年</w:t>
            </w:r>
            <w:r>
              <w:rPr>
                <w:rFonts w:hint="eastAsia" w:ascii="宋体" w:hAnsi="宋体"/>
                <w:color w:val="auto"/>
                <w:szCs w:val="21"/>
                <w:highlight w:val="none"/>
                <w:u w:val="single"/>
              </w:rPr>
              <w:t xml:space="preserve">  </w:t>
            </w:r>
            <w:r>
              <w:rPr>
                <w:rFonts w:hint="eastAsia" w:ascii="宋体" w:hAnsi="宋体"/>
                <w:color w:val="auto"/>
                <w:szCs w:val="21"/>
                <w:highlight w:val="none"/>
              </w:rPr>
              <w:t>月</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日 </w:t>
            </w:r>
            <w:r>
              <w:rPr>
                <w:rFonts w:hint="eastAsia" w:ascii="宋体" w:hAnsi="宋体"/>
                <w:color w:val="auto"/>
                <w:szCs w:val="21"/>
                <w:highlight w:val="none"/>
                <w:u w:val="single"/>
              </w:rPr>
              <w:t xml:space="preserve">  </w:t>
            </w:r>
            <w:r>
              <w:rPr>
                <w:rFonts w:hint="eastAsia" w:ascii="宋体" w:hAnsi="宋体"/>
                <w:color w:val="auto"/>
                <w:szCs w:val="21"/>
                <w:highlight w:val="none"/>
              </w:rPr>
              <w:t>时</w:t>
            </w:r>
            <w:r>
              <w:rPr>
                <w:rFonts w:hint="eastAsia" w:ascii="宋体" w:hAnsi="宋体"/>
                <w:color w:val="auto"/>
                <w:szCs w:val="21"/>
                <w:highlight w:val="none"/>
                <w:u w:val="single"/>
              </w:rPr>
              <w:t xml:space="preserve">  分</w:t>
            </w:r>
            <w:r>
              <w:rPr>
                <w:rFonts w:hint="eastAsia" w:ascii="宋体" w:hAnsi="宋体"/>
                <w:color w:val="auto"/>
                <w:szCs w:val="21"/>
                <w:highlight w:val="none"/>
              </w:rPr>
              <w:t>，逾期后果自负。会议地点：</w:t>
            </w:r>
            <w:r>
              <w:rPr>
                <w:rFonts w:hint="eastAsia" w:ascii="宋体" w:hAnsi="宋体"/>
                <w:color w:val="auto"/>
                <w:szCs w:val="21"/>
                <w:highlight w:val="none"/>
                <w:u w:val="single"/>
              </w:rPr>
              <w:t xml:space="preserve"> </w:t>
            </w:r>
            <w:r>
              <w:rPr>
                <w:rFonts w:ascii="宋体" w:hAnsi="宋体"/>
                <w:color w:val="auto"/>
                <w:szCs w:val="21"/>
                <w:highlight w:val="none"/>
                <w:u w:val="singl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restart"/>
            <w:tcBorders>
              <w:top w:val="single" w:color="auto" w:sz="4" w:space="0"/>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50" w:name="_13.1"/>
            <w:bookmarkEnd w:id="50"/>
            <w:r>
              <w:rPr>
                <w:rFonts w:hint="eastAsia" w:ascii="宋体" w:hAnsi="宋体"/>
                <w:color w:val="auto"/>
                <w:szCs w:val="21"/>
                <w:highlight w:val="none"/>
              </w:rPr>
              <w:t>13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报价文件：</w:t>
            </w:r>
          </w:p>
          <w:p>
            <w:pPr>
              <w:tabs>
                <w:tab w:val="left" w:pos="459"/>
              </w:tabs>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1.投标函（格式后附）；</w:t>
            </w:r>
            <w:r>
              <w:rPr>
                <w:rFonts w:hint="eastAsia" w:ascii="宋体" w:hAnsi="宋体"/>
                <w:b/>
                <w:color w:val="auto"/>
                <w:szCs w:val="21"/>
                <w:highlight w:val="none"/>
              </w:rPr>
              <w:t>（必须提供，否则按无效投标处理）</w:t>
            </w:r>
          </w:p>
          <w:p>
            <w:pPr>
              <w:tabs>
                <w:tab w:val="left" w:pos="459"/>
              </w:tabs>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2.开标一览表（格式后附）； （</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tabs>
                <w:tab w:val="left" w:pos="459"/>
              </w:tabs>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3.投标人针对报价需要说明的其他文件和说明（格式自拟）。（</w:t>
            </w:r>
            <w:r>
              <w:rPr>
                <w:rFonts w:hint="eastAsia" w:ascii="宋体" w:hAnsi="宋体"/>
                <w:bCs/>
                <w:color w:val="auto"/>
                <w:szCs w:val="21"/>
                <w:highlight w:val="none"/>
              </w:rPr>
              <w:t>如有则提供</w:t>
            </w:r>
            <w:r>
              <w:rPr>
                <w:rFonts w:hint="eastAsia" w:ascii="宋体" w:hAnsi="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s="宋体"/>
                <w:b/>
                <w:color w:val="auto"/>
                <w:szCs w:val="21"/>
                <w:highlight w:val="none"/>
              </w:rPr>
              <w:t>注：</w:t>
            </w:r>
            <w:r>
              <w:rPr>
                <w:rFonts w:hint="eastAsia" w:ascii="宋体" w:hAnsi="宋体"/>
                <w:b/>
                <w:bCs/>
                <w:color w:val="auto"/>
                <w:szCs w:val="21"/>
                <w:highlight w:val="none"/>
              </w:rPr>
              <w:t>以上标明“必须提供”的材料，格式</w:t>
            </w:r>
            <w:r>
              <w:rPr>
                <w:rFonts w:hint="eastAsia" w:ascii="宋体" w:hAnsi="宋体" w:cs="宋体"/>
                <w:b/>
                <w:color w:val="auto"/>
                <w:szCs w:val="21"/>
                <w:highlight w:val="none"/>
              </w:rPr>
              <w:t>中有要求法定代表人或者委托代理人签字的，必须按要求签字并加盖投标人电子签章</w:t>
            </w:r>
            <w:r>
              <w:rPr>
                <w:rFonts w:hint="eastAsia" w:ascii="宋体" w:hAnsi="宋体"/>
                <w:b/>
                <w:bCs/>
                <w:color w:val="auto"/>
                <w:szCs w:val="21"/>
                <w:highlight w:val="none"/>
              </w:rPr>
              <w:t>，否则按无效投标</w:t>
            </w:r>
            <w:r>
              <w:rPr>
                <w:rFonts w:hint="eastAsia" w:ascii="宋体" w:hAnsi="宋体" w:cs="Courier New"/>
                <w:b/>
                <w:color w:val="auto"/>
                <w:szCs w:val="21"/>
                <w:highlight w:val="none"/>
              </w:rPr>
              <w:t>处理。</w:t>
            </w:r>
            <w:r>
              <w:rPr>
                <w:rFonts w:hint="eastAsia" w:ascii="宋体" w:hAnsi="宋体" w:cs="宋体"/>
                <w:b/>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51" w:name="_13.2"/>
            <w:bookmarkEnd w:id="51"/>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资格证明文件</w:t>
            </w:r>
          </w:p>
          <w:p>
            <w:pPr>
              <w:snapToGrid w:val="0"/>
              <w:spacing w:line="360" w:lineRule="auto"/>
              <w:jc w:val="left"/>
              <w:rPr>
                <w:rFonts w:hint="eastAsia" w:ascii="宋体" w:hAnsi="宋体" w:cs="Courier New"/>
                <w:b/>
                <w:color w:val="auto"/>
                <w:szCs w:val="21"/>
                <w:highlight w:val="none"/>
              </w:rPr>
            </w:pPr>
            <w:r>
              <w:rPr>
                <w:rFonts w:hint="eastAsia" w:ascii="宋体" w:hAnsi="宋体"/>
                <w:color w:val="auto"/>
                <w:szCs w:val="21"/>
                <w:highlight w:val="none"/>
              </w:rPr>
              <w:t>1.投标人为法人或者其他组织的，提供营业执照等证明文件</w:t>
            </w:r>
            <w:r>
              <w:rPr>
                <w:rFonts w:hint="eastAsia" w:ascii="宋体" w:hAnsi="宋体" w:cs="宋体"/>
                <w:color w:val="auto"/>
                <w:szCs w:val="21"/>
                <w:highlight w:val="none"/>
              </w:rPr>
              <w:t>（如营业执照或者事业单位法人证书或者</w:t>
            </w:r>
            <w:r>
              <w:rPr>
                <w:rStyle w:val="106"/>
                <w:color w:val="auto"/>
                <w:sz w:val="21"/>
                <w:szCs w:val="21"/>
                <w:highlight w:val="none"/>
              </w:rPr>
              <w:t>执业许可证</w:t>
            </w:r>
            <w:r>
              <w:rPr>
                <w:rFonts w:hint="eastAsia" w:ascii="宋体" w:hAnsi="宋体" w:cs="宋体"/>
                <w:color w:val="auto"/>
                <w:szCs w:val="21"/>
                <w:highlight w:val="none"/>
              </w:rPr>
              <w:t>或者登记证书等）</w:t>
            </w:r>
            <w:r>
              <w:rPr>
                <w:rFonts w:hint="eastAsia" w:ascii="宋体" w:hAnsi="宋体"/>
                <w:color w:val="auto"/>
                <w:szCs w:val="21"/>
                <w:highlight w:val="none"/>
              </w:rPr>
              <w:t>，投标人为自然人的，提供身份证</w:t>
            </w:r>
            <w:r>
              <w:rPr>
                <w:rFonts w:hint="eastAsia" w:ascii="宋体" w:hAnsi="宋体" w:cs="宋体"/>
                <w:color w:val="auto"/>
                <w:szCs w:val="21"/>
                <w:highlight w:val="none"/>
              </w:rPr>
              <w:t>复印件</w:t>
            </w:r>
            <w:r>
              <w:rPr>
                <w:rFonts w:hint="eastAsia" w:ascii="宋体" w:hAnsi="宋体"/>
                <w:color w:val="auto"/>
                <w:szCs w:val="21"/>
                <w:highlight w:val="none"/>
              </w:rPr>
              <w:t>；（</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s="Courier New"/>
                <w:b/>
                <w:color w:val="auto"/>
                <w:szCs w:val="21"/>
                <w:highlight w:val="none"/>
              </w:rPr>
            </w:pPr>
            <w:r>
              <w:rPr>
                <w:rFonts w:hint="eastAsia" w:ascii="宋体" w:hAnsi="宋体" w:cs="宋体"/>
                <w:color w:val="auto"/>
                <w:szCs w:val="21"/>
                <w:highlight w:val="none"/>
              </w:rPr>
              <w:t>2.投标人依法缴纳税收的相关材料（</w:t>
            </w:r>
            <w:r>
              <w:rPr>
                <w:rFonts w:hint="eastAsia" w:ascii="宋体" w:hAnsi="宋体" w:cs="宋体"/>
                <w:color w:val="auto"/>
                <w:szCs w:val="21"/>
                <w:highlight w:val="none"/>
                <w:u w:val="single"/>
                <w:lang w:val="en-US" w:eastAsia="zh-CN"/>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rPr>
              <w:t>月至</w:t>
            </w:r>
            <w:r>
              <w:rPr>
                <w:rFonts w:hint="eastAsia" w:ascii="宋体" w:hAnsi="宋体" w:cs="宋体"/>
                <w:color w:val="auto"/>
                <w:szCs w:val="21"/>
                <w:highlight w:val="none"/>
                <w:u w:val="none"/>
                <w:lang w:val="en-US" w:eastAsia="zh-CN"/>
              </w:rPr>
              <w:t>提交投标文件截止时间</w:t>
            </w:r>
            <w:r>
              <w:rPr>
                <w:rFonts w:hint="eastAsia" w:ascii="宋体" w:hAnsi="宋体" w:cs="宋体"/>
                <w:color w:val="auto"/>
                <w:szCs w:val="21"/>
                <w:highlight w:val="none"/>
              </w:rPr>
              <w:t>内连续</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个月的依法缴纳税收的</w:t>
            </w:r>
            <w:r>
              <w:rPr>
                <w:rFonts w:hint="eastAsia"/>
                <w:color w:val="auto"/>
                <w:highlight w:val="none"/>
              </w:rPr>
              <w:t>证明材料</w:t>
            </w:r>
            <w:r>
              <w:rPr>
                <w:rFonts w:hint="eastAsia" w:ascii="宋体" w:hAnsi="宋体" w:cs="宋体"/>
                <w:color w:val="auto"/>
                <w:szCs w:val="21"/>
                <w:highlight w:val="none"/>
              </w:rPr>
              <w:t>复印件；</w:t>
            </w:r>
            <w:r>
              <w:rPr>
                <w:rFonts w:hint="eastAsia" w:ascii="宋体" w:hAnsi="宋体"/>
                <w:color w:val="auto"/>
                <w:szCs w:val="21"/>
                <w:highlight w:val="none"/>
              </w:rPr>
              <w:t>依法免税的供应商，</w:t>
            </w:r>
            <w:r>
              <w:rPr>
                <w:rFonts w:hint="eastAsia"/>
                <w:color w:val="auto"/>
                <w:highlight w:val="none"/>
              </w:rPr>
              <w:t>必须提供符合免税条件的证明材料</w:t>
            </w:r>
            <w:r>
              <w:rPr>
                <w:rFonts w:hint="eastAsia" w:ascii="宋体" w:hAnsi="宋体"/>
                <w:color w:val="auto"/>
                <w:szCs w:val="21"/>
                <w:highlight w:val="none"/>
              </w:rPr>
              <w:t>。</w:t>
            </w:r>
            <w:r>
              <w:rPr>
                <w:rFonts w:hint="eastAsia" w:ascii="宋体" w:hAnsi="宋体" w:cs="宋体"/>
                <w:color w:val="auto"/>
                <w:szCs w:val="21"/>
                <w:highlight w:val="none"/>
              </w:rPr>
              <w:t>从</w:t>
            </w:r>
            <w:r>
              <w:rPr>
                <w:rFonts w:hint="eastAsia"/>
                <w:color w:val="auto"/>
                <w:szCs w:val="21"/>
                <w:highlight w:val="none"/>
              </w:rPr>
              <w:t>成立之日</w:t>
            </w:r>
            <w:r>
              <w:rPr>
                <w:rFonts w:hint="eastAsia" w:ascii="宋体" w:hAnsi="宋体" w:cs="宋体"/>
                <w:color w:val="auto"/>
                <w:szCs w:val="21"/>
                <w:highlight w:val="none"/>
              </w:rPr>
              <w:t>起到投标文件提交截止时间止不足要求月数的，只需提供从</w:t>
            </w:r>
            <w:r>
              <w:rPr>
                <w:rFonts w:hint="eastAsia"/>
                <w:color w:val="auto"/>
                <w:szCs w:val="21"/>
                <w:highlight w:val="none"/>
              </w:rPr>
              <w:t>成立之日起</w:t>
            </w:r>
            <w:r>
              <w:rPr>
                <w:rFonts w:hint="eastAsia" w:ascii="宋体" w:hAnsi="宋体" w:cs="宋体"/>
                <w:color w:val="auto"/>
                <w:szCs w:val="21"/>
                <w:highlight w:val="none"/>
              </w:rPr>
              <w:t>的依法缴纳税收</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s="Courier New"/>
                <w:b/>
                <w:color w:val="auto"/>
                <w:szCs w:val="21"/>
                <w:highlight w:val="none"/>
              </w:rPr>
            </w:pPr>
            <w:r>
              <w:rPr>
                <w:rFonts w:hint="eastAsia" w:ascii="宋体" w:hAnsi="宋体" w:cs="宋体"/>
                <w:color w:val="auto"/>
                <w:szCs w:val="21"/>
                <w:highlight w:val="none"/>
              </w:rPr>
              <w:t>3.投标人依法缴纳社会保障资金的相关材料[</w:t>
            </w:r>
            <w:r>
              <w:rPr>
                <w:rFonts w:hint="eastAsia" w:ascii="宋体" w:hAnsi="宋体" w:cs="宋体"/>
                <w:color w:val="auto"/>
                <w:szCs w:val="21"/>
                <w:highlight w:val="none"/>
                <w:u w:val="single"/>
                <w:lang w:val="en-US" w:eastAsia="zh-CN"/>
              </w:rPr>
              <w:t>2023</w:t>
            </w:r>
            <w:r>
              <w:rPr>
                <w:rFonts w:hint="eastAsia" w:ascii="宋体" w:hAnsi="宋体" w:cs="宋体"/>
                <w:color w:val="auto"/>
                <w:szCs w:val="21"/>
                <w:highlight w:val="none"/>
              </w:rPr>
              <w:t>年</w:t>
            </w:r>
            <w:r>
              <w:rPr>
                <w:rFonts w:hint="eastAsia" w:ascii="宋体" w:hAnsi="宋体" w:cs="宋体"/>
                <w:color w:val="auto"/>
                <w:szCs w:val="21"/>
                <w:highlight w:val="none"/>
                <w:u w:val="single"/>
                <w:lang w:val="en-US" w:eastAsia="zh-CN"/>
              </w:rPr>
              <w:t>7</w:t>
            </w:r>
            <w:r>
              <w:rPr>
                <w:rFonts w:hint="eastAsia" w:ascii="宋体" w:hAnsi="宋体" w:cs="宋体"/>
                <w:color w:val="auto"/>
                <w:szCs w:val="21"/>
                <w:highlight w:val="none"/>
              </w:rPr>
              <w:t>月至</w:t>
            </w:r>
            <w:r>
              <w:rPr>
                <w:rFonts w:hint="eastAsia" w:ascii="宋体" w:hAnsi="宋体" w:cs="宋体"/>
                <w:color w:val="auto"/>
                <w:szCs w:val="21"/>
                <w:highlight w:val="none"/>
                <w:u w:val="none"/>
                <w:lang w:val="en-US" w:eastAsia="zh-CN"/>
              </w:rPr>
              <w:t>提交投标文件截止时间</w:t>
            </w:r>
            <w:r>
              <w:rPr>
                <w:rFonts w:hint="eastAsia" w:ascii="宋体" w:hAnsi="宋体" w:cs="宋体"/>
                <w:color w:val="auto"/>
                <w:szCs w:val="21"/>
                <w:highlight w:val="none"/>
              </w:rPr>
              <w:t>内连续</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u w:val="single"/>
                <w:lang w:val="en-US" w:eastAsia="zh-CN"/>
              </w:rPr>
              <w:t>3</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个月的依法缴纳社会保障资金的缴费</w:t>
            </w:r>
            <w:r>
              <w:rPr>
                <w:rFonts w:hint="eastAsia"/>
                <w:color w:val="auto"/>
                <w:highlight w:val="none"/>
              </w:rPr>
              <w:t>证明材料</w:t>
            </w:r>
            <w:r>
              <w:rPr>
                <w:rFonts w:hint="eastAsia" w:ascii="宋体" w:hAnsi="宋体" w:cs="宋体"/>
                <w:color w:val="auto"/>
                <w:szCs w:val="21"/>
                <w:highlight w:val="none"/>
              </w:rPr>
              <w:t>（</w:t>
            </w:r>
            <w:r>
              <w:rPr>
                <w:rFonts w:hint="eastAsia"/>
                <w:color w:val="auto"/>
                <w:highlight w:val="none"/>
              </w:rPr>
              <w:t>如：</w:t>
            </w:r>
            <w:r>
              <w:rPr>
                <w:rFonts w:hint="eastAsia" w:ascii="宋体" w:hAnsi="宋体" w:cs="宋体"/>
                <w:color w:val="auto"/>
                <w:szCs w:val="21"/>
                <w:highlight w:val="none"/>
              </w:rPr>
              <w:t>专用收据、社会保险缴纳清单或者社保部门的证明）复印件；</w:t>
            </w:r>
            <w:r>
              <w:rPr>
                <w:rFonts w:hint="eastAsia" w:ascii="宋体" w:hAnsi="宋体"/>
                <w:color w:val="auto"/>
                <w:szCs w:val="21"/>
                <w:highlight w:val="none"/>
              </w:rPr>
              <w:t>依法不需要缴纳社会保障资金的供应商，必须提供相应文件证明不需要缴纳社会保障资金。</w:t>
            </w:r>
            <w:r>
              <w:rPr>
                <w:rFonts w:hint="eastAsia" w:ascii="宋体" w:hAnsi="宋体" w:cs="宋体"/>
                <w:color w:val="auto"/>
                <w:szCs w:val="21"/>
                <w:highlight w:val="none"/>
              </w:rPr>
              <w:t>从</w:t>
            </w:r>
            <w:r>
              <w:rPr>
                <w:rFonts w:hint="eastAsia"/>
                <w:color w:val="auto"/>
                <w:szCs w:val="21"/>
                <w:highlight w:val="none"/>
              </w:rPr>
              <w:t>成立之日起</w:t>
            </w:r>
            <w:r>
              <w:rPr>
                <w:rFonts w:hint="eastAsia" w:ascii="宋体" w:hAnsi="宋体" w:cs="宋体"/>
                <w:color w:val="auto"/>
                <w:szCs w:val="21"/>
                <w:highlight w:val="none"/>
              </w:rPr>
              <w:t>到投标文件提交截止时间止不足要求月数的只需提供从</w:t>
            </w:r>
            <w:r>
              <w:rPr>
                <w:rFonts w:hint="eastAsia"/>
                <w:color w:val="auto"/>
                <w:szCs w:val="21"/>
                <w:highlight w:val="none"/>
              </w:rPr>
              <w:t>成立之日起</w:t>
            </w:r>
            <w:r>
              <w:rPr>
                <w:rFonts w:hint="eastAsia" w:ascii="宋体" w:hAnsi="宋体" w:cs="宋体"/>
                <w:color w:val="auto"/>
                <w:szCs w:val="21"/>
                <w:highlight w:val="none"/>
              </w:rPr>
              <w:t>的依法缴纳社会保障资金的</w:t>
            </w:r>
            <w:r>
              <w:rPr>
                <w:rFonts w:hint="eastAsia" w:ascii="宋体" w:hAnsi="宋体"/>
                <w:color w:val="auto"/>
                <w:szCs w:val="21"/>
                <w:highlight w:val="none"/>
              </w:rPr>
              <w:t>相应证明文件</w:t>
            </w:r>
            <w:r>
              <w:rPr>
                <w:rFonts w:hint="eastAsia" w:ascii="宋体" w:hAnsi="宋体" w:cs="宋体"/>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s="Courier New"/>
                <w:b/>
                <w:color w:val="auto"/>
                <w:szCs w:val="21"/>
                <w:highlight w:val="none"/>
              </w:rPr>
            </w:pPr>
            <w:r>
              <w:rPr>
                <w:rFonts w:hint="eastAsia" w:ascii="宋体" w:hAnsi="宋体" w:cs="宋体"/>
                <w:color w:val="auto"/>
                <w:szCs w:val="21"/>
                <w:highlight w:val="none"/>
              </w:rPr>
              <w:t>4.投标人</w:t>
            </w:r>
            <w:r>
              <w:rPr>
                <w:rFonts w:hint="eastAsia"/>
                <w:color w:val="auto"/>
                <w:szCs w:val="21"/>
                <w:highlight w:val="none"/>
              </w:rPr>
              <w:t>财务状况报告</w:t>
            </w:r>
            <w:r>
              <w:rPr>
                <w:rFonts w:hint="eastAsia" w:ascii="宋体" w:hAnsi="宋体"/>
                <w:color w:val="auto"/>
                <w:szCs w:val="21"/>
                <w:highlight w:val="none"/>
              </w:rPr>
              <w:t>[</w:t>
            </w:r>
            <w:r>
              <w:rPr>
                <w:rFonts w:hint="eastAsia" w:ascii="宋体" w:hAnsi="宋体"/>
                <w:color w:val="auto"/>
                <w:szCs w:val="21"/>
                <w:highlight w:val="none"/>
                <w:u w:val="single"/>
                <w:lang w:val="en-US" w:eastAsia="zh-CN"/>
              </w:rPr>
              <w:t>2022</w:t>
            </w:r>
            <w:r>
              <w:rPr>
                <w:rFonts w:ascii="宋体" w:hAnsi="宋体"/>
                <w:color w:val="auto"/>
                <w:szCs w:val="21"/>
                <w:highlight w:val="none"/>
                <w:u w:val="single"/>
              </w:rPr>
              <w:t xml:space="preserve"> </w:t>
            </w:r>
            <w:r>
              <w:rPr>
                <w:rFonts w:hint="eastAsia" w:ascii="宋体" w:hAnsi="宋体"/>
                <w:color w:val="auto"/>
                <w:szCs w:val="21"/>
                <w:highlight w:val="none"/>
              </w:rPr>
              <w:t>年度财务报表复印件，或者银行出具的资信证明，或者中国人民银行征信中心出具的信用报告（企业投标的提供企业信用报告，自然人投标的提供个人信用报告</w:t>
            </w:r>
            <w:r>
              <w:rPr>
                <w:rFonts w:hint="eastAsia" w:ascii="宋体" w:hAnsi="宋体"/>
                <w:color w:val="auto"/>
                <w:highlight w:val="none"/>
              </w:rPr>
              <w:t>，投标人</w:t>
            </w:r>
            <w:r>
              <w:rPr>
                <w:rFonts w:ascii="宋体" w:hAnsi="宋体"/>
                <w:color w:val="auto"/>
                <w:highlight w:val="none"/>
              </w:rPr>
              <w:t>属于成立时间在规定年度之后的法人或其他组织</w:t>
            </w:r>
            <w:r>
              <w:rPr>
                <w:rFonts w:hint="eastAsia" w:ascii="宋体" w:hAnsi="宋体"/>
                <w:color w:val="auto"/>
                <w:highlight w:val="none"/>
              </w:rPr>
              <w:t>，需提供成立之日起至投标截止时间前的月报表</w:t>
            </w:r>
            <w:r>
              <w:rPr>
                <w:rFonts w:hint="eastAsia" w:ascii="宋体" w:hAnsi="宋体"/>
                <w:color w:val="auto"/>
                <w:szCs w:val="21"/>
                <w:highlight w:val="none"/>
              </w:rPr>
              <w:t>或银行出具的资信证明或者中国人民银行征信中心出具的企业信用报告；资信证明应在有效期内，未注明有效期的，银行出具时间至投标截止时间不超过一年]</w:t>
            </w:r>
            <w:r>
              <w:rPr>
                <w:rFonts w:hint="eastAsia" w:ascii="宋体" w:hAnsi="宋体" w:eastAsia="宋体" w:cs="宋体"/>
                <w:b/>
                <w:bCs/>
                <w:color w:val="auto"/>
                <w:szCs w:val="21"/>
                <w:highlight w:val="none"/>
                <w:lang w:eastAsia="zh-CN"/>
              </w:rPr>
              <w:t>【财务报表至少要包含资产负债表、现金流量表及利润表，（可以是</w:t>
            </w:r>
            <w:r>
              <w:rPr>
                <w:rFonts w:hint="eastAsia" w:ascii="宋体" w:hAnsi="宋体" w:eastAsia="宋体" w:cs="宋体"/>
                <w:b/>
                <w:bCs/>
                <w:color w:val="auto"/>
                <w:szCs w:val="21"/>
                <w:highlight w:val="none"/>
                <w:lang w:val="en-US" w:eastAsia="zh-CN"/>
              </w:rPr>
              <w:t>投标人</w:t>
            </w:r>
            <w:r>
              <w:rPr>
                <w:rFonts w:hint="eastAsia" w:ascii="宋体" w:hAnsi="宋体" w:eastAsia="宋体" w:cs="宋体"/>
                <w:b/>
                <w:bCs/>
                <w:color w:val="auto"/>
                <w:szCs w:val="21"/>
                <w:highlight w:val="none"/>
                <w:lang w:eastAsia="zh-CN"/>
              </w:rPr>
              <w:t>自行编制的财务报表或第三方审计报告），提交</w:t>
            </w:r>
            <w:r>
              <w:rPr>
                <w:rFonts w:hint="eastAsia" w:ascii="宋体" w:hAnsi="宋体" w:eastAsia="宋体" w:cs="宋体"/>
                <w:b/>
                <w:bCs/>
                <w:color w:val="auto"/>
                <w:szCs w:val="21"/>
                <w:highlight w:val="none"/>
                <w:lang w:val="en-US" w:eastAsia="zh-CN"/>
              </w:rPr>
              <w:t>投标人</w:t>
            </w:r>
            <w:r>
              <w:rPr>
                <w:rFonts w:hint="eastAsia" w:ascii="宋体" w:hAnsi="宋体" w:eastAsia="宋体" w:cs="宋体"/>
                <w:b/>
                <w:bCs/>
                <w:color w:val="auto"/>
                <w:szCs w:val="21"/>
                <w:highlight w:val="none"/>
                <w:lang w:eastAsia="zh-CN"/>
              </w:rPr>
              <w:t>自行编制的财务报表时需出具承诺书，承诺该财务报表数据真实可靠</w:t>
            </w:r>
            <w:r>
              <w:rPr>
                <w:rFonts w:hint="eastAsia" w:ascii="宋体" w:hAnsi="宋体" w:eastAsia="宋体" w:cs="宋体"/>
                <w:b/>
                <w:bCs/>
                <w:color w:val="auto"/>
                <w:szCs w:val="21"/>
                <w:highlight w:val="none"/>
                <w:lang w:val="en-US" w:eastAsia="zh-CN"/>
              </w:rPr>
              <w:t xml:space="preserve"> </w:t>
            </w:r>
            <w:r>
              <w:rPr>
                <w:rFonts w:hint="eastAsia" w:ascii="宋体" w:hAnsi="宋体" w:eastAsia="宋体" w:cs="宋体"/>
                <w:color w:val="auto"/>
                <w:szCs w:val="21"/>
                <w:highlight w:val="none"/>
                <w:lang w:eastAsia="zh-CN"/>
              </w:rPr>
              <w:t>】</w:t>
            </w:r>
            <w:r>
              <w:rPr>
                <w:rFonts w:hint="eastAsia"/>
                <w:color w:val="auto"/>
                <w:szCs w:val="21"/>
                <w:highlight w:val="none"/>
              </w:rPr>
              <w:t>；</w:t>
            </w:r>
            <w:r>
              <w:rPr>
                <w:rFonts w:hint="eastAsia" w:ascii="宋体" w:hAnsi="宋体"/>
                <w:color w:val="auto"/>
                <w:szCs w:val="21"/>
                <w:highlight w:val="none"/>
              </w:rPr>
              <w:t>（</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5.投标人直接控股股东信息表（格式后附）；（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6. 投标人直接管理关系信息表（格式后附）；（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投标声明（格式后附）；（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s="宋体"/>
                <w:b/>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.本项目1、2、3、4、5分标特定资格：（</w:t>
            </w:r>
            <w:r>
              <w:rPr>
                <w:rFonts w:hint="eastAsia" w:ascii="宋体" w:hAnsi="宋体" w:cs="宋体"/>
                <w:b/>
                <w:color w:val="auto"/>
                <w:szCs w:val="21"/>
                <w:highlight w:val="none"/>
              </w:rPr>
              <w:t>必须提供，否则投标文件按无效处理</w:t>
            </w:r>
            <w:r>
              <w:rPr>
                <w:rFonts w:hint="eastAsia" w:ascii="宋体" w:hAnsi="宋体" w:cs="宋体"/>
                <w:color w:val="auto"/>
                <w:szCs w:val="21"/>
                <w:highlight w:val="none"/>
              </w:rPr>
              <w:t>）</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s="宋体"/>
                <w:color w:val="auto"/>
                <w:szCs w:val="21"/>
                <w:highlight w:val="none"/>
                <w:lang w:val="en-US" w:eastAsia="zh-CN"/>
              </w:rPr>
              <w:t>标的属</w:t>
            </w:r>
            <w:r>
              <w:rPr>
                <w:rFonts w:hint="eastAsia" w:ascii="宋体" w:hAnsi="宋体" w:cs="宋体"/>
                <w:color w:val="auto"/>
                <w:szCs w:val="21"/>
                <w:highlight w:val="none"/>
              </w:rPr>
              <w:t>第二类医疗器械的，应提供有效的医疗器械经营备案凭证（经营范围包含采购的第二类医疗器械），符合《医疗器械监督管理条例》（国务院令第739号）第四十一条第二款规定的除外；如供应商符合《医疗器械监督管理条例》第四十三条“医疗器械注册人、备案人经营其注册、备案的医疗器械，无需办理医疗器械经营许可或者备案，但应当符合本条例规定的经营条件”规定的，仅需提供该医疗器械注册证（另附表格列明所投标对应产品的名称和规格型号，格式自拟）。</w:t>
            </w:r>
          </w:p>
          <w:p>
            <w:pPr>
              <w:snapToGrid w:val="0"/>
              <w:spacing w:line="360" w:lineRule="auto"/>
              <w:ind w:firstLine="420" w:firstLineChars="200"/>
              <w:jc w:val="left"/>
              <w:rPr>
                <w:rFonts w:hint="eastAsia"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标的属</w:t>
            </w:r>
            <w:r>
              <w:rPr>
                <w:rFonts w:hint="eastAsia" w:ascii="宋体" w:hAnsi="宋体" w:cs="宋体"/>
                <w:color w:val="auto"/>
                <w:szCs w:val="21"/>
                <w:highlight w:val="none"/>
              </w:rPr>
              <w:t>第三类医疗器械的，应提供有效的医疗器械经营许可证（经营范围包含采购的第三类医疗器械）；如供应商符合《医疗器械监督管理条例》第四十三条“医疗器械注册人、备案人经营其注册、备案的医疗器械，无需办理医疗器械经营许可或者备案，但应当符合本条例规定的经营条件”规定的，仅需提供该医疗器械注册证（另附表格列明所投标对应产品的名称和规格型号，格式自拟）。</w:t>
            </w:r>
          </w:p>
          <w:p>
            <w:pPr>
              <w:snapToGrid w:val="0"/>
              <w:spacing w:line="360" w:lineRule="auto"/>
              <w:ind w:firstLine="420" w:firstLineChars="200"/>
              <w:jc w:val="left"/>
              <w:rPr>
                <w:rFonts w:hint="eastAsia"/>
                <w:color w:val="auto"/>
                <w:highlight w:val="none"/>
              </w:rPr>
            </w:pPr>
            <w:r>
              <w:rPr>
                <w:rFonts w:hint="eastAsia"/>
                <w:color w:val="auto"/>
                <w:highlight w:val="none"/>
              </w:rPr>
              <w:t>（3）项目有第二类和第三类医疗器械的，应按上述（1）（2）要求提供。</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.除招标文件规定必须提供以外，投标人认为需要提供的其他证明材料。（</w:t>
            </w:r>
            <w:r>
              <w:rPr>
                <w:rFonts w:hint="eastAsia" w:ascii="宋体" w:hAnsi="宋体"/>
                <w:bCs/>
                <w:color w:val="auto"/>
                <w:szCs w:val="21"/>
                <w:highlight w:val="none"/>
              </w:rPr>
              <w:t>如有则提供</w:t>
            </w:r>
            <w:r>
              <w:rPr>
                <w:rFonts w:hint="eastAsia" w:ascii="宋体" w:hAnsi="宋体"/>
                <w:color w:val="auto"/>
                <w:szCs w:val="21"/>
                <w:highlight w:val="none"/>
              </w:rPr>
              <w:t>）</w:t>
            </w:r>
          </w:p>
          <w:p>
            <w:pPr>
              <w:snapToGrid w:val="0"/>
              <w:spacing w:line="360" w:lineRule="auto"/>
              <w:jc w:val="left"/>
              <w:rPr>
                <w:rFonts w:hint="eastAsia" w:ascii="宋体" w:hAnsi="宋体"/>
                <w:b/>
                <w:bCs/>
                <w:color w:val="auto"/>
                <w:szCs w:val="21"/>
                <w:highlight w:val="none"/>
              </w:rPr>
            </w:pPr>
            <w:r>
              <w:rPr>
                <w:rFonts w:hint="eastAsia" w:ascii="宋体" w:hAnsi="宋体"/>
                <w:b/>
                <w:bCs/>
                <w:color w:val="auto"/>
                <w:szCs w:val="21"/>
                <w:highlight w:val="none"/>
              </w:rPr>
              <w:t>注：</w:t>
            </w:r>
            <w:r>
              <w:rPr>
                <w:rFonts w:hint="eastAsia" w:ascii="宋体" w:hAnsi="宋体"/>
                <w:color w:val="auto"/>
                <w:szCs w:val="21"/>
                <w:highlight w:val="none"/>
              </w:rPr>
              <w:t xml:space="preserve"> </w:t>
            </w:r>
            <w:r>
              <w:rPr>
                <w:rFonts w:hint="eastAsia" w:ascii="宋体" w:hAnsi="宋体"/>
                <w:b/>
                <w:bCs/>
                <w:color w:val="auto"/>
                <w:szCs w:val="21"/>
                <w:highlight w:val="none"/>
              </w:rPr>
              <w:t>以上标明“必须提供”的材料，格式</w:t>
            </w:r>
            <w:r>
              <w:rPr>
                <w:rFonts w:hint="eastAsia" w:ascii="宋体" w:hAnsi="宋体" w:cs="宋体"/>
                <w:b/>
                <w:color w:val="auto"/>
                <w:szCs w:val="21"/>
                <w:highlight w:val="none"/>
              </w:rPr>
              <w:t>中有要求法定代表人或者委托代理人签字的，必须按要求签字并加盖投标人电子签章</w:t>
            </w:r>
            <w:r>
              <w:rPr>
                <w:rFonts w:hint="eastAsia" w:ascii="宋体" w:hAnsi="宋体"/>
                <w:b/>
                <w:bCs/>
                <w:color w:val="auto"/>
                <w:szCs w:val="21"/>
                <w:highlight w:val="none"/>
              </w:rPr>
              <w:t>，否则按无效投标</w:t>
            </w:r>
            <w:r>
              <w:rPr>
                <w:rFonts w:hint="eastAsia" w:ascii="宋体" w:hAnsi="宋体" w:cs="Courier New"/>
                <w:b/>
                <w:color w:val="auto"/>
                <w:szCs w:val="21"/>
                <w:highlight w:val="none"/>
              </w:rPr>
              <w:t>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16" w:hRule="atLeast"/>
        </w:trPr>
        <w:tc>
          <w:tcPr>
            <w:tcW w:w="978" w:type="dxa"/>
            <w:vMerge w:val="continue"/>
            <w:tcBorders>
              <w:left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52" w:name="_13.3"/>
            <w:bookmarkEnd w:id="52"/>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left"/>
              <w:rPr>
                <w:rFonts w:hint="eastAsia" w:ascii="宋体" w:hAnsi="宋体" w:cs="Courier New"/>
                <w:b/>
                <w:color w:val="auto"/>
                <w:szCs w:val="21"/>
                <w:highlight w:val="none"/>
              </w:rPr>
            </w:pPr>
            <w:r>
              <w:rPr>
                <w:rFonts w:hint="eastAsia" w:ascii="宋体" w:hAnsi="宋体" w:cs="Courier New"/>
                <w:b/>
                <w:color w:val="auto"/>
                <w:szCs w:val="21"/>
                <w:highlight w:val="none"/>
              </w:rPr>
              <w:t>商务及技术文件：</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1.无串通投标行为的承诺函（格式后附）；（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2.投标保证金提交凭证；（</w:t>
            </w:r>
            <w:r>
              <w:rPr>
                <w:rFonts w:hint="eastAsia"/>
                <w:b/>
                <w:bCs/>
                <w:color w:val="auto"/>
                <w:highlight w:val="none"/>
              </w:rPr>
              <w:t>必须提供</w:t>
            </w:r>
            <w:r>
              <w:rPr>
                <w:rFonts w:hint="eastAsia" w:ascii="宋体" w:hAnsi="宋体"/>
                <w:b/>
                <w:color w:val="auto"/>
                <w:szCs w:val="21"/>
                <w:highlight w:val="none"/>
              </w:rPr>
              <w:t>，否则按无效投标处理</w:t>
            </w:r>
            <w:r>
              <w:rPr>
                <w:rFonts w:hint="eastAsia" w:ascii="宋体" w:hAnsi="宋体"/>
                <w:color w:val="auto"/>
                <w:szCs w:val="21"/>
                <w:highlight w:val="none"/>
              </w:rPr>
              <w:t>）</w:t>
            </w: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3.法定代表人身份证明及法定代表人有效身份证正反面复印件（格式后附）；（</w:t>
            </w:r>
            <w:r>
              <w:rPr>
                <w:rFonts w:hint="eastAsia" w:ascii="宋体" w:hAnsi="宋体" w:cs="宋体"/>
                <w:b/>
                <w:bCs/>
                <w:color w:val="auto"/>
                <w:szCs w:val="21"/>
                <w:highlight w:val="none"/>
              </w:rPr>
              <w:t>除自然人投标外</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ascii="宋体" w:hAnsi="宋体"/>
                <w:color w:val="auto"/>
                <w:szCs w:val="21"/>
                <w:highlight w:val="none"/>
              </w:rPr>
            </w:pPr>
            <w:r>
              <w:rPr>
                <w:rFonts w:hint="eastAsia" w:ascii="宋体" w:hAnsi="宋体"/>
                <w:color w:val="auto"/>
                <w:szCs w:val="21"/>
                <w:highlight w:val="none"/>
              </w:rPr>
              <w:t>4.授权委托书及委托代理人有效身份证正反面复印件（格式后附）；（</w:t>
            </w:r>
            <w:r>
              <w:rPr>
                <w:rFonts w:hint="eastAsia" w:ascii="宋体" w:hAnsi="宋体"/>
                <w:b/>
                <w:color w:val="auto"/>
                <w:szCs w:val="21"/>
                <w:highlight w:val="none"/>
              </w:rPr>
              <w:t>委托时必须提供，否则按无效投标处理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rPr>
              <w:t>5</w:t>
            </w:r>
            <w:r>
              <w:rPr>
                <w:rFonts w:ascii="宋体" w:hAnsi="宋体"/>
                <w:color w:val="auto"/>
                <w:szCs w:val="21"/>
                <w:highlight w:val="none"/>
              </w:rPr>
              <w:t>.</w:t>
            </w:r>
            <w:r>
              <w:rPr>
                <w:rFonts w:hint="eastAsia" w:ascii="宋体" w:hAnsi="宋体"/>
                <w:color w:val="auto"/>
                <w:szCs w:val="21"/>
                <w:highlight w:val="none"/>
              </w:rPr>
              <w:t>商务要求偏离表（格式后附）；（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olor w:val="auto"/>
                <w:szCs w:val="21"/>
                <w:highlight w:val="none"/>
              </w:rPr>
            </w:pPr>
            <w:r>
              <w:rPr>
                <w:rFonts w:ascii="宋体" w:hAnsi="宋体"/>
                <w:color w:val="auto"/>
                <w:szCs w:val="21"/>
                <w:highlight w:val="none"/>
              </w:rPr>
              <w:t>6</w:t>
            </w:r>
            <w:r>
              <w:rPr>
                <w:rFonts w:hint="eastAsia" w:ascii="宋体" w:hAnsi="宋体"/>
                <w:color w:val="auto"/>
                <w:szCs w:val="21"/>
                <w:highlight w:val="none"/>
              </w:rPr>
              <w:t>.售后服务方案（根据采购需求及评分办法自拟）；（</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pacing w:line="360" w:lineRule="auto"/>
              <w:rPr>
                <w:rFonts w:hint="eastAsia" w:ascii="宋体" w:hAnsi="宋体"/>
                <w:color w:val="auto"/>
                <w:szCs w:val="21"/>
                <w:highlight w:val="none"/>
              </w:rPr>
            </w:pPr>
            <w:r>
              <w:rPr>
                <w:rFonts w:hint="eastAsia" w:ascii="宋体" w:hAnsi="宋体"/>
                <w:color w:val="auto"/>
                <w:szCs w:val="21"/>
                <w:highlight w:val="none"/>
                <w:lang w:val="en-US" w:eastAsia="zh-CN"/>
              </w:rPr>
              <w:t>7</w:t>
            </w:r>
            <w:r>
              <w:rPr>
                <w:rFonts w:hint="eastAsia" w:ascii="宋体" w:hAnsi="宋体"/>
                <w:color w:val="auto"/>
                <w:szCs w:val="21"/>
                <w:highlight w:val="none"/>
              </w:rPr>
              <w:t>.代理服务费承诺书（格式后附）；（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cs="宋体"/>
                <w:color w:val="auto"/>
                <w:szCs w:val="21"/>
                <w:highlight w:val="none"/>
              </w:rPr>
              <w:t>.货物配置清单（均不含报价）（格式后附）；（</w:t>
            </w:r>
            <w:r>
              <w:rPr>
                <w:rFonts w:hint="eastAsia" w:ascii="宋体" w:hAnsi="宋体" w:cs="宋体"/>
                <w:b/>
                <w:color w:val="auto"/>
                <w:szCs w:val="21"/>
                <w:highlight w:val="none"/>
              </w:rPr>
              <w:t>必须提供，否则投标文件按无效处理</w:t>
            </w:r>
            <w:r>
              <w:rPr>
                <w:rFonts w:hint="eastAsia" w:ascii="宋体" w:hAnsi="宋体" w:cs="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9</w:t>
            </w:r>
            <w:r>
              <w:rPr>
                <w:rFonts w:hint="eastAsia" w:ascii="宋体" w:hAnsi="宋体"/>
                <w:color w:val="auto"/>
                <w:szCs w:val="21"/>
                <w:highlight w:val="none"/>
              </w:rPr>
              <w:t>.技术要求偏离表（格式后附）；（</w:t>
            </w:r>
            <w:r>
              <w:rPr>
                <w:rFonts w:hint="eastAsia" w:ascii="宋体" w:hAnsi="宋体"/>
                <w:b/>
                <w:color w:val="auto"/>
                <w:szCs w:val="21"/>
                <w:highlight w:val="none"/>
              </w:rPr>
              <w:t>必须提供，否则按无效投标处理</w:t>
            </w:r>
            <w:r>
              <w:rPr>
                <w:rFonts w:hint="eastAsia" w:ascii="宋体" w:hAnsi="宋体"/>
                <w:color w:val="auto"/>
                <w:szCs w:val="21"/>
                <w:highlight w:val="none"/>
              </w:rPr>
              <w:t>）</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10</w:t>
            </w:r>
            <w:r>
              <w:rPr>
                <w:rFonts w:hint="eastAsia" w:ascii="宋体" w:hAnsi="宋体"/>
                <w:color w:val="auto"/>
                <w:szCs w:val="21"/>
                <w:highlight w:val="none"/>
              </w:rPr>
              <w:t>.投标人业绩证明材料（格式后附）；（如有则提供）</w:t>
            </w:r>
          </w:p>
          <w:p>
            <w:pPr>
              <w:snapToGrid w:val="0"/>
              <w:spacing w:line="360" w:lineRule="auto"/>
              <w:jc w:val="left"/>
              <w:rPr>
                <w:rFonts w:hint="eastAsia" w:ascii="宋体" w:hAnsi="宋体"/>
                <w:color w:val="auto"/>
                <w:szCs w:val="21"/>
                <w:highlight w:val="none"/>
              </w:rPr>
            </w:pPr>
            <w:r>
              <w:rPr>
                <w:rFonts w:hint="eastAsia" w:ascii="宋体" w:hAnsi="宋体"/>
                <w:color w:val="auto"/>
                <w:szCs w:val="21"/>
                <w:highlight w:val="none"/>
                <w:lang w:val="en-US" w:eastAsia="zh-CN"/>
              </w:rPr>
              <w:t>11</w:t>
            </w:r>
            <w:r>
              <w:rPr>
                <w:rFonts w:hint="eastAsia" w:ascii="宋体" w:hAnsi="宋体"/>
                <w:color w:val="auto"/>
                <w:szCs w:val="21"/>
                <w:highlight w:val="none"/>
              </w:rPr>
              <w:t>.除招标文件规定必须提供以外，投标人认为需要提供的其他证明材料（如有则提供）。（投标人根据“第二章 采购需求”及“第四章 评标方法及评标标准”提供有关证明材料）。</w:t>
            </w:r>
          </w:p>
          <w:p>
            <w:pPr>
              <w:snapToGrid w:val="0"/>
              <w:spacing w:line="360" w:lineRule="auto"/>
              <w:jc w:val="left"/>
              <w:rPr>
                <w:rFonts w:hint="eastAsia"/>
                <w:color w:val="auto"/>
                <w:highlight w:val="none"/>
              </w:rPr>
            </w:pPr>
            <w:r>
              <w:rPr>
                <w:rFonts w:hint="eastAsia" w:ascii="宋体" w:hAnsi="宋体"/>
                <w:b/>
                <w:bCs/>
                <w:color w:val="auto"/>
                <w:szCs w:val="21"/>
                <w:highlight w:val="none"/>
              </w:rPr>
              <w:t>注：以上标明“必须提供”的材料，格式</w:t>
            </w:r>
            <w:r>
              <w:rPr>
                <w:rFonts w:hint="eastAsia" w:ascii="宋体" w:hAnsi="宋体" w:cs="宋体"/>
                <w:b/>
                <w:color w:val="auto"/>
                <w:szCs w:val="21"/>
                <w:highlight w:val="none"/>
              </w:rPr>
              <w:t>中有要求法定代表人或者委托代理人签字的，必须按要求签字并加盖投标人电子签章</w:t>
            </w:r>
            <w:r>
              <w:rPr>
                <w:rFonts w:hint="eastAsia" w:ascii="宋体" w:hAnsi="宋体"/>
                <w:b/>
                <w:bCs/>
                <w:color w:val="auto"/>
                <w:szCs w:val="21"/>
                <w:highlight w:val="none"/>
              </w:rPr>
              <w:t>，否则按无效投标</w:t>
            </w:r>
            <w:r>
              <w:rPr>
                <w:rFonts w:hint="eastAsia" w:ascii="宋体" w:hAnsi="宋体" w:cs="Courier New"/>
                <w:b/>
                <w:color w:val="auto"/>
                <w:szCs w:val="21"/>
                <w:highlight w:val="none"/>
              </w:rPr>
              <w:t>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53" w:name="_13.5"/>
            <w:bookmarkEnd w:id="53"/>
            <w:bookmarkStart w:id="54" w:name="_16.2"/>
            <w:bookmarkEnd w:id="54"/>
            <w:bookmarkStart w:id="55" w:name="_13.4"/>
            <w:bookmarkEnd w:id="55"/>
            <w:r>
              <w:rPr>
                <w:rFonts w:hint="eastAsia" w:ascii="宋体" w:hAnsi="宋体"/>
                <w:color w:val="auto"/>
                <w:szCs w:val="21"/>
                <w:highlight w:val="none"/>
              </w:rPr>
              <w:t>16</w:t>
            </w:r>
            <w:bookmarkStart w:id="56" w:name="_Hlt19194067"/>
            <w:bookmarkStart w:id="57" w:name="_Hlt19194066"/>
            <w:bookmarkStart w:id="58" w:name="_Hlt19693758"/>
            <w:bookmarkStart w:id="59" w:name="_Hlt19693759"/>
            <w:r>
              <w:rPr>
                <w:rFonts w:hint="eastAsia" w:ascii="宋体" w:hAnsi="宋体"/>
                <w:color w:val="auto"/>
                <w:szCs w:val="21"/>
                <w:highlight w:val="none"/>
              </w:rPr>
              <w:t>.</w:t>
            </w:r>
            <w:bookmarkEnd w:id="56"/>
            <w:bookmarkEnd w:id="57"/>
            <w:bookmarkEnd w:id="58"/>
            <w:bookmarkEnd w:id="59"/>
            <w:r>
              <w:rPr>
                <w:rFonts w:hint="eastAsia" w:ascii="宋体" w:hAnsi="宋体"/>
                <w:color w:val="auto"/>
                <w:szCs w:val="21"/>
                <w:highlight w:val="none"/>
              </w:rPr>
              <w:t>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b/>
                <w:i/>
                <w:color w:val="auto"/>
                <w:szCs w:val="21"/>
                <w:highlight w:val="none"/>
              </w:rPr>
            </w:pPr>
            <w:r>
              <w:rPr>
                <w:rFonts w:hint="eastAsia" w:ascii="宋体" w:hAnsi="宋体"/>
                <w:bCs/>
                <w:iCs/>
                <w:color w:val="auto"/>
                <w:szCs w:val="21"/>
                <w:highlight w:val="none"/>
                <w:lang w:eastAsia="zh-CN"/>
              </w:rPr>
              <w:t>投标报价是履行合同的最终价格，包括投标货物（包括备品备件、专用工具等）的价格（包括已在中国境内的进口货物完税后的仓库交货价、展室交货价或者货架交货价），投标货物运输（含保险）、安装（如有）、调试、检验、技术服务、培训和招标文件要求提供的所有伴随服务、工程等费用和税费</w:t>
            </w:r>
            <w:r>
              <w:rPr>
                <w:rFonts w:hint="eastAsia" w:ascii="宋体" w:hAnsi="宋体"/>
                <w:bCs/>
                <w:iCs/>
                <w:color w:val="auto"/>
                <w:szCs w:val="21"/>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60" w:name="_17.1"/>
            <w:bookmarkEnd w:id="60"/>
            <w:r>
              <w:rPr>
                <w:rFonts w:hint="eastAsia" w:ascii="宋体" w:hAnsi="宋体"/>
                <w:color w:val="auto"/>
                <w:szCs w:val="21"/>
                <w:highlight w:val="none"/>
              </w:rPr>
              <w:t>17.</w:t>
            </w:r>
            <w:r>
              <w:rPr>
                <w:rFonts w:ascii="宋体" w:hAnsi="宋体"/>
                <w:color w:val="auto"/>
                <w:szCs w:val="21"/>
                <w:highlight w:val="none"/>
              </w:rPr>
              <w:t>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投标有效期：自投标截止之日起</w:t>
            </w:r>
            <w:r>
              <w:rPr>
                <w:rFonts w:hint="eastAsia" w:ascii="宋体" w:hAnsi="宋体"/>
                <w:color w:val="auto"/>
                <w:szCs w:val="21"/>
                <w:highlight w:val="none"/>
                <w:u w:val="single"/>
              </w:rPr>
              <w:t>120</w:t>
            </w:r>
            <w:r>
              <w:rPr>
                <w:rFonts w:hint="eastAsia" w:ascii="宋体" w:hAnsi="宋体"/>
                <w:color w:val="auto"/>
                <w:szCs w:val="21"/>
                <w:highlight w:val="none"/>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hint="eastAsia" w:ascii="宋体" w:hAnsi="宋体"/>
                <w:color w:val="auto"/>
                <w:szCs w:val="21"/>
                <w:highlight w:val="none"/>
              </w:rPr>
            </w:pPr>
            <w:bookmarkStart w:id="61" w:name="_18"/>
            <w:bookmarkEnd w:id="61"/>
            <w:r>
              <w:rPr>
                <w:rFonts w:hint="eastAsia" w:ascii="宋体" w:hAnsi="宋体"/>
                <w:color w:val="auto"/>
                <w:szCs w:val="21"/>
                <w:highlight w:val="none"/>
              </w:rPr>
              <w:t>18</w:t>
            </w:r>
            <w:r>
              <w:rPr>
                <w:rFonts w:ascii="宋体" w:hAnsi="宋体"/>
                <w:color w:val="auto"/>
                <w:szCs w:val="21"/>
                <w:highlight w:val="none"/>
              </w:rPr>
              <w:t>.1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ascii="宋体" w:hAnsi="宋体"/>
                <w:color w:val="auto"/>
                <w:szCs w:val="21"/>
                <w:highlight w:val="none"/>
              </w:rPr>
            </w:pPr>
            <w:r>
              <w:rPr>
                <w:rFonts w:hint="eastAsia" w:ascii="宋体" w:hAnsi="宋体"/>
                <w:color w:val="auto"/>
                <w:szCs w:val="21"/>
                <w:highlight w:val="none"/>
              </w:rPr>
              <w:t>□本项目不收取投标保证金。</w:t>
            </w:r>
          </w:p>
          <w:p>
            <w:pPr>
              <w:snapToGrid w:val="0"/>
              <w:spacing w:line="360" w:lineRule="auto"/>
              <w:rPr>
                <w:rFonts w:ascii="宋体" w:hAnsi="宋体"/>
                <w:color w:val="auto"/>
                <w:szCs w:val="21"/>
                <w:highlight w:val="none"/>
              </w:rPr>
            </w:pPr>
            <w:r>
              <w:rPr>
                <w:rFonts w:hint="eastAsia" w:ascii="宋体" w:hAnsi="宋体"/>
                <w:color w:val="auto"/>
                <w:szCs w:val="21"/>
                <w:highlight w:val="none"/>
              </w:rPr>
              <w:t>☑本项目收取投标保证金，具体规定如下：</w:t>
            </w:r>
          </w:p>
          <w:p>
            <w:pPr>
              <w:snapToGri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1分标投标保证金人民币</w:t>
            </w:r>
            <w:r>
              <w:rPr>
                <w:rFonts w:hint="eastAsia" w:ascii="宋体" w:hAnsi="宋体" w:cs="宋体"/>
                <w:color w:val="auto"/>
                <w:kern w:val="0"/>
                <w:szCs w:val="21"/>
                <w:highlight w:val="none"/>
                <w:u w:val="single"/>
                <w:lang w:val="en-US" w:eastAsia="zh-CN"/>
              </w:rPr>
              <w:t>19800</w:t>
            </w:r>
            <w:r>
              <w:rPr>
                <w:rFonts w:hint="eastAsia" w:ascii="宋体" w:hAnsi="宋体" w:cs="宋体"/>
                <w:color w:val="auto"/>
                <w:kern w:val="0"/>
                <w:szCs w:val="21"/>
                <w:highlight w:val="none"/>
                <w:u w:val="single"/>
              </w:rPr>
              <w:t xml:space="preserve">.00 </w:t>
            </w:r>
            <w:r>
              <w:rPr>
                <w:rFonts w:hint="eastAsia" w:ascii="宋体" w:hAnsi="宋体" w:cs="宋体"/>
                <w:color w:val="auto"/>
                <w:kern w:val="0"/>
                <w:szCs w:val="21"/>
                <w:highlight w:val="none"/>
              </w:rPr>
              <w:t>元，【开户名称：贺州市公共资源交易中心，开户银行：中国邮政储蓄银行股份有限公司广西壮族自治区贺州市分行，银行账号：94500901000883888802671】</w:t>
            </w:r>
          </w:p>
          <w:p>
            <w:pPr>
              <w:snapToGrid w:val="0"/>
              <w:spacing w:line="360" w:lineRule="auto"/>
              <w:rPr>
                <w:rFonts w:hint="eastAsia" w:ascii="宋体" w:hAnsi="宋体" w:cs="宋体"/>
                <w:color w:val="auto"/>
                <w:kern w:val="0"/>
                <w:szCs w:val="21"/>
                <w:highlight w:val="none"/>
              </w:rPr>
            </w:pPr>
            <w:r>
              <w:rPr>
                <w:rFonts w:hint="eastAsia" w:ascii="宋体" w:hAnsi="宋体" w:cs="宋体"/>
                <w:color w:val="auto"/>
                <w:kern w:val="0"/>
                <w:szCs w:val="21"/>
                <w:highlight w:val="none"/>
              </w:rPr>
              <w:t>2分标投标保证金人民币</w:t>
            </w:r>
            <w:r>
              <w:rPr>
                <w:rFonts w:hint="eastAsia" w:ascii="宋体" w:hAnsi="宋体" w:cs="宋体"/>
                <w:color w:val="auto"/>
                <w:kern w:val="0"/>
                <w:szCs w:val="21"/>
                <w:highlight w:val="none"/>
                <w:u w:val="single"/>
                <w:lang w:val="en-US" w:eastAsia="zh-CN"/>
              </w:rPr>
              <w:t>19000</w:t>
            </w:r>
            <w:r>
              <w:rPr>
                <w:rFonts w:hint="eastAsia" w:ascii="宋体" w:hAnsi="宋体" w:cs="宋体"/>
                <w:color w:val="auto"/>
                <w:kern w:val="0"/>
                <w:szCs w:val="21"/>
                <w:highlight w:val="none"/>
                <w:u w:val="single"/>
              </w:rPr>
              <w:t xml:space="preserve">.00 </w:t>
            </w:r>
            <w:r>
              <w:rPr>
                <w:rFonts w:hint="eastAsia" w:ascii="宋体" w:hAnsi="宋体" w:cs="宋体"/>
                <w:color w:val="auto"/>
                <w:kern w:val="0"/>
                <w:szCs w:val="21"/>
                <w:highlight w:val="none"/>
              </w:rPr>
              <w:t>元，【开户名称：贺州市公共资源交易中心，开户银行：中国邮政储蓄银行股份有限公司广西壮族自治区贺州市分行，银行账号：94500901000883888802670】</w:t>
            </w:r>
          </w:p>
          <w:p>
            <w:pPr>
              <w:snapToGrid w:val="0"/>
              <w:spacing w:line="360" w:lineRule="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3分标投标保证金人民币</w:t>
            </w:r>
            <w:r>
              <w:rPr>
                <w:rFonts w:hint="eastAsia" w:ascii="宋体" w:hAnsi="宋体" w:cs="宋体"/>
                <w:color w:val="auto"/>
                <w:kern w:val="0"/>
                <w:szCs w:val="21"/>
                <w:highlight w:val="none"/>
                <w:u w:val="single"/>
                <w:lang w:val="en-US" w:eastAsia="zh-CN"/>
              </w:rPr>
              <w:t>15000</w:t>
            </w:r>
            <w:r>
              <w:rPr>
                <w:rFonts w:hint="eastAsia" w:ascii="宋体" w:hAnsi="宋体" w:cs="宋体"/>
                <w:color w:val="auto"/>
                <w:kern w:val="0"/>
                <w:szCs w:val="21"/>
                <w:highlight w:val="none"/>
                <w:u w:val="single"/>
              </w:rPr>
              <w:t xml:space="preserve">.00 </w:t>
            </w:r>
            <w:r>
              <w:rPr>
                <w:rFonts w:hint="eastAsia" w:ascii="宋体" w:hAnsi="宋体" w:cs="宋体"/>
                <w:color w:val="auto"/>
                <w:kern w:val="0"/>
                <w:szCs w:val="21"/>
                <w:highlight w:val="none"/>
              </w:rPr>
              <w:t>元，【开户名称：贺州市公共资源交易中心，开户银行：</w:t>
            </w:r>
            <w:r>
              <w:rPr>
                <w:rFonts w:hint="eastAsia" w:ascii="宋体" w:hAnsi="宋体" w:cs="宋体"/>
                <w:color w:val="auto"/>
                <w:kern w:val="0"/>
                <w:szCs w:val="21"/>
                <w:highlight w:val="none"/>
                <w:lang w:val="en-US" w:eastAsia="zh-CN"/>
              </w:rPr>
              <w:t>中国邮政储蓄银行股份有限公司广西壮族自治区贺州市分行</w:t>
            </w:r>
            <w:r>
              <w:rPr>
                <w:rFonts w:hint="eastAsia" w:ascii="宋体" w:hAnsi="宋体" w:cs="宋体"/>
                <w:color w:val="auto"/>
                <w:kern w:val="0"/>
                <w:szCs w:val="21"/>
                <w:highlight w:val="none"/>
              </w:rPr>
              <w:t>，银行账号：(94500901000883888802673】</w:t>
            </w:r>
            <w:r>
              <w:rPr>
                <w:rFonts w:hint="eastAsia" w:ascii="宋体" w:hAnsi="宋体" w:cs="宋体"/>
                <w:color w:val="auto"/>
                <w:kern w:val="0"/>
                <w:szCs w:val="21"/>
                <w:highlight w:val="none"/>
                <w:lang w:eastAsia="zh-CN"/>
              </w:rPr>
              <w:t>。</w:t>
            </w:r>
          </w:p>
          <w:p>
            <w:pPr>
              <w:snapToGrid w:val="0"/>
              <w:spacing w:line="360" w:lineRule="auto"/>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4分标投标保证金人民币</w:t>
            </w:r>
            <w:r>
              <w:rPr>
                <w:rFonts w:hint="eastAsia" w:ascii="宋体" w:hAnsi="宋体" w:cs="宋体"/>
                <w:color w:val="auto"/>
                <w:kern w:val="0"/>
                <w:szCs w:val="21"/>
                <w:highlight w:val="none"/>
                <w:u w:val="single"/>
                <w:lang w:val="en-US" w:eastAsia="zh-CN"/>
              </w:rPr>
              <w:t>15000</w:t>
            </w:r>
            <w:r>
              <w:rPr>
                <w:rFonts w:hint="eastAsia" w:ascii="宋体" w:hAnsi="宋体" w:cs="宋体"/>
                <w:color w:val="auto"/>
                <w:kern w:val="0"/>
                <w:szCs w:val="21"/>
                <w:highlight w:val="none"/>
                <w:u w:val="single"/>
              </w:rPr>
              <w:t xml:space="preserve">.00 </w:t>
            </w:r>
            <w:r>
              <w:rPr>
                <w:rFonts w:hint="eastAsia" w:ascii="宋体" w:hAnsi="宋体" w:cs="宋体"/>
                <w:color w:val="auto"/>
                <w:kern w:val="0"/>
                <w:szCs w:val="21"/>
                <w:highlight w:val="none"/>
              </w:rPr>
              <w:t>元，【开户名称：贺州市公共资源交易中心，开户银行：中国邮政储蓄银行股份有限公司广西壮族自治区贺州市分行，银行账号：94500901000883888802669】</w:t>
            </w:r>
            <w:r>
              <w:rPr>
                <w:rFonts w:hint="eastAsia" w:ascii="宋体" w:hAnsi="宋体" w:cs="宋体"/>
                <w:color w:val="auto"/>
                <w:kern w:val="0"/>
                <w:szCs w:val="21"/>
                <w:highlight w:val="none"/>
                <w:lang w:eastAsia="zh-CN"/>
              </w:rPr>
              <w:t>。</w:t>
            </w:r>
          </w:p>
          <w:p>
            <w:pPr>
              <w:snapToGrid w:val="0"/>
              <w:spacing w:line="360" w:lineRule="auto"/>
              <w:rPr>
                <w:rFonts w:hint="eastAsia" w:ascii="宋体" w:hAnsi="宋体"/>
                <w:color w:val="auto"/>
                <w:szCs w:val="21"/>
                <w:highlight w:val="none"/>
              </w:rPr>
            </w:pPr>
            <w:r>
              <w:rPr>
                <w:rFonts w:hint="eastAsia" w:ascii="宋体" w:hAnsi="宋体" w:cs="宋体"/>
                <w:color w:val="auto"/>
                <w:kern w:val="0"/>
                <w:szCs w:val="21"/>
                <w:highlight w:val="none"/>
              </w:rPr>
              <w:t>5分标投标保证金人民币</w:t>
            </w:r>
            <w:r>
              <w:rPr>
                <w:rFonts w:hint="eastAsia" w:ascii="宋体" w:hAnsi="宋体" w:cs="宋体"/>
                <w:color w:val="auto"/>
                <w:kern w:val="0"/>
                <w:szCs w:val="21"/>
                <w:highlight w:val="none"/>
                <w:u w:val="single"/>
                <w:lang w:val="en-US" w:eastAsia="zh-CN"/>
              </w:rPr>
              <w:t>29800</w:t>
            </w:r>
            <w:r>
              <w:rPr>
                <w:rFonts w:hint="eastAsia" w:ascii="宋体" w:hAnsi="宋体" w:cs="宋体"/>
                <w:color w:val="auto"/>
                <w:kern w:val="0"/>
                <w:szCs w:val="21"/>
                <w:highlight w:val="none"/>
                <w:u w:val="single"/>
              </w:rPr>
              <w:t xml:space="preserve">.00 </w:t>
            </w:r>
            <w:r>
              <w:rPr>
                <w:rFonts w:hint="eastAsia" w:ascii="宋体" w:hAnsi="宋体" w:cs="宋体"/>
                <w:color w:val="auto"/>
                <w:kern w:val="0"/>
                <w:szCs w:val="21"/>
                <w:highlight w:val="none"/>
              </w:rPr>
              <w:t>元【开户名称：贺州市公共资源交易中心，开户银行：中国邮政储蓄银行股份有限公司广西壮族自治区贺州市分行，银行账号：94500901000883888802672】。</w:t>
            </w:r>
          </w:p>
          <w:p>
            <w:pPr>
              <w:snapToGrid w:val="0"/>
              <w:spacing w:line="360" w:lineRule="auto"/>
              <w:rPr>
                <w:rFonts w:hint="eastAsia" w:ascii="宋体" w:hAnsi="宋体"/>
                <w:color w:val="auto"/>
                <w:szCs w:val="21"/>
                <w:highlight w:val="none"/>
              </w:rPr>
            </w:pPr>
            <w:r>
              <w:rPr>
                <w:rFonts w:hint="eastAsia" w:ascii="宋体" w:hAnsi="宋体" w:cs="宋体"/>
                <w:color w:val="auto"/>
                <w:kern w:val="0"/>
                <w:szCs w:val="21"/>
                <w:highlight w:val="none"/>
              </w:rPr>
              <w:t>投标保证金的交纳方式：银行转账、支票、汇票、本票或者银行、保险机构出具的保函</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包含电子保函</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rPr>
              <w:t>，禁止采用现钞方式。采用银行转账方式的，在投标截止时间前</w:t>
            </w:r>
            <w:r>
              <w:rPr>
                <w:rFonts w:hint="eastAsia"/>
                <w:color w:val="auto"/>
                <w:highlight w:val="none"/>
              </w:rPr>
              <w:t>从投标人账户</w:t>
            </w:r>
            <w:r>
              <w:rPr>
                <w:rFonts w:hint="eastAsia" w:ascii="宋体" w:hAnsi="宋体" w:cs="宋体"/>
                <w:color w:val="auto"/>
                <w:kern w:val="0"/>
                <w:szCs w:val="21"/>
                <w:highlight w:val="none"/>
              </w:rPr>
              <w:t>交至指定账户并且到账；采用支票、汇票、本票或者保函等方式的，在投标截止时间前，投标人必须递交单独密封的支票、汇票、本票或者保函原件。否则视为无效投标保证金。</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相关要求：</w:t>
            </w:r>
          </w:p>
          <w:p>
            <w:pPr>
              <w:pStyle w:val="15"/>
              <w:spacing w:line="360" w:lineRule="auto"/>
              <w:rPr>
                <w:rFonts w:hint="eastAsia" w:ascii="宋体" w:hAnsi="宋体"/>
                <w:color w:val="auto"/>
                <w:szCs w:val="21"/>
                <w:highlight w:val="none"/>
              </w:rPr>
            </w:pPr>
            <w:r>
              <w:rPr>
                <w:rFonts w:hint="eastAsia" w:ascii="宋体" w:hAnsi="宋体"/>
                <w:color w:val="auto"/>
                <w:szCs w:val="21"/>
                <w:highlight w:val="none"/>
              </w:rPr>
              <w:t>1.投标保证金采用银行转账交纳方式的，在投标截止时间前交至指定账户并且到账，投标人应将银行转账底单的复印件作为投标保证金提交凭证，</w:t>
            </w:r>
            <w:r>
              <w:rPr>
                <w:rFonts w:ascii="宋体" w:hAnsi="宋体"/>
                <w:color w:val="auto"/>
                <w:szCs w:val="21"/>
                <w:highlight w:val="none"/>
              </w:rPr>
              <w:t>放置于</w:t>
            </w:r>
            <w:r>
              <w:rPr>
                <w:rFonts w:hint="eastAsia" w:ascii="宋体" w:hAnsi="宋体"/>
                <w:color w:val="auto"/>
                <w:szCs w:val="21"/>
                <w:highlight w:val="none"/>
              </w:rPr>
              <w:t>商务及技术文件</w:t>
            </w:r>
            <w:r>
              <w:rPr>
                <w:rFonts w:ascii="宋体" w:hAnsi="宋体"/>
                <w:color w:val="auto"/>
                <w:szCs w:val="21"/>
                <w:highlight w:val="none"/>
              </w:rPr>
              <w:t>中</w:t>
            </w:r>
            <w:r>
              <w:rPr>
                <w:rFonts w:hint="eastAsia" w:ascii="宋体" w:hAnsi="宋体"/>
                <w:color w:val="auto"/>
                <w:szCs w:val="21"/>
                <w:highlight w:val="none"/>
              </w:rPr>
              <w:t>，</w:t>
            </w:r>
            <w:r>
              <w:rPr>
                <w:rFonts w:hint="eastAsia" w:ascii="宋体" w:hAnsi="宋体"/>
                <w:b/>
                <w:color w:val="auto"/>
                <w:szCs w:val="21"/>
                <w:highlight w:val="none"/>
              </w:rPr>
              <w:t>否则投标无效</w:t>
            </w:r>
            <w:r>
              <w:rPr>
                <w:rFonts w:hint="eastAsia" w:ascii="宋体" w:hAnsi="宋体"/>
                <w:color w:val="auto"/>
                <w:szCs w:val="21"/>
                <w:highlight w:val="none"/>
              </w:rPr>
              <w:t>。</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2.投标保证金采用支票、汇票、本票或者银行、保险机构出具的保函</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包含电子保函</w:t>
            </w:r>
            <w:r>
              <w:rPr>
                <w:rFonts w:hint="eastAsia" w:ascii="宋体" w:hAnsi="宋体" w:cs="宋体"/>
                <w:color w:val="auto"/>
                <w:kern w:val="0"/>
                <w:szCs w:val="21"/>
                <w:highlight w:val="none"/>
                <w:lang w:eastAsia="zh-CN"/>
              </w:rPr>
              <w:t>）</w:t>
            </w:r>
            <w:r>
              <w:rPr>
                <w:rFonts w:hint="eastAsia" w:ascii="宋体" w:hAnsi="宋体"/>
                <w:color w:val="auto"/>
                <w:szCs w:val="21"/>
                <w:highlight w:val="none"/>
              </w:rPr>
              <w:t>交纳方式的，投标人应将支票、汇票、本票或者银行、保险机构出具的保函</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包含电子保函</w:t>
            </w:r>
            <w:r>
              <w:rPr>
                <w:rFonts w:hint="eastAsia" w:ascii="宋体" w:hAnsi="宋体" w:cs="宋体"/>
                <w:color w:val="auto"/>
                <w:kern w:val="0"/>
                <w:szCs w:val="21"/>
                <w:highlight w:val="none"/>
                <w:lang w:eastAsia="zh-CN"/>
              </w:rPr>
              <w:t>）</w:t>
            </w:r>
            <w:r>
              <w:rPr>
                <w:rFonts w:hint="eastAsia" w:ascii="宋体" w:hAnsi="宋体"/>
                <w:color w:val="auto"/>
                <w:szCs w:val="21"/>
                <w:highlight w:val="none"/>
              </w:rPr>
              <w:t>的复印件作为投标保证金提交凭证，放置于商务及技术文件中，</w:t>
            </w:r>
            <w:r>
              <w:rPr>
                <w:rFonts w:hint="eastAsia" w:ascii="宋体" w:hAnsi="宋体"/>
                <w:b/>
                <w:color w:val="auto"/>
                <w:szCs w:val="21"/>
                <w:highlight w:val="none"/>
              </w:rPr>
              <w:t>否则投标无效</w:t>
            </w:r>
            <w:r>
              <w:rPr>
                <w:rFonts w:hint="eastAsia" w:ascii="宋体" w:hAnsi="宋体"/>
                <w:color w:val="auto"/>
                <w:szCs w:val="21"/>
                <w:highlight w:val="none"/>
              </w:rPr>
              <w:t>。投标人必须</w:t>
            </w:r>
            <w:r>
              <w:rPr>
                <w:rFonts w:hint="eastAsia"/>
                <w:color w:val="auto"/>
                <w:highlight w:val="none"/>
              </w:rPr>
              <w:t>在投标截止时间前采用现场或邮寄方式（现场提交地址：</w:t>
            </w:r>
            <w:r>
              <w:rPr>
                <w:rFonts w:hint="eastAsia" w:ascii="宋体" w:hAnsi="宋体"/>
                <w:color w:val="auto"/>
                <w:highlight w:val="none"/>
                <w:u w:val="single"/>
              </w:rPr>
              <w:t>广西贺州市八步区翔云街87号金丰大厦5楼（云之龙咨询集团有限公司）</w:t>
            </w:r>
            <w:r>
              <w:rPr>
                <w:rFonts w:hint="eastAsia"/>
                <w:color w:val="auto"/>
                <w:highlight w:val="none"/>
              </w:rPr>
              <w:t>；邮寄地址：</w:t>
            </w:r>
            <w:r>
              <w:rPr>
                <w:rFonts w:hint="eastAsia" w:ascii="宋体" w:hAnsi="宋体"/>
                <w:color w:val="auto"/>
                <w:highlight w:val="none"/>
                <w:u w:val="single"/>
              </w:rPr>
              <w:t>广西贺州市八步区翔云街87号金丰大厦5楼</w:t>
            </w:r>
            <w:r>
              <w:rPr>
                <w:rFonts w:hint="eastAsia" w:ascii="宋体" w:hAnsi="宋体" w:cs="宋体"/>
                <w:color w:val="auto"/>
                <w:highlight w:val="none"/>
                <w:u w:val="single"/>
              </w:rPr>
              <w:t>（云之龙咨询集团有限公司）</w:t>
            </w:r>
            <w:r>
              <w:rPr>
                <w:rFonts w:hint="eastAsia" w:ascii="宋体" w:hAnsi="宋体" w:cs="宋体"/>
                <w:color w:val="auto"/>
                <w:highlight w:val="none"/>
              </w:rPr>
              <w:t>，收件人：</w:t>
            </w:r>
            <w:r>
              <w:rPr>
                <w:rFonts w:hint="eastAsia" w:ascii="宋体" w:hAnsi="宋体" w:cs="宋体"/>
                <w:color w:val="auto"/>
                <w:highlight w:val="none"/>
                <w:u w:val="single"/>
              </w:rPr>
              <w:t>周子然</w:t>
            </w:r>
            <w:r>
              <w:rPr>
                <w:rFonts w:hint="eastAsia" w:ascii="宋体" w:hAnsi="宋体" w:cs="宋体"/>
                <w:color w:val="auto"/>
                <w:highlight w:val="none"/>
              </w:rPr>
              <w:t>，联系方式：</w:t>
            </w:r>
            <w:r>
              <w:rPr>
                <w:rFonts w:hint="eastAsia" w:ascii="宋体" w:hAnsi="宋体" w:cs="宋体"/>
                <w:color w:val="auto"/>
                <w:highlight w:val="none"/>
                <w:u w:val="single"/>
              </w:rPr>
              <w:t>0774-5285056</w:t>
            </w:r>
            <w:r>
              <w:rPr>
                <w:rFonts w:hint="eastAsia"/>
                <w:color w:val="auto"/>
                <w:highlight w:val="none"/>
              </w:rPr>
              <w:t>）</w:t>
            </w:r>
            <w:r>
              <w:rPr>
                <w:rFonts w:hint="eastAsia" w:ascii="宋体" w:hAnsi="宋体"/>
                <w:color w:val="auto"/>
                <w:szCs w:val="21"/>
                <w:highlight w:val="none"/>
              </w:rPr>
              <w:t>将</w:t>
            </w:r>
            <w:r>
              <w:rPr>
                <w:rFonts w:hint="eastAsia" w:ascii="宋体" w:hAnsi="宋体" w:cs="宋体"/>
                <w:color w:val="auto"/>
                <w:kern w:val="0"/>
                <w:szCs w:val="21"/>
                <w:highlight w:val="none"/>
              </w:rPr>
              <w:t>单独密封的</w:t>
            </w:r>
            <w:r>
              <w:rPr>
                <w:rFonts w:hint="eastAsia" w:ascii="宋体" w:hAnsi="宋体"/>
                <w:color w:val="auto"/>
                <w:szCs w:val="21"/>
                <w:highlight w:val="none"/>
              </w:rPr>
              <w:t>支票、汇票、本票或者银行、保险机构出具的保函原件提交给采购人或者采购代理机构，未按时提交的</w:t>
            </w:r>
            <w:r>
              <w:rPr>
                <w:rFonts w:hint="eastAsia" w:ascii="宋体" w:hAnsi="宋体"/>
                <w:b/>
                <w:color w:val="auto"/>
                <w:szCs w:val="21"/>
                <w:highlight w:val="none"/>
              </w:rPr>
              <w:t>，投标无效</w:t>
            </w:r>
            <w:r>
              <w:rPr>
                <w:rFonts w:hint="eastAsia" w:ascii="宋体" w:hAnsi="宋体"/>
                <w:color w:val="auto"/>
                <w:szCs w:val="21"/>
                <w:highlight w:val="none"/>
              </w:rPr>
              <w:t>，由采购人或者采购代理机构向投标人出具回执（邮寄方式的除外），并妥善保管。</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 xml:space="preserve">备注： </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1. 投标保证金在投标截止时间后提交的，或者不按规定交纳方式交纳的，或者未足额交纳的（包含保函额度不足的），视为无效投标保证金。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2.投标人采用现钞方式或者从个人账户（自然人投标除外）转出的投标保证金，视为无效投标保证金。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3.支票、汇票或者本票出现无效或者背书情形的，视为无效投标保证金。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4.保函有效期低于投标有效期的，视为无效投标保证金。</w:t>
            </w:r>
          </w:p>
          <w:p>
            <w:pPr>
              <w:snapToGrid w:val="0"/>
              <w:spacing w:line="360" w:lineRule="auto"/>
              <w:rPr>
                <w:rFonts w:hint="eastAsia" w:ascii="宋体" w:hAnsi="宋体"/>
                <w:b/>
                <w:color w:val="auto"/>
                <w:szCs w:val="21"/>
                <w:highlight w:val="none"/>
              </w:rPr>
            </w:pPr>
            <w:r>
              <w:rPr>
                <w:rFonts w:hint="eastAsia" w:ascii="宋体" w:hAnsi="宋体"/>
                <w:b/>
                <w:color w:val="auto"/>
                <w:szCs w:val="21"/>
                <w:highlight w:val="none"/>
              </w:rPr>
              <w:t>5.采用银行、保险机构出具保函的，必须为无条件保函，否则视为无效投标保证金。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3"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2" w:name="_19.2"/>
            <w:bookmarkEnd w:id="62"/>
            <w:bookmarkStart w:id="63" w:name="_21.1"/>
            <w:bookmarkEnd w:id="63"/>
            <w:r>
              <w:rPr>
                <w:rFonts w:hint="eastAsia" w:ascii="宋体" w:hAnsi="宋体"/>
                <w:color w:val="auto"/>
                <w:szCs w:val="21"/>
                <w:highlight w:val="none"/>
              </w:rPr>
              <w:t>20</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本项目不接受</w:t>
            </w:r>
            <w:r>
              <w:rPr>
                <w:rFonts w:hint="eastAsia"/>
                <w:color w:val="auto"/>
                <w:highlight w:val="none"/>
              </w:rPr>
              <w:t>电子</w:t>
            </w:r>
            <w:r>
              <w:rPr>
                <w:rFonts w:hint="eastAsia" w:ascii="宋体" w:hAnsi="宋体"/>
                <w:color w:val="auto"/>
                <w:szCs w:val="21"/>
                <w:highlight w:val="none"/>
              </w:rPr>
              <w:t>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6"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21.1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1.提交投标文件截止时间：详见招标公告</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2.投标地点：详见招标公告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4" w:name="_23"/>
            <w:bookmarkEnd w:id="64"/>
            <w:r>
              <w:rPr>
                <w:rFonts w:hint="eastAsia" w:ascii="宋体" w:hAnsi="宋体"/>
                <w:color w:val="auto"/>
                <w:szCs w:val="21"/>
                <w:highlight w:val="none"/>
              </w:rPr>
              <w:t>23</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1.开标时间：详见招标公告</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2.开标地点：详见招标公告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24.3（1）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hAnsi="宋体"/>
                <w:color w:val="auto"/>
                <w:highlight w:val="none"/>
              </w:rPr>
              <w:t>电子投标文件解密时间：</w:t>
            </w:r>
            <w:r>
              <w:rPr>
                <w:rFonts w:hint="eastAsia" w:hAnsi="宋体"/>
                <w:color w:val="auto"/>
                <w:highlight w:val="none"/>
                <w:u w:val="single"/>
              </w:rPr>
              <w:t xml:space="preserve">30 </w:t>
            </w:r>
            <w:r>
              <w:rPr>
                <w:rFonts w:hint="eastAsia" w:hAnsi="宋体"/>
                <w:color w:val="auto"/>
                <w:highlight w:val="none"/>
              </w:rPr>
              <w:t>分钟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5" w:name="_25.3"/>
            <w:bookmarkEnd w:id="65"/>
            <w:r>
              <w:rPr>
                <w:rFonts w:hint="eastAsia" w:ascii="宋体" w:hAnsi="宋体"/>
                <w:color w:val="auto"/>
                <w:szCs w:val="21"/>
                <w:highlight w:val="none"/>
              </w:rPr>
              <w:t>25.3（2）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采购人或者采购代理机构在资格审查结束前，对投标人进行信用查询。</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查询渠道：“信用中国”网站（www.creditchina.gov.cn） 、中国政府采购网（www.ccgp.gov.cn）。</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信用查询截止时点：资格审查结束前</w:t>
            </w:r>
          </w:p>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查询记录和证据留存方式：在查询网站中直接截图查询记录，截图作为在“政采云”平台作为附件上传保存。</w:t>
            </w:r>
          </w:p>
          <w:p>
            <w:pPr>
              <w:snapToGrid w:val="0"/>
              <w:spacing w:line="360" w:lineRule="auto"/>
              <w:rPr>
                <w:rFonts w:hint="eastAsia" w:ascii="宋体" w:hAnsi="宋体"/>
                <w:b/>
                <w:color w:val="auto"/>
                <w:szCs w:val="21"/>
                <w:highlight w:val="none"/>
              </w:rPr>
            </w:pPr>
            <w:r>
              <w:rPr>
                <w:rFonts w:hint="eastAsia" w:ascii="宋体" w:hAnsi="宋体"/>
                <w:color w:val="auto"/>
                <w:szCs w:val="21"/>
                <w:highlight w:val="none"/>
              </w:rPr>
              <w:t>信用信息使用规则：对在“信用中国”网站（www.creditchina.gov.cn） 、中国政府采购网（www.ccgp.gov.cn）被列入失信被执行人、重大税收违法失信主体、政府采购严重违法失信行为记录名单及其他不符合《中华人民共和国政府采购法》第二十二条规定条件的供应商，采购人或者采购代理机构</w:t>
            </w:r>
            <w:r>
              <w:rPr>
                <w:rFonts w:hint="eastAsia"/>
                <w:color w:val="auto"/>
                <w:sz w:val="22"/>
                <w:szCs w:val="22"/>
                <w:highlight w:val="none"/>
              </w:rPr>
              <w:t>应当拒绝其参与政府采购活动</w:t>
            </w:r>
            <w:r>
              <w:rPr>
                <w:rFonts w:hint="eastAsia" w:ascii="宋体" w:hAnsi="宋体"/>
                <w:color w:val="auto"/>
                <w:szCs w:val="21"/>
                <w:highlight w:val="none"/>
              </w:rPr>
              <w:t>。两个以上的自然人、法人或者其他组织组成一个联合体，以一个供应商的身份共同参加政府采购活动的，应当对所有联合体成员进行信用记录查询，联合体成员存在不良信用记录（被列入失信被执行人、重大税收违法失信主体、政府采购严重违法失信行为记录名单及其他不符合《中华人民共和国政府采购法》第二十二条规定条件的供应商）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bookmarkStart w:id="66" w:name="_26"/>
            <w:bookmarkEnd w:id="66"/>
            <w:r>
              <w:rPr>
                <w:rFonts w:hint="eastAsia" w:ascii="宋体" w:hAnsi="宋体"/>
                <w:color w:val="auto"/>
                <w:szCs w:val="21"/>
                <w:highlight w:val="none"/>
              </w:rPr>
              <w:t>26.1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评标委员会的人数：</w:t>
            </w:r>
            <w:r>
              <w:rPr>
                <w:rFonts w:hint="eastAsia" w:ascii="宋体" w:hAnsi="宋体"/>
                <w:color w:val="auto"/>
                <w:szCs w:val="21"/>
                <w:highlight w:val="none"/>
                <w:u w:val="single"/>
              </w:rPr>
              <w:t>5</w:t>
            </w:r>
            <w:r>
              <w:rPr>
                <w:rFonts w:hint="eastAsia" w:ascii="宋体" w:hAnsi="宋体"/>
                <w:color w:val="auto"/>
                <w:szCs w:val="21"/>
                <w:highlight w:val="none"/>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7" w:name="_28.3"/>
            <w:bookmarkEnd w:id="67"/>
            <w:r>
              <w:rPr>
                <w:rFonts w:ascii="宋体" w:hAnsi="宋体"/>
                <w:color w:val="auto"/>
                <w:szCs w:val="21"/>
                <w:highlight w:val="none"/>
              </w:rPr>
              <w:t>29.1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评标方法：</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☑综合评分法</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□最低评标报法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8" w:name="_29.2.2（2）"/>
            <w:bookmarkEnd w:id="68"/>
            <w:r>
              <w:rPr>
                <w:rFonts w:hint="eastAsia" w:ascii="宋体" w:hAnsi="宋体"/>
                <w:color w:val="auto"/>
                <w:szCs w:val="21"/>
                <w:highlight w:val="none"/>
              </w:rPr>
              <w:t>29</w:t>
            </w:r>
            <w:r>
              <w:rPr>
                <w:rFonts w:ascii="宋体" w:hAnsi="宋体"/>
                <w:color w:val="auto"/>
                <w:szCs w:val="21"/>
                <w:highlight w:val="none"/>
              </w:rPr>
              <w:t>.2</w:t>
            </w:r>
          </w:p>
        </w:tc>
        <w:tc>
          <w:tcPr>
            <w:tcW w:w="8175" w:type="dxa"/>
            <w:tcBorders>
              <w:top w:val="single" w:color="auto" w:sz="4" w:space="0"/>
              <w:left w:val="single" w:color="auto" w:sz="4" w:space="0"/>
              <w:right w:val="single" w:color="auto" w:sz="4" w:space="0"/>
            </w:tcBorders>
            <w:noWrap w:val="0"/>
            <w:vAlign w:val="center"/>
          </w:tcPr>
          <w:p>
            <w:pPr>
              <w:snapToGrid w:val="0"/>
              <w:spacing w:line="360" w:lineRule="auto"/>
              <w:rPr>
                <w:rFonts w:ascii="宋体" w:hAnsi="宋体"/>
                <w:color w:val="auto"/>
                <w:szCs w:val="21"/>
                <w:highlight w:val="none"/>
              </w:rPr>
            </w:pPr>
            <w:r>
              <w:rPr>
                <w:rFonts w:hint="eastAsia" w:ascii="宋体" w:hAnsi="宋体" w:cs="宋体"/>
                <w:color w:val="auto"/>
                <w:szCs w:val="21"/>
                <w:highlight w:val="none"/>
                <w:lang w:val="en-US" w:eastAsia="zh-CN"/>
              </w:rPr>
              <w:t>每</w:t>
            </w:r>
            <w:r>
              <w:rPr>
                <w:rFonts w:hint="eastAsia" w:ascii="宋体" w:hAnsi="宋体" w:cs="宋体"/>
                <w:color w:val="auto"/>
                <w:szCs w:val="21"/>
                <w:highlight w:val="none"/>
              </w:rPr>
              <w:t>分标商务要求</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rPr>
              <w:t xml:space="preserve"> 0 </w:t>
            </w:r>
            <w:r>
              <w:rPr>
                <w:rFonts w:hint="eastAsia" w:ascii="宋体" w:hAnsi="宋体"/>
                <w:color w:val="auto"/>
                <w:szCs w:val="21"/>
                <w:highlight w:val="none"/>
              </w:rPr>
              <w:t>项。</w:t>
            </w:r>
          </w:p>
          <w:p>
            <w:pPr>
              <w:snapToGrid w:val="0"/>
              <w:spacing w:line="360" w:lineRule="auto"/>
              <w:rPr>
                <w:rFonts w:hint="eastAsia" w:ascii="宋体" w:hAnsi="宋体"/>
                <w:color w:val="auto"/>
                <w:szCs w:val="21"/>
                <w:highlight w:val="none"/>
              </w:rPr>
            </w:pPr>
            <w:r>
              <w:rPr>
                <w:rFonts w:hint="eastAsia" w:ascii="宋体" w:hAnsi="宋体" w:cs="宋体"/>
                <w:color w:val="auto"/>
                <w:szCs w:val="21"/>
                <w:highlight w:val="none"/>
                <w:lang w:val="en-US" w:eastAsia="zh-CN"/>
              </w:rPr>
              <w:t>每</w:t>
            </w:r>
            <w:r>
              <w:rPr>
                <w:rFonts w:hint="eastAsia" w:ascii="宋体" w:hAnsi="宋体" w:cs="宋体"/>
                <w:color w:val="auto"/>
                <w:szCs w:val="21"/>
                <w:highlight w:val="none"/>
              </w:rPr>
              <w:t>分标技术要求</w:t>
            </w:r>
            <w:r>
              <w:rPr>
                <w:rFonts w:hint="eastAsia" w:ascii="宋体" w:hAnsi="宋体"/>
                <w:color w:val="auto"/>
                <w:szCs w:val="21"/>
                <w:highlight w:val="none"/>
              </w:rPr>
              <w:t>评审中允许负偏离的条款数为</w:t>
            </w:r>
            <w:r>
              <w:rPr>
                <w:rFonts w:hint="eastAsia" w:ascii="宋体" w:hAnsi="宋体"/>
                <w:color w:val="auto"/>
                <w:szCs w:val="21"/>
                <w:highlight w:val="none"/>
                <w:u w:val="single"/>
                <w:lang w:val="en-US" w:eastAsia="zh-CN"/>
              </w:rPr>
              <w:t>7</w:t>
            </w:r>
            <w:r>
              <w:rPr>
                <w:rFonts w:hint="eastAsia" w:ascii="宋体" w:hAnsi="宋体"/>
                <w:color w:val="auto"/>
                <w:szCs w:val="21"/>
                <w:highlight w:val="none"/>
              </w:rPr>
              <w:t>项。</w:t>
            </w:r>
            <w:r>
              <w:rPr>
                <w:rFonts w:hint="eastAsia"/>
                <w:b/>
                <w:bCs/>
                <w:color w:val="auto"/>
                <w:highlight w:val="none"/>
              </w:rPr>
              <w:t>（负偏离</w:t>
            </w:r>
            <w:r>
              <w:rPr>
                <w:rFonts w:hint="eastAsia"/>
                <w:b/>
                <w:bCs/>
                <w:color w:val="auto"/>
                <w:highlight w:val="none"/>
                <w:lang w:val="en-US" w:eastAsia="zh-CN"/>
              </w:rPr>
              <w:t>超过7</w:t>
            </w:r>
            <w:r>
              <w:rPr>
                <w:rFonts w:hint="eastAsia"/>
                <w:b/>
                <w:bCs/>
                <w:color w:val="auto"/>
                <w:highlight w:val="none"/>
              </w:rPr>
              <w:t>项按投标无效处理）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978" w:type="dxa"/>
            <w:tcBorders>
              <w:top w:val="single" w:color="auto" w:sz="4" w:space="0"/>
              <w:left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29.3</w:t>
            </w:r>
          </w:p>
        </w:tc>
        <w:tc>
          <w:tcPr>
            <w:tcW w:w="8175" w:type="dxa"/>
            <w:tcBorders>
              <w:top w:val="single" w:color="auto" w:sz="4" w:space="0"/>
              <w:left w:val="single" w:color="auto" w:sz="4" w:space="0"/>
              <w:right w:val="single" w:color="auto" w:sz="4" w:space="0"/>
            </w:tcBorders>
            <w:noWrap w:val="0"/>
            <w:vAlign w:val="center"/>
          </w:tcPr>
          <w:p>
            <w:pPr>
              <w:snapToGrid w:val="0"/>
              <w:spacing w:line="360" w:lineRule="auto"/>
              <w:rPr>
                <w:rFonts w:hAnsi="宋体"/>
                <w:color w:val="auto"/>
                <w:highlight w:val="none"/>
              </w:rPr>
            </w:pPr>
            <w:r>
              <w:rPr>
                <w:rFonts w:hAnsi="宋体"/>
                <w:color w:val="auto"/>
                <w:highlight w:val="none"/>
              </w:rPr>
              <w:t>中标候选人推荐数量</w:t>
            </w:r>
            <w:r>
              <w:rPr>
                <w:rFonts w:hint="eastAsia" w:hAnsi="宋体"/>
                <w:color w:val="auto"/>
                <w:highlight w:val="none"/>
              </w:rPr>
              <w:t>：</w:t>
            </w:r>
          </w:p>
          <w:p>
            <w:pPr>
              <w:snapToGrid w:val="0"/>
              <w:spacing w:line="360" w:lineRule="auto"/>
              <w:rPr>
                <w:rFonts w:hint="eastAsia" w:hAnsi="宋体"/>
                <w:color w:val="auto"/>
                <w:highlight w:val="none"/>
              </w:rPr>
            </w:pPr>
            <w:r>
              <w:rPr>
                <w:rFonts w:hint="eastAsia" w:ascii="宋体" w:hAnsi="宋体"/>
                <w:color w:val="auto"/>
                <w:szCs w:val="21"/>
                <w:highlight w:val="none"/>
              </w:rPr>
              <w:t>☑</w:t>
            </w:r>
            <w:r>
              <w:rPr>
                <w:rFonts w:hint="eastAsia" w:hAnsi="宋体"/>
                <w:color w:val="auto"/>
                <w:highlight w:val="none"/>
                <w:u w:val="single"/>
              </w:rPr>
              <w:t xml:space="preserve"> </w:t>
            </w:r>
            <w:r>
              <w:rPr>
                <w:rFonts w:hAnsi="宋体"/>
                <w:color w:val="auto"/>
                <w:highlight w:val="none"/>
                <w:u w:val="single"/>
              </w:rPr>
              <w:t xml:space="preserve"> </w:t>
            </w:r>
            <w:r>
              <w:rPr>
                <w:rFonts w:hint="eastAsia" w:hAnsi="宋体"/>
                <w:color w:val="auto"/>
                <w:highlight w:val="none"/>
                <w:u w:val="single"/>
              </w:rPr>
              <w:t>3</w:t>
            </w:r>
            <w:r>
              <w:rPr>
                <w:rFonts w:hAnsi="宋体"/>
                <w:color w:val="auto"/>
                <w:highlight w:val="none"/>
                <w:u w:val="single"/>
              </w:rPr>
              <w:t xml:space="preserve">  </w:t>
            </w:r>
            <w:r>
              <w:rPr>
                <w:rFonts w:hAnsi="宋体"/>
                <w:color w:val="auto"/>
                <w:highlight w:val="none"/>
              </w:rPr>
              <w:t>名</w:t>
            </w:r>
            <w:r>
              <w:rPr>
                <w:rFonts w:hint="eastAsia" w:hAnsi="宋体"/>
                <w:color w:val="auto"/>
                <w:highlight w:val="none"/>
              </w:rPr>
              <w:t>（根据总得分由高到低排列次序推荐3名中标候选人）</w:t>
            </w:r>
          </w:p>
          <w:p>
            <w:pPr>
              <w:snapToGrid w:val="0"/>
              <w:spacing w:line="360" w:lineRule="auto"/>
              <w:rPr>
                <w:rFonts w:hint="eastAsia" w:ascii="宋体" w:hAnsi="宋体" w:cs="宋体"/>
                <w:color w:val="auto"/>
                <w:szCs w:val="21"/>
                <w:highlight w:val="none"/>
              </w:rPr>
            </w:pPr>
            <w:r>
              <w:rPr>
                <w:rFonts w:hint="eastAsia" w:ascii="宋体" w:hAnsi="宋体"/>
                <w:color w:val="auto"/>
                <w:szCs w:val="21"/>
                <w:highlight w:val="none"/>
              </w:rPr>
              <w:t>□</w:t>
            </w:r>
            <w:r>
              <w:rPr>
                <w:rFonts w:hint="eastAsia" w:hAnsi="宋体"/>
                <w:color w:val="auto"/>
                <w:highlight w:val="none"/>
              </w:rPr>
              <w:t>根据总得分由高到低排列次序并全部推荐为中标候选人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30</w:t>
            </w:r>
            <w:r>
              <w:rPr>
                <w:rFonts w:ascii="宋体" w:hAnsi="宋体"/>
                <w:color w:val="auto"/>
                <w:szCs w:val="21"/>
                <w:highlight w:val="none"/>
              </w:rPr>
              <w:t>.1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采用综合评分法的采购项目，采购人确定中标人时，出现中标候选人并列的情形，采购人按以下的方式确定中标人：</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☑依次按投标报价低的优先、政策分得分高的优先、技术评分高的优先、商务评分高的优先、质保期长优先、交货期短优先、故障响应时间短优先的顺序确定；</w:t>
            </w:r>
          </w:p>
          <w:p>
            <w:pPr>
              <w:autoSpaceDE w:val="0"/>
              <w:autoSpaceDN w:val="0"/>
              <w:snapToGrid w:val="0"/>
              <w:spacing w:line="360" w:lineRule="auto"/>
              <w:textAlignment w:val="bottom"/>
              <w:rPr>
                <w:rFonts w:hint="eastAsia" w:ascii="宋体" w:hAnsi="宋体"/>
                <w:b/>
                <w:color w:val="auto"/>
                <w:szCs w:val="21"/>
                <w:highlight w:val="none"/>
              </w:rPr>
            </w:pPr>
            <w:r>
              <w:rPr>
                <w:rFonts w:hint="eastAsia" w:ascii="宋体" w:hAnsi="宋体"/>
                <w:color w:val="auto"/>
                <w:szCs w:val="21"/>
                <w:highlight w:val="none"/>
              </w:rPr>
              <w:t>□随机抽取；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69" w:name="_39.1"/>
            <w:bookmarkEnd w:id="69"/>
            <w:r>
              <w:rPr>
                <w:rFonts w:hint="eastAsia" w:ascii="宋体" w:hAnsi="宋体"/>
                <w:color w:val="auto"/>
                <w:szCs w:val="21"/>
                <w:highlight w:val="none"/>
              </w:rPr>
              <w:t>35</w:t>
            </w:r>
            <w:r>
              <w:rPr>
                <w:rFonts w:ascii="宋体" w:hAnsi="宋体"/>
                <w:color w:val="auto"/>
                <w:szCs w:val="21"/>
                <w:highlight w:val="none"/>
              </w:rPr>
              <w:t>.1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480" w:lineRule="exact"/>
              <w:textAlignment w:val="bottom"/>
              <w:rPr>
                <w:rFonts w:hint="eastAsia" w:ascii="宋体" w:hAnsi="宋体" w:cs="宋体"/>
                <w:color w:val="auto"/>
                <w:highlight w:val="none"/>
              </w:rPr>
            </w:pPr>
            <w:r>
              <w:rPr>
                <w:rFonts w:hint="eastAsia" w:ascii="宋体" w:hAnsi="宋体"/>
                <w:color w:val="auto"/>
                <w:szCs w:val="21"/>
                <w:highlight w:val="none"/>
                <w:lang w:eastAsia="zh-CN"/>
              </w:rPr>
              <w:t>☑</w:t>
            </w:r>
            <w:r>
              <w:rPr>
                <w:rFonts w:hint="eastAsia" w:ascii="宋体" w:hAnsi="宋体" w:cs="宋体"/>
                <w:color w:val="auto"/>
                <w:szCs w:val="21"/>
                <w:highlight w:val="none"/>
              </w:rPr>
              <w:t>本项目不收取履约保证金。</w:t>
            </w:r>
          </w:p>
          <w:p>
            <w:pPr>
              <w:autoSpaceDE w:val="0"/>
              <w:autoSpaceDN w:val="0"/>
              <w:snapToGrid w:val="0"/>
              <w:spacing w:line="480" w:lineRule="exact"/>
              <w:textAlignment w:val="bottom"/>
              <w:rPr>
                <w:rFonts w:hint="eastAsia" w:ascii="宋体" w:hAnsi="宋体" w:cs="宋体"/>
                <w:color w:val="auto"/>
                <w:szCs w:val="21"/>
                <w:highlight w:val="none"/>
              </w:rPr>
            </w:pPr>
            <w:r>
              <w:rPr>
                <w:rFonts w:hint="eastAsia" w:ascii="宋体" w:hAnsi="宋体"/>
                <w:color w:val="auto"/>
                <w:szCs w:val="21"/>
                <w:highlight w:val="none"/>
                <w:lang w:eastAsia="zh-CN"/>
              </w:rPr>
              <w:t>□</w:t>
            </w:r>
            <w:r>
              <w:rPr>
                <w:rFonts w:hint="eastAsia" w:ascii="宋体" w:hAnsi="宋体" w:cs="宋体"/>
                <w:color w:val="auto"/>
                <w:szCs w:val="21"/>
                <w:highlight w:val="none"/>
              </w:rPr>
              <w:t>本项目收取履约保证金，具体规定如下：</w:t>
            </w:r>
          </w:p>
          <w:p>
            <w:pPr>
              <w:autoSpaceDE w:val="0"/>
              <w:autoSpaceDN w:val="0"/>
              <w:snapToGrid w:val="0"/>
              <w:spacing w:line="480" w:lineRule="exact"/>
              <w:textAlignment w:val="bottom"/>
              <w:rPr>
                <w:rFonts w:hint="eastAsia" w:ascii="宋体" w:hAnsi="宋体" w:cs="宋体"/>
                <w:color w:val="auto"/>
                <w:szCs w:val="21"/>
                <w:highlight w:val="none"/>
              </w:rPr>
            </w:pPr>
            <w:r>
              <w:rPr>
                <w:rFonts w:hint="eastAsia" w:ascii="宋体" w:hAnsi="宋体" w:cs="宋体"/>
                <w:color w:val="auto"/>
                <w:szCs w:val="21"/>
                <w:highlight w:val="none"/>
              </w:rPr>
              <w:t>履约保证金金额：按中标金额的</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%（注：履约保证金数额不得超过政府采购合同金额的5%；政府采购要加大对中小企业发展的扶持力度，对中小企业收取的履约保证金数额不得超过政府采购合同金额的2%）。</w:t>
            </w:r>
          </w:p>
          <w:p>
            <w:pPr>
              <w:autoSpaceDE w:val="0"/>
              <w:autoSpaceDN w:val="0"/>
              <w:snapToGrid w:val="0"/>
              <w:spacing w:line="480" w:lineRule="exact"/>
              <w:textAlignment w:val="bottom"/>
              <w:rPr>
                <w:rFonts w:hint="eastAsia" w:ascii="宋体" w:hAnsi="宋体" w:cs="宋体"/>
                <w:color w:val="auto"/>
                <w:szCs w:val="21"/>
                <w:highlight w:val="none"/>
              </w:rPr>
            </w:pPr>
            <w:r>
              <w:rPr>
                <w:rFonts w:hint="eastAsia" w:ascii="宋体" w:hAnsi="宋体" w:cs="宋体"/>
                <w:color w:val="auto"/>
                <w:szCs w:val="21"/>
                <w:highlight w:val="none"/>
              </w:rPr>
              <w:t>履约保证金提交方式：银行转账、支票、汇票、本票或者银行、保险机构出具的保函等非现金方式（参照投标保证金）。</w:t>
            </w:r>
          </w:p>
          <w:p>
            <w:pPr>
              <w:autoSpaceDE w:val="0"/>
              <w:autoSpaceDN w:val="0"/>
              <w:snapToGrid w:val="0"/>
              <w:spacing w:line="480" w:lineRule="exact"/>
              <w:textAlignment w:val="bottom"/>
              <w:rPr>
                <w:rFonts w:hint="eastAsia" w:ascii="宋体" w:hAnsi="宋体" w:cs="宋体"/>
                <w:color w:val="auto"/>
                <w:szCs w:val="21"/>
                <w:highlight w:val="none"/>
              </w:rPr>
            </w:pPr>
            <w:r>
              <w:rPr>
                <w:rFonts w:hint="eastAsia" w:ascii="宋体" w:hAnsi="宋体" w:cs="宋体"/>
                <w:color w:val="auto"/>
                <w:szCs w:val="21"/>
                <w:highlight w:val="none"/>
              </w:rPr>
              <w:t>履约保证金退付方式、时间及条件：</w:t>
            </w:r>
            <w:r>
              <w:rPr>
                <w:rFonts w:hint="eastAsia" w:ascii="宋体" w:hAnsi="宋体" w:cs="宋体"/>
                <w:color w:val="auto"/>
                <w:szCs w:val="21"/>
                <w:highlight w:val="none"/>
                <w:u w:val="single"/>
              </w:rPr>
              <w:t>由</w:t>
            </w:r>
            <w:r>
              <w:rPr>
                <w:rFonts w:hint="eastAsia" w:ascii="宋体" w:hAnsi="宋体" w:cs="宋体"/>
                <w:color w:val="auto"/>
                <w:szCs w:val="21"/>
                <w:highlight w:val="none"/>
                <w:u w:val="single"/>
                <w:lang w:eastAsia="zh-CN"/>
              </w:rPr>
              <w:t>中标人</w:t>
            </w:r>
            <w:r>
              <w:rPr>
                <w:rFonts w:hint="eastAsia" w:ascii="宋体" w:hAnsi="宋体" w:cs="宋体"/>
                <w:color w:val="auto"/>
                <w:szCs w:val="21"/>
                <w:highlight w:val="none"/>
                <w:u w:val="single"/>
              </w:rPr>
              <w:t>向履约保证金收取单位提供《广西壮族自治区政府采购项目合同验收书》（详见桂财采〔2015〕22号），保证金收取单位在收到合格材料后</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个工作日内办理退还手续（不计利息）</w:t>
            </w:r>
            <w:r>
              <w:rPr>
                <w:rFonts w:hint="eastAsia" w:ascii="宋体" w:hAnsi="宋体" w:cs="宋体"/>
                <w:color w:val="auto"/>
                <w:szCs w:val="21"/>
                <w:highlight w:val="none"/>
              </w:rPr>
              <w:t>。</w:t>
            </w:r>
          </w:p>
          <w:p>
            <w:pPr>
              <w:autoSpaceDE w:val="0"/>
              <w:autoSpaceDN w:val="0"/>
              <w:snapToGrid w:val="0"/>
              <w:spacing w:line="480" w:lineRule="exact"/>
              <w:textAlignment w:val="bottom"/>
              <w:rPr>
                <w:rFonts w:hint="eastAsia" w:ascii="宋体" w:hAnsi="宋体" w:cs="宋体"/>
                <w:color w:val="auto"/>
                <w:szCs w:val="21"/>
                <w:highlight w:val="none"/>
              </w:rPr>
            </w:pPr>
            <w:r>
              <w:rPr>
                <w:rFonts w:hint="eastAsia" w:ascii="宋体" w:hAnsi="宋体" w:cs="宋体"/>
                <w:color w:val="auto"/>
                <w:szCs w:val="21"/>
                <w:highlight w:val="none"/>
              </w:rPr>
              <w:t>履约保证金指定账户：</w:t>
            </w:r>
          </w:p>
          <w:p>
            <w:pPr>
              <w:autoSpaceDE w:val="0"/>
              <w:autoSpaceDN w:val="0"/>
              <w:snapToGrid w:val="0"/>
              <w:spacing w:line="480" w:lineRule="exact"/>
              <w:textAlignment w:val="bottom"/>
              <w:rPr>
                <w:rFonts w:hint="eastAsia" w:ascii="宋体" w:hAnsi="宋体" w:cs="宋体"/>
                <w:color w:val="auto"/>
                <w:szCs w:val="21"/>
                <w:highlight w:val="none"/>
              </w:rPr>
            </w:pPr>
            <w:r>
              <w:rPr>
                <w:rFonts w:hint="eastAsia" w:ascii="宋体" w:hAnsi="宋体" w:cs="宋体"/>
                <w:color w:val="auto"/>
                <w:szCs w:val="21"/>
                <w:highlight w:val="none"/>
              </w:rPr>
              <w:t>开户名称：</w:t>
            </w:r>
            <w:r>
              <w:rPr>
                <w:rFonts w:hint="eastAsia" w:ascii="宋体" w:hAnsi="宋体" w:cs="宋体"/>
                <w:color w:val="auto"/>
                <w:szCs w:val="21"/>
                <w:highlight w:val="none"/>
                <w:u w:val="single"/>
              </w:rPr>
              <w:t>广西壮族自治区桂东人民医院</w:t>
            </w:r>
            <w:r>
              <w:rPr>
                <w:rFonts w:hint="eastAsia" w:ascii="宋体" w:hAnsi="宋体" w:cs="宋体"/>
                <w:color w:val="auto"/>
                <w:szCs w:val="21"/>
                <w:highlight w:val="none"/>
              </w:rPr>
              <w:t xml:space="preserve">                </w:t>
            </w:r>
          </w:p>
          <w:p>
            <w:pPr>
              <w:autoSpaceDE w:val="0"/>
              <w:autoSpaceDN w:val="0"/>
              <w:snapToGrid w:val="0"/>
              <w:spacing w:line="480" w:lineRule="exact"/>
              <w:textAlignment w:val="bottom"/>
              <w:rPr>
                <w:rFonts w:hint="eastAsia" w:ascii="宋体" w:hAnsi="宋体" w:cs="宋体"/>
                <w:color w:val="auto"/>
                <w:szCs w:val="21"/>
                <w:highlight w:val="none"/>
              </w:rPr>
            </w:pPr>
            <w:r>
              <w:rPr>
                <w:rFonts w:hint="eastAsia" w:ascii="宋体" w:hAnsi="宋体" w:cs="宋体"/>
                <w:color w:val="auto"/>
                <w:szCs w:val="21"/>
                <w:highlight w:val="none"/>
              </w:rPr>
              <w:t>开户银行：</w:t>
            </w:r>
            <w:r>
              <w:rPr>
                <w:rFonts w:hint="eastAsia" w:ascii="宋体" w:hAnsi="宋体" w:cs="宋体"/>
                <w:color w:val="auto"/>
                <w:szCs w:val="21"/>
                <w:highlight w:val="none"/>
                <w:u w:val="single"/>
              </w:rPr>
              <w:t>中国建设银行广西梧州河东支行</w:t>
            </w:r>
            <w:r>
              <w:rPr>
                <w:rFonts w:hint="eastAsia" w:ascii="宋体" w:hAnsi="宋体" w:cs="宋体"/>
                <w:color w:val="auto"/>
                <w:szCs w:val="21"/>
                <w:highlight w:val="none"/>
              </w:rPr>
              <w:t xml:space="preserve">   </w:t>
            </w:r>
          </w:p>
          <w:p>
            <w:pPr>
              <w:autoSpaceDE w:val="0"/>
              <w:autoSpaceDN w:val="0"/>
              <w:snapToGrid w:val="0"/>
              <w:spacing w:line="480" w:lineRule="exact"/>
              <w:textAlignment w:val="bottom"/>
              <w:rPr>
                <w:rFonts w:hint="eastAsia" w:ascii="宋体" w:hAnsi="宋体" w:cs="宋体"/>
                <w:color w:val="auto"/>
                <w:szCs w:val="21"/>
                <w:highlight w:val="none"/>
                <w:u w:val="single"/>
              </w:rPr>
            </w:pPr>
            <w:r>
              <w:rPr>
                <w:rFonts w:hint="eastAsia" w:ascii="宋体" w:hAnsi="宋体" w:cs="宋体"/>
                <w:color w:val="auto"/>
                <w:szCs w:val="21"/>
                <w:highlight w:val="none"/>
              </w:rPr>
              <w:t>银行账号：</w:t>
            </w:r>
            <w:r>
              <w:rPr>
                <w:rFonts w:hint="eastAsia" w:ascii="宋体" w:hAnsi="宋体" w:cs="宋体"/>
                <w:color w:val="auto"/>
                <w:szCs w:val="21"/>
                <w:highlight w:val="none"/>
                <w:u w:val="single"/>
              </w:rPr>
              <w:t>45001648652059500770</w:t>
            </w:r>
          </w:p>
          <w:p>
            <w:pPr>
              <w:autoSpaceDE w:val="0"/>
              <w:autoSpaceDN w:val="0"/>
              <w:snapToGrid w:val="0"/>
              <w:spacing w:line="480" w:lineRule="exact"/>
              <w:textAlignment w:val="bottom"/>
              <w:rPr>
                <w:rFonts w:hint="eastAsia" w:ascii="宋体" w:hAnsi="宋体" w:cs="宋体"/>
                <w:b/>
                <w:bCs/>
                <w:color w:val="auto"/>
                <w:szCs w:val="21"/>
                <w:highlight w:val="none"/>
              </w:rPr>
            </w:pPr>
            <w:r>
              <w:rPr>
                <w:rFonts w:hint="eastAsia" w:ascii="宋体" w:hAnsi="宋体" w:cs="宋体"/>
                <w:b/>
                <w:bCs/>
                <w:color w:val="auto"/>
                <w:szCs w:val="21"/>
                <w:highlight w:val="none"/>
              </w:rPr>
              <w:t>备注：</w:t>
            </w:r>
          </w:p>
          <w:p>
            <w:pPr>
              <w:autoSpaceDE w:val="0"/>
              <w:autoSpaceDN w:val="0"/>
              <w:snapToGrid w:val="0"/>
              <w:spacing w:line="480" w:lineRule="exact"/>
              <w:textAlignment w:val="bottom"/>
              <w:rPr>
                <w:rFonts w:hint="eastAsia" w:ascii="宋体" w:hAnsi="宋体" w:cs="宋体"/>
                <w:color w:val="auto"/>
                <w:szCs w:val="21"/>
                <w:highlight w:val="none"/>
              </w:rPr>
            </w:pPr>
            <w:r>
              <w:rPr>
                <w:rFonts w:hint="eastAsia" w:ascii="宋体" w:hAnsi="宋体" w:cs="宋体"/>
                <w:b/>
                <w:bCs/>
                <w:color w:val="auto"/>
                <w:szCs w:val="21"/>
                <w:highlight w:val="none"/>
              </w:rPr>
              <w:t>根据 《广西壮族自治区财政厅关于贯彻落实政府采购优化营商环境百日攻坚行动方案的通知》（桂财采〔2020〕49号）规定及桂财采〔2022〕30号广西壮族自治区财政厅关于进一步发挥政府采购政策功能促进企业发展的通知，履约保证金数额不得超过政府采购合同金额的5%，对中小企业收取的履约保证金数额不得超过政府采购合同金额的2%。采购人可根据供应商的资信等情况减免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0" w:name="_40.1"/>
            <w:bookmarkEnd w:id="70"/>
            <w:r>
              <w:rPr>
                <w:rFonts w:hint="eastAsia" w:ascii="宋体" w:hAnsi="宋体"/>
                <w:color w:val="auto"/>
                <w:szCs w:val="21"/>
                <w:highlight w:val="none"/>
              </w:rPr>
              <w:t>36.1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 xml:space="preserve">签订合同携带的证明材料： </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委托代理人负责签订合同的，须携带授权委托书及委托代理人身份证原件等其他资格证件。</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olor w:val="auto"/>
                <w:szCs w:val="21"/>
                <w:highlight w:val="none"/>
              </w:rPr>
              <w:t>法定代表人负责签订合同的，须携带法定代表人</w:t>
            </w:r>
            <w:r>
              <w:rPr>
                <w:rFonts w:ascii="宋体" w:hAnsi="宋体"/>
                <w:color w:val="auto"/>
                <w:szCs w:val="21"/>
                <w:highlight w:val="none"/>
              </w:rPr>
              <w:t>身份证明原件</w:t>
            </w:r>
            <w:r>
              <w:rPr>
                <w:rFonts w:hint="eastAsia" w:ascii="宋体" w:hAnsi="宋体"/>
                <w:color w:val="auto"/>
                <w:szCs w:val="21"/>
                <w:highlight w:val="none"/>
              </w:rPr>
              <w:t>及</w:t>
            </w:r>
            <w:r>
              <w:rPr>
                <w:rFonts w:ascii="宋体" w:hAnsi="宋体"/>
                <w:color w:val="auto"/>
                <w:szCs w:val="21"/>
                <w:highlight w:val="none"/>
              </w:rPr>
              <w:t>身份证原件</w:t>
            </w:r>
            <w:r>
              <w:rPr>
                <w:rFonts w:hint="eastAsia" w:ascii="宋体" w:hAnsi="宋体"/>
                <w:color w:val="auto"/>
                <w:szCs w:val="21"/>
                <w:highlight w:val="none"/>
              </w:rPr>
              <w:t>等其他证明材料。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r>
              <w:rPr>
                <w:rFonts w:ascii="宋体" w:hAnsi="宋体"/>
                <w:color w:val="auto"/>
                <w:szCs w:val="21"/>
                <w:highlight w:val="none"/>
              </w:rPr>
              <w:t>8.2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接收质疑函方式：以书面形式</w:t>
            </w:r>
          </w:p>
          <w:p>
            <w:pPr>
              <w:snapToGrid w:val="0"/>
              <w:spacing w:line="360" w:lineRule="auto"/>
              <w:rPr>
                <w:rFonts w:hint="eastAsia" w:ascii="宋体" w:hAnsi="宋体" w:cs="宋体"/>
                <w:color w:val="auto"/>
                <w:highlight w:val="none"/>
              </w:rPr>
            </w:pPr>
            <w:r>
              <w:rPr>
                <w:rFonts w:hint="eastAsia" w:ascii="宋体" w:hAnsi="宋体" w:cs="宋体"/>
                <w:color w:val="auto"/>
                <w:szCs w:val="21"/>
                <w:highlight w:val="none"/>
              </w:rPr>
              <w:t>质疑联系部门及联系方式：</w:t>
            </w:r>
            <w:r>
              <w:rPr>
                <w:rFonts w:hint="eastAsia" w:ascii="宋体" w:hAnsi="宋体" w:cs="宋体"/>
                <w:color w:val="auto"/>
                <w:highlight w:val="none"/>
              </w:rPr>
              <w:t>云之龙咨询集团有限公司</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联系电话：0774-5285056</w:t>
            </w:r>
          </w:p>
          <w:p>
            <w:pPr>
              <w:snapToGrid w:val="0"/>
              <w:spacing w:line="360" w:lineRule="auto"/>
              <w:rPr>
                <w:rFonts w:hint="eastAsia" w:ascii="宋体" w:hAnsi="宋体" w:cs="宋体"/>
                <w:color w:val="auto"/>
                <w:szCs w:val="21"/>
                <w:highlight w:val="none"/>
              </w:rPr>
            </w:pPr>
            <w:r>
              <w:rPr>
                <w:rFonts w:hint="eastAsia" w:ascii="宋体" w:hAnsi="宋体" w:cs="宋体"/>
                <w:color w:val="auto"/>
                <w:szCs w:val="21"/>
                <w:highlight w:val="none"/>
              </w:rPr>
              <w:t>通讯地址：</w:t>
            </w:r>
            <w:r>
              <w:rPr>
                <w:rFonts w:hint="eastAsia" w:ascii="宋体" w:hAnsi="宋体" w:cs="宋体"/>
                <w:color w:val="auto"/>
                <w:highlight w:val="none"/>
              </w:rPr>
              <w:t>广西贺州市八步区翔云街87号金丰大厦5楼</w:t>
            </w:r>
          </w:p>
          <w:p>
            <w:pPr>
              <w:autoSpaceDE w:val="0"/>
              <w:autoSpaceDN w:val="0"/>
              <w:snapToGrid w:val="0"/>
              <w:spacing w:line="360" w:lineRule="auto"/>
              <w:textAlignment w:val="bottom"/>
              <w:rPr>
                <w:rFonts w:hint="eastAsia" w:ascii="宋体" w:hAnsi="宋体"/>
                <w:color w:val="auto"/>
                <w:szCs w:val="21"/>
                <w:highlight w:val="none"/>
              </w:rPr>
            </w:pPr>
            <w:r>
              <w:rPr>
                <w:rFonts w:hint="eastAsia" w:ascii="宋体" w:hAnsi="宋体" w:cs="宋体"/>
                <w:color w:val="auto"/>
                <w:highlight w:val="none"/>
              </w:rPr>
              <w:t>现场提交质疑办理业务时间：每天8时00分到12时00分，15时00分到18时00分（北京时间），业务时间以外、双休日和法定节假日不办理业务。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Cs w:val="21"/>
                <w:highlight w:val="none"/>
              </w:rPr>
            </w:pPr>
            <w:bookmarkStart w:id="71" w:name="_42"/>
            <w:bookmarkEnd w:id="71"/>
            <w:bookmarkStart w:id="72" w:name="_41"/>
            <w:bookmarkEnd w:id="72"/>
            <w:bookmarkStart w:id="73" w:name="_Hlt17709148"/>
            <w:r>
              <w:rPr>
                <w:rFonts w:hint="eastAsia" w:ascii="宋体" w:hAnsi="宋体"/>
                <w:color w:val="auto"/>
                <w:szCs w:val="21"/>
                <w:highlight w:val="none"/>
              </w:rPr>
              <w:t>3</w:t>
            </w:r>
            <w:bookmarkEnd w:id="73"/>
            <w:r>
              <w:rPr>
                <w:rFonts w:ascii="宋体" w:hAnsi="宋体"/>
                <w:color w:val="auto"/>
                <w:szCs w:val="21"/>
                <w:highlight w:val="none"/>
              </w:rPr>
              <w:t>9.1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360" w:lineRule="auto"/>
              <w:rPr>
                <w:rFonts w:hint="eastAsia" w:hAnsi="宋体" w:cs="宋体"/>
                <w:color w:val="auto"/>
                <w:sz w:val="21"/>
                <w:highlight w:val="none"/>
              </w:rPr>
            </w:pPr>
            <w:r>
              <w:rPr>
                <w:rFonts w:hint="eastAsia" w:hAnsi="宋体" w:cs="宋体"/>
                <w:color w:val="auto"/>
                <w:sz w:val="21"/>
                <w:highlight w:val="none"/>
              </w:rPr>
              <w:t>1.采购代理费支付方式：</w:t>
            </w:r>
          </w:p>
          <w:p>
            <w:pPr>
              <w:pStyle w:val="23"/>
              <w:snapToGrid w:val="0"/>
              <w:spacing w:line="360" w:lineRule="auto"/>
              <w:rPr>
                <w:rFonts w:hint="eastAsia" w:hAnsi="宋体" w:cs="宋体"/>
                <w:color w:val="auto"/>
                <w:sz w:val="21"/>
                <w:highlight w:val="none"/>
              </w:rPr>
            </w:pPr>
            <w:r>
              <w:rPr>
                <w:rFonts w:hint="eastAsia" w:hAnsi="宋体" w:cs="宋体"/>
                <w:color w:val="auto"/>
                <w:sz w:val="21"/>
                <w:highlight w:val="none"/>
              </w:rPr>
              <w:t>☑本项目代理服务费由</w:t>
            </w:r>
            <w:r>
              <w:rPr>
                <w:rFonts w:hint="eastAsia" w:hAnsi="宋体" w:cs="宋体"/>
                <w:color w:val="auto"/>
                <w:sz w:val="21"/>
                <w:highlight w:val="none"/>
                <w:u w:val="single"/>
              </w:rPr>
              <w:t>中标人</w:t>
            </w:r>
            <w:r>
              <w:rPr>
                <w:rFonts w:hint="eastAsia" w:hAnsi="宋体" w:cs="宋体"/>
                <w:color w:val="auto"/>
                <w:sz w:val="21"/>
                <w:highlight w:val="none"/>
              </w:rPr>
              <w:t>在领取中标通知书前，一次性向采购代理机构支付。</w:t>
            </w:r>
          </w:p>
          <w:p>
            <w:pPr>
              <w:pStyle w:val="23"/>
              <w:snapToGrid w:val="0"/>
              <w:spacing w:line="360" w:lineRule="auto"/>
              <w:rPr>
                <w:rFonts w:hint="eastAsia" w:hAnsi="宋体" w:cs="宋体"/>
                <w:color w:val="auto"/>
                <w:sz w:val="21"/>
                <w:highlight w:val="none"/>
              </w:rPr>
            </w:pPr>
            <w:r>
              <w:rPr>
                <w:rFonts w:hint="eastAsia" w:hAnsi="宋体" w:cs="宋体"/>
                <w:color w:val="auto"/>
                <w:sz w:val="21"/>
                <w:highlight w:val="none"/>
              </w:rPr>
              <w:t>□采购人支付。</w:t>
            </w:r>
          </w:p>
          <w:p>
            <w:pPr>
              <w:pStyle w:val="23"/>
              <w:snapToGrid w:val="0"/>
              <w:spacing w:line="360" w:lineRule="auto"/>
              <w:rPr>
                <w:rFonts w:hint="eastAsia" w:hAnsi="宋体" w:cs="宋体"/>
                <w:color w:val="auto"/>
                <w:sz w:val="21"/>
                <w:highlight w:val="none"/>
              </w:rPr>
            </w:pPr>
            <w:r>
              <w:rPr>
                <w:rFonts w:hint="eastAsia" w:hAnsi="宋体" w:cs="宋体"/>
                <w:color w:val="auto"/>
                <w:sz w:val="21"/>
                <w:highlight w:val="none"/>
              </w:rPr>
              <w:t>2.采购代理费收取标准：</w:t>
            </w:r>
          </w:p>
          <w:p>
            <w:pPr>
              <w:pStyle w:val="23"/>
              <w:snapToGrid w:val="0"/>
              <w:spacing w:line="360" w:lineRule="auto"/>
              <w:rPr>
                <w:rFonts w:hint="eastAsia" w:hAnsi="宋体" w:cs="宋体"/>
                <w:color w:val="auto"/>
                <w:sz w:val="21"/>
                <w:highlight w:val="none"/>
              </w:rPr>
            </w:pPr>
            <w:r>
              <w:rPr>
                <w:rFonts w:hint="eastAsia" w:hAnsi="宋体" w:cs="宋体"/>
                <w:color w:val="auto"/>
                <w:sz w:val="21"/>
                <w:highlight w:val="none"/>
              </w:rPr>
              <w:t>☑以分标中标金额为计费额，按本须知正文第</w:t>
            </w:r>
            <w:r>
              <w:rPr>
                <w:rFonts w:hAnsi="宋体" w:cs="宋体"/>
                <w:color w:val="auto"/>
                <w:sz w:val="21"/>
                <w:highlight w:val="none"/>
              </w:rPr>
              <w:t>39</w:t>
            </w:r>
            <w:r>
              <w:rPr>
                <w:rFonts w:hint="eastAsia" w:hAnsi="宋体" w:cs="宋体"/>
                <w:color w:val="auto"/>
                <w:sz w:val="21"/>
                <w:highlight w:val="none"/>
              </w:rPr>
              <w:t>.</w:t>
            </w:r>
            <w:r>
              <w:rPr>
                <w:rFonts w:hAnsi="宋体" w:cs="宋体"/>
                <w:color w:val="auto"/>
                <w:sz w:val="21"/>
                <w:highlight w:val="none"/>
              </w:rPr>
              <w:t>2</w:t>
            </w:r>
            <w:r>
              <w:rPr>
                <w:rFonts w:hint="eastAsia" w:hAnsi="宋体" w:cs="宋体"/>
                <w:color w:val="auto"/>
                <w:sz w:val="21"/>
                <w:highlight w:val="none"/>
              </w:rPr>
              <w:t>条规定的收费计算标准货物招标采用差额定率累进法计算出收费基准价格，采购代理收费以收费基准价格收取。</w:t>
            </w:r>
          </w:p>
          <w:p>
            <w:pPr>
              <w:pStyle w:val="23"/>
              <w:snapToGrid w:val="0"/>
              <w:spacing w:line="360" w:lineRule="auto"/>
              <w:rPr>
                <w:rFonts w:hint="eastAsia" w:hAnsi="宋体" w:cs="宋体"/>
                <w:color w:val="auto"/>
                <w:highlight w:val="none"/>
                <w:u w:val="single"/>
              </w:rPr>
            </w:pPr>
            <w:r>
              <w:rPr>
                <w:rFonts w:hint="eastAsia" w:hAnsi="宋体" w:cs="宋体"/>
                <w:color w:val="auto"/>
                <w:sz w:val="21"/>
                <w:highlight w:val="none"/>
              </w:rPr>
              <w:t>□固定采购代理收费：</w:t>
            </w:r>
            <w:r>
              <w:rPr>
                <w:rFonts w:hint="eastAsia" w:hAnsi="宋体" w:cs="宋体"/>
                <w:color w:val="auto"/>
                <w:highlight w:val="none"/>
                <w:u w:val="single"/>
              </w:rPr>
              <w:t xml:space="preserve">             </w:t>
            </w:r>
          </w:p>
          <w:p>
            <w:pPr>
              <w:pStyle w:val="23"/>
              <w:snapToGrid w:val="0"/>
              <w:spacing w:line="360" w:lineRule="auto"/>
              <w:rPr>
                <w:rFonts w:hint="eastAsia" w:hAnsi="宋体" w:cs="宋体"/>
                <w:color w:val="auto"/>
                <w:sz w:val="21"/>
                <w:highlight w:val="none"/>
              </w:rPr>
            </w:pPr>
            <w:r>
              <w:rPr>
                <w:rFonts w:hint="eastAsia" w:hAnsi="宋体" w:cs="宋体"/>
                <w:color w:val="auto"/>
                <w:sz w:val="21"/>
                <w:highlight w:val="none"/>
              </w:rPr>
              <w:t>3</w:t>
            </w:r>
            <w:r>
              <w:rPr>
                <w:rFonts w:hAnsi="宋体" w:cs="宋体"/>
                <w:color w:val="auto"/>
                <w:sz w:val="21"/>
                <w:highlight w:val="none"/>
              </w:rPr>
              <w:t>.</w:t>
            </w:r>
            <w:r>
              <w:rPr>
                <w:rFonts w:hint="eastAsia" w:hAnsi="宋体" w:cs="宋体"/>
                <w:color w:val="auto"/>
                <w:sz w:val="21"/>
                <w:highlight w:val="none"/>
              </w:rPr>
              <w:t>开户名称：云之龙咨询集团有限公司贺州分公司</w:t>
            </w:r>
          </w:p>
          <w:p>
            <w:pPr>
              <w:pStyle w:val="23"/>
              <w:snapToGrid w:val="0"/>
              <w:spacing w:line="360" w:lineRule="auto"/>
              <w:rPr>
                <w:rFonts w:hint="eastAsia" w:hAnsi="宋体" w:cs="宋体"/>
                <w:color w:val="auto"/>
                <w:sz w:val="21"/>
                <w:highlight w:val="none"/>
              </w:rPr>
            </w:pPr>
            <w:r>
              <w:rPr>
                <w:rFonts w:hint="eastAsia" w:hAnsi="宋体" w:cs="宋体"/>
                <w:color w:val="auto"/>
                <w:sz w:val="21"/>
                <w:highlight w:val="none"/>
              </w:rPr>
              <w:t>开户银行：8113001014800158356</w:t>
            </w:r>
          </w:p>
          <w:p>
            <w:pPr>
              <w:pStyle w:val="23"/>
              <w:snapToGrid w:val="0"/>
              <w:spacing w:line="360" w:lineRule="auto"/>
              <w:rPr>
                <w:rFonts w:hint="eastAsia" w:hAnsi="宋体" w:cs="宋体"/>
                <w:color w:val="auto"/>
                <w:sz w:val="21"/>
                <w:highlight w:val="none"/>
              </w:rPr>
            </w:pPr>
            <w:r>
              <w:rPr>
                <w:rFonts w:hint="eastAsia" w:hAnsi="宋体" w:cs="宋体"/>
                <w:color w:val="auto"/>
                <w:sz w:val="21"/>
                <w:highlight w:val="none"/>
              </w:rPr>
              <w:t xml:space="preserve">银行账号：中信银行南宁东葛支行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ascii="宋体" w:hAnsi="宋体"/>
                <w:color w:val="auto"/>
                <w:szCs w:val="21"/>
                <w:highlight w:val="none"/>
              </w:rPr>
              <w:t>40.1</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解释：</w:t>
            </w:r>
            <w:r>
              <w:rPr>
                <w:rFonts w:ascii="宋体" w:hAnsi="宋体"/>
                <w:color w:val="auto"/>
                <w:szCs w:val="21"/>
                <w:highlight w:val="none"/>
              </w:rPr>
              <w:t>构成本招标文件的各个组成文件应互为解释，互为说明；除招标文件中有特别规定外，仅适用于招标投标阶段的规定，按</w:t>
            </w:r>
            <w:r>
              <w:rPr>
                <w:rFonts w:hint="eastAsia" w:ascii="宋体" w:hAnsi="宋体"/>
                <w:color w:val="auto"/>
                <w:szCs w:val="21"/>
                <w:highlight w:val="none"/>
              </w:rPr>
              <w:t>更正公告（澄清公告）</w:t>
            </w:r>
            <w:r>
              <w:rPr>
                <w:rFonts w:ascii="宋体" w:hAnsi="宋体"/>
                <w:color w:val="auto"/>
                <w:szCs w:val="21"/>
                <w:highlight w:val="none"/>
              </w:rPr>
              <w:t>、招标公告、</w:t>
            </w:r>
            <w:r>
              <w:rPr>
                <w:rFonts w:hint="eastAsia" w:ascii="宋体" w:hAnsi="宋体"/>
                <w:color w:val="auto"/>
                <w:szCs w:val="21"/>
                <w:highlight w:val="none"/>
              </w:rPr>
              <w:t>采购需求、</w:t>
            </w:r>
            <w:r>
              <w:rPr>
                <w:rFonts w:ascii="宋体" w:hAnsi="宋体"/>
                <w:color w:val="auto"/>
                <w:szCs w:val="21"/>
                <w:highlight w:val="none"/>
              </w:rPr>
              <w:t>投标人须知、</w:t>
            </w:r>
            <w:r>
              <w:rPr>
                <w:rFonts w:hint="eastAsia" w:ascii="宋体" w:hAnsi="宋体"/>
                <w:color w:val="auto"/>
                <w:szCs w:val="21"/>
                <w:highlight w:val="none"/>
              </w:rPr>
              <w:t>评标方法及评标标准</w:t>
            </w:r>
            <w:r>
              <w:rPr>
                <w:rFonts w:ascii="宋体" w:hAnsi="宋体"/>
                <w:color w:val="auto"/>
                <w:szCs w:val="21"/>
                <w:highlight w:val="none"/>
              </w:rPr>
              <w:t>、</w:t>
            </w:r>
            <w:r>
              <w:rPr>
                <w:rFonts w:hint="eastAsia" w:ascii="宋体" w:hAnsi="宋体"/>
                <w:color w:val="auto"/>
                <w:szCs w:val="21"/>
                <w:highlight w:val="none"/>
              </w:rPr>
              <w:t>拟签订的合同文本、</w:t>
            </w:r>
            <w:r>
              <w:rPr>
                <w:rFonts w:ascii="宋体" w:hAnsi="宋体"/>
                <w:color w:val="auto"/>
                <w:szCs w:val="21"/>
                <w:highlight w:val="none"/>
              </w:rPr>
              <w:t>投标文件格式的先后顺序解释；同一组成文件中就同一事项的规定或者约定不一致的，以编排顺序在后者为准；同一组成文件不同版本之间有不一致的，以形成时间在后者为准；</w:t>
            </w:r>
            <w:r>
              <w:rPr>
                <w:rFonts w:hint="eastAsia" w:ascii="宋体" w:hAnsi="宋体"/>
                <w:color w:val="auto"/>
                <w:szCs w:val="21"/>
                <w:highlight w:val="none"/>
              </w:rPr>
              <w:t>更正公告（澄清公告）</w:t>
            </w:r>
            <w:r>
              <w:rPr>
                <w:rFonts w:ascii="宋体" w:hAnsi="宋体"/>
                <w:color w:val="auto"/>
                <w:szCs w:val="21"/>
                <w:highlight w:val="none"/>
              </w:rPr>
              <w:t>与同步更新的招标文件不一致时以</w:t>
            </w:r>
            <w:r>
              <w:rPr>
                <w:rFonts w:hint="eastAsia" w:ascii="宋体" w:hAnsi="宋体"/>
                <w:color w:val="auto"/>
                <w:szCs w:val="21"/>
                <w:highlight w:val="none"/>
              </w:rPr>
              <w:t>更正公告（澄清公告）</w:t>
            </w:r>
            <w:r>
              <w:rPr>
                <w:rFonts w:ascii="宋体" w:hAnsi="宋体"/>
                <w:color w:val="auto"/>
                <w:szCs w:val="21"/>
                <w:highlight w:val="none"/>
              </w:rPr>
              <w:t>为准。按本款前述规定仍不能形成结论的，由</w:t>
            </w:r>
            <w:r>
              <w:rPr>
                <w:rFonts w:hint="eastAsia" w:ascii="宋体" w:hAnsi="宋体"/>
                <w:color w:val="auto"/>
                <w:szCs w:val="21"/>
                <w:highlight w:val="none"/>
              </w:rPr>
              <w:t>采购</w:t>
            </w:r>
            <w:r>
              <w:rPr>
                <w:rFonts w:ascii="宋体" w:hAnsi="宋体"/>
                <w:color w:val="auto"/>
                <w:szCs w:val="21"/>
                <w:highlight w:val="none"/>
              </w:rPr>
              <w:t>人</w:t>
            </w:r>
            <w:r>
              <w:rPr>
                <w:rFonts w:hint="eastAsia" w:ascii="宋体" w:hAnsi="宋体"/>
                <w:color w:val="auto"/>
                <w:szCs w:val="21"/>
                <w:highlight w:val="none"/>
              </w:rPr>
              <w:t>或者采购代理机构</w:t>
            </w:r>
            <w:r>
              <w:rPr>
                <w:rFonts w:ascii="宋体" w:hAnsi="宋体"/>
                <w:color w:val="auto"/>
                <w:szCs w:val="21"/>
                <w:highlight w:val="none"/>
              </w:rPr>
              <w:t>负责解释。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978"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olor w:val="auto"/>
                <w:szCs w:val="21"/>
                <w:highlight w:val="none"/>
              </w:rPr>
            </w:pPr>
            <w:r>
              <w:rPr>
                <w:rFonts w:ascii="宋体" w:hAnsi="宋体"/>
                <w:color w:val="auto"/>
                <w:szCs w:val="21"/>
                <w:highlight w:val="none"/>
              </w:rPr>
              <w:t>40.2</w:t>
            </w:r>
          </w:p>
        </w:tc>
        <w:tc>
          <w:tcPr>
            <w:tcW w:w="8175" w:type="dxa"/>
            <w:tcBorders>
              <w:top w:val="single" w:color="auto" w:sz="4" w:space="0"/>
              <w:left w:val="single" w:color="auto" w:sz="4" w:space="0"/>
              <w:bottom w:val="single" w:color="auto" w:sz="4" w:space="0"/>
              <w:right w:val="single" w:color="auto" w:sz="4" w:space="0"/>
            </w:tcBorders>
            <w:noWrap w:val="0"/>
            <w:vAlign w:val="center"/>
          </w:tcPr>
          <w:p>
            <w:pPr>
              <w:pStyle w:val="23"/>
              <w:snapToGrid w:val="0"/>
              <w:spacing w:line="360" w:lineRule="auto"/>
              <w:rPr>
                <w:rFonts w:hint="eastAsia" w:hAnsi="宋体" w:cs="宋体"/>
                <w:bCs/>
                <w:color w:val="auto"/>
                <w:sz w:val="21"/>
                <w:highlight w:val="none"/>
              </w:rPr>
            </w:pPr>
            <w:r>
              <w:rPr>
                <w:rFonts w:hint="eastAsia" w:hAnsi="宋体" w:cs="宋体"/>
                <w:bCs/>
                <w:color w:val="auto"/>
                <w:sz w:val="21"/>
                <w:highlight w:val="none"/>
              </w:rPr>
              <w:t>1.本招标文件中描述投标人的“公章”是指根据我国对公章的管理规定，用投标人法定主体行为名称制作的印章，除本招标文件有特殊规定外，投标人的财务章、部门章、分公司章、工会章、合同章、投标专用章、业务专用章及银行的转账章、现金收讫章、现金付讫章等其他形式印章均不能代替公章。</w:t>
            </w:r>
          </w:p>
          <w:p>
            <w:pPr>
              <w:pStyle w:val="23"/>
              <w:snapToGrid w:val="0"/>
              <w:spacing w:line="360" w:lineRule="auto"/>
              <w:rPr>
                <w:rFonts w:hint="eastAsia" w:hAnsi="宋体" w:cs="宋体"/>
                <w:bCs/>
                <w:color w:val="auto"/>
                <w:sz w:val="21"/>
                <w:highlight w:val="none"/>
              </w:rPr>
            </w:pPr>
            <w:r>
              <w:rPr>
                <w:rFonts w:hint="eastAsia" w:hAnsi="宋体" w:cs="宋体"/>
                <w:bCs/>
                <w:color w:val="auto"/>
                <w:sz w:val="21"/>
                <w:highlight w:val="none"/>
              </w:rPr>
              <w:t>2.本招标文件所称的“</w:t>
            </w:r>
            <w:r>
              <w:rPr>
                <w:rFonts w:hint="eastAsia" w:hAnsi="宋体"/>
                <w:color w:val="auto"/>
                <w:sz w:val="21"/>
                <w:highlight w:val="none"/>
              </w:rPr>
              <w:t>电子签章</w:t>
            </w:r>
            <w:r>
              <w:rPr>
                <w:rFonts w:hint="eastAsia" w:hAnsi="宋体" w:cs="宋体"/>
                <w:bCs/>
                <w:color w:val="auto"/>
                <w:sz w:val="21"/>
                <w:highlight w:val="none"/>
              </w:rPr>
              <w:t>”、“电子签名”</w:t>
            </w:r>
            <w:r>
              <w:rPr>
                <w:rFonts w:hint="eastAsia" w:hAnsi="宋体"/>
                <w:color w:val="auto"/>
                <w:sz w:val="21"/>
                <w:highlight w:val="none"/>
              </w:rPr>
              <w:t>，是指经“政采云”平台认可的CA认证的电子签名数据为表现形式的印章，可用于签署电子投标文件，电子印章与实物印章具有同等法律效力，不因其采用电子化表现形式而否定其法律效力。</w:t>
            </w:r>
          </w:p>
          <w:p>
            <w:pPr>
              <w:pStyle w:val="23"/>
              <w:snapToGrid w:val="0"/>
              <w:spacing w:line="360" w:lineRule="auto"/>
              <w:rPr>
                <w:rFonts w:hint="eastAsia" w:hAnsi="宋体" w:cs="宋体"/>
                <w:bCs/>
                <w:color w:val="auto"/>
                <w:sz w:val="21"/>
                <w:highlight w:val="none"/>
              </w:rPr>
            </w:pPr>
            <w:r>
              <w:rPr>
                <w:rFonts w:hint="eastAsia" w:hAnsi="宋体" w:cs="宋体"/>
                <w:bCs/>
                <w:color w:val="auto"/>
                <w:sz w:val="21"/>
                <w:highlight w:val="none"/>
              </w:rPr>
              <w:t>3.投标人为其他组织或者自然人时，本招标文件规定的法定代表人指负责人或者自然人。本招标文件所称负责人是指参加投标的其他组织营业执照或者执业许可证等证照上的负责人，本招标文件所称自然人指参与投标的自然人本人，且应具备独立承担民事责任能力，自然人应当为年满18岁以上成年人（十六周岁以上的未成年人，以自己的劳动收入为主要生活来源的，视为完全民事行为能力人）。</w:t>
            </w:r>
          </w:p>
          <w:p>
            <w:pPr>
              <w:pStyle w:val="23"/>
              <w:snapToGrid w:val="0"/>
              <w:spacing w:line="360" w:lineRule="auto"/>
              <w:rPr>
                <w:rFonts w:hint="eastAsia" w:hAnsi="宋体" w:cs="宋体"/>
                <w:bCs/>
                <w:color w:val="auto"/>
                <w:sz w:val="21"/>
                <w:highlight w:val="none"/>
              </w:rPr>
            </w:pPr>
            <w:r>
              <w:rPr>
                <w:rFonts w:hint="eastAsia" w:hAnsi="宋体" w:cs="宋体"/>
                <w:bCs/>
                <w:color w:val="auto"/>
                <w:sz w:val="21"/>
                <w:highlight w:val="none"/>
              </w:rPr>
              <w:t>4.本招标文件中描述投标人的“签字”是指投标人的法定代表人或者委托代理人亲自在文件规定签字处亲笔写上个人的名字的行为，私章、签字章、印鉴、影印等其他形式均不能代替亲笔签字。</w:t>
            </w:r>
          </w:p>
          <w:p>
            <w:pPr>
              <w:spacing w:line="360" w:lineRule="auto"/>
              <w:jc w:val="left"/>
              <w:rPr>
                <w:rFonts w:hint="eastAsia" w:ascii="宋体" w:hAnsi="宋体"/>
                <w:color w:val="auto"/>
                <w:szCs w:val="21"/>
                <w:highlight w:val="none"/>
              </w:rPr>
            </w:pPr>
            <w:r>
              <w:rPr>
                <w:rFonts w:hint="eastAsia" w:hAnsi="宋体" w:cs="宋体"/>
                <w:bCs/>
                <w:color w:val="auto"/>
                <w:highlight w:val="none"/>
              </w:rPr>
              <w:t>5.</w:t>
            </w:r>
            <w:r>
              <w:rPr>
                <w:rFonts w:hint="eastAsia" w:ascii="宋体" w:hAnsi="宋体" w:cs="宋体"/>
                <w:bCs/>
                <w:color w:val="auto"/>
                <w:kern w:val="0"/>
                <w:szCs w:val="21"/>
                <w:highlight w:val="none"/>
              </w:rPr>
              <w:t>本招标文件所称的“以上”“以下”“以内”“届满”，包括本数；所称的“不满”“超过”“以外”，不包括本数。</w:t>
            </w:r>
          </w:p>
        </w:tc>
      </w:tr>
    </w:tbl>
    <w:p>
      <w:pPr>
        <w:snapToGrid w:val="0"/>
        <w:rPr>
          <w:rFonts w:hint="eastAsia" w:ascii="宋体" w:hAnsi="宋体"/>
          <w:color w:val="auto"/>
          <w:sz w:val="24"/>
          <w:szCs w:val="20"/>
          <w:highlight w:val="none"/>
        </w:rPr>
      </w:pPr>
    </w:p>
    <w:p>
      <w:pPr>
        <w:pStyle w:val="4"/>
        <w:keepNext w:val="0"/>
        <w:keepLines w:val="0"/>
        <w:jc w:val="center"/>
        <w:rPr>
          <w:rFonts w:hint="eastAsia"/>
          <w:color w:val="auto"/>
          <w:highlight w:val="none"/>
        </w:rPr>
      </w:pPr>
      <w:r>
        <w:rPr>
          <w:color w:val="auto"/>
          <w:highlight w:val="none"/>
        </w:rPr>
        <w:br w:type="page"/>
      </w:r>
      <w:r>
        <w:rPr>
          <w:rFonts w:hint="eastAsia"/>
          <w:color w:val="auto"/>
          <w:highlight w:val="none"/>
        </w:rPr>
        <w:t>投标人须知正文</w:t>
      </w:r>
    </w:p>
    <w:p>
      <w:pPr>
        <w:pStyle w:val="4"/>
        <w:keepNext w:val="0"/>
        <w:keepLines w:val="0"/>
        <w:jc w:val="center"/>
        <w:rPr>
          <w:rFonts w:hint="eastAsia"/>
          <w:color w:val="auto"/>
          <w:highlight w:val="none"/>
        </w:rPr>
      </w:pPr>
      <w:r>
        <w:rPr>
          <w:rFonts w:hint="eastAsia"/>
          <w:color w:val="auto"/>
          <w:highlight w:val="none"/>
        </w:rPr>
        <w:t>一、总  则</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74" w:name="_Toc254970527"/>
      <w:bookmarkStart w:id="75" w:name="_Toc254970668"/>
      <w:r>
        <w:rPr>
          <w:rFonts w:hint="eastAsia" w:ascii="黑体" w:hAnsi="黑体" w:eastAsia="黑体"/>
          <w:color w:val="auto"/>
          <w:sz w:val="24"/>
          <w:highlight w:val="none"/>
        </w:rPr>
        <w:t>1.适用范围</w:t>
      </w:r>
      <w:bookmarkEnd w:id="74"/>
      <w:bookmarkEnd w:id="75"/>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1.1适用法律：本项目采购人、采购代理机构、投标人、评标委员会的相关行为均受《中华人民共和国政府采购法》《中华人民共和国政府采购法实施条例》《政府采购货物和服务招标投标管理办法》及本项目本级和上级财政部门政府采购有关规定的约束和保护。</w:t>
      </w:r>
    </w:p>
    <w:p>
      <w:pPr>
        <w:snapToGrid w:val="0"/>
        <w:spacing w:line="360" w:lineRule="auto"/>
        <w:ind w:firstLine="420" w:firstLineChars="200"/>
        <w:jc w:val="left"/>
        <w:rPr>
          <w:rFonts w:ascii="宋体" w:hAnsi="宋体" w:cs="宋体"/>
          <w:color w:val="auto"/>
          <w:spacing w:val="-6"/>
          <w:szCs w:val="21"/>
          <w:highlight w:val="none"/>
        </w:rPr>
      </w:pPr>
      <w:r>
        <w:rPr>
          <w:rFonts w:hint="eastAsia" w:ascii="宋体" w:hAnsi="宋体"/>
          <w:color w:val="auto"/>
          <w:szCs w:val="21"/>
          <w:highlight w:val="none"/>
        </w:rPr>
        <w:t>1.2本招标文件</w:t>
      </w:r>
      <w:r>
        <w:rPr>
          <w:rFonts w:hint="eastAsia" w:ascii="宋体" w:hAnsi="宋体" w:cs="宋体"/>
          <w:color w:val="auto"/>
          <w:spacing w:val="-6"/>
          <w:szCs w:val="21"/>
          <w:highlight w:val="none"/>
        </w:rPr>
        <w:t>适用于本项目的所有采购程序和环节（法律、法规另有规定的，从其规定）。</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76" w:name="_Toc254970528"/>
      <w:bookmarkStart w:id="77" w:name="_Toc254970669"/>
      <w:r>
        <w:rPr>
          <w:rFonts w:hint="eastAsia" w:ascii="黑体" w:hAnsi="黑体" w:eastAsia="黑体"/>
          <w:color w:val="auto"/>
          <w:sz w:val="24"/>
          <w:highlight w:val="none"/>
        </w:rPr>
        <w:t>2.定义</w:t>
      </w:r>
      <w:bookmarkEnd w:id="76"/>
      <w:bookmarkEnd w:id="77"/>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2.1“采购人”是指依法进行政府采购的国家机关、事业单位、团体组织。</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2.2“采购代理机构”是指政府采购集中采购机构和集中采购机构以外的采购代理机构。</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2.3“供应商”是指向采购人提供货物、工程或者服务的法人、其他组织或者自然人。</w:t>
      </w:r>
    </w:p>
    <w:p>
      <w:pPr>
        <w:pStyle w:val="8"/>
        <w:spacing w:line="360" w:lineRule="auto"/>
        <w:rPr>
          <w:rFonts w:hint="eastAsia" w:ascii="宋体" w:hAnsi="宋体"/>
          <w:color w:val="auto"/>
          <w:szCs w:val="21"/>
          <w:highlight w:val="none"/>
        </w:rPr>
      </w:pPr>
      <w:r>
        <w:rPr>
          <w:rFonts w:hint="eastAsia" w:ascii="宋体" w:hAnsi="宋体"/>
          <w:color w:val="auto"/>
          <w:szCs w:val="21"/>
          <w:highlight w:val="none"/>
        </w:rPr>
        <w:t>2.4“投标人”是指响应招标、参加投标竞争的法人、其他组织或者自然人。</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2.5“货物”是指各种形态和种类的物品，包括原材料、燃料、设备、产品等。</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2.6“售后服务” 是指商品出售以后所提供的各种服务，包含但不限于投标人须承担的备品备件、包装、运输、装卸、保险、货到就位以及安装、调试、培训、质保以及其他各种服务。</w:t>
      </w:r>
    </w:p>
    <w:p>
      <w:pPr>
        <w:pStyle w:val="6"/>
        <w:keepNext w:val="0"/>
        <w:keepLines w:val="0"/>
        <w:spacing w:before="0" w:after="0" w:line="360" w:lineRule="auto"/>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2.7“书面形式”是指合同书、信件和数据电文（包括电报、电传、传真、电子数据交换和电子邮件）等可以有形地表现所载内容的形式。</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2.8“实质性要求”是指招标文件中已经指明不满足则投标无效的条款，或者不能负偏离的条款，或者采购需求中带“▲”的条款。</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 xml:space="preserve">2.9 </w:t>
      </w:r>
      <w:r>
        <w:rPr>
          <w:rFonts w:hint="eastAsia" w:ascii="宋体" w:hAnsi="宋体" w:cs="宋体"/>
          <w:color w:val="auto"/>
          <w:szCs w:val="21"/>
          <w:highlight w:val="none"/>
        </w:rPr>
        <w:t>“正偏离”，是指投标文件对招标文件“采购需求”中有关条款作出的响应优于条款要求并有利于采购人的情形。</w:t>
      </w:r>
    </w:p>
    <w:p>
      <w:pPr>
        <w:snapToGrid w:val="0"/>
        <w:spacing w:line="360" w:lineRule="auto"/>
        <w:ind w:firstLine="420" w:firstLineChars="200"/>
        <w:jc w:val="left"/>
        <w:rPr>
          <w:rFonts w:ascii="宋体" w:hAnsi="宋体" w:cs="宋体"/>
          <w:color w:val="auto"/>
          <w:szCs w:val="21"/>
          <w:highlight w:val="none"/>
        </w:rPr>
      </w:pPr>
      <w:r>
        <w:rPr>
          <w:rFonts w:ascii="宋体" w:hAnsi="宋体" w:cs="宋体"/>
          <w:color w:val="auto"/>
          <w:szCs w:val="21"/>
          <w:highlight w:val="none"/>
        </w:rPr>
        <w:t>2.10</w:t>
      </w:r>
      <w:r>
        <w:rPr>
          <w:rFonts w:hint="eastAsia" w:ascii="宋体" w:hAnsi="宋体" w:cs="宋体"/>
          <w:color w:val="auto"/>
          <w:szCs w:val="21"/>
          <w:highlight w:val="none"/>
        </w:rPr>
        <w:t>“负偏离”，是指投标文件对招标文件“采购需求”中有关条款作出的响应不满足条款要求，导致采购人要求不能得到满足的情形。</w:t>
      </w:r>
    </w:p>
    <w:p>
      <w:pPr>
        <w:snapToGrid w:val="0"/>
        <w:spacing w:line="360" w:lineRule="auto"/>
        <w:ind w:firstLine="420" w:firstLineChars="200"/>
        <w:jc w:val="left"/>
        <w:rPr>
          <w:rFonts w:ascii="宋体" w:hAnsi="宋体" w:cs="宋体"/>
          <w:color w:val="auto"/>
          <w:szCs w:val="21"/>
          <w:highlight w:val="none"/>
        </w:rPr>
      </w:pPr>
      <w:r>
        <w:rPr>
          <w:rFonts w:hint="eastAsia" w:ascii="宋体" w:hAnsi="宋体"/>
          <w:color w:val="auto"/>
          <w:szCs w:val="21"/>
          <w:highlight w:val="none"/>
        </w:rPr>
        <w:t>2.1</w:t>
      </w:r>
      <w:r>
        <w:rPr>
          <w:rFonts w:ascii="宋体" w:hAnsi="宋体"/>
          <w:color w:val="auto"/>
          <w:szCs w:val="21"/>
          <w:highlight w:val="none"/>
        </w:rPr>
        <w:t>1</w:t>
      </w:r>
      <w:r>
        <w:rPr>
          <w:rFonts w:hint="eastAsia" w:ascii="宋体" w:hAnsi="宋体" w:cs="宋体"/>
          <w:color w:val="auto"/>
          <w:szCs w:val="21"/>
          <w:highlight w:val="none"/>
        </w:rPr>
        <w:t>“允许负偏离的条款”是指采购需求中的不属于“实质性要求”的条款。</w:t>
      </w:r>
      <w:bookmarkStart w:id="78" w:name="_Toc254970670"/>
      <w:bookmarkStart w:id="79" w:name="_Toc254970529"/>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w:t>
      </w:r>
      <w:bookmarkEnd w:id="78"/>
      <w:bookmarkEnd w:id="79"/>
      <w:r>
        <w:rPr>
          <w:rFonts w:hint="eastAsia" w:ascii="黑体" w:hAnsi="黑体" w:eastAsia="黑体"/>
          <w:color w:val="auto"/>
          <w:sz w:val="24"/>
          <w:highlight w:val="none"/>
        </w:rPr>
        <w:t>投标人的资格要求</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投标人的资格要求详见“投标人须知前附表”。</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80" w:name="_Toc254970530"/>
      <w:bookmarkStart w:id="81" w:name="_Toc254970671"/>
      <w:r>
        <w:rPr>
          <w:rFonts w:hint="eastAsia" w:ascii="黑体" w:hAnsi="黑体" w:eastAsia="黑体"/>
          <w:color w:val="auto"/>
          <w:sz w:val="24"/>
          <w:highlight w:val="none"/>
        </w:rPr>
        <w:t>4.投标委托</w:t>
      </w:r>
      <w:bookmarkEnd w:id="80"/>
      <w:bookmarkEnd w:id="81"/>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投标人代表参加投标活动过程中必须携带个人有效身份证件。如投标人代表不是法定代表人，须持有授权委托书（按第六章要求格式填写）。</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82" w:name="_5.投标费用"/>
      <w:bookmarkEnd w:id="82"/>
      <w:bookmarkStart w:id="83" w:name="_Toc254970531"/>
      <w:bookmarkStart w:id="84" w:name="_Toc254970672"/>
      <w:r>
        <w:rPr>
          <w:rFonts w:hint="eastAsia" w:ascii="黑体" w:hAnsi="黑体" w:eastAsia="黑体"/>
          <w:color w:val="auto"/>
          <w:sz w:val="24"/>
          <w:highlight w:val="none"/>
        </w:rPr>
        <w:t>5.投标费用</w:t>
      </w:r>
      <w:bookmarkEnd w:id="83"/>
      <w:bookmarkEnd w:id="84"/>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s="宋体"/>
          <w:color w:val="auto"/>
          <w:szCs w:val="21"/>
          <w:highlight w:val="none"/>
        </w:rPr>
        <w:t>投标费用：投标人应承担参与本次采购活动有关的所有费用，包括但不限于获取招标文件、勘查现场、编制和提交投标文件、参加澄清说明、签订合同等，不论投标结果如何，均应自行承担。</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6.联合体投标</w:t>
      </w:r>
    </w:p>
    <w:p>
      <w:pPr>
        <w:snapToGrid w:val="0"/>
        <w:spacing w:line="360" w:lineRule="auto"/>
        <w:ind w:firstLine="420" w:firstLineChars="200"/>
        <w:jc w:val="left"/>
        <w:rPr>
          <w:rFonts w:ascii="宋体" w:hAnsi="宋体"/>
          <w:color w:val="auto"/>
          <w:szCs w:val="21"/>
          <w:highlight w:val="none"/>
        </w:rPr>
      </w:pPr>
      <w:r>
        <w:rPr>
          <w:rFonts w:hint="eastAsia" w:ascii="宋体" w:hAnsi="宋体"/>
          <w:color w:val="auto"/>
          <w:szCs w:val="21"/>
          <w:highlight w:val="none"/>
        </w:rPr>
        <w:t>6.1本项目是否接受联合体投标，详见“投标人须知前附表”。</w:t>
      </w:r>
    </w:p>
    <w:p>
      <w:pPr>
        <w:snapToGrid w:val="0"/>
        <w:spacing w:line="360" w:lineRule="auto"/>
        <w:ind w:firstLine="420" w:firstLineChars="200"/>
        <w:jc w:val="left"/>
        <w:rPr>
          <w:rFonts w:ascii="宋体" w:hAnsi="宋体"/>
          <w:bCs/>
          <w:color w:val="auto"/>
          <w:szCs w:val="21"/>
          <w:highlight w:val="none"/>
        </w:rPr>
      </w:pPr>
      <w:r>
        <w:rPr>
          <w:rFonts w:hint="eastAsia" w:ascii="宋体" w:hAnsi="宋体"/>
          <w:bCs/>
          <w:color w:val="auto"/>
          <w:szCs w:val="21"/>
          <w:highlight w:val="none"/>
        </w:rPr>
        <w:t>6.2如接受联合体投标，联合体投标要求详见“投标人须知前附表”。</w:t>
      </w:r>
    </w:p>
    <w:p>
      <w:pPr>
        <w:pStyle w:val="6"/>
        <w:keepNext w:val="0"/>
        <w:keepLines w:val="0"/>
        <w:spacing w:before="0" w:after="0" w:line="360" w:lineRule="auto"/>
        <w:ind w:firstLine="424" w:firstLineChars="202"/>
        <w:rPr>
          <w:rFonts w:hint="eastAsia" w:ascii="黑体" w:hAnsi="黑体" w:eastAsia="黑体"/>
          <w:color w:val="auto"/>
          <w:sz w:val="24"/>
          <w:highlight w:val="none"/>
        </w:rPr>
      </w:pPr>
      <w:r>
        <w:rPr>
          <w:rFonts w:hint="eastAsia" w:ascii="宋体" w:hAnsi="宋体"/>
          <w:b w:val="0"/>
          <w:bCs/>
          <w:color w:val="auto"/>
          <w:sz w:val="21"/>
          <w:szCs w:val="21"/>
          <w:highlight w:val="none"/>
        </w:rPr>
        <w:t>6.3</w:t>
      </w:r>
      <w:r>
        <w:rPr>
          <w:rFonts w:hint="eastAsia" w:ascii="宋体" w:hAnsi="宋体"/>
          <w:b w:val="0"/>
          <w:bCs/>
          <w:color w:val="auto"/>
          <w:sz w:val="21"/>
          <w:szCs w:val="21"/>
          <w:highlight w:val="none"/>
          <w:lang w:val="en-US"/>
        </w:rPr>
        <w:t>根据《政府采购促进中小企业发展管理办法》（财库〔2020〕46号）及《广西壮族自治区财政厅关于贯彻落实政府采购支持中小企业发展政策的通知》（桂财采〔2022〕31号）的规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4%-6%的扣除，用扣除后的价格参加评审。</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 xml:space="preserve">7.转包与分包             </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7.1本项目不允许转包。</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7.2本项目是否允许分包详见“投标人须知前附表”，本项目不允许违法分包。允许分包的非主体、非关键性工作，根据法律法规规定承担该工作需要行政许可的，如该工作由投标人自行承担，投标人应具备相应的行政许可，如投标人不具备相应的行政许可必须采用分包的方式，但分包投标人应具备相应行政许可。</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7.3投标人根据招标文件的规定和采购项目的实际情况，拟在中标后将中标项目的非主体、非关键性工作分包的，应当在投标文件中载明分包承担主体，分包承担主体应当具备相应资质条件且不得再次分包。</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85" w:name="_Toc254970532"/>
      <w:bookmarkStart w:id="86" w:name="_Toc254970673"/>
      <w:r>
        <w:rPr>
          <w:rFonts w:hint="eastAsia" w:ascii="黑体" w:hAnsi="黑体" w:eastAsia="黑体"/>
          <w:color w:val="auto"/>
          <w:sz w:val="24"/>
          <w:highlight w:val="none"/>
        </w:rPr>
        <w:t>8.特别说明</w:t>
      </w:r>
      <w:bookmarkEnd w:id="85"/>
      <w:bookmarkEnd w:id="86"/>
    </w:p>
    <w:p>
      <w:pPr>
        <w:pStyle w:val="6"/>
        <w:keepNext w:val="0"/>
        <w:keepLines w:val="0"/>
        <w:spacing w:before="0" w:after="0" w:line="360" w:lineRule="auto"/>
        <w:ind w:firstLine="420" w:firstLineChars="200"/>
        <w:rPr>
          <w:rFonts w:hint="eastAsia" w:ascii="宋体" w:hAnsi="宋体"/>
          <w:b w:val="0"/>
          <w:color w:val="auto"/>
          <w:sz w:val="21"/>
          <w:szCs w:val="21"/>
          <w:highlight w:val="none"/>
        </w:rPr>
      </w:pPr>
      <w:bookmarkStart w:id="87" w:name="_8.1提供相同品牌产品且通过资格审查、符合性审查的不同投标人参加同一合"/>
      <w:bookmarkEnd w:id="87"/>
      <w:r>
        <w:rPr>
          <w:rFonts w:ascii="宋体" w:hAnsi="宋体"/>
          <w:b w:val="0"/>
          <w:color w:val="auto"/>
          <w:sz w:val="21"/>
          <w:szCs w:val="21"/>
          <w:highlight w:val="none"/>
        </w:rPr>
        <w:fldChar w:fldCharType="begin"/>
      </w:r>
      <w:r>
        <w:rPr>
          <w:rFonts w:ascii="宋体" w:hAnsi="宋体"/>
          <w:b w:val="0"/>
          <w:color w:val="auto"/>
          <w:sz w:val="21"/>
          <w:szCs w:val="21"/>
          <w:highlight w:val="none"/>
        </w:rPr>
        <w:instrText xml:space="preserve"> HYPERLINK  \l "_8.1" </w:instrText>
      </w:r>
      <w:r>
        <w:rPr>
          <w:rFonts w:ascii="宋体" w:hAnsi="宋体"/>
          <w:b w:val="0"/>
          <w:color w:val="auto"/>
          <w:sz w:val="21"/>
          <w:szCs w:val="21"/>
          <w:highlight w:val="none"/>
        </w:rPr>
        <w:fldChar w:fldCharType="separate"/>
      </w:r>
      <w:r>
        <w:rPr>
          <w:rFonts w:hint="eastAsia" w:ascii="宋体" w:hAnsi="宋体"/>
          <w:b w:val="0"/>
          <w:color w:val="auto"/>
          <w:sz w:val="21"/>
          <w:szCs w:val="21"/>
          <w:highlight w:val="none"/>
        </w:rPr>
        <w:t>8.1</w:t>
      </w:r>
      <w:r>
        <w:rPr>
          <w:rFonts w:ascii="宋体" w:hAnsi="宋体"/>
          <w:b w:val="0"/>
          <w:color w:val="auto"/>
          <w:sz w:val="21"/>
          <w:szCs w:val="21"/>
          <w:highlight w:val="none"/>
        </w:rPr>
        <w:fldChar w:fldCharType="end"/>
      </w:r>
      <w:r>
        <w:rPr>
          <w:rFonts w:hint="eastAsia" w:ascii="宋体" w:hAnsi="宋体"/>
          <w:b w:val="0"/>
          <w:color w:val="auto"/>
          <w:sz w:val="21"/>
          <w:szCs w:val="21"/>
          <w:highlight w:val="none"/>
        </w:rPr>
        <w:t>采用最低评标价法的采购项目，提供相同品牌产品的不同投标人参加同一合同项下投标的，以其中通过资格审查、符合性审查且报价最低的参加评标；报价相同的，由采购人或者采购人委托评标委员会按照“投标人须知前附表”规定的方式确定一个参加评标的投标人，</w:t>
      </w:r>
      <w:r>
        <w:rPr>
          <w:rFonts w:hint="eastAsia" w:ascii="宋体" w:hAnsi="宋体"/>
          <w:color w:val="auto"/>
          <w:sz w:val="22"/>
          <w:szCs w:val="22"/>
          <w:highlight w:val="none"/>
        </w:rPr>
        <w:t>其他投标无效。</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投标人须知前附表”规定的方式确定一个投标人获得中标人推荐资格，其他同品牌投标人不作为中标候选人。</w:t>
      </w:r>
    </w:p>
    <w:p>
      <w:pPr>
        <w:pStyle w:val="2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非单一产品采购项目，多家投标人提供的核心产品品牌相同的，</w:t>
      </w:r>
      <w:r>
        <w:rPr>
          <w:rFonts w:hint="eastAsia" w:hAnsi="宋体"/>
          <w:color w:val="auto"/>
          <w:sz w:val="22"/>
          <w:szCs w:val="22"/>
          <w:highlight w:val="none"/>
        </w:rPr>
        <w:t>按前两款规定处理</w:t>
      </w:r>
      <w:r>
        <w:rPr>
          <w:rFonts w:hint="eastAsia" w:hAnsi="宋体"/>
          <w:color w:val="auto"/>
          <w:kern w:val="2"/>
          <w:sz w:val="21"/>
          <w:highlight w:val="none"/>
        </w:rPr>
        <w:t>。</w:t>
      </w:r>
    </w:p>
    <w:p>
      <w:pPr>
        <w:pStyle w:val="6"/>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8.2如果本招标文件要求提供投标人或制造商的资格、信誉、荣誉、业绩与企业认证等材料的，资格、信誉、荣誉、业绩与企业认证等必须为投标人或者制造商所拥有或自身获得 。</w:t>
      </w:r>
    </w:p>
    <w:p>
      <w:pPr>
        <w:pStyle w:val="6"/>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8.3投标人应仔细阅读招标文件的所有内容，按照招标文件的要求提交投标文件，并对所提供的全部资料的真实性承担法律责任。</w:t>
      </w:r>
    </w:p>
    <w:p>
      <w:pPr>
        <w:pStyle w:val="6"/>
        <w:keepNext w:val="0"/>
        <w:keepLines w:val="0"/>
        <w:spacing w:before="0" w:after="0" w:line="360" w:lineRule="auto"/>
        <w:ind w:firstLine="367" w:firstLineChars="175"/>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8.4投标人在投标活动中提供任何虚假材料，将报监管部门查处；中标后发现的，中标人须依照《中华人民共和国消费者权益保护法》规定赔偿采购人，且民事赔偿并不免除违法投标人的行政与刑事责任。</w:t>
      </w:r>
    </w:p>
    <w:p>
      <w:pPr>
        <w:pStyle w:val="6"/>
        <w:keepNext w:val="0"/>
        <w:keepLines w:val="0"/>
        <w:spacing w:before="0" w:after="0" w:line="360" w:lineRule="auto"/>
        <w:ind w:left="420" w:leftChars="200"/>
        <w:rPr>
          <w:rFonts w:ascii="黑体" w:hAnsi="黑体" w:eastAsia="黑体"/>
          <w:color w:val="auto"/>
          <w:sz w:val="24"/>
          <w:highlight w:val="none"/>
        </w:rPr>
      </w:pPr>
      <w:r>
        <w:rPr>
          <w:rFonts w:ascii="黑体" w:hAnsi="黑体" w:eastAsia="黑体"/>
          <w:color w:val="auto"/>
          <w:sz w:val="24"/>
          <w:highlight w:val="none"/>
        </w:rPr>
        <w:t>9.</w:t>
      </w:r>
      <w:r>
        <w:rPr>
          <w:rFonts w:hint="eastAsia" w:ascii="黑体" w:hAnsi="黑体" w:eastAsia="黑体"/>
          <w:color w:val="auto"/>
          <w:sz w:val="24"/>
          <w:highlight w:val="none"/>
        </w:rPr>
        <w:t>回避与串通投标</w:t>
      </w:r>
    </w:p>
    <w:p>
      <w:pPr>
        <w:pStyle w:val="6"/>
        <w:keepNext w:val="0"/>
        <w:keepLines w:val="0"/>
        <w:spacing w:before="0" w:after="0" w:line="360" w:lineRule="auto"/>
        <w:ind w:firstLine="367" w:firstLineChars="175"/>
        <w:rPr>
          <w:rFonts w:ascii="宋体" w:hAnsi="宋体"/>
          <w:b w:val="0"/>
          <w:color w:val="auto"/>
          <w:sz w:val="21"/>
          <w:szCs w:val="21"/>
          <w:highlight w:val="none"/>
        </w:rPr>
      </w:pPr>
      <w:r>
        <w:rPr>
          <w:rFonts w:hint="eastAsia" w:ascii="宋体" w:hAnsi="宋体"/>
          <w:b w:val="0"/>
          <w:color w:val="auto"/>
          <w:sz w:val="21"/>
          <w:szCs w:val="21"/>
          <w:highlight w:val="none"/>
        </w:rPr>
        <w:t>9</w:t>
      </w:r>
      <w:r>
        <w:rPr>
          <w:rFonts w:ascii="宋体" w:hAnsi="宋体"/>
          <w:b w:val="0"/>
          <w:color w:val="auto"/>
          <w:sz w:val="21"/>
          <w:szCs w:val="21"/>
          <w:highlight w:val="none"/>
        </w:rPr>
        <w:t>.1在政府采购活动中，采购人员及相关人员与</w:t>
      </w:r>
      <w:r>
        <w:rPr>
          <w:rFonts w:hint="eastAsia" w:ascii="宋体" w:hAnsi="宋体"/>
          <w:b w:val="0"/>
          <w:color w:val="auto"/>
          <w:sz w:val="21"/>
          <w:szCs w:val="21"/>
          <w:highlight w:val="none"/>
        </w:rPr>
        <w:t>供应商</w:t>
      </w:r>
      <w:r>
        <w:rPr>
          <w:rFonts w:ascii="宋体" w:hAnsi="宋体"/>
          <w:b w:val="0"/>
          <w:color w:val="auto"/>
          <w:sz w:val="21"/>
          <w:szCs w:val="21"/>
          <w:highlight w:val="none"/>
        </w:rPr>
        <w:t>有下列利害关系之一的，应当回避：</w:t>
      </w:r>
    </w:p>
    <w:p>
      <w:pPr>
        <w:pStyle w:val="2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1</w:t>
      </w:r>
      <w:r>
        <w:rPr>
          <w:rFonts w:hAnsi="宋体"/>
          <w:color w:val="auto"/>
          <w:kern w:val="2"/>
          <w:sz w:val="21"/>
          <w:highlight w:val="none"/>
        </w:rPr>
        <w:t>）参加采购活动前3年内与</w:t>
      </w:r>
      <w:r>
        <w:rPr>
          <w:rFonts w:hint="eastAsia" w:hAnsi="宋体"/>
          <w:color w:val="auto"/>
          <w:kern w:val="2"/>
          <w:sz w:val="21"/>
          <w:highlight w:val="none"/>
        </w:rPr>
        <w:t>供应商</w:t>
      </w:r>
      <w:r>
        <w:rPr>
          <w:rFonts w:hAnsi="宋体"/>
          <w:color w:val="auto"/>
          <w:kern w:val="2"/>
          <w:sz w:val="21"/>
          <w:highlight w:val="none"/>
        </w:rPr>
        <w:t>存在劳动关系；</w:t>
      </w:r>
    </w:p>
    <w:p>
      <w:pPr>
        <w:pStyle w:val="2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2</w:t>
      </w:r>
      <w:r>
        <w:rPr>
          <w:rFonts w:hAnsi="宋体"/>
          <w:color w:val="auto"/>
          <w:kern w:val="2"/>
          <w:sz w:val="21"/>
          <w:highlight w:val="none"/>
        </w:rPr>
        <w:t>）参加采购活动前3年内担任</w:t>
      </w:r>
      <w:r>
        <w:rPr>
          <w:rFonts w:hint="eastAsia" w:hAnsi="宋体"/>
          <w:color w:val="auto"/>
          <w:kern w:val="2"/>
          <w:sz w:val="21"/>
          <w:highlight w:val="none"/>
        </w:rPr>
        <w:t>供应商</w:t>
      </w:r>
      <w:r>
        <w:rPr>
          <w:rFonts w:hAnsi="宋体"/>
          <w:color w:val="auto"/>
          <w:kern w:val="2"/>
          <w:sz w:val="21"/>
          <w:highlight w:val="none"/>
        </w:rPr>
        <w:t>的董事、监事；</w:t>
      </w:r>
    </w:p>
    <w:p>
      <w:pPr>
        <w:pStyle w:val="2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3</w:t>
      </w:r>
      <w:r>
        <w:rPr>
          <w:rFonts w:hAnsi="宋体"/>
          <w:color w:val="auto"/>
          <w:kern w:val="2"/>
          <w:sz w:val="21"/>
          <w:highlight w:val="none"/>
        </w:rPr>
        <w:t>）参加采购活动前3年内是</w:t>
      </w:r>
      <w:r>
        <w:rPr>
          <w:rFonts w:hint="eastAsia" w:hAnsi="宋体"/>
          <w:color w:val="auto"/>
          <w:kern w:val="2"/>
          <w:sz w:val="21"/>
          <w:highlight w:val="none"/>
        </w:rPr>
        <w:t>供应商</w:t>
      </w:r>
      <w:r>
        <w:rPr>
          <w:rFonts w:hAnsi="宋体"/>
          <w:color w:val="auto"/>
          <w:kern w:val="2"/>
          <w:sz w:val="21"/>
          <w:highlight w:val="none"/>
        </w:rPr>
        <w:t>的控股股东或者实际控制人；</w:t>
      </w:r>
    </w:p>
    <w:p>
      <w:pPr>
        <w:pStyle w:val="2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4</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的法定代表人或者负责人有夫妻、直系血亲、三代以内旁系血亲或者近姻亲关系；</w:t>
      </w:r>
    </w:p>
    <w:p>
      <w:pPr>
        <w:pStyle w:val="23"/>
        <w:snapToGrid w:val="0"/>
        <w:spacing w:line="360" w:lineRule="auto"/>
        <w:ind w:left="2" w:leftChars="1" w:firstLine="420" w:firstLineChars="200"/>
        <w:rPr>
          <w:rFonts w:hAnsi="宋体"/>
          <w:color w:val="auto"/>
          <w:kern w:val="2"/>
          <w:sz w:val="21"/>
          <w:highlight w:val="none"/>
        </w:rPr>
      </w:pPr>
      <w:r>
        <w:rPr>
          <w:rFonts w:hAnsi="宋体"/>
          <w:color w:val="auto"/>
          <w:kern w:val="2"/>
          <w:sz w:val="21"/>
          <w:highlight w:val="none"/>
        </w:rPr>
        <w:t>（</w:t>
      </w:r>
      <w:r>
        <w:rPr>
          <w:rFonts w:hint="eastAsia" w:hAnsi="宋体"/>
          <w:color w:val="auto"/>
          <w:kern w:val="2"/>
          <w:sz w:val="21"/>
          <w:highlight w:val="none"/>
        </w:rPr>
        <w:t>5</w:t>
      </w:r>
      <w:r>
        <w:rPr>
          <w:rFonts w:hAnsi="宋体"/>
          <w:color w:val="auto"/>
          <w:kern w:val="2"/>
          <w:sz w:val="21"/>
          <w:highlight w:val="none"/>
        </w:rPr>
        <w:t>）与</w:t>
      </w:r>
      <w:r>
        <w:rPr>
          <w:rFonts w:hint="eastAsia" w:hAnsi="宋体"/>
          <w:color w:val="auto"/>
          <w:kern w:val="2"/>
          <w:sz w:val="21"/>
          <w:highlight w:val="none"/>
        </w:rPr>
        <w:t>供应商</w:t>
      </w:r>
      <w:r>
        <w:rPr>
          <w:rFonts w:hAnsi="宋体"/>
          <w:color w:val="auto"/>
          <w:kern w:val="2"/>
          <w:sz w:val="21"/>
          <w:highlight w:val="none"/>
        </w:rPr>
        <w:t>有其他可能影响政府采购活动公平、公正进行的关系。</w:t>
      </w:r>
    </w:p>
    <w:p>
      <w:pPr>
        <w:pStyle w:val="2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供应商</w:t>
      </w:r>
      <w:r>
        <w:rPr>
          <w:rFonts w:hAnsi="宋体"/>
          <w:color w:val="auto"/>
          <w:kern w:val="2"/>
          <w:sz w:val="21"/>
          <w:highlight w:val="none"/>
        </w:rPr>
        <w:t>认为采购人员及相关人员与其他</w:t>
      </w:r>
      <w:r>
        <w:rPr>
          <w:rFonts w:hint="eastAsia" w:hAnsi="宋体"/>
          <w:color w:val="auto"/>
          <w:kern w:val="2"/>
          <w:sz w:val="21"/>
          <w:highlight w:val="none"/>
        </w:rPr>
        <w:t>供应商</w:t>
      </w:r>
      <w:r>
        <w:rPr>
          <w:rFonts w:hAnsi="宋体"/>
          <w:color w:val="auto"/>
          <w:kern w:val="2"/>
          <w:sz w:val="21"/>
          <w:highlight w:val="none"/>
        </w:rPr>
        <w:t>有利害关系的，可以向采购人或者采购代理机构书面提出回避申请，并说明理由。采购人或者采购代理机构应当及时询问被申请回避人员，有利害关系的被申请回避人员应当回避。</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9.2</w:t>
      </w:r>
      <w:r>
        <w:rPr>
          <w:rFonts w:hint="eastAsia" w:ascii="宋体" w:hAnsi="宋体"/>
          <w:color w:val="auto"/>
          <w:sz w:val="21"/>
          <w:szCs w:val="21"/>
          <w:highlight w:val="none"/>
        </w:rPr>
        <w:t>有下列情形之一的视为投标人相互串通投标，投标文件将被视为无效：</w:t>
      </w:r>
    </w:p>
    <w:p>
      <w:pPr>
        <w:pStyle w:val="2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 xml:space="preserve">（1）不同投标人的投标文件由同一单位或者个人编制； </w:t>
      </w:r>
    </w:p>
    <w:p>
      <w:pPr>
        <w:pStyle w:val="2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（2）不同投标人委托同一单位或者个人办理投标事宜；</w:t>
      </w:r>
    </w:p>
    <w:p>
      <w:pPr>
        <w:pStyle w:val="2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（3）不同的投标人的投标文件载明的项目管理员为同一个人；</w:t>
      </w:r>
    </w:p>
    <w:p>
      <w:pPr>
        <w:pStyle w:val="2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（4）不同投标人的投标文件异常一致或者投标报价呈规律性差异；</w:t>
      </w:r>
    </w:p>
    <w:p>
      <w:pPr>
        <w:pStyle w:val="2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（5）不同投标人的投标文件相互混装；</w:t>
      </w:r>
    </w:p>
    <w:p>
      <w:pPr>
        <w:pStyle w:val="23"/>
        <w:snapToGrid w:val="0"/>
        <w:spacing w:line="360" w:lineRule="auto"/>
        <w:ind w:left="2" w:leftChars="1" w:firstLine="422" w:firstLineChars="200"/>
        <w:rPr>
          <w:rFonts w:hint="eastAsia" w:hAnsi="宋体"/>
          <w:b/>
          <w:color w:val="auto"/>
          <w:kern w:val="2"/>
          <w:sz w:val="21"/>
          <w:highlight w:val="none"/>
        </w:rPr>
      </w:pPr>
      <w:r>
        <w:rPr>
          <w:rFonts w:hint="eastAsia" w:hAnsi="宋体"/>
          <w:b/>
          <w:color w:val="auto"/>
          <w:kern w:val="2"/>
          <w:sz w:val="21"/>
          <w:highlight w:val="none"/>
        </w:rPr>
        <w:t>（6）不同投标人的投标保证金从同一单位或者个人账户转出。</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9.3</w:t>
      </w:r>
      <w:r>
        <w:rPr>
          <w:rFonts w:hint="eastAsia" w:ascii="宋体" w:hAnsi="宋体"/>
          <w:b w:val="0"/>
          <w:color w:val="auto"/>
          <w:sz w:val="21"/>
          <w:szCs w:val="21"/>
          <w:highlight w:val="none"/>
        </w:rPr>
        <w:t>供应商有下列情形之一的，属于恶意串通行为，将报同级监督管理部门：</w:t>
      </w:r>
    </w:p>
    <w:p>
      <w:pPr>
        <w:pStyle w:val="2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（1）供应商直接或者间接从采购人或者采购代理机构处获得其他供应商的相关信息并修改其投标文件或者响应文件；</w:t>
      </w:r>
    </w:p>
    <w:p>
      <w:pPr>
        <w:pStyle w:val="2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（2）供应商按照采购人或者采购代理机构的授意撤换、修改投标文件或者响应文件；</w:t>
      </w:r>
    </w:p>
    <w:p>
      <w:pPr>
        <w:pStyle w:val="2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（3）供应商之间协商报价、技术方案等投标文件或者响应文件的实质性内容；</w:t>
      </w:r>
    </w:p>
    <w:p>
      <w:pPr>
        <w:pStyle w:val="2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（4）属于同一集团、协会、商会等组织成员的供应商按照该组织要求协同参加政府采购活动；</w:t>
      </w:r>
    </w:p>
    <w:p>
      <w:pPr>
        <w:pStyle w:val="2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（5）供应商之间事先约定一致抬高或者压低投标报价，或者在招标项目中事先约定轮流以高价位或者低价位中标，或者事先约定由某一特定供应商中标，然后再参加投标；</w:t>
      </w:r>
    </w:p>
    <w:p>
      <w:pPr>
        <w:pStyle w:val="23"/>
        <w:snapToGrid w:val="0"/>
        <w:spacing w:line="360" w:lineRule="auto"/>
        <w:ind w:left="2" w:leftChars="1" w:firstLine="420" w:firstLineChars="200"/>
        <w:rPr>
          <w:rFonts w:hint="eastAsia" w:hAnsi="宋体"/>
          <w:color w:val="auto"/>
          <w:kern w:val="2"/>
          <w:sz w:val="21"/>
          <w:highlight w:val="none"/>
        </w:rPr>
      </w:pPr>
      <w:r>
        <w:rPr>
          <w:rFonts w:hint="eastAsia" w:hAnsi="宋体"/>
          <w:color w:val="auto"/>
          <w:kern w:val="2"/>
          <w:sz w:val="21"/>
          <w:highlight w:val="none"/>
        </w:rPr>
        <w:t>（6）供应商之间商定部分供应商放弃参加政府采购活动或者放弃中标；</w:t>
      </w:r>
    </w:p>
    <w:p>
      <w:pPr>
        <w:pStyle w:val="23"/>
        <w:snapToGrid w:val="0"/>
        <w:spacing w:line="360" w:lineRule="auto"/>
        <w:ind w:left="2" w:leftChars="1" w:firstLine="420" w:firstLineChars="200"/>
        <w:rPr>
          <w:rFonts w:hAnsi="宋体"/>
          <w:color w:val="auto"/>
          <w:kern w:val="2"/>
          <w:sz w:val="21"/>
          <w:highlight w:val="none"/>
        </w:rPr>
      </w:pPr>
      <w:r>
        <w:rPr>
          <w:rFonts w:hint="eastAsia" w:hAnsi="宋体"/>
          <w:color w:val="auto"/>
          <w:kern w:val="2"/>
          <w:sz w:val="21"/>
          <w:highlight w:val="none"/>
        </w:rPr>
        <w:t>（7）供应商与采购人或者采购代理机构之间、供应商相互之间，为谋求特定供应商中标或者排斥其他供应商的其他串通行为。</w:t>
      </w:r>
    </w:p>
    <w:p>
      <w:pPr>
        <w:pStyle w:val="23"/>
        <w:snapToGrid w:val="0"/>
        <w:spacing w:line="360" w:lineRule="auto"/>
        <w:ind w:left="2" w:leftChars="1" w:firstLine="422" w:firstLineChars="200"/>
        <w:rPr>
          <w:rFonts w:hint="eastAsia" w:hAnsi="宋体"/>
          <w:b/>
          <w:color w:val="auto"/>
          <w:kern w:val="2"/>
          <w:sz w:val="21"/>
          <w:highlight w:val="none"/>
        </w:rPr>
      </w:pPr>
    </w:p>
    <w:p>
      <w:pPr>
        <w:pStyle w:val="4"/>
        <w:keepNext w:val="0"/>
        <w:keepLines w:val="0"/>
        <w:jc w:val="center"/>
        <w:rPr>
          <w:rFonts w:hint="eastAsia"/>
          <w:color w:val="auto"/>
          <w:highlight w:val="none"/>
        </w:rPr>
      </w:pPr>
      <w:bookmarkStart w:id="88" w:name="_Toc254970675"/>
      <w:bookmarkStart w:id="89" w:name="_Toc254970534"/>
      <w:r>
        <w:rPr>
          <w:rFonts w:hint="eastAsia"/>
          <w:color w:val="auto"/>
          <w:highlight w:val="none"/>
        </w:rPr>
        <w:t>二、招标文件</w:t>
      </w:r>
      <w:bookmarkEnd w:id="88"/>
      <w:bookmarkEnd w:id="89"/>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10.招标文件的组成</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（1）招标公告；</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 xml:space="preserve">（2）采购需求； </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（3）投标人须知；</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（4）评标方法及评标标准；</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（5）拟签订的合同文本；</w:t>
      </w:r>
    </w:p>
    <w:p>
      <w:pPr>
        <w:snapToGrid w:val="0"/>
        <w:spacing w:line="360" w:lineRule="auto"/>
        <w:ind w:firstLine="420"/>
        <w:jc w:val="left"/>
        <w:rPr>
          <w:rFonts w:hint="eastAsia" w:ascii="宋体" w:hAnsi="宋体"/>
          <w:color w:val="auto"/>
          <w:szCs w:val="21"/>
          <w:highlight w:val="none"/>
        </w:rPr>
      </w:pPr>
      <w:r>
        <w:rPr>
          <w:rFonts w:hint="eastAsia" w:ascii="宋体" w:hAnsi="宋体"/>
          <w:color w:val="auto"/>
          <w:szCs w:val="21"/>
          <w:highlight w:val="none"/>
        </w:rPr>
        <w:t>（6）投标文件格式。</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11.招标文件的澄清、修改 、现场考察和答疑会</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11.1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pStyle w:val="2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pStyle w:val="2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1</w:t>
      </w:r>
      <w:r>
        <w:rPr>
          <w:rFonts w:hAnsi="宋体"/>
          <w:color w:val="auto"/>
          <w:sz w:val="21"/>
          <w:highlight w:val="none"/>
        </w:rPr>
        <w:t>1.2</w:t>
      </w:r>
      <w:bookmarkStart w:id="90" w:name="_Hlk53134511"/>
      <w:r>
        <w:rPr>
          <w:rFonts w:hint="eastAsia" w:hAnsi="宋体"/>
          <w:color w:val="auto"/>
          <w:sz w:val="21"/>
          <w:highlight w:val="none"/>
        </w:rPr>
        <w:t>采购人或者采购代理机构可以在招标文件提供期限截止后，组织已获取招标文件的潜在投标人现场考察或者召开开标前答疑会，具体详见“投标人须知前附表”。</w:t>
      </w:r>
    </w:p>
    <w:bookmarkEnd w:id="90"/>
    <w:p>
      <w:pPr>
        <w:pStyle w:val="4"/>
        <w:keepNext w:val="0"/>
        <w:keepLines w:val="0"/>
        <w:jc w:val="center"/>
        <w:rPr>
          <w:rFonts w:hint="eastAsia"/>
          <w:color w:val="auto"/>
          <w:highlight w:val="none"/>
        </w:rPr>
      </w:pPr>
      <w:bookmarkStart w:id="91" w:name="_Toc254970676"/>
      <w:bookmarkStart w:id="92" w:name="_Toc254970535"/>
      <w:r>
        <w:rPr>
          <w:rFonts w:hint="eastAsia"/>
          <w:color w:val="auto"/>
          <w:highlight w:val="none"/>
        </w:rPr>
        <w:t>三、投标文件的编制</w:t>
      </w:r>
      <w:bookmarkEnd w:id="91"/>
      <w:bookmarkEnd w:id="92"/>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93" w:name="_Toc254970677"/>
      <w:bookmarkStart w:id="94" w:name="_Toc254970536"/>
      <w:r>
        <w:rPr>
          <w:rFonts w:hint="eastAsia" w:ascii="黑体" w:hAnsi="黑体" w:eastAsia="黑体"/>
          <w:color w:val="auto"/>
          <w:sz w:val="24"/>
          <w:highlight w:val="none"/>
        </w:rPr>
        <w:t>12.投标文件的编制原则</w:t>
      </w:r>
    </w:p>
    <w:p>
      <w:pPr>
        <w:snapToGrid w:val="0"/>
        <w:spacing w:line="360" w:lineRule="auto"/>
        <w:ind w:firstLine="420"/>
        <w:jc w:val="left"/>
        <w:rPr>
          <w:rFonts w:hint="eastAsia" w:ascii="宋体" w:hAnsi="宋体" w:cs="Courier New"/>
          <w:color w:val="auto"/>
          <w:szCs w:val="21"/>
          <w:highlight w:val="none"/>
        </w:rPr>
      </w:pPr>
      <w:r>
        <w:rPr>
          <w:rFonts w:ascii="宋体" w:hAnsi="宋体"/>
          <w:color w:val="auto"/>
          <w:szCs w:val="21"/>
          <w:highlight w:val="none"/>
        </w:rPr>
        <w:t>投标人必须按照招标文件的要求编制投标文件。投标文件必须对招标文件提出的要求和条件作出明确响应。</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13.投标文件的组成</w:t>
      </w:r>
      <w:bookmarkEnd w:id="93"/>
      <w:bookmarkEnd w:id="94"/>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投标文件由报价文件、资格证明文件、商务及技术文件三部分组成。</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95" w:name="_13.1报价文件:_具体材料见“投标人须知前附表”。"/>
      <w:bookmarkEnd w:id="95"/>
      <w:r>
        <w:rPr>
          <w:rFonts w:hint="eastAsia" w:ascii="宋体" w:hAnsi="宋体"/>
          <w:b w:val="0"/>
          <w:color w:val="auto"/>
          <w:sz w:val="21"/>
          <w:szCs w:val="21"/>
          <w:highlight w:val="none"/>
        </w:rPr>
        <w:t>（1）报价文件：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96" w:name="_13.2资格证明文件：具体材料见“投标人须知前附表”。"/>
      <w:bookmarkEnd w:id="96"/>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）资格证明文件：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97" w:name="_13.3商务文件:_具体材料见“投标人须知前附表”。"/>
      <w:bookmarkEnd w:id="97"/>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）商务及技术文件：</w:t>
      </w:r>
      <w:r>
        <w:rPr>
          <w:rFonts w:ascii="宋体" w:hAnsi="宋体"/>
          <w:b w:val="0"/>
          <w:color w:val="auto"/>
          <w:sz w:val="21"/>
          <w:szCs w:val="21"/>
          <w:highlight w:val="none"/>
        </w:rPr>
        <w:t>具体材料见“投标人须知前附表”</w:t>
      </w:r>
      <w:r>
        <w:rPr>
          <w:rFonts w:hint="eastAsia" w:ascii="宋体" w:hAnsi="宋体"/>
          <w:b w:val="0"/>
          <w:color w:val="auto"/>
          <w:sz w:val="21"/>
          <w:szCs w:val="21"/>
          <w:highlight w:val="none"/>
        </w:rPr>
        <w:t>。</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98" w:name="_13.4技术文件：具体材料见“投标人须知前附表”。"/>
      <w:bookmarkEnd w:id="98"/>
      <w:bookmarkStart w:id="99" w:name="_13.5投标文件电子版：具体材料见“投标人须知前附表”。"/>
      <w:bookmarkEnd w:id="99"/>
      <w:bookmarkStart w:id="100" w:name="_Toc254970678"/>
      <w:bookmarkStart w:id="101" w:name="_Toc254970537"/>
      <w:r>
        <w:rPr>
          <w:rFonts w:hint="eastAsia" w:ascii="黑体" w:hAnsi="黑体" w:eastAsia="黑体"/>
          <w:color w:val="auto"/>
          <w:sz w:val="24"/>
          <w:highlight w:val="none"/>
        </w:rPr>
        <w:t>14.投标文件的语言及计量</w:t>
      </w:r>
      <w:bookmarkEnd w:id="100"/>
      <w:bookmarkEnd w:id="101"/>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14.1语言文字</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投标文件以及投标人与采购人就有关投标事宜的所有来往函电，均应以中文书写（除专用术语外，与招标投标有关的语言均使用中文。必要时专用术语应附有中文注释）。投标人提交的支持文件和印刷的文献可以使用别的语言，但其相应内容应同时附中文翻译文本，在解释投标文件时以中文翻译文本为主。对不同文字文本投标文件的解释发生异议的，以中文文本为准。</w:t>
      </w:r>
    </w:p>
    <w:p>
      <w:pPr>
        <w:pStyle w:val="6"/>
        <w:keepNext w:val="0"/>
        <w:keepLines w:val="0"/>
        <w:spacing w:before="0" w:after="0" w:line="360" w:lineRule="auto"/>
        <w:ind w:firstLine="420" w:firstLineChars="200"/>
        <w:rPr>
          <w:rFonts w:ascii="宋体" w:hAnsi="宋体"/>
          <w:b w:val="0"/>
          <w:color w:val="auto"/>
          <w:sz w:val="21"/>
          <w:szCs w:val="21"/>
          <w:highlight w:val="none"/>
        </w:rPr>
      </w:pPr>
      <w:r>
        <w:rPr>
          <w:rFonts w:hint="eastAsia" w:ascii="宋体" w:hAnsi="宋体"/>
          <w:b w:val="0"/>
          <w:color w:val="auto"/>
          <w:sz w:val="21"/>
          <w:szCs w:val="21"/>
          <w:highlight w:val="none"/>
        </w:rPr>
        <w:t>14.2投标计量单位</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招标文件已有明确规定的，使用招标文件规定的计量单位；招标文件没有规定的，应采用中华人民共和国法定计量单位，货币种类为人民币，</w:t>
      </w:r>
      <w:r>
        <w:rPr>
          <w:rFonts w:hint="eastAsia" w:ascii="宋体" w:hAnsi="宋体"/>
          <w:color w:val="auto"/>
          <w:sz w:val="21"/>
          <w:szCs w:val="21"/>
          <w:highlight w:val="none"/>
        </w:rPr>
        <w:t>否则视同未响应。</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15.投标的风险</w:t>
      </w:r>
    </w:p>
    <w:p>
      <w:pPr>
        <w:pStyle w:val="23"/>
        <w:snapToGrid w:val="0"/>
        <w:spacing w:line="360" w:lineRule="auto"/>
        <w:ind w:firstLine="420" w:firstLineChars="200"/>
        <w:jc w:val="left"/>
        <w:rPr>
          <w:rFonts w:hint="eastAsia" w:hAnsi="宋体"/>
          <w:color w:val="auto"/>
          <w:sz w:val="21"/>
          <w:highlight w:val="none"/>
        </w:rPr>
      </w:pPr>
      <w:r>
        <w:rPr>
          <w:rFonts w:hint="eastAsia" w:hAnsi="宋体"/>
          <w:color w:val="auto"/>
          <w:sz w:val="21"/>
          <w:highlight w:val="none"/>
        </w:rPr>
        <w:t>投标人没有按照招标文件要求提供全部资料，或者投标人没有对招标文件作出实质性响应是投标人的风险，并可能导致其投标被拒绝。</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02" w:name="_Toc254970679"/>
      <w:bookmarkStart w:id="103" w:name="_Toc254970538"/>
      <w:r>
        <w:rPr>
          <w:rFonts w:hint="eastAsia" w:ascii="黑体" w:hAnsi="黑体" w:eastAsia="黑体"/>
          <w:color w:val="auto"/>
          <w:sz w:val="24"/>
          <w:highlight w:val="none"/>
        </w:rPr>
        <w:t>16.投标报价</w:t>
      </w:r>
      <w:bookmarkEnd w:id="102"/>
      <w:bookmarkEnd w:id="103"/>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16.1投标报价应按“第六章　投标文件格式”中“开标一览表”格式填写。</w:t>
      </w:r>
    </w:p>
    <w:p>
      <w:pPr>
        <w:pStyle w:val="6"/>
        <w:keepNext w:val="0"/>
        <w:keepLines w:val="0"/>
        <w:spacing w:before="0" w:after="0" w:line="360" w:lineRule="auto"/>
        <w:ind w:left="420" w:leftChars="200"/>
        <w:rPr>
          <w:rFonts w:hint="eastAsia" w:ascii="宋体" w:hAnsi="宋体"/>
          <w:b w:val="0"/>
          <w:color w:val="auto"/>
          <w:sz w:val="21"/>
          <w:szCs w:val="21"/>
          <w:highlight w:val="none"/>
        </w:rPr>
      </w:pPr>
      <w:bookmarkStart w:id="104" w:name="_16.2投标报价具体定义见投标人须知前附表。"/>
      <w:bookmarkEnd w:id="104"/>
      <w:r>
        <w:rPr>
          <w:rFonts w:hint="eastAsia" w:ascii="宋体" w:hAnsi="宋体"/>
          <w:b w:val="0"/>
          <w:color w:val="auto"/>
          <w:sz w:val="21"/>
          <w:szCs w:val="21"/>
          <w:highlight w:val="none"/>
        </w:rPr>
        <w:t>16.2投标报价具体包括内容详见“投标人须知前附表”。</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16.3投标人必须就所投每个分标的全部内容分别作完整唯一总价报价，不得存在漏项报价；投标人必须就所投分标的单项内容作唯一报价。</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17.投标有效期</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bookmarkStart w:id="105" w:name="_17.1投标有效期应按“投标人须知中的前附表”规定的期限。"/>
      <w:bookmarkEnd w:id="105"/>
      <w:r>
        <w:rPr>
          <w:rFonts w:hint="eastAsia" w:ascii="宋体" w:hAnsi="宋体"/>
          <w:b w:val="0"/>
          <w:color w:val="auto"/>
          <w:sz w:val="21"/>
          <w:szCs w:val="21"/>
          <w:highlight w:val="none"/>
        </w:rPr>
        <w:t>17.1投标有效期是指为保证采购人有足够的时间在开标后完成评标、定标、合同签订等工作而要求投标人提交的投标文件在一定时间内保持有效的期限。</w:t>
      </w:r>
    </w:p>
    <w:p>
      <w:pPr>
        <w:pStyle w:val="6"/>
        <w:keepNext w:val="0"/>
        <w:keepLines w:val="0"/>
        <w:spacing w:before="0" w:after="0" w:line="360" w:lineRule="auto"/>
        <w:ind w:firstLine="424" w:firstLineChars="202"/>
        <w:rPr>
          <w:rFonts w:hint="eastAsia" w:ascii="宋体" w:hAnsi="宋体"/>
          <w:b w:val="0"/>
          <w:color w:val="auto"/>
          <w:sz w:val="21"/>
          <w:szCs w:val="21"/>
          <w:highlight w:val="none"/>
        </w:rPr>
      </w:pPr>
      <w:r>
        <w:rPr>
          <w:rFonts w:hint="eastAsia" w:ascii="宋体" w:hAnsi="宋体"/>
          <w:b w:val="0"/>
          <w:color w:val="auto"/>
          <w:sz w:val="21"/>
          <w:szCs w:val="21"/>
          <w:highlight w:val="none"/>
        </w:rPr>
        <w:t>17.2</w:t>
      </w:r>
      <w:bookmarkStart w:id="106" w:name="_Toc254970681"/>
      <w:bookmarkStart w:id="107" w:name="_Toc254970540"/>
      <w:r>
        <w:rPr>
          <w:rFonts w:hint="eastAsia" w:ascii="宋体" w:hAnsi="宋体"/>
          <w:b w:val="0"/>
          <w:color w:val="auto"/>
          <w:sz w:val="21"/>
          <w:szCs w:val="21"/>
          <w:highlight w:val="none"/>
        </w:rPr>
        <w:t xml:space="preserve"> 投标有效期应按</w:t>
      </w:r>
      <w:r>
        <w:rPr>
          <w:rFonts w:hint="eastAsia" w:ascii="宋体" w:hAnsi="宋体"/>
          <w:b w:val="0"/>
          <w:color w:val="auto"/>
          <w:sz w:val="21"/>
          <w:szCs w:val="21"/>
          <w:highlight w:val="none"/>
          <w:lang w:eastAsia="zh-CN"/>
        </w:rPr>
        <w:t>招标文件</w:t>
      </w:r>
      <w:r>
        <w:rPr>
          <w:rFonts w:hint="eastAsia" w:ascii="宋体" w:hAnsi="宋体"/>
          <w:b w:val="0"/>
          <w:color w:val="auto"/>
          <w:sz w:val="21"/>
          <w:szCs w:val="21"/>
          <w:highlight w:val="none"/>
        </w:rPr>
        <w:t>规定的期限作出承诺，具体详见“投标人须知前附表”。</w:t>
      </w:r>
      <w:r>
        <w:rPr>
          <w:rFonts w:hint="eastAsia" w:ascii="宋体" w:hAnsi="宋体"/>
          <w:color w:val="auto"/>
          <w:sz w:val="21"/>
          <w:szCs w:val="21"/>
          <w:highlight w:val="none"/>
        </w:rPr>
        <w:t>承诺</w:t>
      </w:r>
      <w:r>
        <w:rPr>
          <w:rFonts w:hint="eastAsia" w:ascii="宋体" w:hAnsi="宋体"/>
          <w:color w:val="auto"/>
          <w:sz w:val="21"/>
          <w:szCs w:val="21"/>
          <w:highlight w:val="none"/>
          <w:lang w:eastAsia="zh-CN"/>
        </w:rPr>
        <w:t>的</w:t>
      </w:r>
      <w:r>
        <w:rPr>
          <w:rFonts w:hint="eastAsia" w:ascii="宋体" w:hAnsi="宋体"/>
          <w:color w:val="auto"/>
          <w:sz w:val="21"/>
          <w:szCs w:val="21"/>
          <w:highlight w:val="none"/>
        </w:rPr>
        <w:t>投标有效期</w:t>
      </w:r>
      <w:r>
        <w:rPr>
          <w:rFonts w:hint="eastAsia" w:ascii="宋体" w:hAnsi="宋体"/>
          <w:color w:val="auto"/>
          <w:sz w:val="21"/>
          <w:szCs w:val="21"/>
          <w:highlight w:val="none"/>
          <w:lang w:eastAsia="zh-CN"/>
        </w:rPr>
        <w:t>低于招标文件</w:t>
      </w:r>
      <w:r>
        <w:rPr>
          <w:rFonts w:hint="eastAsia" w:ascii="宋体" w:hAnsi="宋体"/>
          <w:color w:val="auto"/>
          <w:sz w:val="21"/>
          <w:szCs w:val="21"/>
          <w:highlight w:val="none"/>
        </w:rPr>
        <w:t>规定期限</w:t>
      </w:r>
      <w:r>
        <w:rPr>
          <w:rFonts w:hint="eastAsia" w:ascii="宋体" w:hAnsi="宋体"/>
          <w:color w:val="auto"/>
          <w:sz w:val="21"/>
          <w:szCs w:val="21"/>
          <w:highlight w:val="none"/>
          <w:lang w:eastAsia="zh-CN"/>
        </w:rPr>
        <w:t>的，按无效投标处理</w:t>
      </w:r>
      <w:r>
        <w:rPr>
          <w:rFonts w:hint="eastAsia" w:ascii="宋体" w:hAnsi="宋体"/>
          <w:b w:val="0"/>
          <w:color w:val="auto"/>
          <w:sz w:val="21"/>
          <w:szCs w:val="21"/>
          <w:highlight w:val="none"/>
          <w:lang w:eastAsia="zh-CN"/>
        </w:rPr>
        <w:t>。</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17.3投标人的投标文件在投标有效期内均保持有效。</w:t>
      </w:r>
      <w:bookmarkEnd w:id="106"/>
      <w:bookmarkEnd w:id="107"/>
    </w:p>
    <w:p>
      <w:pPr>
        <w:pStyle w:val="6"/>
        <w:keepNext w:val="0"/>
        <w:keepLines w:val="0"/>
        <w:spacing w:before="0" w:after="0" w:line="360" w:lineRule="auto"/>
        <w:ind w:left="420" w:leftChars="200"/>
        <w:rPr>
          <w:rFonts w:hint="eastAsia" w:ascii="宋体" w:hAnsi="宋体"/>
          <w:b w:val="0"/>
          <w:color w:val="auto"/>
          <w:sz w:val="21"/>
          <w:szCs w:val="21"/>
          <w:highlight w:val="none"/>
        </w:rPr>
      </w:pP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08" w:name="_18.投标保证金"/>
      <w:bookmarkEnd w:id="108"/>
      <w:bookmarkStart w:id="109" w:name="_Toc254970541"/>
      <w:bookmarkStart w:id="110" w:name="_Toc254970682"/>
      <w:r>
        <w:rPr>
          <w:rFonts w:hint="eastAsia" w:ascii="黑体" w:hAnsi="黑体" w:eastAsia="黑体"/>
          <w:color w:val="auto"/>
          <w:sz w:val="24"/>
          <w:highlight w:val="none"/>
        </w:rPr>
        <w:t>18.投标保证金</w:t>
      </w:r>
      <w:bookmarkEnd w:id="109"/>
      <w:bookmarkEnd w:id="110"/>
    </w:p>
    <w:p>
      <w:pPr>
        <w:pStyle w:val="6"/>
        <w:keepNext w:val="0"/>
        <w:keepLines w:val="0"/>
        <w:spacing w:before="0" w:after="0" w:line="360" w:lineRule="auto"/>
        <w:ind w:left="420" w:leftChars="200"/>
        <w:rPr>
          <w:rFonts w:ascii="宋体" w:hAnsi="宋体"/>
          <w:b w:val="0"/>
          <w:color w:val="auto"/>
          <w:sz w:val="21"/>
          <w:szCs w:val="21"/>
          <w:highlight w:val="none"/>
        </w:rPr>
      </w:pPr>
      <w:r>
        <w:rPr>
          <w:rFonts w:hint="eastAsia" w:ascii="宋体" w:hAnsi="宋体"/>
          <w:b w:val="0"/>
          <w:color w:val="auto"/>
          <w:sz w:val="21"/>
          <w:szCs w:val="21"/>
          <w:highlight w:val="none"/>
        </w:rPr>
        <w:t>18.1投标人须按“投标人须知前附表” 的规定提交投标保证金。</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18.2投标保证金的退还</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未中标人的投标保证金自中标通知书发出之日起</w:t>
      </w:r>
      <w:r>
        <w:rPr>
          <w:rFonts w:hint="eastAsia" w:ascii="宋体" w:hAnsi="宋体"/>
          <w:b w:val="0"/>
          <w:color w:val="auto"/>
          <w:sz w:val="21"/>
          <w:szCs w:val="21"/>
          <w:highlight w:val="none"/>
          <w:lang w:eastAsia="zh-CN"/>
        </w:rPr>
        <w:t>4</w:t>
      </w:r>
      <w:r>
        <w:rPr>
          <w:rFonts w:hint="eastAsia" w:ascii="宋体" w:hAnsi="宋体"/>
          <w:b w:val="0"/>
          <w:color w:val="auto"/>
          <w:sz w:val="21"/>
          <w:szCs w:val="21"/>
          <w:highlight w:val="none"/>
        </w:rPr>
        <w:t>个工作日内退还；中标人的投标保证金自政府采购合同签订之日起</w:t>
      </w:r>
      <w:r>
        <w:rPr>
          <w:rFonts w:hint="eastAsia" w:ascii="宋体" w:hAnsi="宋体"/>
          <w:b w:val="0"/>
          <w:color w:val="auto"/>
          <w:sz w:val="21"/>
          <w:szCs w:val="21"/>
          <w:highlight w:val="none"/>
          <w:lang w:eastAsia="zh-CN"/>
        </w:rPr>
        <w:t>4</w:t>
      </w:r>
      <w:r>
        <w:rPr>
          <w:rFonts w:hint="eastAsia" w:ascii="宋体" w:hAnsi="宋体"/>
          <w:b w:val="0"/>
          <w:color w:val="auto"/>
          <w:sz w:val="21"/>
          <w:szCs w:val="21"/>
          <w:highlight w:val="none"/>
        </w:rPr>
        <w:t xml:space="preserve">个工作日内退还。 </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18.3除逾期退还投标保证金和终止招标的情形以外，投标保证金不计息。</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18.4投标人有下列情形之一的，投标保证金将不予退还： </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（1）投标人在投标有效期内撤销投标文件的；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（2）未按规定提交履约保证金的；</w:t>
      </w:r>
    </w:p>
    <w:p>
      <w:pPr>
        <w:snapToGrid w:val="0"/>
        <w:spacing w:line="360" w:lineRule="auto"/>
        <w:ind w:firstLine="411" w:firstLineChars="196"/>
        <w:jc w:val="left"/>
        <w:rPr>
          <w:rFonts w:hint="eastAsia" w:ascii="宋体" w:hAnsi="宋体"/>
          <w:color w:val="auto"/>
          <w:szCs w:val="21"/>
          <w:highlight w:val="none"/>
        </w:rPr>
      </w:pPr>
      <w:r>
        <w:rPr>
          <w:rFonts w:hint="eastAsia" w:ascii="宋体" w:hAnsi="宋体"/>
          <w:color w:val="auto"/>
          <w:szCs w:val="21"/>
          <w:highlight w:val="none"/>
        </w:rPr>
        <w:t>（3）投标人在投标过程中弄虚作假，提供虚假材料的；</w:t>
      </w:r>
    </w:p>
    <w:p>
      <w:pPr>
        <w:snapToGrid w:val="0"/>
        <w:spacing w:line="360" w:lineRule="auto"/>
        <w:ind w:firstLine="411" w:firstLineChars="196"/>
        <w:rPr>
          <w:rFonts w:hint="eastAsia" w:ascii="宋体" w:hAnsi="宋体"/>
          <w:color w:val="auto"/>
          <w:szCs w:val="21"/>
          <w:highlight w:val="none"/>
        </w:rPr>
      </w:pPr>
      <w:r>
        <w:rPr>
          <w:rFonts w:hint="eastAsia" w:ascii="宋体" w:hAnsi="宋体"/>
          <w:color w:val="auto"/>
          <w:szCs w:val="21"/>
          <w:highlight w:val="none"/>
        </w:rPr>
        <w:t>（4）中标人无正当理由不与采购人签订合同的；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（5）投标人出现本章第9.2、9.3情形的；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w:t>
      </w:r>
      <w:r>
        <w:rPr>
          <w:rFonts w:hint="eastAsia" w:ascii="宋体" w:hAnsi="宋体" w:cs="宋体"/>
          <w:color w:val="auto"/>
          <w:szCs w:val="21"/>
          <w:highlight w:val="none"/>
        </w:rPr>
        <w:t>法律法规规定的其他情形</w:t>
      </w:r>
      <w:r>
        <w:rPr>
          <w:rFonts w:hint="eastAsia" w:ascii="宋体" w:hAnsi="宋体"/>
          <w:color w:val="auto"/>
          <w:szCs w:val="21"/>
          <w:highlight w:val="none"/>
        </w:rPr>
        <w:t>。</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11" w:name="_Toc254970683"/>
      <w:bookmarkStart w:id="112" w:name="_Toc254970542"/>
      <w:r>
        <w:rPr>
          <w:rFonts w:hint="eastAsia" w:ascii="黑体" w:hAnsi="黑体" w:eastAsia="黑体"/>
          <w:color w:val="auto"/>
          <w:sz w:val="24"/>
          <w:highlight w:val="none"/>
        </w:rPr>
        <w:t>19.投标文件的</w:t>
      </w:r>
      <w:bookmarkEnd w:id="111"/>
      <w:bookmarkEnd w:id="112"/>
      <w:r>
        <w:rPr>
          <w:rFonts w:hint="eastAsia" w:ascii="黑体" w:hAnsi="黑体" w:eastAsia="黑体"/>
          <w:color w:val="auto"/>
          <w:sz w:val="24"/>
          <w:highlight w:val="none"/>
        </w:rPr>
        <w:t>编制</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19.1投标人应先安装“政采云电子投标客户端”（请自行前往“政采云”平台进行下载），并按照本项目招标文件规定的格式和顺序和“政采云”平台的要求编制并加密。投标文件内容不完整、编排混乱导致投标文件被误读、漏读或者查找不到相关内容的，由此引发的后果由投标人承担。</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bookmarkStart w:id="113" w:name="_19.2投标文件应按报价文件、资格证明文件、商务文件、技术文件分别编制"/>
      <w:bookmarkEnd w:id="113"/>
      <w:r>
        <w:rPr>
          <w:rFonts w:hint="eastAsia" w:ascii="宋体" w:hAnsi="宋体"/>
          <w:b w:val="0"/>
          <w:color w:val="auto"/>
          <w:sz w:val="21"/>
          <w:szCs w:val="21"/>
          <w:highlight w:val="none"/>
        </w:rPr>
        <w:t>19.2为确保网上操作合法、有效和安全，投标人应当在投标截止时间前完成在“政采云”平台的身份认证，确保在电子投标过程中能够对相关数据电文进行加密和使用电子签章。</w:t>
      </w:r>
    </w:p>
    <w:p>
      <w:pPr>
        <w:pStyle w:val="6"/>
        <w:keepNext w:val="0"/>
        <w:keepLines w:val="0"/>
        <w:spacing w:before="0" w:after="0" w:line="360" w:lineRule="auto"/>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19.3投标文件须由投标人在规定位置签字（或者电子签名）、盖章（具体以投标人须知前附表或投标文件格式规定为准），</w:t>
      </w:r>
      <w:r>
        <w:rPr>
          <w:rFonts w:hint="eastAsia" w:ascii="宋体" w:hAnsi="宋体"/>
          <w:bCs/>
          <w:color w:val="auto"/>
          <w:sz w:val="21"/>
          <w:szCs w:val="21"/>
          <w:highlight w:val="none"/>
        </w:rPr>
        <w:t>否则按无效投标处理</w:t>
      </w:r>
      <w:r>
        <w:rPr>
          <w:rFonts w:hint="eastAsia" w:ascii="宋体" w:hAnsi="宋体"/>
          <w:b w:val="0"/>
          <w:color w:val="auto"/>
          <w:sz w:val="21"/>
          <w:szCs w:val="21"/>
          <w:highlight w:val="none"/>
        </w:rPr>
        <w:t>。</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19.4投标文件中标注的投标人名称应与主体资格证明（如营业执照或者事业单位法人证书或者执业许可证或者登记证书等）及公章一致，并与“政采云”中获取招标文件的投标人名称一致，投标人为自然人的，标注的投标人名称应与身份证姓名及</w:t>
      </w:r>
      <w:r>
        <w:rPr>
          <w:rFonts w:hint="eastAsia" w:ascii="宋体" w:hAnsi="宋体"/>
          <w:b w:val="0"/>
          <w:color w:val="auto"/>
          <w:sz w:val="21"/>
          <w:szCs w:val="21"/>
          <w:highlight w:val="none"/>
          <w:lang w:eastAsia="zh-CN"/>
        </w:rPr>
        <w:t>签字</w:t>
      </w:r>
      <w:r>
        <w:rPr>
          <w:rFonts w:hint="eastAsia" w:ascii="宋体" w:hAnsi="宋体"/>
          <w:b w:val="0"/>
          <w:color w:val="auto"/>
          <w:sz w:val="21"/>
          <w:szCs w:val="21"/>
          <w:highlight w:val="none"/>
        </w:rPr>
        <w:t>一致，</w:t>
      </w:r>
      <w:r>
        <w:rPr>
          <w:rFonts w:hint="eastAsia" w:ascii="宋体" w:hAnsi="宋体"/>
          <w:color w:val="auto"/>
          <w:sz w:val="21"/>
          <w:szCs w:val="21"/>
          <w:highlight w:val="none"/>
        </w:rPr>
        <w:t>否则按无效投标处理</w:t>
      </w:r>
      <w:r>
        <w:rPr>
          <w:rFonts w:hint="eastAsia" w:ascii="宋体" w:hAnsi="宋体"/>
          <w:b w:val="0"/>
          <w:color w:val="auto"/>
          <w:sz w:val="21"/>
          <w:szCs w:val="21"/>
          <w:highlight w:val="none"/>
        </w:rPr>
        <w:t>。</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19.5投标文件应尽量避免涂改、行间插字或者删除。如果出现上述情况，改动之处应由投标人的法定代表人或者其委托代理人签字（或者电子签名）或者加盖公章或者加盖电子签章。投标文件因字迹潦草或者表达不清所引起的后果由投标人承担。</w:t>
      </w:r>
    </w:p>
    <w:p>
      <w:pPr>
        <w:spacing w:line="360" w:lineRule="auto"/>
        <w:ind w:firstLine="480" w:firstLineChars="200"/>
        <w:rPr>
          <w:rFonts w:hint="eastAsia" w:ascii="黑体" w:hAnsi="黑体" w:eastAsia="黑体"/>
          <w:color w:val="auto"/>
          <w:sz w:val="24"/>
          <w:highlight w:val="none"/>
        </w:rPr>
      </w:pPr>
      <w:r>
        <w:rPr>
          <w:rFonts w:hint="eastAsia" w:ascii="黑体" w:hAnsi="黑体" w:eastAsia="黑体"/>
          <w:color w:val="auto"/>
          <w:sz w:val="24"/>
          <w:highlight w:val="none"/>
        </w:rPr>
        <w:t>20.电子备份投标文件</w:t>
      </w:r>
    </w:p>
    <w:p>
      <w:pPr>
        <w:spacing w:line="360" w:lineRule="auto"/>
        <w:ind w:firstLine="420" w:firstLineChars="200"/>
        <w:rPr>
          <w:rFonts w:hint="eastAsia" w:ascii="黑体" w:hAnsi="黑体" w:eastAsia="黑体"/>
          <w:color w:val="auto"/>
          <w:sz w:val="24"/>
          <w:highlight w:val="none"/>
        </w:rPr>
      </w:pPr>
      <w:r>
        <w:rPr>
          <w:rFonts w:hint="eastAsia"/>
          <w:color w:val="auto"/>
          <w:highlight w:val="none"/>
        </w:rPr>
        <w:t>电子备份投标文件是指通过“政采云电子投标客户端”在线编制生成且后缀名为“</w:t>
      </w:r>
      <w:r>
        <w:rPr>
          <w:color w:val="auto"/>
          <w:highlight w:val="none"/>
        </w:rPr>
        <w:t>bfbs</w:t>
      </w:r>
      <w:r>
        <w:rPr>
          <w:rFonts w:hint="eastAsia"/>
          <w:color w:val="auto"/>
          <w:highlight w:val="none"/>
        </w:rPr>
        <w:t>”的文件，是否接受电子备份投标文件</w:t>
      </w:r>
      <w:r>
        <w:rPr>
          <w:rFonts w:hint="eastAsia" w:hAnsi="宋体"/>
          <w:bCs/>
          <w:color w:val="auto"/>
          <w:szCs w:val="21"/>
          <w:highlight w:val="none"/>
        </w:rPr>
        <w:t>详见在“投标人须知前附表”。</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21.投标文件的提交</w:t>
      </w:r>
    </w:p>
    <w:p>
      <w:pPr>
        <w:spacing w:line="360" w:lineRule="auto"/>
        <w:ind w:firstLine="420" w:firstLineChars="200"/>
        <w:rPr>
          <w:rFonts w:hint="eastAsia" w:hAnsi="宋体"/>
          <w:b/>
          <w:color w:val="auto"/>
          <w:highlight w:val="none"/>
        </w:rPr>
      </w:pPr>
      <w:bookmarkStart w:id="114" w:name="_21.1投标人必须在“投标人须知中的前附表”规定的投标文件接收时间和投"/>
      <w:bookmarkEnd w:id="114"/>
      <w:r>
        <w:rPr>
          <w:rFonts w:hint="eastAsia" w:hAnsi="宋体"/>
          <w:bCs/>
          <w:color w:val="auto"/>
          <w:szCs w:val="21"/>
          <w:highlight w:val="none"/>
        </w:rPr>
        <w:t>21.1投标人必须在“投标人须知前附表”规定的</w:t>
      </w:r>
      <w:r>
        <w:rPr>
          <w:rFonts w:hint="eastAsia" w:ascii="宋体" w:hAnsi="宋体"/>
          <w:color w:val="auto"/>
          <w:szCs w:val="21"/>
          <w:highlight w:val="none"/>
        </w:rPr>
        <w:t>提交投标文件截止时间前将</w:t>
      </w:r>
      <w:r>
        <w:rPr>
          <w:rFonts w:hint="eastAsia" w:hAnsi="宋体"/>
          <w:bCs/>
          <w:color w:val="auto"/>
          <w:szCs w:val="21"/>
          <w:highlight w:val="none"/>
        </w:rPr>
        <w:t>电子投标文件提交至投标地点。电子投标文件应在制作完成后，</w:t>
      </w:r>
      <w:r>
        <w:rPr>
          <w:rFonts w:hAnsi="宋体"/>
          <w:bCs/>
          <w:color w:val="auto"/>
          <w:szCs w:val="21"/>
          <w:highlight w:val="none"/>
        </w:rPr>
        <w:t>在投标截止时间前</w:t>
      </w:r>
      <w:r>
        <w:rPr>
          <w:rFonts w:hint="eastAsia" w:hAnsi="宋体"/>
          <w:bCs/>
          <w:color w:val="auto"/>
          <w:szCs w:val="21"/>
          <w:highlight w:val="none"/>
        </w:rPr>
        <w:t>通过有效数字证书（CA认证锁）进行电子签章、加密，然后通过网络将加密的电子投标文件递交至</w:t>
      </w:r>
      <w:r>
        <w:rPr>
          <w:rFonts w:hint="eastAsia" w:ascii="宋体" w:hAnsi="宋体"/>
          <w:color w:val="auto"/>
          <w:szCs w:val="21"/>
          <w:highlight w:val="none"/>
        </w:rPr>
        <w:t>“政采云”平台</w:t>
      </w:r>
      <w:r>
        <w:rPr>
          <w:rFonts w:hint="eastAsia" w:hAnsi="宋体"/>
          <w:bCs/>
          <w:color w:val="auto"/>
          <w:szCs w:val="21"/>
          <w:highlight w:val="none"/>
        </w:rPr>
        <w:t xml:space="preserve">。 </w:t>
      </w:r>
      <w:r>
        <w:rPr>
          <w:rFonts w:hint="eastAsia" w:hAnsi="宋体"/>
          <w:b/>
          <w:color w:val="auto"/>
          <w:highlight w:val="none"/>
        </w:rPr>
        <w:t xml:space="preserve"> </w:t>
      </w:r>
    </w:p>
    <w:p>
      <w:pPr>
        <w:spacing w:line="360" w:lineRule="auto"/>
        <w:ind w:firstLine="422" w:firstLineChars="200"/>
        <w:rPr>
          <w:rFonts w:hint="eastAsia" w:ascii="宋体" w:hAnsi="宋体"/>
          <w:b/>
          <w:color w:val="auto"/>
          <w:szCs w:val="20"/>
          <w:highlight w:val="none"/>
        </w:rPr>
      </w:pPr>
      <w:r>
        <w:rPr>
          <w:rFonts w:hint="eastAsia" w:ascii="宋体" w:hAnsi="宋体"/>
          <w:b/>
          <w:color w:val="auto"/>
          <w:szCs w:val="21"/>
          <w:highlight w:val="none"/>
        </w:rPr>
        <w:t>21.</w:t>
      </w:r>
      <w:r>
        <w:rPr>
          <w:rFonts w:ascii="宋体" w:hAnsi="宋体"/>
          <w:b/>
          <w:color w:val="auto"/>
          <w:szCs w:val="21"/>
          <w:highlight w:val="none"/>
        </w:rPr>
        <w:t>2</w:t>
      </w:r>
      <w:r>
        <w:rPr>
          <w:rFonts w:hint="eastAsia" w:ascii="宋体" w:hAnsi="宋体"/>
          <w:b/>
          <w:color w:val="auto"/>
          <w:szCs w:val="21"/>
          <w:highlight w:val="none"/>
        </w:rPr>
        <w:t>未在规定时间内提交或者未按照招标文件要求加密的电子投标文件，“政采云”平台将拒收。</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22. 投标文件的补充、修改、撤回与退回</w:t>
      </w:r>
    </w:p>
    <w:p>
      <w:pPr>
        <w:snapToGrid w:val="0"/>
        <w:spacing w:line="360" w:lineRule="auto"/>
        <w:ind w:firstLine="420"/>
        <w:jc w:val="left"/>
        <w:rPr>
          <w:rFonts w:hint="eastAsia" w:ascii="宋体" w:hAnsi="宋体"/>
          <w:color w:val="auto"/>
          <w:szCs w:val="21"/>
          <w:highlight w:val="none"/>
        </w:rPr>
      </w:pPr>
      <w:bookmarkStart w:id="115" w:name="_Toc254970543"/>
      <w:bookmarkStart w:id="116" w:name="_Toc254970684"/>
      <w:r>
        <w:rPr>
          <w:rFonts w:ascii="宋体" w:hAnsi="宋体" w:cs="宋体"/>
          <w:color w:val="auto"/>
          <w:szCs w:val="21"/>
          <w:highlight w:val="none"/>
        </w:rPr>
        <w:t>22</w:t>
      </w:r>
      <w:r>
        <w:rPr>
          <w:rFonts w:hint="eastAsia" w:ascii="宋体" w:hAnsi="宋体" w:cs="宋体"/>
          <w:color w:val="auto"/>
          <w:szCs w:val="21"/>
          <w:highlight w:val="none"/>
        </w:rPr>
        <w:t>.1</w:t>
      </w:r>
      <w:r>
        <w:rPr>
          <w:rFonts w:hint="eastAsia" w:ascii="宋体" w:hAnsi="宋体"/>
          <w:bCs/>
          <w:color w:val="auto"/>
          <w:szCs w:val="21"/>
          <w:highlight w:val="none"/>
        </w:rPr>
        <w:t>投标人应当在投标截止时间前完成电子投标文件的上传、提交，投标截止时间前可以补充、修改或者撤回投标文件。补充或者修改投标文件的，应当先行撤回原投标文件，补充、修改后重新上传、提交，投标截止时间前未完成上传、提交的，视为撤回投标文件。投标截止时间以后上传递交的投标文件，“政采云”平台将予以拒收。</w:t>
      </w:r>
      <w:r>
        <w:rPr>
          <w:rFonts w:hint="eastAsia" w:ascii="宋体" w:hAnsi="宋体" w:cs="宋体"/>
          <w:color w:val="auto"/>
          <w:szCs w:val="21"/>
          <w:highlight w:val="none"/>
        </w:rPr>
        <w:t>（补充、修改或者撤回方式可</w:t>
      </w:r>
      <w:r>
        <w:rPr>
          <w:rFonts w:hint="eastAsia" w:ascii="宋体" w:hAnsi="宋体"/>
          <w:color w:val="auto"/>
          <w:szCs w:val="21"/>
          <w:highlight w:val="none"/>
        </w:rPr>
        <w:t>登录</w:t>
      </w:r>
      <w:r>
        <w:rPr>
          <w:rFonts w:hint="eastAsia" w:ascii="宋体" w:hAnsi="宋体" w:cs="宋体"/>
          <w:color w:val="auto"/>
          <w:kern w:val="0"/>
          <w:szCs w:val="21"/>
          <w:highlight w:val="none"/>
        </w:rPr>
        <w:t>“政采云”平台，</w:t>
      </w:r>
      <w:r>
        <w:rPr>
          <w:rFonts w:hint="eastAsia" w:ascii="宋体" w:hAnsi="宋体"/>
          <w:color w:val="auto"/>
          <w:szCs w:val="21"/>
          <w:highlight w:val="none"/>
        </w:rPr>
        <w:t>进入“服务中心”中查看</w:t>
      </w:r>
      <w:r>
        <w:rPr>
          <w:rFonts w:hint="eastAsia" w:ascii="宋体" w:hAnsi="宋体" w:cs="宋体"/>
          <w:color w:val="auto"/>
          <w:szCs w:val="21"/>
          <w:highlight w:val="none"/>
        </w:rPr>
        <w:t xml:space="preserve"> “电子投标文件制作与投送教程”）</w:t>
      </w:r>
    </w:p>
    <w:bookmarkEnd w:id="115"/>
    <w:bookmarkEnd w:id="116"/>
    <w:p>
      <w:pPr>
        <w:pStyle w:val="119"/>
        <w:spacing w:before="0"/>
        <w:ind w:firstLine="420"/>
        <w:rPr>
          <w:rFonts w:hint="eastAsia" w:ascii="宋体" w:hAnsi="宋体" w:cs="宋体"/>
          <w:color w:val="auto"/>
          <w:sz w:val="21"/>
          <w:szCs w:val="21"/>
          <w:highlight w:val="none"/>
        </w:rPr>
      </w:pPr>
      <w:r>
        <w:rPr>
          <w:rFonts w:ascii="宋体" w:hAnsi="宋体" w:cs="宋体"/>
          <w:color w:val="auto"/>
          <w:sz w:val="21"/>
          <w:szCs w:val="21"/>
          <w:highlight w:val="none"/>
        </w:rPr>
        <w:t>22.</w:t>
      </w:r>
      <w:r>
        <w:rPr>
          <w:rFonts w:hint="eastAsia" w:ascii="宋体" w:hAnsi="宋体" w:cs="宋体"/>
          <w:color w:val="auto"/>
          <w:sz w:val="21"/>
          <w:szCs w:val="21"/>
          <w:highlight w:val="none"/>
        </w:rPr>
        <w:t>2“政采云”平台收到投标文件后向供应商发出确认回执通知。在投标截止时间前，除供应商补充、修改或者撤回投标文件外，任何单位和个人不得解密或提取投标文件。</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22.</w:t>
      </w:r>
      <w:r>
        <w:rPr>
          <w:rFonts w:ascii="宋体" w:hAnsi="宋体" w:cs="宋体"/>
          <w:color w:val="auto"/>
          <w:szCs w:val="21"/>
          <w:highlight w:val="none"/>
        </w:rPr>
        <w:t>3</w:t>
      </w:r>
      <w:r>
        <w:rPr>
          <w:rFonts w:hint="eastAsia" w:ascii="宋体" w:hAnsi="宋体" w:cs="宋体"/>
          <w:color w:val="auto"/>
          <w:szCs w:val="21"/>
          <w:highlight w:val="none"/>
        </w:rPr>
        <w:t>在投标截止时间后，采购人和采购代理机构对已提交的投标文件概不退回。</w:t>
      </w:r>
    </w:p>
    <w:p>
      <w:pPr>
        <w:pStyle w:val="4"/>
        <w:keepNext w:val="0"/>
        <w:keepLines w:val="0"/>
        <w:jc w:val="center"/>
        <w:rPr>
          <w:rFonts w:hint="eastAsia"/>
          <w:color w:val="auto"/>
          <w:highlight w:val="none"/>
        </w:rPr>
      </w:pPr>
      <w:bookmarkStart w:id="117" w:name="_Toc254970544"/>
      <w:bookmarkStart w:id="118" w:name="_Toc254970685"/>
      <w:r>
        <w:rPr>
          <w:rFonts w:hint="eastAsia"/>
          <w:color w:val="auto"/>
          <w:highlight w:val="none"/>
        </w:rPr>
        <w:t>四、开    标</w:t>
      </w:r>
      <w:bookmarkEnd w:id="117"/>
      <w:bookmarkEnd w:id="118"/>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19" w:name="_23.开标时间和地点"/>
      <w:bookmarkEnd w:id="119"/>
      <w:r>
        <w:rPr>
          <w:rFonts w:hint="eastAsia" w:ascii="黑体" w:hAnsi="黑体" w:eastAsia="黑体"/>
          <w:color w:val="auto"/>
          <w:sz w:val="24"/>
          <w:highlight w:val="none"/>
        </w:rPr>
        <w:t>23.开标时间和地点</w:t>
      </w:r>
    </w:p>
    <w:p>
      <w:pPr>
        <w:spacing w:line="360" w:lineRule="auto"/>
        <w:ind w:firstLine="420" w:firstLineChars="200"/>
        <w:rPr>
          <w:rFonts w:hint="eastAsia" w:hAnsi="宋体"/>
          <w:bCs/>
          <w:color w:val="auto"/>
          <w:highlight w:val="none"/>
        </w:rPr>
      </w:pPr>
      <w:r>
        <w:rPr>
          <w:rFonts w:hint="eastAsia" w:hAnsi="宋体"/>
          <w:bCs/>
          <w:color w:val="auto"/>
          <w:highlight w:val="none"/>
        </w:rPr>
        <w:t>开标时间及地点详见“投标人须知前附表”</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24.开标程序</w:t>
      </w:r>
    </w:p>
    <w:p>
      <w:pPr>
        <w:pStyle w:val="8"/>
        <w:spacing w:line="360" w:lineRule="auto"/>
        <w:rPr>
          <w:color w:val="auto"/>
          <w:highlight w:val="none"/>
        </w:rPr>
      </w:pPr>
      <w:r>
        <w:rPr>
          <w:rFonts w:hint="eastAsia"/>
          <w:color w:val="auto"/>
          <w:highlight w:val="none"/>
        </w:rPr>
        <w:t>2</w:t>
      </w:r>
      <w:r>
        <w:rPr>
          <w:color w:val="auto"/>
          <w:highlight w:val="none"/>
        </w:rPr>
        <w:t>4.1</w:t>
      </w:r>
      <w:r>
        <w:rPr>
          <w:rFonts w:hint="eastAsia"/>
          <w:color w:val="auto"/>
          <w:highlight w:val="none"/>
        </w:rPr>
        <w:t>提交投标文件截止时间止，投标人不足3家的，不得开标。</w:t>
      </w:r>
    </w:p>
    <w:p>
      <w:pPr>
        <w:pStyle w:val="8"/>
        <w:spacing w:line="360" w:lineRule="auto"/>
        <w:rPr>
          <w:color w:val="auto"/>
          <w:highlight w:val="none"/>
        </w:rPr>
      </w:pPr>
      <w:r>
        <w:rPr>
          <w:rFonts w:hint="eastAsia"/>
          <w:color w:val="auto"/>
          <w:highlight w:val="none"/>
        </w:rPr>
        <w:t>24.</w:t>
      </w:r>
      <w:r>
        <w:rPr>
          <w:color w:val="auto"/>
          <w:highlight w:val="none"/>
        </w:rPr>
        <w:t>2</w:t>
      </w:r>
      <w:r>
        <w:rPr>
          <w:rFonts w:hint="eastAsia"/>
          <w:color w:val="auto"/>
          <w:highlight w:val="none"/>
        </w:rPr>
        <w:t>采购代理机构将按照招标文件规定的时间通过“政采云”平台组织线上开标活动，所有供应商均应当准时在线参加，投标人因未在线参加开标而导致投标文件无法按时解密等一切后果由投标人自己承担。</w:t>
      </w:r>
    </w:p>
    <w:p>
      <w:pPr>
        <w:pStyle w:val="8"/>
        <w:spacing w:line="360" w:lineRule="auto"/>
        <w:rPr>
          <w:rFonts w:hint="eastAsia"/>
          <w:color w:val="auto"/>
          <w:highlight w:val="none"/>
        </w:rPr>
      </w:pPr>
      <w:r>
        <w:rPr>
          <w:rFonts w:hint="eastAsia"/>
          <w:color w:val="auto"/>
          <w:highlight w:val="none"/>
        </w:rPr>
        <w:t>24.</w:t>
      </w:r>
      <w:r>
        <w:rPr>
          <w:color w:val="auto"/>
          <w:highlight w:val="none"/>
        </w:rPr>
        <w:t>3</w:t>
      </w:r>
      <w:r>
        <w:rPr>
          <w:rFonts w:hint="eastAsia"/>
          <w:color w:val="auto"/>
          <w:highlight w:val="none"/>
        </w:rPr>
        <w:t>开标程序</w:t>
      </w:r>
    </w:p>
    <w:p>
      <w:pPr>
        <w:pStyle w:val="8"/>
        <w:spacing w:line="360" w:lineRule="auto"/>
        <w:rPr>
          <w:rFonts w:hint="eastAsia"/>
          <w:color w:val="auto"/>
          <w:highlight w:val="none"/>
        </w:rPr>
      </w:pPr>
      <w:r>
        <w:rPr>
          <w:rFonts w:hint="eastAsia"/>
          <w:color w:val="auto"/>
          <w:highlight w:val="none"/>
        </w:rPr>
        <w:t>（1）解密电子投标文件。“政采云”平台按开标时间自动提取所有投标文件。采购代理机构依托“政采云”平台向各投标人发出电子加密投标文件【开始解密】通知，由投标人按</w:t>
      </w:r>
      <w:r>
        <w:rPr>
          <w:rFonts w:hint="eastAsia" w:hAnsi="宋体"/>
          <w:bCs/>
          <w:color w:val="auto"/>
          <w:szCs w:val="21"/>
          <w:highlight w:val="none"/>
        </w:rPr>
        <w:t>“投标人须知前附表”</w:t>
      </w:r>
      <w:r>
        <w:rPr>
          <w:rFonts w:hint="eastAsia"/>
          <w:color w:val="auto"/>
          <w:highlight w:val="none"/>
        </w:rPr>
        <w:t>规定的时间内自行进行投标文件解密。投标人的法定代表人或其委托代理人须凭加密时所用的CA锁准时登录到“政采云”平台电子开标大厅签到并对电子投标文件解密。</w:t>
      </w:r>
      <w:r>
        <w:rPr>
          <w:b/>
          <w:color w:val="auto"/>
          <w:highlight w:val="none"/>
        </w:rPr>
        <w:t>投标人</w:t>
      </w:r>
      <w:r>
        <w:rPr>
          <w:rFonts w:hint="eastAsia"/>
          <w:b/>
          <w:color w:val="auto"/>
          <w:highlight w:val="none"/>
        </w:rPr>
        <w:t>未在</w:t>
      </w:r>
      <w:r>
        <w:rPr>
          <w:b/>
          <w:color w:val="auto"/>
          <w:highlight w:val="none"/>
        </w:rPr>
        <w:t>规定的时间内解密</w:t>
      </w:r>
      <w:r>
        <w:rPr>
          <w:rFonts w:hint="eastAsia"/>
          <w:b/>
          <w:color w:val="auto"/>
          <w:highlight w:val="none"/>
        </w:rPr>
        <w:t>投标文件</w:t>
      </w:r>
      <w:r>
        <w:rPr>
          <w:b/>
          <w:color w:val="auto"/>
          <w:highlight w:val="none"/>
        </w:rPr>
        <w:t>或</w:t>
      </w:r>
      <w:r>
        <w:rPr>
          <w:rFonts w:hint="eastAsia"/>
          <w:b/>
          <w:color w:val="auto"/>
          <w:highlight w:val="none"/>
        </w:rPr>
        <w:t>者</w:t>
      </w:r>
      <w:r>
        <w:rPr>
          <w:b/>
          <w:color w:val="auto"/>
          <w:highlight w:val="none"/>
        </w:rPr>
        <w:t>解密失败的</w:t>
      </w:r>
      <w:r>
        <w:rPr>
          <w:rFonts w:hint="eastAsia"/>
          <w:b/>
          <w:color w:val="auto"/>
          <w:highlight w:val="none"/>
        </w:rPr>
        <w:t>，</w:t>
      </w:r>
      <w:r>
        <w:rPr>
          <w:rFonts w:hint="eastAsia" w:ascii="宋体" w:hAnsi="宋体"/>
          <w:b/>
          <w:color w:val="auto"/>
          <w:szCs w:val="21"/>
          <w:highlight w:val="none"/>
        </w:rPr>
        <w:t>投标人的投标文件作无效处理。</w:t>
      </w:r>
    </w:p>
    <w:p>
      <w:pPr>
        <w:pStyle w:val="8"/>
        <w:spacing w:line="360" w:lineRule="auto"/>
        <w:rPr>
          <w:rFonts w:hint="eastAsia"/>
          <w:color w:val="auto"/>
          <w:highlight w:val="none"/>
        </w:rPr>
      </w:pPr>
      <w:r>
        <w:rPr>
          <w:rFonts w:hint="eastAsia"/>
          <w:color w:val="auto"/>
          <w:highlight w:val="none"/>
        </w:rPr>
        <w:t>（2）电子唱标。投标文件解密结束，宣布的内容均在“政采云”平台远程开标大厅展示，具体详见</w:t>
      </w:r>
      <w:r>
        <w:rPr>
          <w:rFonts w:hint="eastAsia" w:hAnsi="宋体"/>
          <w:bCs/>
          <w:color w:val="auto"/>
          <w:highlight w:val="none"/>
        </w:rPr>
        <w:t>“投标人须知前附表”</w:t>
      </w:r>
      <w:r>
        <w:rPr>
          <w:rFonts w:hint="eastAsia"/>
          <w:color w:val="auto"/>
          <w:highlight w:val="none"/>
        </w:rPr>
        <w:t>；</w:t>
      </w:r>
    </w:p>
    <w:p>
      <w:pPr>
        <w:pStyle w:val="8"/>
        <w:spacing w:line="360" w:lineRule="auto"/>
        <w:rPr>
          <w:rFonts w:hint="eastAsia"/>
          <w:color w:val="auto"/>
          <w:szCs w:val="21"/>
          <w:highlight w:val="none"/>
        </w:rPr>
      </w:pPr>
      <w:r>
        <w:rPr>
          <w:rFonts w:hint="eastAsia"/>
          <w:color w:val="auto"/>
          <w:highlight w:val="none"/>
        </w:rPr>
        <w:t>（3）开标过程由采购代理机构如实记录，并电子留痕，由参加电子开标的各投标人代表对电子开标记录在开标记录公布后15分钟内进行当</w:t>
      </w:r>
      <w:r>
        <w:rPr>
          <w:rFonts w:hint="eastAsia"/>
          <w:color w:val="auto"/>
          <w:szCs w:val="21"/>
          <w:highlight w:val="none"/>
        </w:rPr>
        <w:t>场校核及勘误，并线上确认是否有异议，未确认的视同认可开标结果。</w:t>
      </w:r>
    </w:p>
    <w:p>
      <w:pPr>
        <w:pStyle w:val="8"/>
        <w:spacing w:line="360" w:lineRule="auto"/>
        <w:rPr>
          <w:rFonts w:hint="eastAsia"/>
          <w:color w:val="auto"/>
          <w:szCs w:val="21"/>
          <w:highlight w:val="none"/>
        </w:rPr>
      </w:pPr>
      <w:r>
        <w:rPr>
          <w:rFonts w:hint="eastAsia"/>
          <w:color w:val="auto"/>
          <w:szCs w:val="21"/>
          <w:highlight w:val="none"/>
        </w:rPr>
        <w:t>（4）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pStyle w:val="8"/>
        <w:spacing w:line="360" w:lineRule="auto"/>
        <w:rPr>
          <w:rFonts w:hint="eastAsia"/>
          <w:color w:val="auto"/>
          <w:szCs w:val="21"/>
          <w:highlight w:val="none"/>
        </w:rPr>
      </w:pPr>
      <w:r>
        <w:rPr>
          <w:rFonts w:hint="eastAsia"/>
          <w:color w:val="auto"/>
          <w:szCs w:val="21"/>
          <w:highlight w:val="none"/>
        </w:rPr>
        <w:t>（5）开标结束。</w:t>
      </w:r>
    </w:p>
    <w:p>
      <w:pPr>
        <w:pStyle w:val="23"/>
        <w:snapToGrid w:val="0"/>
        <w:spacing w:line="360" w:lineRule="auto"/>
        <w:ind w:firstLine="420" w:firstLineChars="200"/>
        <w:rPr>
          <w:rFonts w:hint="eastAsia" w:hAnsi="宋体"/>
          <w:color w:val="auto"/>
          <w:sz w:val="21"/>
          <w:highlight w:val="none"/>
        </w:rPr>
      </w:pPr>
      <w:r>
        <w:rPr>
          <w:rFonts w:hint="eastAsia"/>
          <w:color w:val="auto"/>
          <w:sz w:val="21"/>
          <w:highlight w:val="none"/>
        </w:rPr>
        <w:t>特别说明：如遇“政采云”平台电子化开标或评审程序调整的，按调整后执行。</w:t>
      </w:r>
    </w:p>
    <w:p>
      <w:pPr>
        <w:pStyle w:val="23"/>
        <w:snapToGrid w:val="0"/>
        <w:spacing w:line="360" w:lineRule="auto"/>
        <w:ind w:left="689" w:leftChars="228" w:hanging="210" w:hangingChars="100"/>
        <w:rPr>
          <w:rFonts w:hint="eastAsia" w:hAnsi="宋体"/>
          <w:color w:val="auto"/>
          <w:sz w:val="21"/>
          <w:highlight w:val="none"/>
        </w:rPr>
      </w:pPr>
    </w:p>
    <w:p>
      <w:pPr>
        <w:pStyle w:val="4"/>
        <w:keepNext w:val="0"/>
        <w:keepLines w:val="0"/>
        <w:jc w:val="center"/>
        <w:rPr>
          <w:rFonts w:hint="eastAsia"/>
          <w:color w:val="auto"/>
          <w:highlight w:val="none"/>
        </w:rPr>
      </w:pPr>
      <w:r>
        <w:rPr>
          <w:rFonts w:hint="eastAsia"/>
          <w:color w:val="auto"/>
          <w:highlight w:val="none"/>
        </w:rPr>
        <w:t>五、资格审查</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25.资格审查</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25.1</w:t>
      </w:r>
      <w:r>
        <w:rPr>
          <w:rFonts w:ascii="宋体" w:hAnsi="宋体"/>
          <w:b w:val="0"/>
          <w:color w:val="auto"/>
          <w:sz w:val="21"/>
          <w:szCs w:val="21"/>
          <w:highlight w:val="none"/>
        </w:rPr>
        <w:t>开标结束后，</w:t>
      </w:r>
      <w:r>
        <w:rPr>
          <w:rFonts w:hint="eastAsia" w:ascii="宋体" w:hAnsi="宋体"/>
          <w:b w:val="0"/>
          <w:color w:val="auto"/>
          <w:sz w:val="21"/>
          <w:szCs w:val="21"/>
          <w:highlight w:val="none"/>
        </w:rPr>
        <w:t>采购人或者采购代理机构通过电子开评标系统依据招标文件对电子投标文件进行线上资格审查</w:t>
      </w:r>
      <w:r>
        <w:rPr>
          <w:rFonts w:ascii="宋体" w:hAnsi="宋体"/>
          <w:b w:val="0"/>
          <w:color w:val="auto"/>
          <w:sz w:val="21"/>
          <w:szCs w:val="21"/>
          <w:highlight w:val="none"/>
        </w:rPr>
        <w:t>。</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25.2资格审查标准为本招标文件中载明对投标人资格要求的条件。本项目资格审查采用合格制，凡符合招标文件规定的投标人资格要求的投标人均通过资格审查。</w:t>
      </w:r>
    </w:p>
    <w:p>
      <w:pPr>
        <w:pStyle w:val="6"/>
        <w:keepNext w:val="0"/>
        <w:keepLines w:val="0"/>
        <w:numPr>
          <w:ilvl w:val="0"/>
          <w:numId w:val="0"/>
        </w:numPr>
        <w:spacing w:before="0" w:after="0" w:line="360" w:lineRule="auto"/>
        <w:ind w:firstLine="422" w:firstLineChars="200"/>
        <w:rPr>
          <w:rFonts w:hint="eastAsia" w:ascii="宋体" w:hAnsi="宋体"/>
          <w:color w:val="auto"/>
          <w:sz w:val="21"/>
          <w:szCs w:val="21"/>
          <w:highlight w:val="none"/>
        </w:rPr>
      </w:pPr>
      <w:bookmarkStart w:id="120" w:name="_25.3_投标人有下列情形之一的，资格审查不通过而导致其投标无效："/>
      <w:bookmarkEnd w:id="120"/>
      <w:r>
        <w:rPr>
          <w:rFonts w:hint="eastAsia" w:ascii="宋体" w:hAnsi="宋体"/>
          <w:color w:val="auto"/>
          <w:sz w:val="21"/>
          <w:szCs w:val="21"/>
          <w:highlight w:val="none"/>
        </w:rPr>
        <w:t>25.3 投标人有下列情形之一的，资格审查不通过，作无效投标处理：</w:t>
      </w:r>
    </w:p>
    <w:p>
      <w:pPr>
        <w:pStyle w:val="23"/>
        <w:snapToGrid w:val="0"/>
        <w:spacing w:line="360" w:lineRule="auto"/>
        <w:ind w:firstLine="422" w:firstLineChars="200"/>
        <w:rPr>
          <w:rFonts w:hAnsi="宋体"/>
          <w:b/>
          <w:color w:val="auto"/>
          <w:sz w:val="21"/>
          <w:highlight w:val="none"/>
        </w:rPr>
      </w:pPr>
      <w:r>
        <w:rPr>
          <w:rFonts w:hint="eastAsia" w:hAnsi="宋体"/>
          <w:b/>
          <w:color w:val="auto"/>
          <w:sz w:val="21"/>
          <w:highlight w:val="none"/>
        </w:rPr>
        <w:t>（1）不具备招标文件中规定的资格要求的；</w:t>
      </w:r>
    </w:p>
    <w:p>
      <w:pPr>
        <w:pStyle w:val="23"/>
        <w:snapToGrid w:val="0"/>
        <w:spacing w:line="360" w:lineRule="auto"/>
        <w:ind w:firstLine="422" w:firstLineChars="200"/>
        <w:rPr>
          <w:rFonts w:hAnsi="宋体"/>
          <w:b/>
          <w:color w:val="auto"/>
          <w:sz w:val="21"/>
          <w:highlight w:val="none"/>
        </w:rPr>
      </w:pPr>
      <w:r>
        <w:rPr>
          <w:rFonts w:hint="eastAsia" w:hAnsi="宋体"/>
          <w:b/>
          <w:color w:val="auto"/>
          <w:sz w:val="21"/>
          <w:highlight w:val="none"/>
        </w:rPr>
        <w:t>（2）在“信用中国”网站（www.creditchina.gov.cn）、中国政府采购网（www.ccgp.gov.cn）被列入失信被执行人、重大税收违法失信主体、政府采购严重违法失信行为记录名单及其他不符合《中华人民共和国政府采购法》第二十二条规定条件的；（注：其中信用查询规则见“投标人须知前附表”，“政采云”平台已与“信用中国”网站、中国政府采购网实现数据对接，可直接在线查询）</w:t>
      </w:r>
    </w:p>
    <w:p>
      <w:pPr>
        <w:pStyle w:val="2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（3）同一合同项下的不同投标人，单位负责人为同一人或者存在直接控股、管理关系的；为本项目提供过整体设计、规范编制或者项目管理、监理、检测等服务的供应商，再参加该采购项目的其他采购活动的；</w:t>
      </w:r>
    </w:p>
    <w:p>
      <w:pPr>
        <w:pStyle w:val="2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（4）投标文件中的资格证明文件缺少任一项“投标人须知前附表”资格证明文件规定“必须提供”的文件资料的；</w:t>
      </w:r>
    </w:p>
    <w:p>
      <w:pPr>
        <w:pStyle w:val="23"/>
        <w:snapToGrid w:val="0"/>
        <w:spacing w:line="360" w:lineRule="auto"/>
        <w:ind w:firstLine="422" w:firstLineChars="200"/>
        <w:rPr>
          <w:rFonts w:hint="eastAsia" w:hAnsi="宋体"/>
          <w:b/>
          <w:color w:val="auto"/>
          <w:sz w:val="21"/>
          <w:highlight w:val="none"/>
        </w:rPr>
      </w:pPr>
      <w:r>
        <w:rPr>
          <w:rFonts w:hint="eastAsia" w:hAnsi="宋体"/>
          <w:b/>
          <w:color w:val="auto"/>
          <w:sz w:val="21"/>
          <w:highlight w:val="none"/>
        </w:rPr>
        <w:t>（5）投标文件中的资格证明文件出现任一项不符合“投标人须知前附表”资格证明文件规定“必须提供”的文件资料要求或者无效的。</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color w:val="auto"/>
          <w:sz w:val="21"/>
          <w:szCs w:val="21"/>
          <w:highlight w:val="none"/>
        </w:rPr>
        <w:t>25.4</w:t>
      </w:r>
      <w:r>
        <w:rPr>
          <w:rFonts w:ascii="宋体" w:hAnsi="宋体"/>
          <w:color w:val="auto"/>
          <w:sz w:val="21"/>
          <w:szCs w:val="21"/>
          <w:highlight w:val="none"/>
        </w:rPr>
        <w:t>合格投标人不足3家的，不得评标。</w:t>
      </w:r>
    </w:p>
    <w:p>
      <w:pPr>
        <w:pStyle w:val="23"/>
        <w:snapToGrid w:val="0"/>
        <w:spacing w:line="360" w:lineRule="auto"/>
        <w:ind w:left="689" w:leftChars="228" w:hanging="210" w:hangingChars="100"/>
        <w:rPr>
          <w:rFonts w:hint="eastAsia" w:hAnsi="宋体"/>
          <w:color w:val="auto"/>
          <w:sz w:val="21"/>
          <w:highlight w:val="none"/>
        </w:rPr>
      </w:pPr>
    </w:p>
    <w:p>
      <w:pPr>
        <w:pStyle w:val="4"/>
        <w:keepNext w:val="0"/>
        <w:keepLines w:val="0"/>
        <w:jc w:val="center"/>
        <w:rPr>
          <w:rFonts w:hint="eastAsia"/>
          <w:color w:val="auto"/>
          <w:highlight w:val="none"/>
        </w:rPr>
      </w:pPr>
      <w:r>
        <w:rPr>
          <w:rFonts w:hint="eastAsia"/>
          <w:color w:val="auto"/>
          <w:highlight w:val="none"/>
        </w:rPr>
        <w:t>六、评   标</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21" w:name="_26.组建评标委员会"/>
      <w:bookmarkEnd w:id="121"/>
      <w:r>
        <w:rPr>
          <w:rFonts w:hint="eastAsia" w:ascii="黑体" w:hAnsi="黑体" w:eastAsia="黑体"/>
          <w:color w:val="auto"/>
          <w:sz w:val="24"/>
          <w:highlight w:val="none"/>
        </w:rPr>
        <w:t>26.组建评标委员会</w:t>
      </w:r>
    </w:p>
    <w:p>
      <w:pPr>
        <w:pStyle w:val="2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26.1评标委员会由采购人代表和评审专家组成，具体人数详见“投标人须知前附表”，其中评审专家不得少于成员总数的三分之二。</w:t>
      </w:r>
    </w:p>
    <w:p>
      <w:pPr>
        <w:pStyle w:val="23"/>
        <w:snapToGrid w:val="0"/>
        <w:spacing w:line="360" w:lineRule="auto"/>
        <w:ind w:left="2" w:leftChars="1" w:firstLine="420" w:firstLineChars="200"/>
        <w:rPr>
          <w:rFonts w:hint="eastAsia" w:hAnsi="宋体"/>
          <w:color w:val="auto"/>
          <w:sz w:val="21"/>
          <w:highlight w:val="none"/>
        </w:rPr>
      </w:pPr>
      <w:r>
        <w:rPr>
          <w:rFonts w:hint="eastAsia" w:hAnsi="宋体"/>
          <w:color w:val="auto"/>
          <w:sz w:val="21"/>
          <w:highlight w:val="none"/>
        </w:rPr>
        <w:t>26.2参加过采购项目前期咨询论证的专家，不得参加该采购项目的评审活动。</w:t>
      </w:r>
    </w:p>
    <w:p>
      <w:pPr>
        <w:pStyle w:val="23"/>
        <w:snapToGrid w:val="0"/>
        <w:spacing w:line="360" w:lineRule="auto"/>
        <w:ind w:left="2" w:leftChars="1" w:firstLine="420" w:firstLineChars="200"/>
        <w:rPr>
          <w:rFonts w:hint="eastAsia" w:hAnsi="宋体"/>
          <w:color w:val="auto"/>
          <w:sz w:val="21"/>
          <w:highlight w:val="none"/>
        </w:rPr>
      </w:pPr>
      <w:r>
        <w:rPr>
          <w:rFonts w:hint="eastAsia" w:hAnsi="宋体"/>
          <w:color w:val="auto"/>
          <w:sz w:val="21"/>
          <w:highlight w:val="none"/>
        </w:rPr>
        <w:t>26.3</w:t>
      </w:r>
      <w:r>
        <w:rPr>
          <w:rFonts w:hint="eastAsia" w:hAnsi="宋体"/>
          <w:bCs/>
          <w:color w:val="auto"/>
          <w:sz w:val="21"/>
          <w:highlight w:val="none"/>
        </w:rPr>
        <w:t>采购代理机构应当基于“政采云”平台</w:t>
      </w:r>
      <w:r>
        <w:rPr>
          <w:rFonts w:hint="eastAsia" w:hAnsi="宋体"/>
          <w:bCs/>
          <w:color w:val="auto"/>
          <w:sz w:val="21"/>
          <w:highlight w:val="none"/>
          <w:lang w:eastAsia="zh-CN"/>
        </w:rPr>
        <w:t>抽（选）取</w:t>
      </w:r>
      <w:r>
        <w:rPr>
          <w:rFonts w:hint="eastAsia" w:hAnsi="宋体"/>
          <w:bCs/>
          <w:color w:val="auto"/>
          <w:sz w:val="21"/>
          <w:highlight w:val="none"/>
        </w:rPr>
        <w:t>评审专家。</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27.评标的依据</w:t>
      </w:r>
    </w:p>
    <w:p>
      <w:pPr>
        <w:pStyle w:val="2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评标委员会以</w:t>
      </w:r>
      <w:r>
        <w:rPr>
          <w:rFonts w:hint="eastAsia" w:hAnsi="宋体" w:cs="宋体"/>
          <w:color w:val="auto"/>
          <w:sz w:val="21"/>
          <w:highlight w:val="none"/>
        </w:rPr>
        <w:t>“第四章 评标方法和评标标准”</w:t>
      </w:r>
      <w:r>
        <w:rPr>
          <w:rFonts w:hint="eastAsia" w:hAnsi="宋体"/>
          <w:color w:val="auto"/>
          <w:sz w:val="21"/>
          <w:highlight w:val="none"/>
        </w:rPr>
        <w:t>为依据对投标文件进行评审，</w:t>
      </w:r>
      <w:r>
        <w:rPr>
          <w:rFonts w:hAnsi="宋体"/>
          <w:color w:val="auto"/>
          <w:sz w:val="21"/>
          <w:highlight w:val="none"/>
        </w:rPr>
        <w:t>没有规定的方法、评审因素和标准，不作为评标依据。</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28.评标原则</w:t>
      </w:r>
    </w:p>
    <w:p>
      <w:pPr>
        <w:pStyle w:val="2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28.1评标原则。评标委员会评标时必须公平、公正、客观，不带任何倾向性和启发性；不得向外界透露任何与评标有关的内容；任何单位和个人不得干扰、影响评标的正常进行；评标委员会及有关工作人员不得私下与投标人接触，不得收受利害关系人的财物或者其他好处。</w:t>
      </w:r>
    </w:p>
    <w:p>
      <w:pPr>
        <w:pStyle w:val="2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28.2</w:t>
      </w:r>
      <w:bookmarkStart w:id="122" w:name="_28.3评标方法。本项目将按须知前附表规定的评标办法进行评标，具体评标"/>
      <w:bookmarkEnd w:id="122"/>
      <w:r>
        <w:rPr>
          <w:rFonts w:hint="eastAsia" w:hAnsi="宋体"/>
          <w:color w:val="auto"/>
          <w:sz w:val="21"/>
          <w:highlight w:val="none"/>
        </w:rPr>
        <w:t>评委表决。评标委员会成员对需要共同认定的事项存在争议的，应当按照少数服从多数的原则作出结论。</w:t>
      </w:r>
    </w:p>
    <w:p>
      <w:pPr>
        <w:pStyle w:val="23"/>
        <w:snapToGrid w:val="0"/>
        <w:spacing w:line="360" w:lineRule="auto"/>
        <w:ind w:firstLine="420" w:firstLineChars="200"/>
        <w:rPr>
          <w:rFonts w:hAnsi="宋体"/>
          <w:color w:val="auto"/>
          <w:sz w:val="21"/>
          <w:highlight w:val="none"/>
        </w:rPr>
      </w:pPr>
      <w:r>
        <w:rPr>
          <w:rFonts w:hint="eastAsia" w:hAnsi="宋体"/>
          <w:color w:val="auto"/>
          <w:sz w:val="21"/>
          <w:highlight w:val="none"/>
        </w:rPr>
        <w:t>28.</w:t>
      </w:r>
      <w:r>
        <w:rPr>
          <w:rFonts w:hAnsi="宋体"/>
          <w:color w:val="auto"/>
          <w:sz w:val="21"/>
          <w:highlight w:val="none"/>
        </w:rPr>
        <w:t>3</w:t>
      </w:r>
      <w:r>
        <w:rPr>
          <w:rFonts w:hint="eastAsia" w:hAnsi="宋体"/>
          <w:color w:val="auto"/>
          <w:sz w:val="21"/>
          <w:highlight w:val="none"/>
        </w:rPr>
        <w:t>评标的保密。采购人、采购代理机构应当采取必要措施，保证评标在严格保密（封闭式评标）的情况下进行。除采购人代表、评标现场组织人员外，采购人的其他工作人员以及与评标工作无关的人员不得进入评标现场。有关人员对评标情况以及在评标过程中获悉的国家秘密、商业秘密负有保密责任。</w:t>
      </w:r>
    </w:p>
    <w:p>
      <w:pPr>
        <w:pStyle w:val="2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2</w:t>
      </w:r>
      <w:r>
        <w:rPr>
          <w:rFonts w:hAnsi="宋体"/>
          <w:color w:val="auto"/>
          <w:sz w:val="21"/>
          <w:highlight w:val="none"/>
        </w:rPr>
        <w:t>8.4</w:t>
      </w:r>
      <w:r>
        <w:rPr>
          <w:rFonts w:hint="eastAsia" w:hAnsi="宋体"/>
          <w:color w:val="auto"/>
          <w:sz w:val="21"/>
          <w:highlight w:val="none"/>
        </w:rPr>
        <w:t>评标过程的监控。本项目电子评标过程实行网上留痕、全程录音、录像监控，</w:t>
      </w:r>
      <w:r>
        <w:rPr>
          <w:rFonts w:hint="eastAsia" w:hAnsi="宋体"/>
          <w:b/>
          <w:color w:val="auto"/>
          <w:sz w:val="21"/>
          <w:highlight w:val="none"/>
        </w:rPr>
        <w:t>投标人在评标过程中所进行的试图影响评标结果的不公正活动，可能导致其投标按无效处理。</w:t>
      </w:r>
    </w:p>
    <w:p>
      <w:pPr>
        <w:pStyle w:val="6"/>
        <w:keepNext w:val="0"/>
        <w:keepLines w:val="0"/>
        <w:spacing w:before="0" w:after="0" w:line="360" w:lineRule="auto"/>
        <w:ind w:left="420" w:leftChars="200"/>
        <w:rPr>
          <w:rFonts w:hint="eastAsia" w:ascii="黑体" w:hAnsi="黑体" w:eastAsia="黑体"/>
          <w:color w:val="auto"/>
          <w:sz w:val="21"/>
          <w:szCs w:val="21"/>
          <w:highlight w:val="none"/>
        </w:rPr>
      </w:pPr>
      <w:r>
        <w:rPr>
          <w:rFonts w:hint="eastAsia" w:ascii="黑体" w:hAnsi="黑体" w:eastAsia="黑体"/>
          <w:color w:val="auto"/>
          <w:sz w:val="21"/>
          <w:szCs w:val="21"/>
          <w:highlight w:val="none"/>
        </w:rPr>
        <w:t>29.评标方法及中标候选人推荐</w:t>
      </w:r>
    </w:p>
    <w:p>
      <w:pPr>
        <w:pStyle w:val="23"/>
        <w:snapToGrid w:val="0"/>
        <w:spacing w:line="360" w:lineRule="auto"/>
        <w:ind w:firstLine="420" w:firstLineChars="200"/>
        <w:rPr>
          <w:rFonts w:hAnsi="宋体"/>
          <w:color w:val="auto"/>
          <w:sz w:val="21"/>
          <w:highlight w:val="none"/>
        </w:rPr>
      </w:pPr>
      <w:r>
        <w:rPr>
          <w:rFonts w:hint="eastAsia" w:hAnsi="宋体"/>
          <w:color w:val="auto"/>
          <w:sz w:val="21"/>
          <w:highlight w:val="none"/>
        </w:rPr>
        <w:t>2</w:t>
      </w:r>
      <w:r>
        <w:rPr>
          <w:rFonts w:hAnsi="宋体"/>
          <w:color w:val="auto"/>
          <w:sz w:val="21"/>
          <w:highlight w:val="none"/>
        </w:rPr>
        <w:t>9.1</w:t>
      </w:r>
      <w:r>
        <w:rPr>
          <w:rFonts w:hint="eastAsia" w:hAnsi="宋体"/>
          <w:color w:val="auto"/>
          <w:sz w:val="21"/>
          <w:highlight w:val="none"/>
        </w:rPr>
        <w:t>本项目的评标方法详见“投标人须知前附表”。</w:t>
      </w:r>
    </w:p>
    <w:p>
      <w:pPr>
        <w:pStyle w:val="23"/>
        <w:snapToGrid w:val="0"/>
        <w:spacing w:line="360" w:lineRule="auto"/>
        <w:ind w:firstLine="420" w:firstLineChars="200"/>
        <w:rPr>
          <w:rFonts w:hAnsi="宋体"/>
          <w:color w:val="auto"/>
          <w:sz w:val="21"/>
          <w:highlight w:val="none"/>
        </w:rPr>
      </w:pPr>
      <w:r>
        <w:rPr>
          <w:rFonts w:hint="eastAsia" w:hAnsi="宋体"/>
          <w:color w:val="auto"/>
          <w:sz w:val="21"/>
          <w:highlight w:val="none"/>
        </w:rPr>
        <w:t>2</w:t>
      </w:r>
      <w:r>
        <w:rPr>
          <w:rFonts w:hAnsi="宋体"/>
          <w:color w:val="auto"/>
          <w:sz w:val="21"/>
          <w:highlight w:val="none"/>
        </w:rPr>
        <w:t>9.2</w:t>
      </w:r>
      <w:r>
        <w:rPr>
          <w:rFonts w:hAnsi="宋体" w:cs="宋体"/>
          <w:color w:val="auto"/>
          <w:sz w:val="21"/>
          <w:highlight w:val="none"/>
        </w:rPr>
        <w:t xml:space="preserve"> </w:t>
      </w:r>
      <w:r>
        <w:rPr>
          <w:rFonts w:hint="eastAsia" w:hAnsi="宋体" w:cs="宋体"/>
          <w:color w:val="auto"/>
          <w:sz w:val="21"/>
          <w:highlight w:val="none"/>
        </w:rPr>
        <w:t>商务/技术要求</w:t>
      </w:r>
      <w:r>
        <w:rPr>
          <w:rFonts w:hint="eastAsia" w:hAnsi="宋体"/>
          <w:color w:val="auto"/>
          <w:sz w:val="21"/>
          <w:highlight w:val="none"/>
        </w:rPr>
        <w:t>允许负偏离的条款数</w:t>
      </w:r>
      <w:r>
        <w:rPr>
          <w:rFonts w:hAnsi="宋体"/>
          <w:color w:val="auto"/>
          <w:sz w:val="21"/>
          <w:highlight w:val="none"/>
        </w:rPr>
        <w:t>详见</w:t>
      </w:r>
      <w:r>
        <w:rPr>
          <w:rFonts w:hint="eastAsia" w:hAnsi="宋体"/>
          <w:color w:val="auto"/>
          <w:sz w:val="21"/>
          <w:highlight w:val="none"/>
        </w:rPr>
        <w:t>“投标人须知前附表”。</w:t>
      </w:r>
    </w:p>
    <w:p>
      <w:pPr>
        <w:pStyle w:val="23"/>
        <w:snapToGrid w:val="0"/>
        <w:spacing w:line="360" w:lineRule="auto"/>
        <w:ind w:firstLine="420" w:firstLineChars="200"/>
        <w:rPr>
          <w:rFonts w:hint="eastAsia" w:hAnsi="宋体" w:cs="宋体"/>
          <w:color w:val="auto"/>
          <w:sz w:val="21"/>
          <w:highlight w:val="none"/>
        </w:rPr>
      </w:pPr>
      <w:r>
        <w:rPr>
          <w:rFonts w:hint="eastAsia" w:hAnsi="宋体"/>
          <w:color w:val="auto"/>
          <w:sz w:val="21"/>
          <w:highlight w:val="none"/>
        </w:rPr>
        <w:t>2</w:t>
      </w:r>
      <w:r>
        <w:rPr>
          <w:rFonts w:hAnsi="宋体"/>
          <w:color w:val="auto"/>
          <w:sz w:val="21"/>
          <w:highlight w:val="none"/>
        </w:rPr>
        <w:t>9.3</w:t>
      </w:r>
      <w:r>
        <w:rPr>
          <w:rFonts w:hAnsi="宋体" w:cs="宋体"/>
          <w:color w:val="auto"/>
          <w:sz w:val="21"/>
          <w:highlight w:val="none"/>
        </w:rPr>
        <w:t xml:space="preserve"> </w:t>
      </w:r>
      <w:r>
        <w:rPr>
          <w:rFonts w:hAnsi="宋体"/>
          <w:color w:val="auto"/>
          <w:sz w:val="21"/>
          <w:highlight w:val="none"/>
        </w:rPr>
        <w:t>中标候选人推荐数量详见</w:t>
      </w:r>
      <w:r>
        <w:rPr>
          <w:rFonts w:hint="eastAsia" w:hAnsi="宋体"/>
          <w:color w:val="auto"/>
          <w:sz w:val="21"/>
          <w:highlight w:val="none"/>
        </w:rPr>
        <w:t>“投标人须知前附表”。</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29.</w:t>
      </w:r>
      <w:r>
        <w:rPr>
          <w:rFonts w:hAnsi="宋体"/>
          <w:color w:val="auto"/>
          <w:szCs w:val="21"/>
          <w:highlight w:val="none"/>
        </w:rPr>
        <w:t>4</w:t>
      </w:r>
      <w:r>
        <w:rPr>
          <w:rFonts w:hint="eastAsia" w:hAnsi="宋体"/>
          <w:color w:val="auto"/>
          <w:szCs w:val="21"/>
          <w:highlight w:val="none"/>
        </w:rPr>
        <w:t xml:space="preserve"> 电子交易活动的中止。采购过程中出现以下情形，导致电子交易平台无法正常运行，或者无法保证电子交易的公平、公正和安全时，采购代理机构可以中止电子交易活动：</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 xml:space="preserve">（1）电子交易平台发生故障而无法登录访问的； </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（2）电子交易平台应用或数据库出现错误，不能进行正常操作的；</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（3）电子交易平台发现严重安全漏洞，有潜在泄密危险的；</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 xml:space="preserve">（4）病毒发作导致不能进行正常操作的； </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（5）其他无法保证电子交易的公平、公正和安全的情况。</w:t>
      </w:r>
    </w:p>
    <w:p>
      <w:pPr>
        <w:spacing w:line="360" w:lineRule="auto"/>
        <w:ind w:firstLine="420" w:firstLineChars="200"/>
        <w:rPr>
          <w:rFonts w:hint="eastAsia" w:hAnsi="宋体"/>
          <w:color w:val="auto"/>
          <w:szCs w:val="21"/>
          <w:highlight w:val="none"/>
        </w:rPr>
      </w:pPr>
      <w:r>
        <w:rPr>
          <w:rFonts w:hint="eastAsia" w:hAnsi="宋体"/>
          <w:color w:val="auto"/>
          <w:szCs w:val="21"/>
          <w:highlight w:val="none"/>
        </w:rPr>
        <w:t>出现以上情形，不影响采购公平、公正性的，采购代理机构可以待上述情形消除后继续组织电子交易活动；影响或可能影响采购公平、公正性的，经采购代理机构确认、报采购人同意后，终止电子采购活动，应当重新采购。采购代理机构必须对原有的资料及信息作出妥善保密处理，并报财政部门备案。</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29.5出现下列情形之一的，应予废标：</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（1）符合专业条件的供应商或者对招标文件作实质响应的供应商不足三家的；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（2）出现影响采购公正的违法、违规行为的；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（3）投标人的报价均超过了采购预算，采购人不能支付的；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（4）因重大变故，采购任务取消的。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废标后，采购人应当将废标理由通知所有投标人。</w:t>
      </w:r>
    </w:p>
    <w:p>
      <w:pPr>
        <w:pStyle w:val="23"/>
        <w:snapToGrid w:val="0"/>
        <w:spacing w:line="360" w:lineRule="auto"/>
        <w:rPr>
          <w:rFonts w:hint="eastAsia" w:hAnsi="宋体"/>
          <w:color w:val="auto"/>
          <w:sz w:val="21"/>
          <w:highlight w:val="none"/>
          <w:lang w:val="en-US"/>
        </w:rPr>
      </w:pPr>
    </w:p>
    <w:p>
      <w:pPr>
        <w:pStyle w:val="4"/>
        <w:keepNext w:val="0"/>
        <w:keepLines w:val="0"/>
        <w:jc w:val="center"/>
        <w:rPr>
          <w:rFonts w:hint="eastAsia"/>
          <w:color w:val="auto"/>
          <w:highlight w:val="none"/>
        </w:rPr>
      </w:pPr>
      <w:bookmarkStart w:id="123" w:name="_Toc254970687"/>
      <w:bookmarkStart w:id="124" w:name="_Toc254970546"/>
      <w:r>
        <w:rPr>
          <w:rFonts w:hint="eastAsia"/>
          <w:color w:val="auto"/>
          <w:highlight w:val="none"/>
        </w:rPr>
        <w:t>七、</w:t>
      </w:r>
      <w:bookmarkEnd w:id="123"/>
      <w:bookmarkEnd w:id="124"/>
      <w:r>
        <w:rPr>
          <w:rFonts w:hint="eastAsia"/>
          <w:color w:val="auto"/>
          <w:highlight w:val="none"/>
        </w:rPr>
        <w:t>中标和合同</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30</w:t>
      </w:r>
      <w:r>
        <w:rPr>
          <w:rFonts w:ascii="黑体" w:hAnsi="黑体" w:eastAsia="黑体"/>
          <w:color w:val="auto"/>
          <w:sz w:val="24"/>
          <w:highlight w:val="none"/>
        </w:rPr>
        <w:t xml:space="preserve"> </w:t>
      </w:r>
      <w:r>
        <w:rPr>
          <w:rFonts w:hint="eastAsia" w:ascii="黑体" w:hAnsi="黑体" w:eastAsia="黑体"/>
          <w:color w:val="auto"/>
          <w:sz w:val="24"/>
          <w:highlight w:val="none"/>
          <w:lang w:eastAsia="zh-CN"/>
        </w:rPr>
        <w:t>.</w:t>
      </w:r>
      <w:r>
        <w:rPr>
          <w:rFonts w:hint="eastAsia" w:ascii="黑体" w:hAnsi="黑体" w:eastAsia="黑体"/>
          <w:color w:val="auto"/>
          <w:sz w:val="24"/>
          <w:highlight w:val="none"/>
        </w:rPr>
        <w:t>确定中标人</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ascii="宋体" w:hAnsi="宋体"/>
          <w:b w:val="0"/>
          <w:color w:val="auto"/>
          <w:sz w:val="21"/>
          <w:szCs w:val="21"/>
          <w:highlight w:val="none"/>
        </w:rPr>
        <w:t>30.1</w:t>
      </w:r>
      <w:r>
        <w:rPr>
          <w:rFonts w:hint="eastAsia" w:ascii="宋体" w:hAnsi="宋体"/>
          <w:b w:val="0"/>
          <w:color w:val="auto"/>
          <w:sz w:val="21"/>
          <w:szCs w:val="21"/>
          <w:highlight w:val="none"/>
        </w:rPr>
        <w:t>采购代理机构在评标结束之日起2个工作日内将评标报告送采购人，采购人在收到评标报告之日起5个工作日内，在评标报告确定的中标候选人名单中按顺序确定中标人。中标候选人并列的，按照“投标人须知前附表”规定的方式确定中标人。采购人也可以事先授权评标委员会直接确定中标人。</w:t>
      </w:r>
    </w:p>
    <w:p>
      <w:pPr>
        <w:snapToGrid w:val="0"/>
        <w:spacing w:line="360" w:lineRule="auto"/>
        <w:ind w:firstLine="420" w:firstLineChars="200"/>
        <w:rPr>
          <w:rFonts w:hint="eastAsia" w:ascii="宋体" w:hAnsi="宋体" w:cs="Courier New"/>
          <w:color w:val="auto"/>
          <w:szCs w:val="21"/>
          <w:highlight w:val="none"/>
        </w:rPr>
      </w:pPr>
      <w:r>
        <w:rPr>
          <w:rFonts w:ascii="宋体" w:hAnsi="宋体" w:cs="Courier New"/>
          <w:color w:val="auto"/>
          <w:szCs w:val="21"/>
          <w:highlight w:val="none"/>
        </w:rPr>
        <w:t>30.2</w:t>
      </w:r>
      <w:r>
        <w:rPr>
          <w:rFonts w:hint="eastAsia" w:ascii="宋体" w:hAnsi="宋体" w:cs="Courier New"/>
          <w:color w:val="auto"/>
          <w:szCs w:val="21"/>
          <w:highlight w:val="none"/>
        </w:rPr>
        <w:t>采购人在收到评标报告5个工作日内未按评标报告推荐的中标候选人顺序确定中标人，又不能说明合法理由的，视同按评标报告推荐的顺序确定排名第一的中标候选人为中标人。</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31. 结果公告</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1.1</w:t>
      </w:r>
      <w:r>
        <w:rPr>
          <w:rFonts w:hint="eastAsia" w:ascii="宋体" w:hAnsi="宋体"/>
          <w:b w:val="0"/>
          <w:color w:val="auto"/>
          <w:sz w:val="21"/>
          <w:szCs w:val="21"/>
          <w:highlight w:val="none"/>
        </w:rPr>
        <w:t>采购人或者采购代理机构应当自中标人确定之日起2个工作日内，在省级以上财政部门指定的媒体上公告中标结果，招标文件应当随中标结果同时公告。采购人或者采购代理发出中标通知书前，应当对中标人信用进行查询，对列入失信被执行人、重大税收违法失信主体、政府采购严重违法失信行为记录名单及其他不符合《中华人民共和国政府采购法》第二十二条规定条件的投标人，取消其中标资格，并确定排名第二的中标候选人为中标人。排名第二的中标候选人因前款规定的同样原因被取消中标资格的，采购人可以确定排名第三的中标候选人为中标人，以此类推。</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以上信息查询记录及相关证据与招标文件一并保存。</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31.2中标供应商享受《政府采购促进中小企业发展管理办法》（财库〔2020〕46号）规定的中小企业扶持政策的，采购人、采购代理机构应当随中标结果公开中标供应商的《中小企业声明函》。</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32.发出中标通知书</w:t>
      </w:r>
    </w:p>
    <w:p>
      <w:pPr>
        <w:pStyle w:val="6"/>
        <w:keepNext w:val="0"/>
        <w:keepLines w:val="0"/>
        <w:spacing w:before="0" w:after="0" w:line="360" w:lineRule="auto"/>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 xml:space="preserve">   </w:t>
      </w:r>
      <w:r>
        <w:rPr>
          <w:rFonts w:hint="eastAsia" w:ascii="宋体" w:hAnsi="宋体"/>
          <w:b w:val="0"/>
          <w:color w:val="auto"/>
          <w:sz w:val="21"/>
          <w:szCs w:val="21"/>
          <w:highlight w:val="none"/>
        </w:rPr>
        <w:t>在发布中标公告的同时，采购代理机构向中标人通过“政采云”平台发出电子中标通知书。对未通过资格审查的投标人，应当告知其未通过的原因；采用综合评分办法评审的，还应当告知未中标人本人的评审得分与排序。</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33. 无义务解释未中标原因</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采购代理机构无义务向未中标的投标人解释未中标原因。</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34.合同授予标准</w:t>
      </w:r>
    </w:p>
    <w:p>
      <w:pPr>
        <w:snapToGrid w:val="0"/>
        <w:spacing w:line="360" w:lineRule="auto"/>
        <w:ind w:firstLine="420" w:firstLineChars="200"/>
        <w:rPr>
          <w:rFonts w:hint="eastAsia" w:ascii="宋体" w:hAnsi="宋体"/>
          <w:color w:val="auto"/>
          <w:szCs w:val="21"/>
          <w:highlight w:val="none"/>
        </w:rPr>
      </w:pPr>
      <w:r>
        <w:rPr>
          <w:rFonts w:hint="eastAsia" w:ascii="宋体" w:hAnsi="宋体" w:cs="Courier New"/>
          <w:color w:val="auto"/>
          <w:szCs w:val="21"/>
          <w:highlight w:val="none"/>
        </w:rPr>
        <w:t>合同将授予被确定实质上响应招标文件要求，具备履行合同能力的中标人。</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35.履约保证金</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bookmarkStart w:id="125" w:name="_39.1中标人须于签订合同前按本须知前附表规定的金额转账或电汇到指定账"/>
      <w:bookmarkEnd w:id="125"/>
      <w:r>
        <w:rPr>
          <w:rFonts w:ascii="宋体" w:hAnsi="宋体"/>
          <w:b w:val="0"/>
          <w:color w:val="auto"/>
          <w:sz w:val="21"/>
          <w:szCs w:val="21"/>
          <w:highlight w:val="none"/>
        </w:rPr>
        <w:t xml:space="preserve"> </w:t>
      </w:r>
      <w:r>
        <w:rPr>
          <w:rFonts w:hint="eastAsia" w:ascii="宋体" w:hAnsi="宋体"/>
          <w:b w:val="0"/>
          <w:color w:val="auto"/>
          <w:sz w:val="21"/>
          <w:szCs w:val="21"/>
          <w:highlight w:val="none"/>
        </w:rPr>
        <w:t>3</w:t>
      </w:r>
      <w:r>
        <w:rPr>
          <w:rFonts w:ascii="宋体" w:hAnsi="宋体"/>
          <w:b w:val="0"/>
          <w:color w:val="auto"/>
          <w:sz w:val="21"/>
          <w:szCs w:val="21"/>
          <w:highlight w:val="none"/>
        </w:rPr>
        <w:t>5</w:t>
      </w:r>
      <w:r>
        <w:rPr>
          <w:rFonts w:hint="eastAsia" w:ascii="宋体" w:hAnsi="宋体"/>
          <w:b w:val="0"/>
          <w:color w:val="auto"/>
          <w:sz w:val="21"/>
          <w:szCs w:val="21"/>
          <w:highlight w:val="none"/>
        </w:rPr>
        <w:t>.1 履约保证金的金额、提交方式、退付的时间和条件详见 “投标人须知前附表”。中标人未按规定提交履约保证金的，视为拒绝与采购人签订合同。</w:t>
      </w:r>
    </w:p>
    <w:p>
      <w:pPr>
        <w:pStyle w:val="6"/>
        <w:keepNext w:val="0"/>
        <w:keepLines w:val="0"/>
        <w:spacing w:before="0" w:after="0" w:line="360" w:lineRule="auto"/>
        <w:ind w:firstLine="316" w:firstLineChars="150"/>
        <w:rPr>
          <w:rFonts w:hint="eastAsia" w:ascii="宋体" w:hAnsi="宋体"/>
          <w:color w:val="auto"/>
          <w:sz w:val="21"/>
          <w:szCs w:val="21"/>
          <w:highlight w:val="none"/>
        </w:rPr>
      </w:pPr>
      <w:r>
        <w:rPr>
          <w:rFonts w:hint="eastAsia" w:ascii="宋体" w:hAnsi="宋体"/>
          <w:color w:val="auto"/>
          <w:sz w:val="21"/>
          <w:szCs w:val="21"/>
          <w:highlight w:val="none"/>
        </w:rPr>
        <w:t xml:space="preserve"> </w:t>
      </w:r>
      <w:r>
        <w:rPr>
          <w:rFonts w:hint="eastAsia" w:ascii="宋体" w:hAnsi="宋体"/>
          <w:b w:val="0"/>
          <w:bCs/>
          <w:color w:val="auto"/>
          <w:sz w:val="21"/>
          <w:szCs w:val="21"/>
          <w:highlight w:val="none"/>
        </w:rPr>
        <w:t>35.2在履约保证金退还日期前，若中标人的开户名称、开户银行、账号有变动的，请以书面形式通知履约保证金收取单位，否则由此产生的后果由中标人自行承担。</w:t>
      </w:r>
    </w:p>
    <w:p>
      <w:pPr>
        <w:pStyle w:val="6"/>
        <w:keepNext w:val="0"/>
        <w:keepLines w:val="0"/>
        <w:spacing w:before="0" w:after="0" w:line="360" w:lineRule="auto"/>
        <w:ind w:left="420" w:leftChars="200"/>
        <w:rPr>
          <w:rFonts w:hint="eastAsia" w:ascii="黑体" w:hAnsi="黑体" w:eastAsia="黑体"/>
          <w:color w:val="auto"/>
          <w:sz w:val="24"/>
          <w:highlight w:val="none"/>
        </w:rPr>
      </w:pPr>
      <w:r>
        <w:rPr>
          <w:rFonts w:hint="eastAsia" w:ascii="黑体" w:hAnsi="黑体" w:eastAsia="黑体"/>
          <w:color w:val="auto"/>
          <w:sz w:val="24"/>
          <w:highlight w:val="none"/>
        </w:rPr>
        <w:t>36.签订合同</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bookmarkStart w:id="126" w:name="_40.1投标人接到中标通知书后，按须知前附表规定向采购人出示相关资格证"/>
      <w:bookmarkEnd w:id="126"/>
      <w:r>
        <w:rPr>
          <w:rFonts w:hint="eastAsia" w:ascii="宋体" w:hAnsi="宋体"/>
          <w:b w:val="0"/>
          <w:color w:val="auto"/>
          <w:sz w:val="21"/>
          <w:szCs w:val="21"/>
          <w:highlight w:val="none"/>
        </w:rPr>
        <w:t xml:space="preserve"> </w:t>
      </w:r>
      <w:r>
        <w:rPr>
          <w:rFonts w:hint="eastAsia" w:ascii="宋体" w:hAnsi="宋体"/>
          <w:color w:val="auto"/>
          <w:sz w:val="21"/>
          <w:szCs w:val="21"/>
          <w:highlight w:val="none"/>
        </w:rPr>
        <w:t>36.1签订电子采购合同：中标人领取电子中标通知书后，</w:t>
      </w:r>
      <w:r>
        <w:rPr>
          <w:rFonts w:hint="eastAsia" w:ascii="宋体" w:hAnsi="宋体"/>
          <w:color w:val="auto"/>
          <w:kern w:val="0"/>
          <w:sz w:val="21"/>
          <w:szCs w:val="21"/>
          <w:highlight w:val="none"/>
        </w:rPr>
        <w:t>在</w:t>
      </w:r>
      <w:r>
        <w:rPr>
          <w:rFonts w:hint="eastAsia" w:ascii="宋体" w:hAnsi="宋体"/>
          <w:color w:val="auto"/>
          <w:kern w:val="0"/>
          <w:sz w:val="21"/>
          <w:szCs w:val="21"/>
          <w:highlight w:val="none"/>
          <w:lang w:val="zh-CN"/>
        </w:rPr>
        <w:t>规定的日期、时间、地点，由法定代表人或其授权代表与采购人代表签订电子采购合同。如中标人为联合体的，由联合体成员各方法定代表人或其授权代表与采购人代表签订合同。</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线下签订纸质合同：投标人领取中标通知书后，按“投标人须知前附表”规定向采购人出示相关证明材料，经采购人核验合格后方可签订合同。</w:t>
      </w:r>
    </w:p>
    <w:p>
      <w:pPr>
        <w:pStyle w:val="6"/>
        <w:keepNext w:val="0"/>
        <w:keepLines w:val="0"/>
        <w:numPr>
          <w:ilvl w:val="0"/>
          <w:numId w:val="0"/>
        </w:numPr>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36.2签订合同时间：按中标通知书规定的时间与采购人签订合同。</w:t>
      </w:r>
    </w:p>
    <w:p>
      <w:pPr>
        <w:pStyle w:val="6"/>
        <w:keepNext w:val="0"/>
        <w:keepLines w:val="0"/>
        <w:spacing w:before="0" w:after="0" w:line="360" w:lineRule="auto"/>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36.</w:t>
      </w:r>
      <w:r>
        <w:rPr>
          <w:rFonts w:ascii="宋体" w:hAnsi="宋体"/>
          <w:b w:val="0"/>
          <w:color w:val="auto"/>
          <w:sz w:val="21"/>
          <w:szCs w:val="21"/>
          <w:highlight w:val="none"/>
        </w:rPr>
        <w:t>3</w:t>
      </w:r>
      <w:r>
        <w:rPr>
          <w:rFonts w:hint="eastAsia" w:ascii="宋体" w:hAnsi="宋体"/>
          <w:b w:val="0"/>
          <w:color w:val="auto"/>
          <w:sz w:val="21"/>
          <w:szCs w:val="21"/>
          <w:highlight w:val="none"/>
        </w:rPr>
        <w:t>中标人拒绝签订政府采购合同（包括但不限于放弃中标、因不可抗力不能履行合同而放弃签订合同），采购人可以按照评审报告推荐的中标候选人名单排序，确定下一候选人为中标供应商，也可以重新开展政府采购活动。如采购人无正当理由拒签合同的，给中标供应商造成损失的，中标供应商可追究采购人承担相应的法律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36.4政府采购合同是政府采购项目验收的依据，中标供应商和采购人应当按照采购合同约定的各自的权利和义务全面履行合同。任何一方当事人在履行合同过程中均不得擅自变更、中止或终止合同。政府采购合同继续履行将损害国家利益和社会公共利益的，双方当事人应当变更、中止或终止合同。有过错的一方应当承担赔偿责任，双方都有过错的，各自承担相应的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36.5采购人或中标供应商不得单方面向合同另一方提出任何招标文件没有约定的条件或不合理的要求，作为签订合同的条件；也不得协商另行订立背离招标文件和合同实质性内容的协议。</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36.6</w:t>
      </w:r>
      <w:r>
        <w:rPr>
          <w:rFonts w:hint="eastAsia" w:ascii="宋体" w:hAnsi="宋体" w:cs="仿宋_GB2312"/>
          <w:color w:val="auto"/>
          <w:szCs w:val="21"/>
          <w:highlight w:val="none"/>
        </w:rPr>
        <w:t>如签订合同并生效后，供应商无故拒绝或延期，除按照合同条款处理外，将承担相应的法律责任。</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36.7</w:t>
      </w:r>
      <w:r>
        <w:rPr>
          <w:rFonts w:hint="eastAsia" w:ascii="宋体" w:hAnsi="宋体" w:cs="宋体"/>
          <w:color w:val="auto"/>
          <w:szCs w:val="21"/>
          <w:highlight w:val="none"/>
        </w:rPr>
        <w:t>政府采购合同履行中，采购人需追加与合同标的相同的货物、工程或者服务的，在不改变合同其他条款的前提下，可以与供应商协商签订补充合同，但所有补充合同的采购金额不得超过原合同采购金额的10%。</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27" w:name="_41.政府采购合同公告"/>
      <w:bookmarkEnd w:id="127"/>
      <w:r>
        <w:rPr>
          <w:rFonts w:hint="eastAsia" w:ascii="黑体" w:hAnsi="黑体" w:eastAsia="黑体"/>
          <w:color w:val="auto"/>
          <w:sz w:val="24"/>
          <w:highlight w:val="none"/>
        </w:rPr>
        <w:t>37.政府采购合同公告</w:t>
      </w:r>
    </w:p>
    <w:p>
      <w:pPr>
        <w:pStyle w:val="2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采购人或者受托采购代理机构应当自政府采购合同签订之日起2个工作日内，将政府采购合同在省级以上人民政府财政部门指定的媒体上公告，</w:t>
      </w:r>
      <w:r>
        <w:rPr>
          <w:rFonts w:hAnsi="宋体"/>
          <w:color w:val="auto"/>
          <w:sz w:val="21"/>
          <w:highlight w:val="none"/>
        </w:rPr>
        <w:t>但政府采购合同中涉及国家秘密、商业秘密的内容除外。</w:t>
      </w:r>
    </w:p>
    <w:p>
      <w:pPr>
        <w:pStyle w:val="6"/>
        <w:keepNext w:val="0"/>
        <w:keepLines w:val="0"/>
        <w:spacing w:before="0" w:after="0" w:line="360" w:lineRule="auto"/>
        <w:ind w:left="420" w:leftChars="200"/>
        <w:rPr>
          <w:rFonts w:ascii="黑体" w:hAnsi="黑体" w:eastAsia="黑体"/>
          <w:color w:val="auto"/>
          <w:sz w:val="24"/>
          <w:highlight w:val="none"/>
        </w:rPr>
      </w:pPr>
      <w:r>
        <w:rPr>
          <w:rFonts w:hint="eastAsia" w:ascii="黑体" w:hAnsi="黑体" w:eastAsia="黑体"/>
          <w:color w:val="auto"/>
          <w:sz w:val="24"/>
          <w:highlight w:val="none"/>
        </w:rPr>
        <w:t>3</w:t>
      </w:r>
      <w:r>
        <w:rPr>
          <w:rFonts w:ascii="黑体" w:hAnsi="黑体" w:eastAsia="黑体"/>
          <w:color w:val="auto"/>
          <w:sz w:val="24"/>
          <w:highlight w:val="none"/>
        </w:rPr>
        <w:t>8.</w:t>
      </w:r>
      <w:r>
        <w:rPr>
          <w:rFonts w:hint="eastAsia" w:ascii="黑体" w:hAnsi="黑体" w:eastAsia="黑体"/>
          <w:color w:val="auto"/>
          <w:sz w:val="24"/>
          <w:highlight w:val="none"/>
        </w:rPr>
        <w:t xml:space="preserve"> 询问、质疑和投诉</w:t>
      </w:r>
    </w:p>
    <w:p>
      <w:pPr>
        <w:pStyle w:val="8"/>
        <w:spacing w:line="360" w:lineRule="auto"/>
        <w:rPr>
          <w:rFonts w:hint="eastAsia" w:ascii="宋体" w:hAnsi="宋体"/>
          <w:color w:val="auto"/>
          <w:szCs w:val="21"/>
          <w:highlight w:val="none"/>
        </w:rPr>
      </w:pPr>
      <w:r>
        <w:rPr>
          <w:rFonts w:ascii="宋体" w:hAnsi="宋体"/>
          <w:color w:val="auto"/>
          <w:szCs w:val="21"/>
          <w:highlight w:val="none"/>
        </w:rPr>
        <w:t>38.1</w:t>
      </w:r>
      <w:r>
        <w:rPr>
          <w:rFonts w:hint="eastAsia" w:ascii="宋体" w:hAnsi="宋体"/>
          <w:color w:val="auto"/>
          <w:szCs w:val="21"/>
          <w:highlight w:val="none"/>
        </w:rPr>
        <w:t>供应商对政府采购活动事项有疑问的，可以向采购人提出询问，采购人或者采购代理机构应当在3个工作日内对供应商依法提出的询问作出答复，但答复的内容不得涉及商业秘密。</w:t>
      </w:r>
    </w:p>
    <w:p>
      <w:pPr>
        <w:pStyle w:val="6"/>
        <w:keepNext w:val="0"/>
        <w:keepLines w:val="0"/>
        <w:spacing w:before="0" w:after="0" w:line="360" w:lineRule="auto"/>
        <w:ind w:firstLine="315" w:firstLineChars="150"/>
        <w:rPr>
          <w:rFonts w:hint="eastAsia" w:ascii="宋体" w:hAnsi="宋体"/>
          <w:b w:val="0"/>
          <w:color w:val="auto"/>
          <w:sz w:val="21"/>
          <w:szCs w:val="21"/>
          <w:highlight w:val="none"/>
        </w:rPr>
      </w:pPr>
      <w:r>
        <w:rPr>
          <w:rFonts w:hint="eastAsia" w:ascii="宋体" w:hAnsi="宋体"/>
          <w:b w:val="0"/>
          <w:color w:val="auto"/>
          <w:sz w:val="21"/>
          <w:szCs w:val="21"/>
          <w:highlight w:val="none"/>
        </w:rPr>
        <w:t xml:space="preserve"> </w:t>
      </w: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2</w:t>
      </w:r>
      <w:r>
        <w:rPr>
          <w:rFonts w:hint="eastAsia" w:ascii="宋体" w:hAnsi="宋体"/>
          <w:b w:val="0"/>
          <w:color w:val="auto"/>
          <w:sz w:val="21"/>
          <w:szCs w:val="21"/>
          <w:highlight w:val="none"/>
        </w:rPr>
        <w:t xml:space="preserve">供应商认为招标文件、采购过程或者中标结果使自己的合法权益受到损害的，必须在知道或者应知其权益受到损害之日起7个工作日内，以书面形式向采购人、采购代理机构提出质疑。采购人、采购代理机构接收质疑函的方式、联系部门、联系电话和通讯地址等信息详见“投标人须知前附表”。具体质疑起算时间如下： </w:t>
      </w:r>
    </w:p>
    <w:p>
      <w:pPr>
        <w:pStyle w:val="23"/>
        <w:snapToGrid w:val="0"/>
        <w:spacing w:line="360" w:lineRule="auto"/>
        <w:ind w:firstLine="420" w:firstLineChars="200"/>
        <w:rPr>
          <w:rFonts w:hAnsi="宋体"/>
          <w:color w:val="auto"/>
          <w:sz w:val="21"/>
          <w:highlight w:val="none"/>
        </w:rPr>
      </w:pPr>
      <w:r>
        <w:rPr>
          <w:rFonts w:hAnsi="宋体"/>
          <w:color w:val="auto"/>
          <w:sz w:val="21"/>
          <w:highlight w:val="none"/>
        </w:rPr>
        <w:t>（</w:t>
      </w:r>
      <w:r>
        <w:rPr>
          <w:rFonts w:hint="eastAsia" w:hAnsi="宋体"/>
          <w:color w:val="auto"/>
          <w:sz w:val="21"/>
          <w:highlight w:val="none"/>
        </w:rPr>
        <w:t>1</w:t>
      </w:r>
      <w:r>
        <w:rPr>
          <w:rFonts w:hAnsi="宋体"/>
          <w:color w:val="auto"/>
          <w:sz w:val="21"/>
          <w:highlight w:val="none"/>
        </w:rPr>
        <w:t>）对可以质疑的</w:t>
      </w:r>
      <w:r>
        <w:rPr>
          <w:rFonts w:hint="eastAsia" w:hAnsi="宋体"/>
          <w:color w:val="auto"/>
          <w:sz w:val="21"/>
          <w:highlight w:val="none"/>
        </w:rPr>
        <w:t>招标</w:t>
      </w:r>
      <w:r>
        <w:rPr>
          <w:rFonts w:hAnsi="宋体"/>
          <w:color w:val="auto"/>
          <w:sz w:val="21"/>
          <w:highlight w:val="none"/>
        </w:rPr>
        <w:t>文件提出质疑的，为收到</w:t>
      </w:r>
      <w:r>
        <w:rPr>
          <w:rFonts w:hint="eastAsia" w:hAnsi="宋体"/>
          <w:color w:val="auto"/>
          <w:sz w:val="21"/>
          <w:highlight w:val="none"/>
        </w:rPr>
        <w:t>招标</w:t>
      </w:r>
      <w:r>
        <w:rPr>
          <w:rFonts w:hAnsi="宋体"/>
          <w:color w:val="auto"/>
          <w:sz w:val="21"/>
          <w:highlight w:val="none"/>
        </w:rPr>
        <w:t>文件之日</w:t>
      </w:r>
      <w:r>
        <w:rPr>
          <w:rFonts w:hint="eastAsia" w:hAnsi="宋体"/>
          <w:color w:val="auto"/>
          <w:sz w:val="21"/>
          <w:highlight w:val="none"/>
        </w:rPr>
        <w:t>或者招标文件公告期限届满之日</w:t>
      </w:r>
      <w:r>
        <w:rPr>
          <w:rFonts w:hAnsi="宋体"/>
          <w:color w:val="auto"/>
          <w:sz w:val="21"/>
          <w:highlight w:val="none"/>
        </w:rPr>
        <w:t>；</w:t>
      </w:r>
    </w:p>
    <w:p>
      <w:pPr>
        <w:pStyle w:val="23"/>
        <w:snapToGrid w:val="0"/>
        <w:spacing w:line="360" w:lineRule="auto"/>
        <w:ind w:firstLine="420" w:firstLineChars="200"/>
        <w:rPr>
          <w:rFonts w:hint="eastAsia" w:hAnsi="宋体"/>
          <w:color w:val="auto"/>
          <w:sz w:val="21"/>
          <w:highlight w:val="none"/>
        </w:rPr>
      </w:pPr>
      <w:r>
        <w:rPr>
          <w:rFonts w:hAnsi="宋体"/>
          <w:color w:val="auto"/>
          <w:sz w:val="21"/>
          <w:highlight w:val="none"/>
        </w:rPr>
        <w:t>（</w:t>
      </w:r>
      <w:r>
        <w:rPr>
          <w:rFonts w:hint="eastAsia" w:hAnsi="宋体"/>
          <w:color w:val="auto"/>
          <w:sz w:val="21"/>
          <w:highlight w:val="none"/>
        </w:rPr>
        <w:t>2</w:t>
      </w:r>
      <w:r>
        <w:rPr>
          <w:rFonts w:hAnsi="宋体"/>
          <w:color w:val="auto"/>
          <w:sz w:val="21"/>
          <w:highlight w:val="none"/>
        </w:rPr>
        <w:t>）对</w:t>
      </w:r>
      <w:r>
        <w:rPr>
          <w:rFonts w:hint="eastAsia" w:hAnsi="宋体"/>
          <w:color w:val="auto"/>
          <w:sz w:val="21"/>
          <w:highlight w:val="none"/>
        </w:rPr>
        <w:t>采购</w:t>
      </w:r>
      <w:r>
        <w:rPr>
          <w:rFonts w:hAnsi="宋体"/>
          <w:color w:val="auto"/>
          <w:sz w:val="21"/>
          <w:highlight w:val="none"/>
        </w:rPr>
        <w:t>过程提出质疑的，为各采购程序环节结束之日；</w:t>
      </w:r>
    </w:p>
    <w:p>
      <w:pPr>
        <w:pStyle w:val="23"/>
        <w:snapToGrid w:val="0"/>
        <w:spacing w:line="360" w:lineRule="auto"/>
        <w:ind w:firstLine="420" w:firstLineChars="200"/>
        <w:rPr>
          <w:rFonts w:hint="eastAsia" w:hAnsi="宋体"/>
          <w:bCs/>
          <w:color w:val="auto"/>
          <w:sz w:val="21"/>
          <w:highlight w:val="none"/>
        </w:rPr>
      </w:pPr>
      <w:r>
        <w:rPr>
          <w:rFonts w:hAnsi="宋体"/>
          <w:color w:val="auto"/>
          <w:sz w:val="21"/>
          <w:highlight w:val="none"/>
        </w:rPr>
        <w:t>（</w:t>
      </w:r>
      <w:r>
        <w:rPr>
          <w:rFonts w:hint="eastAsia" w:hAnsi="宋体"/>
          <w:color w:val="auto"/>
          <w:sz w:val="21"/>
          <w:highlight w:val="none"/>
        </w:rPr>
        <w:t>3</w:t>
      </w:r>
      <w:r>
        <w:rPr>
          <w:rFonts w:hAnsi="宋体"/>
          <w:color w:val="auto"/>
          <w:sz w:val="21"/>
          <w:highlight w:val="none"/>
        </w:rPr>
        <w:t>）对中标结果提出质疑的，为中标结果公告期限届满之日。</w:t>
      </w:r>
    </w:p>
    <w:p>
      <w:pPr>
        <w:pStyle w:val="6"/>
        <w:keepNext w:val="0"/>
        <w:keepLines w:val="0"/>
        <w:spacing w:before="0" w:after="0" w:line="360" w:lineRule="auto"/>
        <w:ind w:firstLine="315" w:firstLineChars="150"/>
        <w:rPr>
          <w:rFonts w:ascii="宋体" w:hAnsi="宋体"/>
          <w:b w:val="0"/>
          <w:color w:val="auto"/>
          <w:sz w:val="21"/>
          <w:szCs w:val="21"/>
          <w:highlight w:val="none"/>
        </w:rPr>
      </w:pPr>
      <w:r>
        <w:rPr>
          <w:rFonts w:ascii="宋体" w:hAnsi="宋体"/>
          <w:b w:val="0"/>
          <w:color w:val="auto"/>
          <w:sz w:val="21"/>
          <w:szCs w:val="21"/>
          <w:highlight w:val="none"/>
        </w:rPr>
        <w:t>38</w:t>
      </w:r>
      <w:r>
        <w:rPr>
          <w:rFonts w:hint="eastAsia" w:ascii="宋体" w:hAnsi="宋体"/>
          <w:b w:val="0"/>
          <w:color w:val="auto"/>
          <w:sz w:val="21"/>
          <w:szCs w:val="21"/>
          <w:highlight w:val="none"/>
        </w:rPr>
        <w:t>.</w:t>
      </w:r>
      <w:r>
        <w:rPr>
          <w:rFonts w:ascii="宋体" w:hAnsi="宋体"/>
          <w:b w:val="0"/>
          <w:color w:val="auto"/>
          <w:sz w:val="21"/>
          <w:szCs w:val="21"/>
          <w:highlight w:val="none"/>
        </w:rPr>
        <w:t>3</w:t>
      </w:r>
      <w:r>
        <w:rPr>
          <w:rFonts w:hint="eastAsia" w:ascii="宋体" w:hAnsi="宋体"/>
          <w:b w:val="0"/>
          <w:color w:val="auto"/>
          <w:sz w:val="21"/>
          <w:szCs w:val="21"/>
          <w:highlight w:val="none"/>
        </w:rPr>
        <w:t xml:space="preserve"> </w:t>
      </w:r>
      <w:r>
        <w:rPr>
          <w:rFonts w:hAnsi="宋体"/>
          <w:b w:val="0"/>
          <w:bCs/>
          <w:color w:val="auto"/>
          <w:sz w:val="21"/>
          <w:highlight w:val="none"/>
        </w:rPr>
        <w:t>供应商提出质疑应当提交质疑函和必要的证明材料</w:t>
      </w:r>
      <w:r>
        <w:rPr>
          <w:rFonts w:hint="eastAsia" w:hAnsi="宋体"/>
          <w:b w:val="0"/>
          <w:bCs/>
          <w:color w:val="auto"/>
          <w:sz w:val="21"/>
          <w:highlight w:val="none"/>
        </w:rPr>
        <w:t>，</w:t>
      </w:r>
      <w:r>
        <w:rPr>
          <w:rFonts w:hAnsi="宋体"/>
          <w:b w:val="0"/>
          <w:bCs/>
          <w:color w:val="auto"/>
          <w:sz w:val="21"/>
          <w:highlight w:val="none"/>
        </w:rPr>
        <w:t>针对同一采购程序环节的质疑</w:t>
      </w:r>
      <w:r>
        <w:rPr>
          <w:rFonts w:hint="eastAsia" w:hAnsi="宋体"/>
          <w:b w:val="0"/>
          <w:bCs/>
          <w:color w:val="auto"/>
          <w:sz w:val="21"/>
          <w:highlight w:val="none"/>
        </w:rPr>
        <w:t>必须</w:t>
      </w:r>
      <w:r>
        <w:rPr>
          <w:rFonts w:hAnsi="宋体"/>
          <w:b w:val="0"/>
          <w:bCs/>
          <w:color w:val="auto"/>
          <w:sz w:val="21"/>
          <w:highlight w:val="none"/>
        </w:rPr>
        <w:t>在法定质疑期内一次性提出。质疑函应当包括下列内容</w:t>
      </w:r>
      <w:r>
        <w:rPr>
          <w:rFonts w:hint="eastAsia" w:hAnsi="宋体"/>
          <w:b w:val="0"/>
          <w:bCs/>
          <w:color w:val="auto"/>
          <w:sz w:val="21"/>
          <w:highlight w:val="none"/>
        </w:rPr>
        <w:t>（质疑函格式后附）</w:t>
      </w:r>
      <w:r>
        <w:rPr>
          <w:rFonts w:hAnsi="宋体"/>
          <w:b w:val="0"/>
          <w:bCs/>
          <w:color w:val="auto"/>
          <w:sz w:val="21"/>
          <w:highlight w:val="none"/>
        </w:rPr>
        <w:t>：</w:t>
      </w:r>
    </w:p>
    <w:p>
      <w:pPr>
        <w:pStyle w:val="2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1</w:t>
      </w:r>
      <w:r>
        <w:rPr>
          <w:rFonts w:hAnsi="宋体"/>
          <w:bCs/>
          <w:color w:val="auto"/>
          <w:sz w:val="21"/>
          <w:highlight w:val="none"/>
        </w:rPr>
        <w:t>）供应商的姓名或者名称、地址、邮编、联系人及联系电话；</w:t>
      </w:r>
    </w:p>
    <w:p>
      <w:pPr>
        <w:pStyle w:val="2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2</w:t>
      </w:r>
      <w:r>
        <w:rPr>
          <w:rFonts w:hAnsi="宋体"/>
          <w:bCs/>
          <w:color w:val="auto"/>
          <w:sz w:val="21"/>
          <w:highlight w:val="none"/>
        </w:rPr>
        <w:t>）质疑项目的名称、编号；</w:t>
      </w:r>
    </w:p>
    <w:p>
      <w:pPr>
        <w:pStyle w:val="2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3</w:t>
      </w:r>
      <w:r>
        <w:rPr>
          <w:rFonts w:hAnsi="宋体"/>
          <w:bCs/>
          <w:color w:val="auto"/>
          <w:sz w:val="21"/>
          <w:highlight w:val="none"/>
        </w:rPr>
        <w:t>）具体、明确的质疑事项和与质疑事项相关的请求；</w:t>
      </w:r>
    </w:p>
    <w:p>
      <w:pPr>
        <w:pStyle w:val="2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4</w:t>
      </w:r>
      <w:r>
        <w:rPr>
          <w:rFonts w:hAnsi="宋体"/>
          <w:bCs/>
          <w:color w:val="auto"/>
          <w:sz w:val="21"/>
          <w:highlight w:val="none"/>
        </w:rPr>
        <w:t>）事实依据；</w:t>
      </w:r>
    </w:p>
    <w:p>
      <w:pPr>
        <w:pStyle w:val="2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5</w:t>
      </w:r>
      <w:r>
        <w:rPr>
          <w:rFonts w:hAnsi="宋体"/>
          <w:bCs/>
          <w:color w:val="auto"/>
          <w:sz w:val="21"/>
          <w:highlight w:val="none"/>
        </w:rPr>
        <w:t>）必要的法律依据；</w:t>
      </w:r>
    </w:p>
    <w:p>
      <w:pPr>
        <w:pStyle w:val="23"/>
        <w:snapToGrid w:val="0"/>
        <w:spacing w:line="360" w:lineRule="auto"/>
        <w:ind w:firstLine="420" w:firstLineChars="200"/>
        <w:rPr>
          <w:rFonts w:hAnsi="宋体"/>
          <w:bCs/>
          <w:color w:val="auto"/>
          <w:sz w:val="21"/>
          <w:highlight w:val="none"/>
        </w:rPr>
      </w:pPr>
      <w:r>
        <w:rPr>
          <w:rFonts w:hAnsi="宋体"/>
          <w:bCs/>
          <w:color w:val="auto"/>
          <w:sz w:val="21"/>
          <w:highlight w:val="none"/>
        </w:rPr>
        <w:t>（</w:t>
      </w:r>
      <w:r>
        <w:rPr>
          <w:rFonts w:hint="eastAsia" w:hAnsi="宋体"/>
          <w:bCs/>
          <w:color w:val="auto"/>
          <w:sz w:val="21"/>
          <w:highlight w:val="none"/>
        </w:rPr>
        <w:t>6</w:t>
      </w:r>
      <w:r>
        <w:rPr>
          <w:rFonts w:hAnsi="宋体"/>
          <w:bCs/>
          <w:color w:val="auto"/>
          <w:sz w:val="21"/>
          <w:highlight w:val="none"/>
        </w:rPr>
        <w:t>）提出质疑的日期。</w:t>
      </w:r>
    </w:p>
    <w:p>
      <w:pPr>
        <w:pStyle w:val="23"/>
        <w:snapToGrid w:val="0"/>
        <w:spacing w:line="360" w:lineRule="auto"/>
        <w:ind w:firstLine="420" w:firstLineChars="200"/>
        <w:rPr>
          <w:rFonts w:hint="eastAsia" w:hAnsi="宋体"/>
          <w:bCs/>
          <w:color w:val="auto"/>
          <w:sz w:val="21"/>
          <w:highlight w:val="none"/>
        </w:rPr>
      </w:pPr>
      <w:r>
        <w:rPr>
          <w:rFonts w:hAnsi="宋体"/>
          <w:bCs/>
          <w:color w:val="auto"/>
          <w:sz w:val="21"/>
          <w:highlight w:val="none"/>
        </w:rPr>
        <w:t>供应商为自然人的，应当由本人签字；供应商为法人或者其他组织的，应当由法定代表人、主要负责人，或者其委托代理人签字或者盖章，并加盖公章</w:t>
      </w:r>
      <w:r>
        <w:rPr>
          <w:rFonts w:hint="eastAsia" w:hAnsi="宋体"/>
          <w:bCs/>
          <w:color w:val="auto"/>
          <w:sz w:val="21"/>
          <w:highlight w:val="none"/>
        </w:rPr>
        <w:t>。</w:t>
      </w:r>
    </w:p>
    <w:p>
      <w:pPr>
        <w:pStyle w:val="6"/>
        <w:keepNext w:val="0"/>
        <w:keepLines w:val="0"/>
        <w:snapToGrid w:val="0"/>
        <w:spacing w:before="0" w:after="0" w:line="360" w:lineRule="auto"/>
        <w:ind w:firstLine="420" w:firstLineChars="200"/>
        <w:rPr>
          <w:rFonts w:hint="eastAsia" w:ascii="宋体" w:hAnsi="宋体"/>
          <w:b w:val="0"/>
          <w:bCs/>
          <w:color w:val="auto"/>
          <w:sz w:val="21"/>
          <w:szCs w:val="21"/>
          <w:highlight w:val="none"/>
        </w:rPr>
      </w:pPr>
      <w:r>
        <w:rPr>
          <w:rFonts w:ascii="宋体" w:hAnsi="宋体"/>
          <w:b w:val="0"/>
          <w:color w:val="auto"/>
          <w:sz w:val="21"/>
          <w:szCs w:val="21"/>
          <w:highlight w:val="none"/>
        </w:rPr>
        <w:t>3</w:t>
      </w:r>
      <w:r>
        <w:rPr>
          <w:rFonts w:ascii="宋体" w:hAnsi="宋体"/>
          <w:b w:val="0"/>
          <w:bCs/>
          <w:color w:val="auto"/>
          <w:sz w:val="21"/>
          <w:szCs w:val="21"/>
          <w:highlight w:val="none"/>
        </w:rPr>
        <w:t>8.4</w:t>
      </w:r>
      <w:r>
        <w:rPr>
          <w:rFonts w:hint="eastAsia" w:ascii="宋体" w:hAnsi="宋体"/>
          <w:b w:val="0"/>
          <w:bCs/>
          <w:color w:val="auto"/>
          <w:sz w:val="21"/>
          <w:szCs w:val="21"/>
          <w:highlight w:val="none"/>
        </w:rPr>
        <w:t>采购人、采购代理机构认为供应商质疑不成立，或者成立但未对中标结果构成影响的，继续开展采购活动；认为供应商质疑成立且影响或者可能影响中标结果的，按照下列情况处理：</w:t>
      </w:r>
    </w:p>
    <w:p>
      <w:pPr>
        <w:pStyle w:val="23"/>
        <w:snapToGrid w:val="0"/>
        <w:spacing w:line="360" w:lineRule="auto"/>
        <w:rPr>
          <w:rFonts w:hint="eastAsia" w:hAnsi="宋体"/>
          <w:bCs/>
          <w:color w:val="auto"/>
          <w:sz w:val="21"/>
          <w:highlight w:val="none"/>
        </w:rPr>
      </w:pPr>
      <w:r>
        <w:rPr>
          <w:rFonts w:hint="eastAsia" w:hAnsi="宋体"/>
          <w:bCs/>
          <w:color w:val="auto"/>
          <w:sz w:val="21"/>
          <w:highlight w:val="none"/>
        </w:rPr>
        <w:t>　　（一）对招标文件提出的质疑，依法通过澄清或者修改可以继续开展采购活动的，澄清或者修改招标文件后继续开展采购活动；否则应当修改招标文件后重新开展采购活动。</w:t>
      </w:r>
    </w:p>
    <w:p>
      <w:pPr>
        <w:pStyle w:val="23"/>
        <w:snapToGrid w:val="0"/>
        <w:spacing w:line="360" w:lineRule="auto"/>
        <w:rPr>
          <w:rFonts w:hint="eastAsia" w:hAnsi="宋体"/>
          <w:bCs/>
          <w:color w:val="auto"/>
          <w:sz w:val="21"/>
          <w:highlight w:val="none"/>
        </w:rPr>
      </w:pPr>
      <w:r>
        <w:rPr>
          <w:rFonts w:hint="eastAsia" w:hAnsi="宋体"/>
          <w:bCs/>
          <w:color w:val="auto"/>
          <w:sz w:val="21"/>
          <w:highlight w:val="none"/>
        </w:rPr>
        <w:t>　　（二）对采购过程、中标结果提出的质疑，合格供应商符合法定数量时，可以从合格的中标候选人中另行确定中标供应商的，应当依法另行确定中标供应商；否则应当重新开展采购活动。</w:t>
      </w:r>
    </w:p>
    <w:p>
      <w:pPr>
        <w:pStyle w:val="23"/>
        <w:snapToGrid w:val="0"/>
        <w:spacing w:line="360" w:lineRule="auto"/>
        <w:ind w:firstLine="420"/>
        <w:rPr>
          <w:rFonts w:hAnsi="宋体"/>
          <w:bCs/>
          <w:color w:val="auto"/>
          <w:sz w:val="21"/>
          <w:highlight w:val="none"/>
        </w:rPr>
      </w:pPr>
      <w:r>
        <w:rPr>
          <w:rFonts w:hint="eastAsia" w:hAnsi="宋体"/>
          <w:bCs/>
          <w:color w:val="auto"/>
          <w:sz w:val="21"/>
          <w:highlight w:val="none"/>
        </w:rPr>
        <w:t>质疑答复导致中标结果改变的，采购人或者采购代理机构应当将有关情况书面报告本级财政部门。</w:t>
      </w:r>
    </w:p>
    <w:p>
      <w:pPr>
        <w:pStyle w:val="23"/>
        <w:snapToGrid w:val="0"/>
        <w:spacing w:line="360" w:lineRule="auto"/>
        <w:ind w:firstLine="420" w:firstLineChars="200"/>
        <w:rPr>
          <w:rFonts w:hint="eastAsia" w:hAnsi="宋体"/>
          <w:color w:val="auto"/>
          <w:sz w:val="21"/>
          <w:highlight w:val="none"/>
        </w:rPr>
      </w:pPr>
      <w:r>
        <w:rPr>
          <w:rFonts w:hAnsi="宋体"/>
          <w:color w:val="auto"/>
          <w:sz w:val="21"/>
          <w:highlight w:val="none"/>
        </w:rPr>
        <w:t>38</w:t>
      </w:r>
      <w:r>
        <w:rPr>
          <w:rFonts w:hint="eastAsia" w:hAnsi="宋体"/>
          <w:color w:val="auto"/>
          <w:sz w:val="21"/>
          <w:highlight w:val="none"/>
        </w:rPr>
        <w:t>.</w:t>
      </w:r>
      <w:r>
        <w:rPr>
          <w:rFonts w:hAnsi="宋体"/>
          <w:color w:val="auto"/>
          <w:sz w:val="21"/>
          <w:highlight w:val="none"/>
        </w:rPr>
        <w:t>5</w:t>
      </w:r>
      <w:r>
        <w:rPr>
          <w:rFonts w:hint="eastAsia" w:hAnsi="宋体"/>
          <w:color w:val="auto"/>
          <w:sz w:val="21"/>
          <w:highlight w:val="none"/>
        </w:rPr>
        <w:t>质疑供应商对采购人、采购代理机构的答复不满意，或者采购人、采购代理机构未在规定时间内作出答复的，可以在答复期满后15个工作日内向《政府采购质疑和投诉办法》（财政部令第94号）第六条规定的财政部门提起投诉（投诉书格式后附）。</w:t>
      </w:r>
    </w:p>
    <w:p>
      <w:pPr>
        <w:pStyle w:val="4"/>
        <w:keepNext w:val="0"/>
        <w:keepLines w:val="0"/>
        <w:jc w:val="center"/>
        <w:rPr>
          <w:rFonts w:hint="eastAsia"/>
          <w:color w:val="auto"/>
          <w:highlight w:val="none"/>
        </w:rPr>
      </w:pPr>
      <w:r>
        <w:rPr>
          <w:rFonts w:hint="eastAsia"/>
          <w:color w:val="auto"/>
          <w:highlight w:val="none"/>
        </w:rPr>
        <w:t>八、其他事项</w:t>
      </w:r>
    </w:p>
    <w:p>
      <w:pPr>
        <w:pStyle w:val="6"/>
        <w:keepNext w:val="0"/>
        <w:keepLines w:val="0"/>
        <w:spacing w:before="0" w:after="0" w:line="360" w:lineRule="auto"/>
        <w:ind w:left="420" w:leftChars="200"/>
        <w:rPr>
          <w:rFonts w:hint="eastAsia" w:ascii="黑体" w:hAnsi="黑体" w:eastAsia="黑体"/>
          <w:color w:val="auto"/>
          <w:sz w:val="24"/>
          <w:highlight w:val="none"/>
        </w:rPr>
      </w:pPr>
      <w:bookmarkStart w:id="128" w:name="_42.代理服务费"/>
      <w:bookmarkEnd w:id="128"/>
      <w:r>
        <w:rPr>
          <w:rFonts w:hint="eastAsia" w:ascii="黑体" w:hAnsi="黑体" w:eastAsia="黑体"/>
          <w:color w:val="auto"/>
          <w:sz w:val="24"/>
          <w:highlight w:val="none"/>
        </w:rPr>
        <w:t>3</w:t>
      </w:r>
      <w:r>
        <w:rPr>
          <w:rFonts w:ascii="黑体" w:hAnsi="黑体" w:eastAsia="黑体"/>
          <w:color w:val="auto"/>
          <w:sz w:val="24"/>
          <w:highlight w:val="none"/>
        </w:rPr>
        <w:t>9</w:t>
      </w:r>
      <w:r>
        <w:rPr>
          <w:rFonts w:hint="eastAsia" w:ascii="黑体" w:hAnsi="黑体" w:eastAsia="黑体"/>
          <w:color w:val="auto"/>
          <w:sz w:val="24"/>
          <w:highlight w:val="none"/>
        </w:rPr>
        <w:t>.代理服务费</w:t>
      </w:r>
    </w:p>
    <w:p>
      <w:pPr>
        <w:pStyle w:val="6"/>
        <w:keepNext w:val="0"/>
        <w:keepLines w:val="0"/>
        <w:spacing w:before="0" w:after="0" w:line="360" w:lineRule="auto"/>
        <w:ind w:firstLine="420" w:firstLine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9</w:t>
      </w:r>
      <w:r>
        <w:rPr>
          <w:rFonts w:hint="eastAsia" w:ascii="宋体" w:hAnsi="宋体"/>
          <w:b w:val="0"/>
          <w:color w:val="auto"/>
          <w:sz w:val="21"/>
          <w:szCs w:val="21"/>
          <w:highlight w:val="none"/>
        </w:rPr>
        <w:t>.1代理服务收取标准及缴费账户详见“投标人须知前附表”，投标人为联合体的，可以由联合体中的一方或者多方共同交纳代理服务费。</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hint="eastAsia" w:ascii="宋体" w:hAnsi="宋体"/>
          <w:b w:val="0"/>
          <w:color w:val="auto"/>
          <w:sz w:val="21"/>
          <w:szCs w:val="21"/>
          <w:highlight w:val="none"/>
        </w:rPr>
        <w:t>3</w:t>
      </w:r>
      <w:r>
        <w:rPr>
          <w:rFonts w:ascii="宋体" w:hAnsi="宋体"/>
          <w:b w:val="0"/>
          <w:color w:val="auto"/>
          <w:sz w:val="21"/>
          <w:szCs w:val="21"/>
          <w:highlight w:val="none"/>
        </w:rPr>
        <w:t>9</w:t>
      </w:r>
      <w:r>
        <w:rPr>
          <w:rFonts w:hint="eastAsia" w:ascii="宋体" w:hAnsi="宋体"/>
          <w:b w:val="0"/>
          <w:color w:val="auto"/>
          <w:sz w:val="21"/>
          <w:szCs w:val="21"/>
          <w:highlight w:val="none"/>
        </w:rPr>
        <w:t>.2代理服务收费标准：</w:t>
      </w:r>
    </w:p>
    <w:p>
      <w:pPr>
        <w:spacing w:line="360" w:lineRule="auto"/>
        <w:rPr>
          <w:rFonts w:hint="eastAsia" w:ascii="宋体" w:hAnsi="宋体"/>
          <w:color w:val="auto"/>
          <w:szCs w:val="21"/>
          <w:highlight w:val="none"/>
        </w:rPr>
      </w:pPr>
    </w:p>
    <w:tbl>
      <w:tblPr>
        <w:tblStyle w:val="46"/>
        <w:tblW w:w="8477"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72"/>
        <w:gridCol w:w="1659"/>
        <w:gridCol w:w="1687"/>
        <w:gridCol w:w="1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 xml:space="preserve">               费率</w:t>
            </w:r>
          </w:p>
          <w:p>
            <w:pPr>
              <w:spacing w:line="360" w:lineRule="auto"/>
              <w:rPr>
                <w:rFonts w:ascii="宋体" w:hAnsi="宋体"/>
                <w:color w:val="auto"/>
                <w:szCs w:val="21"/>
                <w:highlight w:val="none"/>
              </w:rPr>
            </w:pPr>
            <w:r>
              <w:rPr>
                <w:rFonts w:hint="eastAsia" w:ascii="宋体" w:hAnsi="宋体"/>
                <w:color w:val="auto"/>
                <w:szCs w:val="21"/>
                <w:highlight w:val="none"/>
              </w:rPr>
              <w:t>中标金额</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105" w:firstLineChars="50"/>
              <w:jc w:val="center"/>
              <w:rPr>
                <w:rFonts w:ascii="宋体" w:hAnsi="宋体"/>
                <w:color w:val="auto"/>
                <w:szCs w:val="21"/>
                <w:highlight w:val="none"/>
              </w:rPr>
            </w:pPr>
            <w:r>
              <w:rPr>
                <w:rFonts w:hint="eastAsia" w:ascii="宋体" w:hAnsi="宋体"/>
                <w:color w:val="auto"/>
                <w:szCs w:val="21"/>
                <w:highlight w:val="none"/>
              </w:rPr>
              <w:t>货物招标</w:t>
            </w:r>
          </w:p>
        </w:tc>
        <w:tc>
          <w:tcPr>
            <w:tcW w:w="168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服务招标</w:t>
            </w:r>
          </w:p>
        </w:tc>
        <w:tc>
          <w:tcPr>
            <w:tcW w:w="165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Cs w:val="21"/>
                <w:highlight w:val="none"/>
              </w:rPr>
            </w:pPr>
            <w:r>
              <w:rPr>
                <w:rFonts w:hint="eastAsia" w:ascii="宋体" w:hAnsi="宋体"/>
                <w:color w:val="auto"/>
                <w:szCs w:val="21"/>
                <w:highlight w:val="none"/>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100万元以下</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1.5%                </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1.5%</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100万元～500万元</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 xml:space="preserve">1.1%                 </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0.8%</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 xml:space="preserve">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500万元～1000万元</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s="宋体"/>
                <w:color w:val="auto"/>
                <w:kern w:val="0"/>
                <w:szCs w:val="21"/>
                <w:highlight w:val="none"/>
              </w:rPr>
              <w:t xml:space="preserve">  0.8%                </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0.45%</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1000万元～5000万元</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 xml:space="preserve">0.5%                </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0.25%</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5000万元～1亿元</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 xml:space="preserve">0.25%                 </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0.1%</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s="宋体"/>
                <w:color w:val="auto"/>
                <w:kern w:val="0"/>
                <w:szCs w:val="21"/>
                <w:highlight w:val="none"/>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1亿元～5亿元</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0.05%</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 xml:space="preserve">  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5亿元～10亿元</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 xml:space="preserve">  0.035%</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10亿元～50亿元</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0.008%</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50亿元～100亿元</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 xml:space="preserve"> 0.006%</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0.006%</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72"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100亿以上</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olor w:val="auto"/>
                <w:szCs w:val="21"/>
                <w:highlight w:val="none"/>
              </w:rPr>
            </w:pPr>
            <w:r>
              <w:rPr>
                <w:rFonts w:hint="eastAsia" w:ascii="宋体" w:hAnsi="宋体"/>
                <w:color w:val="auto"/>
                <w:szCs w:val="21"/>
                <w:highlight w:val="none"/>
              </w:rPr>
              <w:t xml:space="preserve"> 0.004%</w:t>
            </w:r>
          </w:p>
        </w:tc>
        <w:tc>
          <w:tcPr>
            <w:tcW w:w="1687"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210" w:firstLineChars="100"/>
              <w:rPr>
                <w:rFonts w:ascii="宋体" w:hAnsi="宋体"/>
                <w:color w:val="auto"/>
                <w:szCs w:val="21"/>
                <w:highlight w:val="none"/>
              </w:rPr>
            </w:pPr>
            <w:r>
              <w:rPr>
                <w:rFonts w:hint="eastAsia" w:ascii="宋体" w:hAnsi="宋体"/>
                <w:color w:val="auto"/>
                <w:szCs w:val="21"/>
                <w:highlight w:val="none"/>
              </w:rPr>
              <w:t>0.004%</w:t>
            </w:r>
          </w:p>
        </w:tc>
        <w:tc>
          <w:tcPr>
            <w:tcW w:w="1659" w:type="dxa"/>
            <w:tcBorders>
              <w:top w:val="single" w:color="auto" w:sz="4" w:space="0"/>
              <w:left w:val="single" w:color="auto" w:sz="4" w:space="0"/>
              <w:bottom w:val="single" w:color="auto" w:sz="4" w:space="0"/>
              <w:right w:val="single" w:color="auto" w:sz="4" w:space="0"/>
            </w:tcBorders>
            <w:noWrap w:val="0"/>
            <w:vAlign w:val="top"/>
          </w:tcPr>
          <w:p>
            <w:pPr>
              <w:spacing w:line="360" w:lineRule="auto"/>
              <w:ind w:firstLine="105" w:firstLineChars="50"/>
              <w:rPr>
                <w:rFonts w:ascii="宋体" w:hAnsi="宋体"/>
                <w:color w:val="auto"/>
                <w:szCs w:val="21"/>
                <w:highlight w:val="none"/>
              </w:rPr>
            </w:pPr>
            <w:r>
              <w:rPr>
                <w:rFonts w:hint="eastAsia" w:ascii="宋体" w:hAnsi="宋体"/>
                <w:color w:val="auto"/>
                <w:szCs w:val="21"/>
                <w:highlight w:val="none"/>
              </w:rPr>
              <w:t>0.004%</w:t>
            </w:r>
          </w:p>
        </w:tc>
      </w:tr>
    </w:tbl>
    <w:p>
      <w:pPr>
        <w:spacing w:line="360" w:lineRule="auto"/>
        <w:ind w:firstLine="420" w:firstLineChars="200"/>
        <w:rPr>
          <w:rFonts w:ascii="宋体" w:hAnsi="宋体" w:cs="宋体"/>
          <w:color w:val="auto"/>
          <w:szCs w:val="21"/>
          <w:highlight w:val="none"/>
        </w:rPr>
      </w:pPr>
      <w:r>
        <w:rPr>
          <w:rFonts w:hint="eastAsia" w:ascii="宋体" w:hAnsi="宋体"/>
          <w:color w:val="auto"/>
          <w:szCs w:val="21"/>
          <w:highlight w:val="none"/>
        </w:rPr>
        <w:t>注：</w:t>
      </w:r>
      <w:r>
        <w:rPr>
          <w:rFonts w:ascii="宋体" w:hAnsi="宋体" w:cs="宋体"/>
          <w:color w:val="auto"/>
          <w:szCs w:val="21"/>
          <w:highlight w:val="none"/>
        </w:rPr>
        <w:t xml:space="preserve"> </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（1）</w:t>
      </w:r>
      <w:r>
        <w:rPr>
          <w:rFonts w:ascii="宋体" w:hAnsi="宋体" w:cs="宋体"/>
          <w:color w:val="auto"/>
          <w:szCs w:val="21"/>
          <w:highlight w:val="none"/>
        </w:rPr>
        <w:t>按本表费率计算的收费为</w:t>
      </w:r>
      <w:r>
        <w:rPr>
          <w:rFonts w:hint="eastAsia" w:ascii="宋体" w:hAnsi="宋体" w:cs="宋体"/>
          <w:color w:val="auto"/>
          <w:szCs w:val="21"/>
          <w:highlight w:val="none"/>
        </w:rPr>
        <w:t>采购</w:t>
      </w:r>
      <w:r>
        <w:rPr>
          <w:rFonts w:ascii="宋体" w:hAnsi="宋体" w:cs="宋体"/>
          <w:color w:val="auto"/>
          <w:szCs w:val="21"/>
          <w:highlight w:val="none"/>
        </w:rPr>
        <w:t>代理的收费基准价格</w:t>
      </w:r>
      <w:r>
        <w:rPr>
          <w:rFonts w:hint="eastAsia" w:ascii="宋体" w:hAnsi="宋体" w:cs="宋体"/>
          <w:color w:val="auto"/>
          <w:szCs w:val="21"/>
          <w:highlight w:val="none"/>
        </w:rPr>
        <w:t>；</w:t>
      </w:r>
    </w:p>
    <w:p>
      <w:pPr>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（2）采购</w:t>
      </w:r>
      <w:r>
        <w:rPr>
          <w:rFonts w:ascii="宋体" w:hAnsi="宋体" w:cs="宋体"/>
          <w:color w:val="auto"/>
          <w:szCs w:val="21"/>
          <w:highlight w:val="none"/>
        </w:rPr>
        <w:t>代理收费按差额定率累进法计算。</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例如：某</w:t>
      </w:r>
      <w:r>
        <w:rPr>
          <w:rFonts w:hint="eastAsia" w:ascii="宋体" w:hAnsi="宋体" w:cs="宋体"/>
          <w:color w:val="auto"/>
          <w:szCs w:val="21"/>
          <w:highlight w:val="none"/>
        </w:rPr>
        <w:t>货物采购</w:t>
      </w:r>
      <w:r>
        <w:rPr>
          <w:rFonts w:ascii="宋体" w:hAnsi="宋体" w:cs="宋体"/>
          <w:color w:val="auto"/>
          <w:szCs w:val="21"/>
          <w:highlight w:val="none"/>
        </w:rPr>
        <w:t>代理业务</w:t>
      </w:r>
      <w:r>
        <w:rPr>
          <w:rFonts w:hint="eastAsia" w:ascii="宋体" w:hAnsi="宋体" w:cs="宋体"/>
          <w:color w:val="auto"/>
          <w:szCs w:val="21"/>
          <w:highlight w:val="none"/>
        </w:rPr>
        <w:t>中标</w:t>
      </w:r>
      <w:r>
        <w:rPr>
          <w:rFonts w:ascii="宋体" w:hAnsi="宋体" w:cs="宋体"/>
          <w:color w:val="auto"/>
          <w:szCs w:val="21"/>
          <w:highlight w:val="none"/>
        </w:rPr>
        <w:t>金额</w:t>
      </w:r>
      <w:r>
        <w:rPr>
          <w:rFonts w:hint="eastAsia" w:ascii="宋体" w:hAnsi="宋体" w:cs="宋体"/>
          <w:color w:val="auto"/>
          <w:szCs w:val="21"/>
          <w:highlight w:val="none"/>
        </w:rPr>
        <w:t>或者暂定价</w:t>
      </w:r>
      <w:r>
        <w:rPr>
          <w:rFonts w:ascii="宋体" w:hAnsi="宋体" w:cs="宋体"/>
          <w:color w:val="auto"/>
          <w:szCs w:val="21"/>
          <w:highlight w:val="none"/>
        </w:rPr>
        <w:t>为200万元，计算</w:t>
      </w:r>
      <w:r>
        <w:rPr>
          <w:rFonts w:hint="eastAsia" w:ascii="宋体" w:hAnsi="宋体" w:cs="宋体"/>
          <w:color w:val="auto"/>
          <w:szCs w:val="21"/>
          <w:highlight w:val="none"/>
        </w:rPr>
        <w:t>采购</w:t>
      </w:r>
      <w:r>
        <w:rPr>
          <w:rFonts w:ascii="宋体" w:hAnsi="宋体" w:cs="宋体"/>
          <w:color w:val="auto"/>
          <w:szCs w:val="21"/>
          <w:highlight w:val="none"/>
        </w:rPr>
        <w:t>代理收费额如下：</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100 万元×l.5 ％＝ 1.5 万元</w:t>
      </w:r>
    </w:p>
    <w:p>
      <w:pPr>
        <w:spacing w:line="360" w:lineRule="auto"/>
        <w:ind w:firstLine="420" w:firstLineChars="200"/>
        <w:rPr>
          <w:rFonts w:ascii="宋体" w:hAnsi="宋体" w:cs="宋体"/>
          <w:color w:val="auto"/>
          <w:szCs w:val="21"/>
          <w:highlight w:val="none"/>
        </w:rPr>
      </w:pPr>
      <w:r>
        <w:rPr>
          <w:rFonts w:ascii="宋体" w:hAnsi="宋体" w:cs="宋体"/>
          <w:color w:val="auto"/>
          <w:szCs w:val="21"/>
          <w:highlight w:val="none"/>
        </w:rPr>
        <w:t>（ 200 － 100 ）万元 ×1.1％＝1.1万元</w:t>
      </w:r>
    </w:p>
    <w:p>
      <w:pPr>
        <w:pStyle w:val="23"/>
        <w:snapToGrid w:val="0"/>
        <w:spacing w:line="360" w:lineRule="auto"/>
        <w:ind w:firstLine="420" w:firstLineChars="200"/>
        <w:rPr>
          <w:rFonts w:hAnsi="宋体" w:cs="宋体"/>
          <w:color w:val="auto"/>
          <w:sz w:val="21"/>
          <w:highlight w:val="none"/>
        </w:rPr>
      </w:pPr>
      <w:r>
        <w:rPr>
          <w:rFonts w:hAnsi="宋体" w:cs="宋体"/>
          <w:color w:val="auto"/>
          <w:sz w:val="21"/>
          <w:highlight w:val="none"/>
        </w:rPr>
        <w:t>合计收费＝ 1.5</w:t>
      </w:r>
      <w:r>
        <w:rPr>
          <w:rFonts w:hint="eastAsia" w:hAnsi="宋体" w:cs="宋体"/>
          <w:color w:val="auto"/>
          <w:sz w:val="21"/>
          <w:highlight w:val="none"/>
        </w:rPr>
        <w:t>+</w:t>
      </w:r>
      <w:r>
        <w:rPr>
          <w:rFonts w:hAnsi="宋体" w:cs="宋体"/>
          <w:color w:val="auto"/>
          <w:sz w:val="21"/>
          <w:highlight w:val="none"/>
        </w:rPr>
        <w:t>1.1＝ 2.6 （万元）</w:t>
      </w:r>
    </w:p>
    <w:p>
      <w:pPr>
        <w:pStyle w:val="6"/>
        <w:keepNext w:val="0"/>
        <w:keepLines w:val="0"/>
        <w:spacing w:before="0" w:after="0" w:line="360" w:lineRule="auto"/>
        <w:rPr>
          <w:rFonts w:ascii="黑体" w:hAnsi="黑体" w:eastAsia="黑体"/>
          <w:color w:val="auto"/>
          <w:sz w:val="24"/>
          <w:highlight w:val="none"/>
        </w:rPr>
      </w:pPr>
      <w:r>
        <w:rPr>
          <w:rFonts w:ascii="黑体" w:hAnsi="黑体" w:eastAsia="黑体"/>
          <w:color w:val="auto"/>
          <w:sz w:val="24"/>
          <w:highlight w:val="none"/>
        </w:rPr>
        <w:t>40. 需要补充的其他内容</w:t>
      </w:r>
    </w:p>
    <w:p>
      <w:pPr>
        <w:pStyle w:val="23"/>
        <w:spacing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40.1本招标文件解释规则详见“投标人须知前附表”。</w:t>
      </w:r>
    </w:p>
    <w:p>
      <w:pPr>
        <w:pStyle w:val="23"/>
        <w:spacing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40.2 其他事项详见“投标人须知前附表”。</w:t>
      </w:r>
    </w:p>
    <w:p>
      <w:pPr>
        <w:pStyle w:val="23"/>
        <w:spacing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40.3</w:t>
      </w:r>
      <w:bookmarkStart w:id="129" w:name="_Hlk65857140"/>
      <w:r>
        <w:rPr>
          <w:rFonts w:hint="eastAsia" w:hAnsi="宋体" w:cs="宋体"/>
          <w:color w:val="auto"/>
          <w:sz w:val="21"/>
          <w:highlight w:val="none"/>
        </w:rPr>
        <w:t>本招标文件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招标文件规定的中小企业扶持政策：</w:t>
      </w:r>
    </w:p>
    <w:p>
      <w:pPr>
        <w:pStyle w:val="23"/>
        <w:spacing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（1）在货物采购项目中，货物由中小企业制造，即货物由中小企业生产且使用该中小企业商号或者注册商标，不对其中涉及的工程承建商和服务的承接商作出要求；</w:t>
      </w:r>
    </w:p>
    <w:p>
      <w:pPr>
        <w:pStyle w:val="23"/>
        <w:spacing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（2）在工程采购项目中，工程由中小企业承建，即工程施工单位为中小企业，不对其中涉及的货物的制造商和服务的承接商作出要求；</w:t>
      </w:r>
    </w:p>
    <w:p>
      <w:pPr>
        <w:pStyle w:val="23"/>
        <w:spacing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（3）在服务采购项目中，服务由中小企业承接，即提供服务的人员为中小企业依照《中华人民共和国劳动合同法》订立劳动合同的从业人员，不对其中涉及的货物的制造商和工程承建商作出要求。</w:t>
      </w:r>
    </w:p>
    <w:p>
      <w:pPr>
        <w:pStyle w:val="23"/>
        <w:spacing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在货物采购项目中，供应商提供的货物既有中小企业制造货物，也有大型企业制造货物的，不享受本招标文件规定的中小企业扶持政策。以联合体形式参加政府采购活动，联合体各方均为中小企业的，联合体视同中小企业。其中，联合体各方均为小微企业的，联合体视同小微企业。</w:t>
      </w:r>
    </w:p>
    <w:p>
      <w:pPr>
        <w:pStyle w:val="23"/>
        <w:spacing w:line="360" w:lineRule="auto"/>
        <w:ind w:firstLine="420" w:firstLineChars="200"/>
        <w:contextualSpacing/>
        <w:rPr>
          <w:rFonts w:hint="eastAsia" w:hAnsi="宋体" w:cs="宋体"/>
          <w:color w:val="auto"/>
          <w:sz w:val="21"/>
          <w:highlight w:val="none"/>
        </w:rPr>
      </w:pPr>
      <w:r>
        <w:rPr>
          <w:rFonts w:hint="eastAsia" w:hAnsi="宋体" w:cs="宋体"/>
          <w:color w:val="auto"/>
          <w:sz w:val="21"/>
          <w:highlight w:val="none"/>
        </w:rPr>
        <w:t>依据本招标文件规定享受扶持政策获得政府采购合同的，小微企业不得将合同分包给大中型企业，中型企业不得将合同分包给大型企业。</w:t>
      </w:r>
      <w:bookmarkEnd w:id="129"/>
    </w:p>
    <w:p>
      <w:pPr>
        <w:pStyle w:val="17"/>
        <w:ind w:left="479" w:leftChars="114" w:hanging="240" w:hangingChars="100"/>
        <w:rPr>
          <w:rFonts w:hint="eastAsia" w:hAnsi="宋体"/>
          <w:color w:val="auto"/>
          <w:highlight w:val="none"/>
        </w:rPr>
      </w:pPr>
      <w:r>
        <w:rPr>
          <w:rFonts w:hAnsi="宋体"/>
          <w:color w:val="auto"/>
          <w:highlight w:val="none"/>
        </w:rPr>
        <w:br w:type="page"/>
      </w: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3"/>
        <w:snapToGrid w:val="0"/>
        <w:spacing w:before="120" w:after="120"/>
        <w:rPr>
          <w:rFonts w:hint="eastAsia" w:hAnsi="宋体"/>
          <w:color w:val="auto"/>
          <w:highlight w:val="none"/>
        </w:rPr>
      </w:pPr>
    </w:p>
    <w:p>
      <w:pPr>
        <w:pStyle w:val="2"/>
        <w:jc w:val="center"/>
        <w:rPr>
          <w:rFonts w:hint="eastAsia"/>
          <w:color w:val="auto"/>
          <w:highlight w:val="none"/>
        </w:rPr>
      </w:pPr>
      <w:bookmarkStart w:id="130" w:name="_Toc254970548"/>
      <w:bookmarkStart w:id="131" w:name="_Toc254970689"/>
      <w:bookmarkStart w:id="132" w:name="_Toc330456896"/>
      <w:bookmarkStart w:id="133" w:name="_Toc15687"/>
      <w:r>
        <w:rPr>
          <w:rFonts w:hint="eastAsia"/>
          <w:color w:val="auto"/>
          <w:highlight w:val="none"/>
        </w:rPr>
        <w:t>第四章  评标方法及评标标准</w:t>
      </w:r>
      <w:bookmarkEnd w:id="130"/>
      <w:bookmarkEnd w:id="131"/>
      <w:bookmarkEnd w:id="132"/>
      <w:bookmarkEnd w:id="133"/>
    </w:p>
    <w:p>
      <w:pPr>
        <w:rPr>
          <w:rFonts w:hint="eastAsia"/>
          <w:color w:val="auto"/>
          <w:highlight w:val="none"/>
        </w:rPr>
      </w:pPr>
      <w:bookmarkStart w:id="134" w:name="_Toc254970690"/>
      <w:bookmarkStart w:id="135" w:name="_Toc254970549"/>
    </w:p>
    <w:bookmarkEnd w:id="134"/>
    <w:bookmarkEnd w:id="135"/>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pStyle w:val="23"/>
        <w:spacing w:line="360" w:lineRule="exact"/>
        <w:rPr>
          <w:rFonts w:hint="eastAsia" w:hAnsi="宋体"/>
          <w:b/>
          <w:color w:val="auto"/>
          <w:sz w:val="24"/>
          <w:highlight w:val="none"/>
        </w:rPr>
      </w:pPr>
    </w:p>
    <w:p>
      <w:pPr>
        <w:pStyle w:val="23"/>
        <w:spacing w:line="360" w:lineRule="exact"/>
        <w:rPr>
          <w:rFonts w:hint="eastAsia" w:hAnsi="宋体"/>
          <w:b/>
          <w:color w:val="auto"/>
          <w:sz w:val="24"/>
          <w:highlight w:val="none"/>
        </w:rPr>
      </w:pPr>
    </w:p>
    <w:p>
      <w:pPr>
        <w:pStyle w:val="23"/>
        <w:spacing w:line="360" w:lineRule="exact"/>
        <w:rPr>
          <w:rFonts w:hint="eastAsia" w:hAnsi="宋体"/>
          <w:b/>
          <w:color w:val="auto"/>
          <w:sz w:val="24"/>
          <w:highlight w:val="none"/>
        </w:rPr>
      </w:pPr>
    </w:p>
    <w:p>
      <w:pPr>
        <w:pStyle w:val="23"/>
        <w:spacing w:line="360" w:lineRule="exact"/>
        <w:rPr>
          <w:rFonts w:hint="eastAsia" w:hAnsi="宋体"/>
          <w:b/>
          <w:color w:val="auto"/>
          <w:sz w:val="24"/>
          <w:highlight w:val="none"/>
        </w:rPr>
      </w:pPr>
    </w:p>
    <w:p>
      <w:pPr>
        <w:pStyle w:val="23"/>
        <w:spacing w:line="360" w:lineRule="exact"/>
        <w:rPr>
          <w:rFonts w:hint="eastAsia" w:hAnsi="宋体"/>
          <w:b/>
          <w:color w:val="auto"/>
          <w:sz w:val="24"/>
          <w:highlight w:val="none"/>
        </w:rPr>
      </w:pPr>
    </w:p>
    <w:p>
      <w:pPr>
        <w:pStyle w:val="23"/>
        <w:spacing w:line="360" w:lineRule="exact"/>
        <w:rPr>
          <w:rFonts w:hint="eastAsia" w:hAnsi="宋体"/>
          <w:b/>
          <w:color w:val="auto"/>
          <w:sz w:val="24"/>
          <w:highlight w:val="none"/>
        </w:rPr>
      </w:pPr>
    </w:p>
    <w:p>
      <w:pPr>
        <w:pStyle w:val="23"/>
        <w:spacing w:line="360" w:lineRule="exact"/>
        <w:rPr>
          <w:rFonts w:hint="eastAsia" w:hAnsi="宋体"/>
          <w:bCs/>
          <w:color w:val="auto"/>
          <w:highlight w:val="none"/>
        </w:rPr>
      </w:pPr>
      <w:r>
        <w:rPr>
          <w:rFonts w:hAnsi="宋体"/>
          <w:bCs/>
          <w:color w:val="auto"/>
          <w:highlight w:val="none"/>
        </w:rPr>
        <w:t xml:space="preserve"> </w:t>
      </w:r>
    </w:p>
    <w:p>
      <w:pPr>
        <w:pStyle w:val="4"/>
        <w:keepNext w:val="0"/>
        <w:keepLines w:val="0"/>
        <w:jc w:val="center"/>
        <w:rPr>
          <w:color w:val="auto"/>
          <w:highlight w:val="none"/>
        </w:rPr>
      </w:pPr>
      <w:r>
        <w:rPr>
          <w:rFonts w:hint="eastAsia"/>
          <w:color w:val="auto"/>
          <w:highlight w:val="none"/>
        </w:rPr>
        <w:br w:type="page"/>
      </w:r>
      <w:r>
        <w:rPr>
          <w:rFonts w:hint="eastAsia"/>
          <w:color w:val="auto"/>
          <w:highlight w:val="none"/>
        </w:rPr>
        <w:t>一、评标方法</w:t>
      </w:r>
    </w:p>
    <w:p>
      <w:pPr>
        <w:pStyle w:val="23"/>
        <w:spacing w:line="360" w:lineRule="auto"/>
        <w:ind w:firstLine="420"/>
        <w:rPr>
          <w:rFonts w:hAnsi="宋体"/>
          <w:color w:val="auto"/>
          <w:sz w:val="21"/>
          <w:highlight w:val="none"/>
        </w:rPr>
      </w:pPr>
      <w:r>
        <w:rPr>
          <w:rFonts w:hint="eastAsia" w:hAnsi="宋体"/>
          <w:color w:val="auto"/>
          <w:sz w:val="21"/>
          <w:highlight w:val="none"/>
        </w:rPr>
        <w:t>综合评分法，是指投标文件满足招标文件全部实质性要求，且按照评审因素的量化指标评审得分最高的投标人为中标候选人的评标方法。</w:t>
      </w:r>
    </w:p>
    <w:p>
      <w:pPr>
        <w:pStyle w:val="4"/>
        <w:keepNext w:val="0"/>
        <w:keepLines w:val="0"/>
        <w:jc w:val="center"/>
        <w:rPr>
          <w:rFonts w:hint="eastAsia"/>
          <w:color w:val="auto"/>
          <w:highlight w:val="none"/>
        </w:rPr>
      </w:pPr>
      <w:r>
        <w:rPr>
          <w:rFonts w:hint="eastAsia"/>
          <w:color w:val="auto"/>
          <w:highlight w:val="none"/>
        </w:rPr>
        <w:t>二、评标程序</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1.符合性审查</w:t>
      </w:r>
    </w:p>
    <w:p>
      <w:pPr>
        <w:pStyle w:val="23"/>
        <w:snapToGrid w:val="0"/>
        <w:spacing w:line="360" w:lineRule="auto"/>
        <w:ind w:left="1" w:firstLine="420"/>
        <w:rPr>
          <w:rFonts w:hint="eastAsia" w:hAnsi="宋体"/>
          <w:b/>
          <w:color w:val="auto"/>
          <w:kern w:val="2"/>
          <w:sz w:val="21"/>
          <w:highlight w:val="none"/>
        </w:rPr>
      </w:pPr>
      <w:r>
        <w:rPr>
          <w:rFonts w:hint="eastAsia" w:hAnsi="宋体"/>
          <w:b/>
          <w:color w:val="auto"/>
          <w:kern w:val="2"/>
          <w:sz w:val="21"/>
          <w:highlight w:val="none"/>
        </w:rPr>
        <w:t>评标委员会应当对符合资格的投标人的投标文件进行投标报价、商务、技术等实质性内容符合性审查，以确定其是否满足招标文件的实质性要求。</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w:t>
      </w:r>
      <w:r>
        <w:rPr>
          <w:rFonts w:ascii="宋体" w:hAnsi="宋体"/>
          <w:color w:val="auto"/>
          <w:sz w:val="21"/>
          <w:szCs w:val="21"/>
          <w:highlight w:val="none"/>
        </w:rPr>
        <w:t>.</w:t>
      </w:r>
      <w:r>
        <w:rPr>
          <w:rFonts w:hint="eastAsia" w:ascii="宋体" w:hAnsi="宋体"/>
          <w:color w:val="auto"/>
          <w:sz w:val="21"/>
          <w:szCs w:val="21"/>
          <w:highlight w:val="none"/>
        </w:rPr>
        <w:t>符合性审查不通过而导致投标无效的情形</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投标人的投标文件中存在对招标文件的任何实质性要求和条件的负偏离，将被视为投标无效。</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2.1在报价评审时，如发现下列情形之一的，将被视为投标无效：</w:t>
      </w:r>
    </w:p>
    <w:p>
      <w:pPr>
        <w:pStyle w:val="8"/>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未提供“投标人须知前附表”第13条“报价文件”规定中“必须提供”的文件资料的；</w:t>
      </w:r>
    </w:p>
    <w:p>
      <w:pPr>
        <w:pStyle w:val="8"/>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未采用人民币报价或者未按照招标文件标明的币种报价的；</w:t>
      </w:r>
    </w:p>
    <w:p>
      <w:pPr>
        <w:pStyle w:val="8"/>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各分标报价超出招标文件相应分标规定最高限价，或者超出相应分标采购预算金额的；</w:t>
      </w:r>
    </w:p>
    <w:p>
      <w:pPr>
        <w:pStyle w:val="8"/>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投标人未就所投分标进行报价或者存在漏项报价；投标人未就所投分标的单项内容作唯一报价；投标人未就所投分标的全部内容作完整唯一总价报价；存在有选择、有条件报价的（招标文件允许有备选方案或者其他约定的除外）；</w:t>
      </w:r>
    </w:p>
    <w:p>
      <w:pPr>
        <w:pStyle w:val="8"/>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修正后的报价，投标人不确认的；</w:t>
      </w:r>
    </w:p>
    <w:p>
      <w:pPr>
        <w:pStyle w:val="8"/>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zCs w:val="21"/>
          <w:highlight w:val="none"/>
        </w:rPr>
        <w:t>投标人属于本章第</w:t>
      </w:r>
      <w:r>
        <w:rPr>
          <w:rFonts w:ascii="宋体" w:hAnsi="宋体"/>
          <w:b/>
          <w:color w:val="auto"/>
          <w:szCs w:val="21"/>
          <w:highlight w:val="none"/>
        </w:rPr>
        <w:t>5.1</w:t>
      </w:r>
      <w:r>
        <w:rPr>
          <w:rFonts w:hint="eastAsia" w:ascii="宋体" w:hAnsi="宋体"/>
          <w:b/>
          <w:color w:val="auto"/>
          <w:szCs w:val="21"/>
          <w:highlight w:val="none"/>
        </w:rPr>
        <w:t>条（2）或者第5</w:t>
      </w:r>
      <w:r>
        <w:rPr>
          <w:rFonts w:ascii="宋体" w:hAnsi="宋体"/>
          <w:b/>
          <w:color w:val="auto"/>
          <w:szCs w:val="21"/>
          <w:highlight w:val="none"/>
        </w:rPr>
        <w:t>.2条</w:t>
      </w:r>
      <w:r>
        <w:rPr>
          <w:rFonts w:hint="eastAsia" w:ascii="宋体" w:hAnsi="宋体"/>
          <w:b/>
          <w:color w:val="auto"/>
          <w:szCs w:val="21"/>
          <w:highlight w:val="none"/>
        </w:rPr>
        <w:t>（2）项情形的；</w:t>
      </w:r>
    </w:p>
    <w:p>
      <w:pPr>
        <w:pStyle w:val="8"/>
        <w:numPr>
          <w:ilvl w:val="0"/>
          <w:numId w:val="3"/>
        </w:numPr>
        <w:spacing w:line="360" w:lineRule="auto"/>
        <w:ind w:firstLine="422"/>
        <w:rPr>
          <w:rFonts w:hint="eastAsia" w:ascii="宋体" w:hAnsi="宋体"/>
          <w:b/>
          <w:color w:val="auto"/>
          <w:szCs w:val="21"/>
          <w:highlight w:val="none"/>
        </w:rPr>
      </w:pPr>
      <w:r>
        <w:rPr>
          <w:rFonts w:hint="eastAsia" w:ascii="宋体" w:hAnsi="宋体"/>
          <w:b/>
          <w:color w:val="auto"/>
          <w:spacing w:val="-6"/>
          <w:szCs w:val="21"/>
          <w:highlight w:val="none"/>
        </w:rPr>
        <w:t>报价文件</w:t>
      </w:r>
      <w:r>
        <w:rPr>
          <w:rFonts w:hint="eastAsia" w:ascii="宋体" w:hAnsi="宋体"/>
          <w:b/>
          <w:color w:val="auto"/>
          <w:szCs w:val="21"/>
          <w:highlight w:val="none"/>
        </w:rPr>
        <w:t>响应的标的数量及单位与招标文件要求实质性不一致的。</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2.2在商务</w:t>
      </w:r>
      <w:r>
        <w:rPr>
          <w:rFonts w:hint="eastAsia" w:ascii="宋体" w:hAnsi="宋体"/>
          <w:color w:val="auto"/>
          <w:sz w:val="21"/>
          <w:szCs w:val="21"/>
          <w:highlight w:val="none"/>
          <w:lang w:eastAsia="zh-CN"/>
        </w:rPr>
        <w:t>及技术</w:t>
      </w:r>
      <w:r>
        <w:rPr>
          <w:rFonts w:hint="eastAsia" w:ascii="宋体" w:hAnsi="宋体"/>
          <w:color w:val="auto"/>
          <w:sz w:val="21"/>
          <w:szCs w:val="21"/>
          <w:highlight w:val="none"/>
        </w:rPr>
        <w:t>评审时，如发现下列情形之一的，将被视为投标无效：</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投标文件未按招标文件要求签署、盖章的；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委托代理人未能出具有效身份证或者出具的身份证与授权委托书中的信息不符的；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为无效投标保证金的或者未按照招标文件的规定提交投标保证金的；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投标文件未提供“投标人须知前附表”第13条“商务及技术文件”规定中“必须提供”或者“委托时必须提供”的文件资料的；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允许负偏离的条款数超过“投标人须知前附表”规定项数的；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投标文件的实质性内容未使用中文表述、使用计量单位不符合招标文件要求的；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投标文件中的文件资料因填写不齐全或者内容虚假或者出现其他情形而导致被评标委员会认定无效的；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投标文件含有采购人不能接受的附加条件的；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属于投标人须知正文第</w:t>
      </w:r>
      <w:r>
        <w:rPr>
          <w:rFonts w:ascii="宋体" w:hAnsi="宋体"/>
          <w:b/>
          <w:color w:val="auto"/>
          <w:szCs w:val="21"/>
          <w:highlight w:val="none"/>
        </w:rPr>
        <w:t>9.2</w:t>
      </w:r>
      <w:r>
        <w:rPr>
          <w:rFonts w:hint="eastAsia" w:ascii="宋体" w:hAnsi="宋体"/>
          <w:b/>
          <w:color w:val="auto"/>
          <w:szCs w:val="21"/>
          <w:highlight w:val="none"/>
        </w:rPr>
        <w:t>条情形的；</w:t>
      </w:r>
    </w:p>
    <w:p>
      <w:pPr>
        <w:numPr>
          <w:ilvl w:val="0"/>
          <w:numId w:val="4"/>
        </w:numPr>
        <w:snapToGrid w:val="0"/>
        <w:spacing w:line="360" w:lineRule="auto"/>
        <w:ind w:firstLine="422" w:firstLineChars="200"/>
        <w:rPr>
          <w:rFonts w:ascii="宋体" w:hAnsi="宋体"/>
          <w:b/>
          <w:color w:val="auto"/>
          <w:szCs w:val="21"/>
          <w:highlight w:val="none"/>
        </w:rPr>
      </w:pPr>
      <w:r>
        <w:rPr>
          <w:rFonts w:hint="eastAsia" w:ascii="宋体" w:hAnsi="宋体"/>
          <w:b/>
          <w:color w:val="auto"/>
          <w:szCs w:val="21"/>
          <w:highlight w:val="none"/>
        </w:rPr>
        <w:t>投标文件标注的项目名称或者项目编号与招标文件标注的项目名称或者项目编号不一致的；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投标文件中承诺的投标有效期低于招标文件要求的期限的；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招标文件明确不允许分包，投标文件拟分包的；</w:t>
      </w:r>
    </w:p>
    <w:p>
      <w:pPr>
        <w:pStyle w:val="18"/>
        <w:numPr>
          <w:ilvl w:val="0"/>
          <w:numId w:val="4"/>
        </w:numPr>
        <w:snapToGrid w:val="0"/>
        <w:spacing w:line="360" w:lineRule="auto"/>
        <w:ind w:firstLine="413" w:firstLineChars="0"/>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虚假投标，或者出现其他情形而导致被评标委员会认定无效的；</w:t>
      </w:r>
    </w:p>
    <w:p>
      <w:pPr>
        <w:pStyle w:val="18"/>
        <w:numPr>
          <w:ilvl w:val="0"/>
          <w:numId w:val="4"/>
        </w:numPr>
        <w:snapToGrid w:val="0"/>
        <w:spacing w:line="360" w:lineRule="auto"/>
        <w:ind w:firstLine="413" w:firstLineChars="0"/>
        <w:rPr>
          <w:rFonts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招标文件未载明允许提供备选（替代）投标方案或明确不允许提供备选（替代）投标方案时，投标人提供了备选（替代）投标方案的；</w:t>
      </w:r>
    </w:p>
    <w:p>
      <w:pPr>
        <w:pStyle w:val="18"/>
        <w:numPr>
          <w:ilvl w:val="0"/>
          <w:numId w:val="4"/>
        </w:numPr>
        <w:snapToGrid w:val="0"/>
        <w:spacing w:line="360" w:lineRule="auto"/>
        <w:ind w:firstLine="413" w:firstLineChars="0"/>
        <w:rPr>
          <w:rFonts w:hint="eastAsia" w:ascii="宋体" w:hAnsi="宋体" w:eastAsia="宋体"/>
          <w:b/>
          <w:color w:val="auto"/>
          <w:kern w:val="2"/>
          <w:sz w:val="21"/>
          <w:szCs w:val="21"/>
          <w:highlight w:val="none"/>
        </w:rPr>
      </w:pPr>
      <w:r>
        <w:rPr>
          <w:rFonts w:hint="eastAsia" w:ascii="宋体" w:hAnsi="宋体" w:eastAsia="宋体"/>
          <w:b/>
          <w:color w:val="auto"/>
          <w:kern w:val="2"/>
          <w:sz w:val="21"/>
          <w:szCs w:val="21"/>
          <w:highlight w:val="none"/>
        </w:rPr>
        <w:t>未响应招标文件实质性要求的。</w:t>
      </w:r>
    </w:p>
    <w:p>
      <w:pPr>
        <w:numPr>
          <w:ilvl w:val="0"/>
          <w:numId w:val="4"/>
        </w:num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法律、法规和招标文件规定的其他无效情形。</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hint="eastAsia" w:ascii="宋体" w:hAnsi="宋体"/>
          <w:color w:val="auto"/>
          <w:sz w:val="21"/>
          <w:szCs w:val="21"/>
          <w:highlight w:val="none"/>
        </w:rPr>
        <w:t>3</w:t>
      </w:r>
      <w:r>
        <w:rPr>
          <w:rFonts w:ascii="宋体" w:hAnsi="宋体"/>
          <w:color w:val="auto"/>
          <w:sz w:val="21"/>
          <w:szCs w:val="21"/>
          <w:highlight w:val="none"/>
        </w:rPr>
        <w:t>.</w:t>
      </w:r>
      <w:r>
        <w:rPr>
          <w:rFonts w:hint="eastAsia" w:ascii="宋体" w:hAnsi="宋体"/>
          <w:color w:val="auto"/>
          <w:sz w:val="21"/>
          <w:szCs w:val="21"/>
          <w:highlight w:val="none"/>
        </w:rPr>
        <w:t>澄清补正</w:t>
      </w:r>
    </w:p>
    <w:p>
      <w:pPr>
        <w:spacing w:line="360" w:lineRule="auto"/>
        <w:ind w:firstLine="420" w:firstLineChars="200"/>
        <w:rPr>
          <w:rFonts w:hint="eastAsia" w:ascii="宋体" w:hAnsi="宋体" w:cs="Courier New"/>
          <w:b/>
          <w:color w:val="auto"/>
          <w:szCs w:val="21"/>
          <w:highlight w:val="none"/>
        </w:rPr>
      </w:pPr>
      <w:r>
        <w:rPr>
          <w:rFonts w:hint="eastAsia" w:ascii="宋体" w:hAnsi="宋体" w:cs="Courier New"/>
          <w:color w:val="auto"/>
          <w:szCs w:val="21"/>
          <w:highlight w:val="none"/>
        </w:rPr>
        <w:t>对投标文件中含义不明确、同类问题表述不一致或者有明显文字和计算错误的内容，评标委员会应在“政采云”平台发布电子澄清函，要求投标人在规定时间内作出必要的澄清、说明或者补正。投标人在“政采云”平台接收到电子澄清函后根据澄清函内容上传PDF格式回函，电子澄清答复函使用CA证书加盖投标人电子签章后在线上传至评标委员会。投标人的澄清、说明或者补正不得超出投标文件的范围或者改变投标文件的实质性内容。</w:t>
      </w:r>
    </w:p>
    <w:p>
      <w:pPr>
        <w:spacing w:line="360" w:lineRule="auto"/>
        <w:ind w:firstLine="420" w:firstLineChars="200"/>
        <w:rPr>
          <w:rFonts w:hint="eastAsia" w:ascii="宋体" w:hAnsi="宋体" w:cs="Courier New"/>
          <w:color w:val="auto"/>
          <w:szCs w:val="21"/>
          <w:highlight w:val="none"/>
        </w:rPr>
      </w:pPr>
      <w:r>
        <w:rPr>
          <w:rFonts w:hint="eastAsia" w:ascii="宋体" w:hAnsi="宋体" w:cs="Courier New"/>
          <w:color w:val="auto"/>
          <w:szCs w:val="21"/>
          <w:highlight w:val="none"/>
        </w:rPr>
        <w:t>异常情况处理：如遇无法正常使用线上发送澄清函的情况，将启动书面形式办理。启动书面形式办理的情况下，评标委员会以书面形式要求投标人在规定时间内作出必要的澄清、说明或者补正。投标人的澄清、说明或者补正必须采用书面形式，并加盖公章，或者由法定代表人或者其授权的代表签字。</w:t>
      </w:r>
    </w:p>
    <w:p>
      <w:pPr>
        <w:spacing w:line="360" w:lineRule="auto"/>
        <w:ind w:firstLine="420" w:firstLineChars="200"/>
        <w:rPr>
          <w:rFonts w:hint="eastAsia" w:ascii="宋体" w:hAnsi="宋体" w:cs="Courier New"/>
          <w:color w:val="auto"/>
          <w:szCs w:val="21"/>
          <w:highlight w:val="none"/>
        </w:rPr>
      </w:pPr>
      <w:r>
        <w:rPr>
          <w:rFonts w:hint="eastAsia" w:ascii="宋体" w:hAnsi="宋体" w:cs="Courier New"/>
          <w:color w:val="auto"/>
          <w:szCs w:val="21"/>
          <w:highlight w:val="none"/>
        </w:rPr>
        <w:t>未按评标委员会的要求作出明确澄清、说明或者更正的投标人的投标文件将按照有利于采购人的原则由评标委员会进行判定。</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4.</w:t>
      </w:r>
      <w:r>
        <w:rPr>
          <w:rFonts w:hint="eastAsia" w:ascii="宋体" w:hAnsi="宋体"/>
          <w:color w:val="auto"/>
          <w:sz w:val="21"/>
          <w:szCs w:val="21"/>
          <w:highlight w:val="none"/>
        </w:rPr>
        <w:t>投标文件修正</w:t>
      </w:r>
    </w:p>
    <w:p>
      <w:pPr>
        <w:pStyle w:val="6"/>
        <w:keepNext w:val="0"/>
        <w:keepLines w:val="0"/>
        <w:spacing w:before="0" w:after="0" w:line="360" w:lineRule="auto"/>
        <w:ind w:left="420" w:leftChars="200"/>
        <w:rPr>
          <w:rFonts w:hint="eastAsia" w:ascii="宋体" w:hAnsi="宋体"/>
          <w:b w:val="0"/>
          <w:color w:val="auto"/>
          <w:sz w:val="21"/>
          <w:szCs w:val="21"/>
          <w:highlight w:val="none"/>
        </w:rPr>
      </w:pPr>
      <w:r>
        <w:rPr>
          <w:rFonts w:ascii="宋体" w:hAnsi="宋体"/>
          <w:b w:val="0"/>
          <w:color w:val="auto"/>
          <w:sz w:val="21"/>
          <w:szCs w:val="21"/>
          <w:highlight w:val="none"/>
        </w:rPr>
        <w:t>4</w:t>
      </w:r>
      <w:r>
        <w:rPr>
          <w:rFonts w:hint="eastAsia" w:ascii="宋体" w:hAnsi="宋体"/>
          <w:b w:val="0"/>
          <w:color w:val="auto"/>
          <w:sz w:val="21"/>
          <w:szCs w:val="21"/>
          <w:highlight w:val="none"/>
        </w:rPr>
        <w:t xml:space="preserve">.1投标文件报价出现前后不一致的，按照下列规定修正： </w:t>
      </w:r>
    </w:p>
    <w:p>
      <w:pPr>
        <w:pStyle w:val="23"/>
        <w:snapToGrid w:val="0"/>
        <w:spacing w:line="360" w:lineRule="auto"/>
        <w:ind w:firstLine="420" w:firstLineChars="200"/>
        <w:rPr>
          <w:rFonts w:hAnsi="宋体"/>
          <w:color w:val="auto"/>
          <w:sz w:val="21"/>
          <w:highlight w:val="none"/>
        </w:rPr>
      </w:pPr>
      <w:r>
        <w:rPr>
          <w:rFonts w:hint="eastAsia" w:hAnsi="宋体"/>
          <w:color w:val="auto"/>
          <w:sz w:val="21"/>
          <w:highlight w:val="none"/>
        </w:rPr>
        <w:t>（1）投标文件中开标一览表（报价表）内容与投标文件中相应内容不一致的，以开标一览表（报价表）为准；</w:t>
      </w:r>
    </w:p>
    <w:p>
      <w:pPr>
        <w:pStyle w:val="23"/>
        <w:snapToGrid w:val="0"/>
        <w:spacing w:line="360" w:lineRule="auto"/>
        <w:ind w:firstLine="420" w:firstLineChars="200"/>
        <w:rPr>
          <w:rFonts w:hAnsi="宋体"/>
          <w:color w:val="auto"/>
          <w:sz w:val="21"/>
          <w:highlight w:val="none"/>
        </w:rPr>
      </w:pPr>
      <w:r>
        <w:rPr>
          <w:rFonts w:hint="eastAsia" w:hAnsi="宋体"/>
          <w:color w:val="auto"/>
          <w:sz w:val="21"/>
          <w:highlight w:val="none"/>
        </w:rPr>
        <w:t>（2）大写金额和小写金额不一致的，以大写金额为准；</w:t>
      </w:r>
    </w:p>
    <w:p>
      <w:pPr>
        <w:pStyle w:val="23"/>
        <w:snapToGrid w:val="0"/>
        <w:spacing w:line="360" w:lineRule="auto"/>
        <w:ind w:firstLine="420" w:firstLineChars="200"/>
        <w:rPr>
          <w:rFonts w:hAnsi="宋体"/>
          <w:color w:val="auto"/>
          <w:sz w:val="21"/>
          <w:highlight w:val="none"/>
        </w:rPr>
      </w:pPr>
      <w:r>
        <w:rPr>
          <w:rFonts w:hint="eastAsia" w:hAnsi="宋体"/>
          <w:color w:val="auto"/>
          <w:sz w:val="21"/>
          <w:highlight w:val="none"/>
        </w:rPr>
        <w:t>（3）单价金额小数点或者百分比有明显错位的，以开标一览表的总价为准，并修改单价；</w:t>
      </w:r>
    </w:p>
    <w:p>
      <w:pPr>
        <w:pStyle w:val="23"/>
        <w:snapToGrid w:val="0"/>
        <w:spacing w:line="360" w:lineRule="auto"/>
        <w:ind w:firstLine="420" w:firstLineChars="200"/>
        <w:rPr>
          <w:rFonts w:hAnsi="宋体"/>
          <w:color w:val="auto"/>
          <w:sz w:val="21"/>
          <w:highlight w:val="none"/>
        </w:rPr>
      </w:pPr>
      <w:r>
        <w:rPr>
          <w:rFonts w:hint="eastAsia" w:hAnsi="宋体"/>
          <w:color w:val="auto"/>
          <w:sz w:val="21"/>
          <w:highlight w:val="none"/>
        </w:rPr>
        <w:t>（4）总价金额与按单价汇总金额不一致的，以单价金额计算结果为准。</w:t>
      </w:r>
    </w:p>
    <w:p>
      <w:pPr>
        <w:pStyle w:val="23"/>
        <w:snapToGrid w:val="0"/>
        <w:spacing w:line="360" w:lineRule="auto"/>
        <w:ind w:firstLine="420" w:firstLineChars="200"/>
        <w:rPr>
          <w:rFonts w:hint="eastAsia" w:hAnsi="宋体"/>
          <w:color w:val="auto"/>
          <w:sz w:val="21"/>
          <w:highlight w:val="none"/>
        </w:rPr>
      </w:pPr>
      <w:r>
        <w:rPr>
          <w:rFonts w:hint="eastAsia" w:hAnsi="宋体"/>
          <w:color w:val="auto"/>
          <w:sz w:val="21"/>
          <w:highlight w:val="none"/>
        </w:rPr>
        <w:t>同时出现两种以上不一致的，按照以上（1）-（4）规定的顺序修正。修正后的报价经投标人确认后产生约束力，投标人不确认的，</w:t>
      </w:r>
      <w:r>
        <w:rPr>
          <w:rFonts w:hint="eastAsia" w:hAnsi="宋体"/>
          <w:b/>
          <w:color w:val="auto"/>
          <w:kern w:val="2"/>
          <w:sz w:val="21"/>
          <w:highlight w:val="none"/>
        </w:rPr>
        <w:t>其投标无效</w:t>
      </w:r>
      <w:r>
        <w:rPr>
          <w:rFonts w:hint="eastAsia" w:hAnsi="宋体"/>
          <w:color w:val="auto"/>
          <w:sz w:val="21"/>
          <w:highlight w:val="none"/>
        </w:rPr>
        <w:t>。</w:t>
      </w:r>
    </w:p>
    <w:p>
      <w:pPr>
        <w:pStyle w:val="6"/>
        <w:keepNext w:val="0"/>
        <w:keepLines w:val="0"/>
        <w:spacing w:before="0" w:after="0" w:line="360" w:lineRule="auto"/>
        <w:rPr>
          <w:rFonts w:hint="eastAsia" w:ascii="宋体" w:hAnsi="宋体"/>
          <w:b w:val="0"/>
          <w:color w:val="auto"/>
          <w:sz w:val="21"/>
          <w:szCs w:val="21"/>
          <w:highlight w:val="none"/>
        </w:rPr>
      </w:pPr>
      <w:r>
        <w:rPr>
          <w:rFonts w:ascii="宋体" w:hAnsi="宋体"/>
          <w:b w:val="0"/>
          <w:color w:val="auto"/>
          <w:sz w:val="21"/>
          <w:szCs w:val="21"/>
          <w:highlight w:val="none"/>
        </w:rPr>
        <w:t xml:space="preserve">    4</w:t>
      </w:r>
      <w:r>
        <w:rPr>
          <w:rFonts w:hint="eastAsia" w:ascii="宋体" w:hAnsi="宋体"/>
          <w:b w:val="0"/>
          <w:color w:val="auto"/>
          <w:sz w:val="21"/>
          <w:szCs w:val="21"/>
          <w:highlight w:val="none"/>
        </w:rPr>
        <w:t>.2经投标人确认修正后的报价若超过采购预算金额或者最高限价，</w:t>
      </w:r>
      <w:r>
        <w:rPr>
          <w:rFonts w:hint="eastAsia" w:ascii="宋体" w:hAnsi="宋体"/>
          <w:color w:val="auto"/>
          <w:sz w:val="21"/>
          <w:szCs w:val="21"/>
          <w:highlight w:val="none"/>
        </w:rPr>
        <w:t>投标人的投标文件作无效投标处理</w:t>
      </w:r>
      <w:r>
        <w:rPr>
          <w:rFonts w:hint="eastAsia" w:ascii="宋体" w:hAnsi="宋体"/>
          <w:b w:val="0"/>
          <w:color w:val="auto"/>
          <w:sz w:val="21"/>
          <w:szCs w:val="21"/>
          <w:highlight w:val="none"/>
        </w:rPr>
        <w:t>。</w:t>
      </w:r>
    </w:p>
    <w:p>
      <w:pPr>
        <w:snapToGrid w:val="0"/>
        <w:spacing w:line="360" w:lineRule="auto"/>
        <w:ind w:firstLine="420" w:firstLineChars="200"/>
        <w:rPr>
          <w:rFonts w:hint="eastAsia" w:ascii="宋体" w:hAnsi="宋体"/>
          <w:color w:val="auto"/>
          <w:szCs w:val="21"/>
          <w:highlight w:val="none"/>
        </w:rPr>
      </w:pPr>
      <w:r>
        <w:rPr>
          <w:rFonts w:ascii="宋体" w:hAnsi="宋体"/>
          <w:color w:val="auto"/>
          <w:szCs w:val="21"/>
          <w:highlight w:val="none"/>
        </w:rPr>
        <w:t>4</w:t>
      </w:r>
      <w:r>
        <w:rPr>
          <w:rFonts w:hint="eastAsia" w:ascii="宋体" w:hAnsi="宋体"/>
          <w:color w:val="auto"/>
          <w:szCs w:val="21"/>
          <w:highlight w:val="none"/>
        </w:rPr>
        <w:t>.3经投标人确认修正后的报价作为签订合同的依据，并以此报价计算价格分。</w:t>
      </w:r>
    </w:p>
    <w:p>
      <w:pPr>
        <w:pStyle w:val="6"/>
        <w:keepNext w:val="0"/>
        <w:keepLines w:val="0"/>
        <w:spacing w:before="0" w:after="0" w:line="360" w:lineRule="auto"/>
        <w:ind w:left="420" w:leftChars="200"/>
        <w:rPr>
          <w:rFonts w:hint="eastAsia"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5.1采用综合评分法的</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（1）评标委员会按照招标文件中规定的评标方法及评标标准，对符合性审查合格的投标文件进行商务和技术评估，综合比较与评价。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（2）评标委员会独立对每个投标人的投标文件进行评价，并汇总每个投标人的得分。</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zCs w:val="21"/>
          <w:highlight w:val="none"/>
        </w:rPr>
        <w:t>投标人不能证明其报价合理性的，评标委员会将其作为无效投标处理</w:t>
      </w:r>
      <w:r>
        <w:rPr>
          <w:rFonts w:hint="eastAsia" w:ascii="宋体" w:hAnsi="宋体"/>
          <w:color w:val="auto"/>
          <w:szCs w:val="21"/>
          <w:highlight w:val="none"/>
        </w:rPr>
        <w:t>。</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（3）评标委员会按照招标文件中规定的评标方法和标准计算各投标人的报价得分。在计算过程中，不得去掉最高报价或者最低报价。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（4）各投标人的得分为所有评委的有效评分的算术平均数。</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（5）评标委员会按照招标文件中的规定推荐中标候选人。</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5.2采用</w:t>
      </w:r>
      <w:r>
        <w:rPr>
          <w:rFonts w:hint="eastAsia" w:hAnsi="宋体"/>
          <w:color w:val="auto"/>
          <w:highlight w:val="none"/>
        </w:rPr>
        <w:t>最低评标价法</w:t>
      </w:r>
      <w:r>
        <w:rPr>
          <w:rFonts w:hint="eastAsia" w:ascii="宋体" w:hAnsi="宋体"/>
          <w:color w:val="auto"/>
          <w:szCs w:val="21"/>
          <w:highlight w:val="none"/>
        </w:rPr>
        <w:t>的</w:t>
      </w:r>
    </w:p>
    <w:p>
      <w:pPr>
        <w:snapToGrid w:val="0"/>
        <w:spacing w:line="360" w:lineRule="auto"/>
        <w:ind w:firstLine="424" w:firstLineChars="202"/>
        <w:jc w:val="left"/>
        <w:rPr>
          <w:rFonts w:hint="eastAsia" w:ascii="宋体" w:hAnsi="宋体"/>
          <w:color w:val="auto"/>
          <w:szCs w:val="21"/>
          <w:highlight w:val="none"/>
        </w:rPr>
      </w:pPr>
      <w:r>
        <w:rPr>
          <w:rFonts w:hint="eastAsia" w:ascii="宋体" w:hAnsi="宋体"/>
          <w:color w:val="auto"/>
          <w:szCs w:val="21"/>
          <w:highlight w:val="none"/>
        </w:rPr>
        <w:t>（1）评标委员会按照招标文件中规定的评标方法及评标标准，对符合性审查合格的投标文件报价进行比较。</w:t>
      </w:r>
    </w:p>
    <w:p>
      <w:pPr>
        <w:snapToGrid w:val="0"/>
        <w:spacing w:line="360" w:lineRule="auto"/>
        <w:ind w:firstLine="399" w:firstLineChars="202"/>
        <w:jc w:val="left"/>
        <w:rPr>
          <w:rFonts w:hint="eastAsia" w:ascii="宋体" w:hAnsi="宋体"/>
          <w:color w:val="auto"/>
          <w:spacing w:val="-6"/>
          <w:szCs w:val="21"/>
          <w:highlight w:val="none"/>
        </w:rPr>
      </w:pPr>
      <w:r>
        <w:rPr>
          <w:rFonts w:hint="eastAsia" w:ascii="宋体" w:hAnsi="宋体"/>
          <w:color w:val="auto"/>
          <w:spacing w:val="-6"/>
          <w:szCs w:val="21"/>
          <w:highlight w:val="none"/>
        </w:rPr>
        <w:t>（2）评标委员会认为投标人的报价明显低于其他通过符合性审查投标人的报价，有可能影响产品质量或者不能诚信履约的，应当要求其在评标现场合理的时间内提供书面说明，必要时提交相关证明材料；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ascii="宋体" w:hAnsi="宋体"/>
          <w:b/>
          <w:color w:val="auto"/>
          <w:spacing w:val="-6"/>
          <w:szCs w:val="21"/>
          <w:highlight w:val="none"/>
        </w:rPr>
        <w:t>投标人不能证明其报价合理性的，评标委员会应当将其作为无效投标处理。</w:t>
      </w:r>
    </w:p>
    <w:p>
      <w:pPr>
        <w:snapToGrid w:val="0"/>
        <w:spacing w:line="360" w:lineRule="auto"/>
        <w:ind w:firstLine="424" w:firstLineChars="202"/>
        <w:jc w:val="left"/>
        <w:rPr>
          <w:rFonts w:hint="eastAsia" w:ascii="宋体" w:hAnsi="宋体"/>
          <w:color w:val="auto"/>
          <w:szCs w:val="21"/>
          <w:highlight w:val="none"/>
        </w:rPr>
      </w:pPr>
      <w:r>
        <w:rPr>
          <w:rFonts w:hint="eastAsia" w:ascii="宋体" w:hAnsi="宋体"/>
          <w:color w:val="auto"/>
          <w:szCs w:val="21"/>
          <w:highlight w:val="none"/>
        </w:rPr>
        <w:t>（3）评标委员会按照招标文件中的规定推荐中标候选人。</w:t>
      </w:r>
    </w:p>
    <w:p>
      <w:pPr>
        <w:snapToGrid w:val="0"/>
        <w:spacing w:line="360" w:lineRule="auto"/>
        <w:ind w:firstLine="424" w:firstLineChars="202"/>
        <w:jc w:val="left"/>
        <w:rPr>
          <w:rFonts w:ascii="宋体" w:hAnsi="宋体"/>
          <w:color w:val="auto"/>
          <w:szCs w:val="21"/>
          <w:highlight w:val="none"/>
        </w:rPr>
      </w:pPr>
      <w:r>
        <w:rPr>
          <w:rFonts w:hint="eastAsia" w:ascii="宋体" w:hAnsi="宋体"/>
          <w:color w:val="auto"/>
          <w:szCs w:val="21"/>
          <w:highlight w:val="none"/>
        </w:rPr>
        <w:t>（4）起草并签署评标报告。评标委员会根据评标委员会成员签字的原始评标记录和评标结果编写评标报告。评标委员会成员均应当在评标报告上签字，对自己的评标意见承担法律责任。对评标过程中需要共同认定的事项存在争议的，应当按照少数服从多数的原则做出结论。持不同意见的评标委员会成员应当在评标报告上签署不同意见及理由，否则视为同意评标报告。</w:t>
      </w:r>
    </w:p>
    <w:p>
      <w:pPr>
        <w:snapToGrid w:val="0"/>
        <w:spacing w:line="360" w:lineRule="auto"/>
        <w:ind w:firstLine="424" w:firstLineChars="202"/>
        <w:jc w:val="center"/>
        <w:rPr>
          <w:rFonts w:hint="eastAsia"/>
          <w:color w:val="auto"/>
          <w:highlight w:val="none"/>
        </w:rPr>
      </w:pPr>
      <w:r>
        <w:rPr>
          <w:rFonts w:hAnsi="宋体"/>
          <w:color w:val="auto"/>
          <w:highlight w:val="none"/>
        </w:rPr>
        <w:br w:type="page"/>
      </w:r>
      <w:bookmarkStart w:id="136" w:name="_Hlk71707917"/>
      <w:r>
        <w:rPr>
          <w:rFonts w:ascii="宋体" w:hAnsi="宋体" w:cs="宋体"/>
          <w:b/>
          <w:bCs/>
          <w:color w:val="auto"/>
          <w:sz w:val="32"/>
          <w:szCs w:val="32"/>
          <w:highlight w:val="none"/>
        </w:rPr>
        <w:t>三</w:t>
      </w:r>
      <w:r>
        <w:rPr>
          <w:rFonts w:hint="eastAsia" w:ascii="宋体" w:hAnsi="宋体" w:cs="宋体"/>
          <w:b/>
          <w:bCs/>
          <w:color w:val="auto"/>
          <w:sz w:val="32"/>
          <w:szCs w:val="32"/>
          <w:highlight w:val="none"/>
        </w:rPr>
        <w:t>、评标标准</w:t>
      </w:r>
    </w:p>
    <w:bookmarkEnd w:id="136"/>
    <w:p>
      <w:pPr>
        <w:pStyle w:val="23"/>
        <w:spacing w:line="360" w:lineRule="auto"/>
        <w:ind w:firstLine="420"/>
        <w:jc w:val="center"/>
        <w:rPr>
          <w:rFonts w:hint="eastAsia" w:hAnsi="宋体" w:eastAsia="宋体"/>
          <w:bCs/>
          <w:color w:val="auto"/>
          <w:sz w:val="21"/>
          <w:highlight w:val="none"/>
          <w:lang w:eastAsia="zh-CN"/>
        </w:rPr>
      </w:pPr>
      <w:r>
        <w:rPr>
          <w:rFonts w:hint="eastAsia" w:ascii="宋体" w:hAnsi="宋体" w:cs="宋体"/>
          <w:color w:val="auto"/>
          <w:sz w:val="28"/>
          <w:szCs w:val="28"/>
          <w:highlight w:val="none"/>
        </w:rPr>
        <w:t>综合评分法</w:t>
      </w:r>
      <w:r>
        <w:rPr>
          <w:rFonts w:hint="eastAsia" w:hAnsi="宋体" w:cs="宋体"/>
          <w:color w:val="auto"/>
          <w:sz w:val="28"/>
          <w:szCs w:val="28"/>
          <w:highlight w:val="none"/>
          <w:lang w:eastAsia="zh-CN"/>
        </w:rPr>
        <w:t>（</w:t>
      </w:r>
      <w:r>
        <w:rPr>
          <w:rFonts w:hint="eastAsia" w:hAnsi="宋体" w:cs="宋体"/>
          <w:color w:val="auto"/>
          <w:sz w:val="28"/>
          <w:szCs w:val="28"/>
          <w:highlight w:val="none"/>
          <w:lang w:val="en-US" w:eastAsia="zh-CN"/>
        </w:rPr>
        <w:t>适用所有分标</w:t>
      </w:r>
      <w:r>
        <w:rPr>
          <w:rFonts w:hint="eastAsia" w:hAnsi="宋体" w:cs="宋体"/>
          <w:color w:val="auto"/>
          <w:sz w:val="28"/>
          <w:szCs w:val="28"/>
          <w:highlight w:val="none"/>
          <w:lang w:eastAsia="zh-CN"/>
        </w:rPr>
        <w:t>）</w:t>
      </w:r>
    </w:p>
    <w:tbl>
      <w:tblPr>
        <w:tblStyle w:val="46"/>
        <w:tblW w:w="94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711"/>
        <w:gridCol w:w="1905"/>
        <w:gridCol w:w="5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2273" w:type="dxa"/>
            <w:gridSpan w:val="2"/>
            <w:noWrap w:val="0"/>
            <w:vAlign w:val="center"/>
          </w:tcPr>
          <w:p>
            <w:pPr>
              <w:adjustRightInd w:val="0"/>
              <w:spacing w:line="360" w:lineRule="auto"/>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序号</w:t>
            </w:r>
          </w:p>
        </w:tc>
        <w:tc>
          <w:tcPr>
            <w:tcW w:w="1905" w:type="dxa"/>
            <w:noWrap w:val="0"/>
            <w:vAlign w:val="center"/>
          </w:tcPr>
          <w:p>
            <w:pPr>
              <w:adjustRightInd w:val="0"/>
              <w:spacing w:line="360" w:lineRule="auto"/>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评审因素</w:t>
            </w:r>
          </w:p>
        </w:tc>
        <w:tc>
          <w:tcPr>
            <w:tcW w:w="5277" w:type="dxa"/>
            <w:noWrap w:val="0"/>
            <w:vAlign w:val="center"/>
          </w:tcPr>
          <w:p>
            <w:pPr>
              <w:adjustRightInd w:val="0"/>
              <w:spacing w:line="360" w:lineRule="auto"/>
              <w:jc w:val="center"/>
              <w:textAlignment w:val="baseline"/>
              <w:rPr>
                <w:rFonts w:hint="eastAsia" w:ascii="宋体" w:hAnsi="宋体" w:cs="宋体"/>
                <w:b/>
                <w:color w:val="auto"/>
                <w:szCs w:val="21"/>
                <w:highlight w:val="none"/>
              </w:rPr>
            </w:pPr>
            <w:r>
              <w:rPr>
                <w:rFonts w:hint="eastAsia" w:ascii="宋体" w:hAnsi="宋体" w:cs="宋体"/>
                <w:b/>
                <w:color w:val="auto"/>
                <w:szCs w:val="21"/>
                <w:highlight w:val="none"/>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noWrap w:val="0"/>
            <w:vAlign w:val="center"/>
          </w:tcPr>
          <w:p>
            <w:pPr>
              <w:adjustRightInd w:val="0"/>
              <w:spacing w:line="360" w:lineRule="auto"/>
              <w:jc w:val="center"/>
              <w:textAlignment w:val="baseline"/>
              <w:rPr>
                <w:rFonts w:hint="eastAsia" w:ascii="宋体" w:hAnsi="宋体" w:cs="宋体"/>
                <w:color w:val="auto"/>
                <w:szCs w:val="21"/>
                <w:highlight w:val="none"/>
              </w:rPr>
            </w:pPr>
            <w:r>
              <w:rPr>
                <w:rFonts w:hint="eastAsia" w:ascii="宋体" w:hAnsi="宋体" w:cs="宋体"/>
                <w:color w:val="auto"/>
                <w:szCs w:val="21"/>
                <w:highlight w:val="none"/>
              </w:rPr>
              <w:t>1</w:t>
            </w:r>
          </w:p>
        </w:tc>
        <w:tc>
          <w:tcPr>
            <w:tcW w:w="1711" w:type="dxa"/>
            <w:noWrap w:val="0"/>
            <w:vAlign w:val="center"/>
          </w:tcPr>
          <w:p>
            <w:pPr>
              <w:adjustRightInd w:val="0"/>
              <w:spacing w:line="360" w:lineRule="auto"/>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价格分</w:t>
            </w:r>
          </w:p>
          <w:p>
            <w:pPr>
              <w:adjustRightInd w:val="0"/>
              <w:spacing w:line="360" w:lineRule="auto"/>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（满分</w:t>
            </w:r>
            <w:r>
              <w:rPr>
                <w:rFonts w:hint="eastAsia" w:ascii="宋体" w:hAnsi="宋体" w:cs="宋体"/>
                <w:b/>
                <w:bCs/>
                <w:color w:val="auto"/>
                <w:szCs w:val="21"/>
                <w:highlight w:val="none"/>
                <w:u w:val="single"/>
              </w:rPr>
              <w:t>30</w:t>
            </w:r>
            <w:r>
              <w:rPr>
                <w:rFonts w:hint="eastAsia" w:ascii="宋体" w:hAnsi="宋体" w:cs="宋体"/>
                <w:b/>
                <w:bCs/>
                <w:color w:val="auto"/>
                <w:szCs w:val="21"/>
                <w:highlight w:val="none"/>
              </w:rPr>
              <w:t>分）</w:t>
            </w:r>
          </w:p>
          <w:p>
            <w:pPr>
              <w:adjustRightInd w:val="0"/>
              <w:spacing w:line="360" w:lineRule="auto"/>
              <w:jc w:val="left"/>
              <w:textAlignment w:val="baseline"/>
              <w:rPr>
                <w:rFonts w:hint="eastAsia" w:ascii="宋体" w:hAnsi="宋体" w:cs="宋体"/>
                <w:b/>
                <w:bCs/>
                <w:color w:val="auto"/>
                <w:szCs w:val="21"/>
                <w:highlight w:val="none"/>
              </w:rPr>
            </w:pPr>
          </w:p>
        </w:tc>
        <w:tc>
          <w:tcPr>
            <w:tcW w:w="1905" w:type="dxa"/>
            <w:noWrap w:val="0"/>
            <w:vAlign w:val="center"/>
          </w:tcPr>
          <w:p>
            <w:pPr>
              <w:adjustRightInd w:val="0"/>
              <w:spacing w:line="360" w:lineRule="auto"/>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投标报价</w:t>
            </w:r>
          </w:p>
        </w:tc>
        <w:tc>
          <w:tcPr>
            <w:tcW w:w="5277" w:type="dxa"/>
            <w:noWrap w:val="0"/>
            <w:vAlign w:val="center"/>
          </w:tcPr>
          <w:p>
            <w:pPr>
              <w:snapToGrid w:val="0"/>
              <w:spacing w:line="360" w:lineRule="auto"/>
              <w:ind w:firstLine="233" w:firstLineChars="111"/>
              <w:rPr>
                <w:rFonts w:hint="eastAsia" w:ascii="宋体" w:hAnsi="宋体" w:cs="宋体"/>
                <w:bCs/>
                <w:color w:val="auto"/>
                <w:szCs w:val="21"/>
                <w:highlight w:val="none"/>
              </w:rPr>
            </w:pPr>
            <w:r>
              <w:rPr>
                <w:rFonts w:hint="eastAsia" w:ascii="宋体" w:hAnsi="宋体" w:cs="宋体"/>
                <w:bCs/>
                <w:color w:val="auto"/>
                <w:szCs w:val="21"/>
                <w:highlight w:val="none"/>
              </w:rPr>
              <w:t>（1）评标报价为投标人的投标报价进行政策性扣除后的价格，评标报价只是作为评标时使用。最终中标人的中标金额等于投标报价。</w:t>
            </w:r>
          </w:p>
          <w:p>
            <w:pPr>
              <w:snapToGrid w:val="0"/>
              <w:spacing w:line="360" w:lineRule="auto"/>
              <w:ind w:firstLine="233" w:firstLineChars="111"/>
              <w:rPr>
                <w:rFonts w:hint="eastAsia" w:ascii="宋体" w:hAnsi="宋体" w:cs="宋体"/>
                <w:bCs/>
                <w:color w:val="auto"/>
                <w:szCs w:val="21"/>
                <w:highlight w:val="none"/>
              </w:rPr>
            </w:pPr>
            <w:r>
              <w:rPr>
                <w:rFonts w:hint="eastAsia" w:ascii="宋体" w:hAnsi="宋体" w:cs="宋体"/>
                <w:bCs/>
                <w:color w:val="auto"/>
                <w:szCs w:val="21"/>
                <w:highlight w:val="none"/>
              </w:rPr>
              <w:t>（2）政策性扣除计算方法。</w:t>
            </w:r>
          </w:p>
          <w:p>
            <w:pPr>
              <w:snapToGrid w:val="0"/>
              <w:spacing w:line="360" w:lineRule="auto"/>
              <w:ind w:firstLine="443" w:firstLineChars="211"/>
              <w:rPr>
                <w:rFonts w:hint="eastAsia" w:ascii="宋体" w:hAnsi="宋体" w:cs="宋体"/>
                <w:color w:val="auto"/>
                <w:szCs w:val="21"/>
                <w:highlight w:val="none"/>
              </w:rPr>
            </w:pPr>
            <w:r>
              <w:rPr>
                <w:rFonts w:hint="eastAsia" w:ascii="宋体" w:hAnsi="宋体" w:cs="宋体"/>
                <w:bCs/>
                <w:color w:val="auto"/>
                <w:szCs w:val="21"/>
                <w:highlight w:val="none"/>
              </w:rPr>
              <w:t>根据《政府采购促进中小企业发展管理办法》（财库〔2020〕46号）</w:t>
            </w:r>
            <w:r>
              <w:rPr>
                <w:rFonts w:hint="eastAsia" w:ascii="宋体" w:hAnsi="宋体" w:cs="宋体"/>
                <w:color w:val="auto"/>
                <w:szCs w:val="21"/>
                <w:highlight w:val="none"/>
              </w:rPr>
              <w:t>及《广西壮族自治区财政厅关于贯彻落实政府采购支持中小企业发展政策的通知》（桂财采〔2022〕31号）</w:t>
            </w:r>
            <w:r>
              <w:rPr>
                <w:rFonts w:hint="eastAsia" w:ascii="宋体" w:hAnsi="宋体" w:cs="宋体"/>
                <w:bCs/>
                <w:color w:val="auto"/>
                <w:szCs w:val="21"/>
                <w:highlight w:val="none"/>
              </w:rPr>
              <w:t>的规定，投标人在其投标文件中提供《中小企业声明函》，且其投标全部货物由小微企业制造的，对其投标报价给予20%的扣除，扣除后的价格为评标报价，即评标报价=投标报价×（1-20%）。接受大中型企业与小微企业组成联合体或者允许大中型企业向一家或者多家小微企业分包的采购项目，联合协议或者分包意向协议约定小微企业的合同份额占到合同总金额30%以上的，采购人、采购代理机构应当对联合体或者大中型企业的报价给予</w:t>
            </w:r>
            <w:r>
              <w:rPr>
                <w:rFonts w:hint="eastAsia" w:ascii="宋体" w:hAnsi="宋体" w:cs="宋体"/>
                <w:bCs/>
                <w:color w:val="auto"/>
                <w:szCs w:val="21"/>
                <w:highlight w:val="none"/>
                <w:u w:val="single"/>
              </w:rPr>
              <w:t>4%</w:t>
            </w:r>
            <w:r>
              <w:rPr>
                <w:rFonts w:hint="eastAsia" w:ascii="宋体" w:hAnsi="宋体" w:cs="宋体"/>
                <w:bCs/>
                <w:color w:val="auto"/>
                <w:szCs w:val="21"/>
                <w:highlight w:val="none"/>
              </w:rPr>
              <w:t>的扣除，用扣除后的价格参加评审，扣除后的价格为评标报价，即评标报价=投标报价×（1-</w:t>
            </w:r>
            <w:r>
              <w:rPr>
                <w:rFonts w:hint="eastAsia" w:ascii="宋体" w:hAnsi="宋体" w:cs="宋体"/>
                <w:bCs/>
                <w:color w:val="auto"/>
                <w:szCs w:val="21"/>
                <w:highlight w:val="none"/>
                <w:u w:val="single"/>
              </w:rPr>
              <w:t>4</w:t>
            </w:r>
            <w:r>
              <w:rPr>
                <w:rFonts w:hint="eastAsia" w:ascii="宋体" w:hAnsi="宋体" w:cs="宋体"/>
                <w:bCs/>
                <w:color w:val="auto"/>
                <w:szCs w:val="21"/>
                <w:highlight w:val="none"/>
              </w:rPr>
              <w:t>%）。除上述情况外，评标报价=投标报价。</w:t>
            </w:r>
          </w:p>
          <w:p>
            <w:pPr>
              <w:snapToGrid w:val="0"/>
              <w:spacing w:line="360" w:lineRule="auto"/>
              <w:ind w:firstLine="233" w:firstLineChars="111"/>
              <w:rPr>
                <w:rFonts w:hint="eastAsia" w:ascii="宋体" w:hAnsi="宋体" w:cs="宋体"/>
                <w:bCs/>
                <w:color w:val="auto"/>
                <w:szCs w:val="21"/>
                <w:highlight w:val="none"/>
              </w:rPr>
            </w:pPr>
            <w:r>
              <w:rPr>
                <w:rFonts w:hint="eastAsia" w:ascii="宋体" w:hAnsi="宋体" w:cs="宋体"/>
                <w:bCs/>
                <w:color w:val="auto"/>
                <w:szCs w:val="21"/>
                <w:highlight w:val="none"/>
              </w:rPr>
              <w:t>（3）按照《财政部、司法部关于政府采购支持监狱企业发展有关问题的通知》（财库〔2014〕68号）的规定，监狱企业视同小型、微型企业，享受预留份额、评审中价格扣除等促进中小企业发展的政府采购政策。</w:t>
            </w:r>
            <w:r>
              <w:rPr>
                <w:rFonts w:hint="eastAsia" w:ascii="宋体" w:hAnsi="宋体" w:cs="宋体"/>
                <w:color w:val="auto"/>
                <w:szCs w:val="21"/>
                <w:highlight w:val="none"/>
              </w:rPr>
              <w:t>监狱企业参加政府采购活动时，应当提供由省级以上监狱管理局、戒毒管理局（含新疆生产建设兵团）出具的属于监狱企业的证明文件。</w:t>
            </w:r>
            <w:r>
              <w:rPr>
                <w:rFonts w:hint="eastAsia" w:ascii="宋体" w:hAnsi="宋体" w:cs="宋体"/>
                <w:bCs/>
                <w:color w:val="auto"/>
                <w:szCs w:val="21"/>
                <w:highlight w:val="none"/>
              </w:rPr>
              <w:t>监狱企业属于小型、微型企业的，不重复享受政策。</w:t>
            </w:r>
          </w:p>
          <w:p>
            <w:pPr>
              <w:snapToGrid w:val="0"/>
              <w:spacing w:line="360" w:lineRule="auto"/>
              <w:ind w:firstLine="233" w:firstLineChars="111"/>
              <w:rPr>
                <w:rFonts w:hint="eastAsia" w:ascii="宋体" w:hAnsi="宋体" w:cs="宋体"/>
                <w:bCs/>
                <w:color w:val="auto"/>
                <w:szCs w:val="21"/>
                <w:highlight w:val="none"/>
              </w:rPr>
            </w:pPr>
            <w:r>
              <w:rPr>
                <w:rFonts w:hint="eastAsia" w:ascii="宋体" w:hAnsi="宋体" w:cs="宋体"/>
                <w:color w:val="auto"/>
                <w:szCs w:val="21"/>
                <w:highlight w:val="none"/>
              </w:rPr>
              <w:t>（4）按照</w:t>
            </w:r>
            <w:r>
              <w:rPr>
                <w:rFonts w:hint="eastAsia" w:ascii="宋体" w:hAnsi="宋体" w:cs="宋体"/>
                <w:bCs/>
                <w:color w:val="auto"/>
                <w:szCs w:val="21"/>
                <w:highlight w:val="none"/>
              </w:rPr>
              <w:t>《关于促进残疾人就业政府采购政策的通知》（财库〔2017〕141号）的规定，残疾人福利性单位视同小型、微型企业，享受预留份额、评审中价格扣除等促进中小企业发展的政府采购政策。</w:t>
            </w:r>
            <w:r>
              <w:rPr>
                <w:rFonts w:hint="eastAsia" w:ascii="宋体" w:hAnsi="宋体" w:cs="宋体"/>
                <w:color w:val="auto"/>
                <w:szCs w:val="21"/>
                <w:highlight w:val="none"/>
              </w:rPr>
              <w:t>残疾人福利性单位参加政府采购活动时，应当提供该通知规定的《残疾人福利性单位声明函》，并对声明的真实性负责。</w:t>
            </w:r>
            <w:r>
              <w:rPr>
                <w:rFonts w:hint="eastAsia" w:ascii="宋体" w:hAnsi="宋体" w:cs="宋体"/>
                <w:bCs/>
                <w:color w:val="auto"/>
                <w:szCs w:val="21"/>
                <w:highlight w:val="none"/>
              </w:rPr>
              <w:t>残疾人福利性单位属于小型、微型企业的，不重复享受政策。</w:t>
            </w:r>
          </w:p>
          <w:p>
            <w:pPr>
              <w:snapToGrid w:val="0"/>
              <w:spacing w:line="360" w:lineRule="auto"/>
              <w:ind w:firstLine="233" w:firstLineChars="111"/>
              <w:rPr>
                <w:rFonts w:hint="eastAsia" w:ascii="宋体" w:hAnsi="宋体" w:cs="宋体"/>
                <w:bCs/>
                <w:color w:val="auto"/>
                <w:szCs w:val="21"/>
                <w:highlight w:val="none"/>
              </w:rPr>
            </w:pPr>
            <w:r>
              <w:rPr>
                <w:rFonts w:hint="eastAsia" w:ascii="宋体" w:hAnsi="宋体" w:cs="宋体"/>
                <w:bCs/>
                <w:color w:val="auto"/>
                <w:szCs w:val="21"/>
                <w:highlight w:val="none"/>
              </w:rPr>
              <w:t>（5）满足招标文件要求且评标报价最低的评标报价为评标基准价，其价格分为满分。</w:t>
            </w:r>
          </w:p>
          <w:p>
            <w:pPr>
              <w:spacing w:line="360" w:lineRule="auto"/>
              <w:ind w:firstLine="233" w:firstLineChars="111"/>
              <w:rPr>
                <w:rFonts w:hint="eastAsia" w:ascii="宋体" w:hAnsi="宋体" w:cs="宋体"/>
                <w:bCs/>
                <w:color w:val="auto"/>
                <w:szCs w:val="21"/>
                <w:highlight w:val="none"/>
              </w:rPr>
            </w:pPr>
            <w:r>
              <w:rPr>
                <w:rFonts w:hint="eastAsia" w:ascii="宋体" w:hAnsi="宋体" w:cs="宋体"/>
                <w:bCs/>
                <w:color w:val="auto"/>
                <w:szCs w:val="21"/>
                <w:highlight w:val="none"/>
              </w:rPr>
              <w:t xml:space="preserve">（6）价格分计算公式：        </w:t>
            </w:r>
          </w:p>
          <w:p>
            <w:pPr>
              <w:spacing w:line="360" w:lineRule="auto"/>
              <w:rPr>
                <w:rFonts w:hint="eastAsia" w:ascii="宋体" w:hAnsi="宋体" w:cs="宋体"/>
                <w:bCs/>
                <w:color w:val="auto"/>
                <w:szCs w:val="21"/>
                <w:highlight w:val="none"/>
              </w:rPr>
            </w:pPr>
            <w:r>
              <w:rPr>
                <w:rFonts w:hint="eastAsia" w:ascii="宋体" w:hAnsi="宋体" w:cs="宋体"/>
                <w:bCs/>
                <w:color w:val="auto"/>
                <w:szCs w:val="21"/>
                <w:highlight w:val="none"/>
              </w:rPr>
              <w:t>价格分=（评标基准价／评标报价）×</w:t>
            </w:r>
            <w:r>
              <w:rPr>
                <w:rFonts w:hint="eastAsia" w:ascii="宋体" w:hAnsi="宋体" w:cs="宋体"/>
                <w:bCs/>
                <w:color w:val="auto"/>
                <w:szCs w:val="21"/>
                <w:highlight w:val="none"/>
                <w:u w:val="single"/>
              </w:rPr>
              <w:t>30</w:t>
            </w:r>
            <w:r>
              <w:rPr>
                <w:rFonts w:hint="eastAsia" w:ascii="宋体" w:hAnsi="宋体" w:cs="宋体"/>
                <w:bCs/>
                <w:color w:val="auto"/>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r>
              <w:rPr>
                <w:rFonts w:hint="eastAsia" w:ascii="宋体" w:hAnsi="宋体" w:cs="宋体"/>
                <w:color w:val="auto"/>
                <w:szCs w:val="21"/>
                <w:highlight w:val="none"/>
              </w:rPr>
              <w:t>2</w:t>
            </w:r>
          </w:p>
        </w:tc>
        <w:tc>
          <w:tcPr>
            <w:tcW w:w="1711" w:type="dxa"/>
            <w:vMerge w:val="restart"/>
            <w:noWrap w:val="0"/>
            <w:vAlign w:val="center"/>
          </w:tcPr>
          <w:p>
            <w:pPr>
              <w:adjustRightInd w:val="0"/>
              <w:spacing w:line="360" w:lineRule="auto"/>
              <w:ind w:left="-105" w:leftChars="-50" w:right="-105" w:rightChars="-50"/>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技术分</w:t>
            </w:r>
          </w:p>
          <w:p>
            <w:pPr>
              <w:adjustRightInd w:val="0"/>
              <w:snapToGrid w:val="0"/>
              <w:spacing w:line="360" w:lineRule="auto"/>
              <w:ind w:left="-105" w:leftChars="-50" w:right="-105" w:rightChars="-50"/>
              <w:jc w:val="center"/>
              <w:textAlignment w:val="baseline"/>
              <w:rPr>
                <w:rFonts w:hint="eastAsia" w:ascii="宋体" w:hAnsi="宋体" w:cs="宋体"/>
                <w:color w:val="auto"/>
                <w:spacing w:val="-18"/>
                <w:szCs w:val="21"/>
                <w:highlight w:val="none"/>
              </w:rPr>
            </w:pPr>
            <w:r>
              <w:rPr>
                <w:rFonts w:hint="eastAsia" w:ascii="宋体" w:hAnsi="宋体" w:cs="宋体"/>
                <w:b/>
                <w:color w:val="auto"/>
                <w:szCs w:val="21"/>
                <w:highlight w:val="none"/>
              </w:rPr>
              <w:t>（满分</w:t>
            </w:r>
            <w:r>
              <w:rPr>
                <w:rFonts w:hint="eastAsia" w:ascii="宋体" w:hAnsi="宋体" w:cs="宋体"/>
                <w:b/>
                <w:color w:val="auto"/>
                <w:szCs w:val="21"/>
                <w:highlight w:val="none"/>
                <w:lang w:val="en-US" w:eastAsia="zh-CN"/>
              </w:rPr>
              <w:t>45</w:t>
            </w:r>
            <w:r>
              <w:rPr>
                <w:rFonts w:hint="eastAsia" w:ascii="宋体" w:hAnsi="宋体" w:cs="宋体"/>
                <w:b/>
                <w:color w:val="auto"/>
                <w:szCs w:val="21"/>
                <w:highlight w:val="none"/>
              </w:rPr>
              <w:t>分）</w:t>
            </w:r>
          </w:p>
        </w:tc>
        <w:tc>
          <w:tcPr>
            <w:tcW w:w="1905" w:type="dxa"/>
            <w:noWrap w:val="0"/>
            <w:vAlign w:val="center"/>
          </w:tcPr>
          <w:p>
            <w:pPr>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（1）基本分</w:t>
            </w:r>
          </w:p>
          <w:p>
            <w:pPr>
              <w:snapToGrid w:val="0"/>
              <w:spacing w:line="360" w:lineRule="auto"/>
              <w:jc w:val="center"/>
              <w:rPr>
                <w:rFonts w:hint="eastAsia" w:ascii="宋体" w:hAnsi="宋体" w:cs="宋体"/>
                <w:color w:val="auto"/>
                <w:szCs w:val="21"/>
                <w:highlight w:val="none"/>
              </w:rPr>
            </w:pPr>
            <w:r>
              <w:rPr>
                <w:rFonts w:hint="eastAsia" w:ascii="宋体" w:hAnsi="宋体" w:cs="宋体"/>
                <w:b/>
                <w:color w:val="auto"/>
                <w:szCs w:val="21"/>
                <w:highlight w:val="none"/>
              </w:rPr>
              <w:t>（满分</w:t>
            </w:r>
            <w:r>
              <w:rPr>
                <w:rFonts w:hint="eastAsia" w:ascii="宋体" w:hAnsi="宋体" w:cs="宋体"/>
                <w:b/>
                <w:color w:val="auto"/>
                <w:szCs w:val="21"/>
                <w:highlight w:val="none"/>
                <w:lang w:val="en-US" w:eastAsia="zh-CN"/>
              </w:rPr>
              <w:t>35</w:t>
            </w:r>
            <w:r>
              <w:rPr>
                <w:rFonts w:hint="eastAsia" w:ascii="宋体" w:hAnsi="宋体" w:cs="宋体"/>
                <w:b/>
                <w:color w:val="auto"/>
                <w:szCs w:val="21"/>
                <w:highlight w:val="none"/>
              </w:rPr>
              <w:t>分）</w:t>
            </w:r>
          </w:p>
        </w:tc>
        <w:tc>
          <w:tcPr>
            <w:tcW w:w="5277" w:type="dxa"/>
            <w:noWrap w:val="0"/>
            <w:vAlign w:val="center"/>
          </w:tcPr>
          <w:p>
            <w:pPr>
              <w:widowControl/>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通过资格审查与符合性审查的投标人得基本分</w:t>
            </w:r>
            <w:r>
              <w:rPr>
                <w:rFonts w:hint="eastAsia" w:ascii="宋体" w:hAnsi="宋体" w:cs="宋体"/>
                <w:color w:val="auto"/>
                <w:szCs w:val="21"/>
                <w:highlight w:val="none"/>
                <w:lang w:val="en-US" w:eastAsia="zh-CN"/>
              </w:rPr>
              <w:t>35</w:t>
            </w:r>
            <w:r>
              <w:rPr>
                <w:rFonts w:hint="eastAsia" w:ascii="宋体" w:hAnsi="宋体" w:cs="宋体"/>
                <w:color w:val="auto"/>
                <w:szCs w:val="21"/>
                <w:highlight w:val="none"/>
              </w:rPr>
              <w:t>分，若采购需求中参数及功能，负偏离或漏项的每一项扣</w:t>
            </w:r>
            <w:r>
              <w:rPr>
                <w:rFonts w:hint="eastAsia" w:ascii="宋体" w:hAnsi="宋体" w:cs="宋体"/>
                <w:color w:val="auto"/>
                <w:szCs w:val="21"/>
                <w:highlight w:val="none"/>
                <w:lang w:val="en-US" w:eastAsia="zh-CN"/>
              </w:rPr>
              <w:t>5</w:t>
            </w:r>
            <w:r>
              <w:rPr>
                <w:rFonts w:hint="eastAsia" w:ascii="宋体" w:hAnsi="宋体" w:cs="宋体"/>
                <w:color w:val="auto"/>
                <w:szCs w:val="21"/>
                <w:highlight w:val="none"/>
              </w:rPr>
              <w:t>分，最多扣完此项分值。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jc w:val="center"/>
        </w:trPr>
        <w:tc>
          <w:tcPr>
            <w:tcW w:w="562" w:type="dxa"/>
            <w:vMerge w:val="continue"/>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p>
        </w:tc>
        <w:tc>
          <w:tcPr>
            <w:tcW w:w="1711" w:type="dxa"/>
            <w:vMerge w:val="continue"/>
            <w:noWrap w:val="0"/>
            <w:vAlign w:val="center"/>
          </w:tcPr>
          <w:p>
            <w:pPr>
              <w:adjustRightInd w:val="0"/>
              <w:snapToGrid w:val="0"/>
              <w:spacing w:line="360" w:lineRule="auto"/>
              <w:ind w:left="-105" w:leftChars="-50" w:right="-105" w:rightChars="-50"/>
              <w:jc w:val="center"/>
              <w:textAlignment w:val="baseline"/>
              <w:rPr>
                <w:rFonts w:hint="eastAsia" w:ascii="宋体" w:hAnsi="宋体" w:cs="宋体"/>
                <w:b/>
                <w:color w:val="auto"/>
                <w:szCs w:val="21"/>
                <w:highlight w:val="none"/>
              </w:rPr>
            </w:pPr>
          </w:p>
        </w:tc>
        <w:tc>
          <w:tcPr>
            <w:tcW w:w="1905" w:type="dxa"/>
            <w:noWrap w:val="0"/>
            <w:vAlign w:val="center"/>
          </w:tcPr>
          <w:p>
            <w:pPr>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（2）设备性能分</w:t>
            </w:r>
          </w:p>
          <w:p>
            <w:pPr>
              <w:snapToGrid w:val="0"/>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（满分10分）</w:t>
            </w:r>
          </w:p>
        </w:tc>
        <w:tc>
          <w:tcPr>
            <w:tcW w:w="5277" w:type="dxa"/>
            <w:noWrap w:val="0"/>
            <w:vAlign w:val="center"/>
          </w:tcPr>
          <w:p>
            <w:pPr>
              <w:adjustRightInd w:val="0"/>
              <w:spacing w:line="360" w:lineRule="auto"/>
              <w:ind w:firstLine="422" w:firstLineChars="200"/>
              <w:textAlignment w:val="baseline"/>
              <w:rPr>
                <w:rFonts w:hint="eastAsia" w:ascii="宋体" w:hAnsi="宋体" w:cs="宋体"/>
                <w:color w:val="auto"/>
                <w:szCs w:val="21"/>
                <w:highlight w:val="none"/>
              </w:rPr>
            </w:pPr>
            <w:r>
              <w:rPr>
                <w:rFonts w:hint="eastAsia" w:ascii="宋体" w:hAnsi="宋体" w:cs="宋体"/>
                <w:b/>
                <w:bCs/>
                <w:color w:val="auto"/>
                <w:szCs w:val="21"/>
                <w:highlight w:val="none"/>
              </w:rPr>
              <w:t>标</w:t>
            </w:r>
            <w:r>
              <w:rPr>
                <w:rFonts w:hint="eastAsia" w:ascii="宋体" w:hAnsi="宋体" w:cs="宋体"/>
                <w:b/>
                <w:color w:val="auto"/>
                <w:szCs w:val="21"/>
                <w:highlight w:val="none"/>
              </w:rPr>
              <w:t>▲的技术参数，</w:t>
            </w:r>
            <w:r>
              <w:rPr>
                <w:rFonts w:hint="eastAsia" w:ascii="宋体" w:hAnsi="宋体" w:cs="宋体"/>
                <w:bCs/>
                <w:color w:val="auto"/>
                <w:szCs w:val="21"/>
                <w:highlight w:val="none"/>
              </w:rPr>
              <w:t>有优于招标文件要求且评标时被评标委员会接受的，每优于一项加2分</w:t>
            </w:r>
            <w:r>
              <w:rPr>
                <w:rFonts w:hint="eastAsia" w:ascii="宋体" w:hAnsi="宋体" w:cs="宋体"/>
                <w:bCs/>
                <w:color w:val="auto"/>
                <w:szCs w:val="21"/>
                <w:highlight w:val="none"/>
                <w:lang w:val="en-US" w:eastAsia="zh-CN"/>
              </w:rPr>
              <w:t>,</w:t>
            </w:r>
            <w:r>
              <w:rPr>
                <w:rFonts w:hint="eastAsia" w:ascii="宋体" w:hAnsi="宋体" w:cs="宋体"/>
                <w:b w:val="0"/>
                <w:bCs/>
                <w:color w:val="auto"/>
                <w:szCs w:val="21"/>
                <w:highlight w:val="none"/>
                <w:lang w:eastAsia="zh-CN"/>
              </w:rPr>
              <w:t>非</w:t>
            </w:r>
            <w:r>
              <w:rPr>
                <w:rFonts w:hint="eastAsia" w:ascii="宋体" w:hAnsi="宋体" w:cs="宋体"/>
                <w:b w:val="0"/>
                <w:bCs/>
                <w:color w:val="auto"/>
                <w:szCs w:val="21"/>
                <w:highlight w:val="none"/>
              </w:rPr>
              <w:t>标▲的技术参数，</w:t>
            </w:r>
            <w:r>
              <w:rPr>
                <w:rFonts w:hint="eastAsia" w:ascii="宋体" w:hAnsi="宋体" w:cs="宋体"/>
                <w:bCs/>
                <w:color w:val="auto"/>
                <w:szCs w:val="21"/>
                <w:highlight w:val="none"/>
              </w:rPr>
              <w:t>有优于招标文件要求且评标时被评标委员会接受的，每优于一项加</w:t>
            </w:r>
            <w:r>
              <w:rPr>
                <w:rFonts w:hint="eastAsia" w:ascii="宋体" w:hAnsi="宋体" w:cs="宋体"/>
                <w:bCs/>
                <w:color w:val="auto"/>
                <w:szCs w:val="21"/>
                <w:highlight w:val="none"/>
                <w:lang w:val="en-US" w:eastAsia="zh-CN"/>
              </w:rPr>
              <w:t>1</w:t>
            </w:r>
            <w:r>
              <w:rPr>
                <w:rFonts w:hint="eastAsia" w:ascii="宋体" w:hAnsi="宋体" w:cs="宋体"/>
                <w:bCs/>
                <w:color w:val="auto"/>
                <w:szCs w:val="21"/>
                <w:highlight w:val="none"/>
              </w:rPr>
              <w:t>分。（满分10分）</w:t>
            </w:r>
          </w:p>
          <w:p>
            <w:pPr>
              <w:widowControl/>
              <w:snapToGrid w:val="0"/>
              <w:spacing w:line="360" w:lineRule="auto"/>
              <w:rPr>
                <w:rFonts w:hint="eastAsia" w:ascii="宋体" w:hAnsi="宋体" w:cs="宋体"/>
                <w:color w:val="auto"/>
                <w:szCs w:val="21"/>
                <w:highlight w:val="none"/>
              </w:rPr>
            </w:pPr>
            <w:r>
              <w:rPr>
                <w:rFonts w:hint="eastAsia" w:ascii="宋体" w:hAnsi="宋体" w:cs="宋体"/>
                <w:b/>
                <w:bCs/>
                <w:color w:val="auto"/>
                <w:szCs w:val="21"/>
                <w:highlight w:val="none"/>
              </w:rPr>
              <w:t>注：投标参数及功能有优于的，投标人须在投标文件中提供投标产品的彩页或产品生产厂家出具的技术参数说明等证明材料</w:t>
            </w:r>
            <w:r>
              <w:rPr>
                <w:rFonts w:hint="eastAsia" w:ascii="宋体" w:hAnsi="宋体" w:cs="宋体"/>
                <w:b/>
                <w:bCs/>
                <w:color w:val="auto"/>
                <w:highlight w:val="none"/>
              </w:rPr>
              <w:t>复印件并加盖投标人公章</w:t>
            </w:r>
            <w:r>
              <w:rPr>
                <w:rFonts w:hint="eastAsia" w:ascii="宋体" w:hAnsi="宋体" w:cs="宋体"/>
                <w:b/>
                <w:bCs/>
                <w:color w:val="auto"/>
                <w:szCs w:val="21"/>
                <w:highlight w:val="none"/>
              </w:rPr>
              <w:t>作为佐证。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restart"/>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r>
              <w:rPr>
                <w:rFonts w:hint="eastAsia" w:ascii="宋体" w:hAnsi="宋体" w:cs="宋体"/>
                <w:color w:val="auto"/>
                <w:szCs w:val="21"/>
                <w:highlight w:val="none"/>
              </w:rPr>
              <w:t>3</w:t>
            </w:r>
          </w:p>
        </w:tc>
        <w:tc>
          <w:tcPr>
            <w:tcW w:w="1711" w:type="dxa"/>
            <w:vMerge w:val="restart"/>
            <w:noWrap w:val="0"/>
            <w:vAlign w:val="center"/>
          </w:tcPr>
          <w:p>
            <w:pPr>
              <w:adjustRightInd w:val="0"/>
              <w:spacing w:line="360" w:lineRule="auto"/>
              <w:ind w:left="-105" w:leftChars="-50" w:right="-105" w:rightChars="-50"/>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商务分</w:t>
            </w:r>
          </w:p>
          <w:p>
            <w:pPr>
              <w:adjustRightInd w:val="0"/>
              <w:snapToGrid w:val="0"/>
              <w:spacing w:line="360" w:lineRule="auto"/>
              <w:jc w:val="center"/>
              <w:textAlignment w:val="baseline"/>
              <w:rPr>
                <w:rFonts w:hint="eastAsia" w:ascii="宋体" w:hAnsi="宋体" w:cs="宋体"/>
                <w:color w:val="auto"/>
                <w:szCs w:val="21"/>
                <w:highlight w:val="none"/>
              </w:rPr>
            </w:pPr>
            <w:r>
              <w:rPr>
                <w:rFonts w:hint="eastAsia" w:ascii="宋体" w:hAnsi="宋体" w:cs="宋体"/>
                <w:b/>
                <w:color w:val="auto"/>
                <w:szCs w:val="21"/>
                <w:highlight w:val="none"/>
              </w:rPr>
              <w:t>（满分</w:t>
            </w:r>
            <w:r>
              <w:rPr>
                <w:rFonts w:hint="eastAsia" w:ascii="宋体" w:hAnsi="宋体" w:cs="宋体"/>
                <w:b/>
                <w:color w:val="auto"/>
                <w:szCs w:val="21"/>
                <w:highlight w:val="none"/>
                <w:lang w:val="en-US" w:eastAsia="zh-CN"/>
              </w:rPr>
              <w:t>25</w:t>
            </w:r>
            <w:r>
              <w:rPr>
                <w:rFonts w:hint="eastAsia" w:ascii="宋体" w:hAnsi="宋体" w:cs="宋体"/>
                <w:b/>
                <w:color w:val="auto"/>
                <w:szCs w:val="21"/>
                <w:highlight w:val="none"/>
              </w:rPr>
              <w:t>分）</w:t>
            </w:r>
          </w:p>
        </w:tc>
        <w:tc>
          <w:tcPr>
            <w:tcW w:w="1905" w:type="dxa"/>
            <w:noWrap w:val="0"/>
            <w:vAlign w:val="center"/>
          </w:tcPr>
          <w:p>
            <w:pPr>
              <w:widowControl/>
              <w:snapToGrid w:val="0"/>
              <w:spacing w:line="360" w:lineRule="auto"/>
              <w:jc w:val="center"/>
              <w:rPr>
                <w:rFonts w:hint="eastAsia" w:ascii="宋体" w:hAnsi="宋体" w:cs="宋体"/>
                <w:color w:val="auto"/>
                <w:szCs w:val="21"/>
                <w:highlight w:val="none"/>
              </w:rPr>
            </w:pPr>
            <w:r>
              <w:rPr>
                <w:rFonts w:hint="eastAsia" w:ascii="宋体" w:hAnsi="宋体" w:cs="宋体"/>
                <w:b/>
                <w:color w:val="auto"/>
                <w:szCs w:val="21"/>
                <w:highlight w:val="none"/>
              </w:rPr>
              <w:t>（1）质保期（满分3分）</w:t>
            </w:r>
          </w:p>
        </w:tc>
        <w:tc>
          <w:tcPr>
            <w:tcW w:w="5277" w:type="dxa"/>
            <w:noWrap w:val="0"/>
            <w:vAlign w:val="center"/>
          </w:tcPr>
          <w:p>
            <w:pPr>
              <w:widowControl/>
              <w:snapToGrid w:val="0"/>
              <w:spacing w:line="360" w:lineRule="auto"/>
              <w:rPr>
                <w:rFonts w:hint="eastAsia" w:ascii="宋体" w:hAnsi="宋体" w:cs="宋体"/>
                <w:color w:val="auto"/>
                <w:szCs w:val="21"/>
                <w:highlight w:val="none"/>
              </w:rPr>
            </w:pPr>
            <w:r>
              <w:rPr>
                <w:rFonts w:hint="eastAsia" w:ascii="宋体" w:hAnsi="宋体" w:cs="宋体"/>
                <w:bCs/>
                <w:color w:val="auto"/>
                <w:szCs w:val="21"/>
                <w:highlight w:val="none"/>
              </w:rPr>
              <w:t>满足基本质保期的基础上，产品质保期每延长半年增加1分（以设备生产厂家承诺为准，投标文件中提供厂家或总代证明文件），满分3分。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p>
        </w:tc>
        <w:tc>
          <w:tcPr>
            <w:tcW w:w="1711" w:type="dxa"/>
            <w:vMerge w:val="continue"/>
            <w:noWrap w:val="0"/>
            <w:vAlign w:val="center"/>
          </w:tcPr>
          <w:p>
            <w:pPr>
              <w:adjustRightInd w:val="0"/>
              <w:snapToGrid w:val="0"/>
              <w:spacing w:line="360" w:lineRule="auto"/>
              <w:jc w:val="center"/>
              <w:textAlignment w:val="baseline"/>
              <w:rPr>
                <w:rFonts w:hint="eastAsia" w:ascii="宋体" w:hAnsi="宋体" w:cs="宋体"/>
                <w:b/>
                <w:color w:val="auto"/>
                <w:szCs w:val="21"/>
                <w:highlight w:val="none"/>
              </w:rPr>
            </w:pPr>
          </w:p>
        </w:tc>
        <w:tc>
          <w:tcPr>
            <w:tcW w:w="1905" w:type="dxa"/>
            <w:noWrap w:val="0"/>
            <w:vAlign w:val="center"/>
          </w:tcPr>
          <w:p>
            <w:pPr>
              <w:widowControl/>
              <w:snapToGrid w:val="0"/>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（2）售后服务方案（满分</w:t>
            </w:r>
            <w:r>
              <w:rPr>
                <w:rFonts w:hint="eastAsia" w:ascii="宋体" w:hAnsi="宋体" w:cs="宋体"/>
                <w:b/>
                <w:bCs/>
                <w:color w:val="auto"/>
                <w:szCs w:val="21"/>
                <w:highlight w:val="none"/>
                <w:lang w:val="en-US" w:eastAsia="zh-CN"/>
              </w:rPr>
              <w:t>12</w:t>
            </w:r>
            <w:r>
              <w:rPr>
                <w:rFonts w:hint="eastAsia" w:ascii="宋体" w:hAnsi="宋体" w:cs="宋体"/>
                <w:b/>
                <w:bCs/>
                <w:color w:val="auto"/>
                <w:szCs w:val="21"/>
                <w:highlight w:val="none"/>
              </w:rPr>
              <w:t>分）</w:t>
            </w:r>
          </w:p>
        </w:tc>
        <w:tc>
          <w:tcPr>
            <w:tcW w:w="5277" w:type="dxa"/>
            <w:noWrap w:val="0"/>
            <w:vAlign w:val="center"/>
          </w:tcPr>
          <w:p>
            <w:pPr>
              <w:pStyle w:val="91"/>
              <w:autoSpaceDE/>
              <w:autoSpaceDN/>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评标委员会根据投标人制定</w:t>
            </w:r>
            <w:r>
              <w:rPr>
                <w:rFonts w:hint="eastAsia" w:ascii="宋体" w:hAnsi="宋体" w:cs="宋体"/>
                <w:color w:val="auto"/>
                <w:sz w:val="21"/>
                <w:szCs w:val="21"/>
                <w:highlight w:val="none"/>
                <w:lang w:val="en-US" w:eastAsia="zh-CN"/>
              </w:rPr>
              <w:t>的</w:t>
            </w:r>
            <w:r>
              <w:rPr>
                <w:rFonts w:hint="eastAsia" w:ascii="宋体" w:hAnsi="宋体" w:cs="宋体"/>
                <w:color w:val="auto"/>
                <w:sz w:val="21"/>
                <w:szCs w:val="21"/>
                <w:highlight w:val="none"/>
              </w:rPr>
              <w:t>售后服务方案进行独立评审,包括:</w:t>
            </w:r>
          </w:p>
          <w:p>
            <w:pPr>
              <w:pStyle w:val="91"/>
              <w:autoSpaceDE/>
              <w:autoSpaceDN/>
              <w:spacing w:line="360" w:lineRule="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rPr>
              <w:t>①质量保证</w:t>
            </w:r>
            <w:r>
              <w:rPr>
                <w:rFonts w:hint="eastAsia" w:ascii="宋体" w:hAnsi="宋体" w:eastAsia="宋体" w:cs="宋体"/>
                <w:color w:val="auto"/>
                <w:sz w:val="21"/>
                <w:szCs w:val="21"/>
                <w:highlight w:val="none"/>
                <w:lang w:val="en-US" w:eastAsia="zh-CN"/>
              </w:rPr>
              <w:t>措施</w:t>
            </w:r>
            <w:r>
              <w:rPr>
                <w:rFonts w:hint="eastAsia" w:ascii="宋体" w:hAnsi="宋体" w:eastAsia="宋体" w:cs="宋体"/>
                <w:color w:val="auto"/>
                <w:sz w:val="21"/>
                <w:szCs w:val="21"/>
                <w:highlight w:val="none"/>
              </w:rPr>
              <w:t>;</w:t>
            </w:r>
          </w:p>
          <w:p>
            <w:pPr>
              <w:pStyle w:val="91"/>
              <w:autoSpaceDE/>
              <w:autoSpaceDN/>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②应急响应方案:</w:t>
            </w:r>
          </w:p>
          <w:p>
            <w:pPr>
              <w:pStyle w:val="91"/>
              <w:autoSpaceDE/>
              <w:autoSpaceDN/>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③排除故障响应时间;</w:t>
            </w:r>
          </w:p>
          <w:p>
            <w:pPr>
              <w:pStyle w:val="91"/>
              <w:autoSpaceDE/>
              <w:autoSpaceDN/>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④运维期内的保养方案。</w:t>
            </w:r>
          </w:p>
          <w:p>
            <w:pPr>
              <w:pStyle w:val="91"/>
              <w:autoSpaceDE/>
              <w:autoSpaceDN/>
              <w:spacing w:line="360" w:lineRule="auto"/>
              <w:rPr>
                <w:rFonts w:hint="eastAsia" w:ascii="宋体" w:hAnsi="宋体" w:cs="宋体"/>
                <w:color w:val="auto"/>
                <w:sz w:val="21"/>
                <w:szCs w:val="21"/>
                <w:highlight w:val="none"/>
              </w:rPr>
            </w:pPr>
            <w:r>
              <w:rPr>
                <w:rFonts w:hint="eastAsia" w:ascii="宋体" w:hAnsi="宋体" w:cs="宋体"/>
                <w:color w:val="auto"/>
                <w:sz w:val="21"/>
                <w:szCs w:val="21"/>
                <w:highlight w:val="none"/>
              </w:rPr>
              <w:t>注:①-④项，每项得3分(每项基础分为3分，其中，科学合理内容完整(1分)、实际操作性强(1分)、对应本项目要求(1分)、内容缺项或不对应(0分)，满分12分。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p>
        </w:tc>
        <w:tc>
          <w:tcPr>
            <w:tcW w:w="1711" w:type="dxa"/>
            <w:vMerge w:val="continue"/>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p>
        </w:tc>
        <w:tc>
          <w:tcPr>
            <w:tcW w:w="1905" w:type="dxa"/>
            <w:noWrap w:val="0"/>
            <w:vAlign w:val="center"/>
          </w:tcPr>
          <w:p>
            <w:pPr>
              <w:widowControl/>
              <w:snapToGrid w:val="0"/>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）资信实力分（满分</w:t>
            </w:r>
            <w:r>
              <w:rPr>
                <w:rFonts w:hint="eastAsia" w:ascii="宋体" w:hAnsi="宋体" w:cs="宋体"/>
                <w:b/>
                <w:bCs/>
                <w:color w:val="auto"/>
                <w:szCs w:val="21"/>
                <w:highlight w:val="none"/>
                <w:lang w:val="en-US" w:eastAsia="zh-CN"/>
              </w:rPr>
              <w:t>3</w:t>
            </w:r>
            <w:r>
              <w:rPr>
                <w:rFonts w:hint="eastAsia" w:ascii="宋体" w:hAnsi="宋体" w:cs="宋体"/>
                <w:b/>
                <w:bCs/>
                <w:color w:val="auto"/>
                <w:szCs w:val="21"/>
                <w:highlight w:val="none"/>
              </w:rPr>
              <w:t>分）</w:t>
            </w:r>
          </w:p>
        </w:tc>
        <w:tc>
          <w:tcPr>
            <w:tcW w:w="5277" w:type="dxa"/>
            <w:noWrap w:val="0"/>
            <w:vAlign w:val="center"/>
          </w:tcPr>
          <w:p>
            <w:pPr>
              <w:widowControl/>
              <w:snapToGrid w:val="0"/>
              <w:spacing w:line="360" w:lineRule="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投标人或制造商具备通过ISO质量管理体系认证、环境管理体系认证、职业健康安全管理体系认证</w:t>
            </w:r>
            <w:r>
              <w:rPr>
                <w:rFonts w:hint="eastAsia" w:ascii="宋体" w:hAnsi="宋体" w:eastAsia="宋体" w:cs="宋体"/>
                <w:color w:val="auto"/>
                <w:sz w:val="21"/>
                <w:szCs w:val="21"/>
                <w:highlight w:val="none"/>
                <w:lang w:eastAsia="zh-CN"/>
              </w:rPr>
              <w:t>的每项得</w:t>
            </w:r>
            <w:r>
              <w:rPr>
                <w:rFonts w:hint="eastAsia" w:ascii="宋体" w:hAnsi="宋体" w:eastAsia="宋体" w:cs="宋体"/>
                <w:color w:val="auto"/>
                <w:sz w:val="21"/>
                <w:szCs w:val="21"/>
                <w:highlight w:val="none"/>
                <w:lang w:val="en-US" w:eastAsia="zh-CN"/>
              </w:rPr>
              <w:t>1分</w:t>
            </w:r>
            <w:r>
              <w:rPr>
                <w:rFonts w:hint="eastAsia" w:ascii="宋体" w:hAnsi="宋体" w:eastAsia="宋体" w:cs="宋体"/>
                <w:color w:val="auto"/>
                <w:sz w:val="21"/>
                <w:szCs w:val="21"/>
                <w:highlight w:val="none"/>
              </w:rPr>
              <w:t>，满分</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widowControl/>
              <w:snapToGrid w:val="0"/>
              <w:spacing w:line="360" w:lineRule="auto"/>
              <w:rPr>
                <w:rFonts w:hint="eastAsia" w:ascii="宋体" w:hAnsi="宋体" w:cs="宋体"/>
                <w:color w:val="auto"/>
                <w:szCs w:val="21"/>
                <w:highlight w:val="none"/>
              </w:rPr>
            </w:pPr>
            <w:r>
              <w:rPr>
                <w:rFonts w:hint="eastAsia" w:ascii="宋体" w:hAnsi="宋体" w:cs="宋体"/>
                <w:b/>
                <w:bCs/>
                <w:color w:val="auto"/>
                <w:szCs w:val="21"/>
                <w:highlight w:val="none"/>
              </w:rPr>
              <w:t>注：须提供上述证书复印件并加盖投标人公章，不提供或证书无效不得分</w:t>
            </w:r>
            <w:r>
              <w:rPr>
                <w:rFonts w:hint="eastAsia" w:ascii="宋体" w:hAnsi="宋体" w:cs="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p>
        </w:tc>
        <w:tc>
          <w:tcPr>
            <w:tcW w:w="1711" w:type="dxa"/>
            <w:vMerge w:val="continue"/>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p>
        </w:tc>
        <w:tc>
          <w:tcPr>
            <w:tcW w:w="1905" w:type="dxa"/>
            <w:noWrap w:val="0"/>
            <w:vAlign w:val="center"/>
          </w:tcPr>
          <w:p>
            <w:pPr>
              <w:adjustRightInd w:val="0"/>
              <w:spacing w:line="360" w:lineRule="auto"/>
              <w:jc w:val="center"/>
              <w:textAlignment w:val="baseline"/>
              <w:rPr>
                <w:rFonts w:hint="eastAsia" w:ascii="宋体" w:hAnsi="宋体" w:cs="宋体"/>
                <w:b/>
                <w:bCs/>
                <w:color w:val="auto"/>
                <w:szCs w:val="21"/>
                <w:highlight w:val="none"/>
              </w:rPr>
            </w:pPr>
            <w:r>
              <w:rPr>
                <w:rFonts w:hint="eastAsia" w:ascii="宋体" w:hAnsi="宋体" w:cs="宋体"/>
                <w:b/>
                <w:bCs/>
                <w:color w:val="auto"/>
                <w:szCs w:val="21"/>
                <w:highlight w:val="none"/>
              </w:rPr>
              <w:t>（</w:t>
            </w:r>
            <w:r>
              <w:rPr>
                <w:rFonts w:hint="eastAsia" w:ascii="宋体" w:hAnsi="宋体" w:cs="宋体"/>
                <w:b/>
                <w:bCs/>
                <w:color w:val="auto"/>
                <w:szCs w:val="21"/>
                <w:highlight w:val="none"/>
                <w:lang w:val="en-US" w:eastAsia="zh-CN"/>
              </w:rPr>
              <w:t>4</w:t>
            </w:r>
            <w:r>
              <w:rPr>
                <w:rFonts w:hint="eastAsia" w:ascii="宋体" w:hAnsi="宋体" w:cs="宋体"/>
                <w:b/>
                <w:bCs/>
                <w:color w:val="auto"/>
                <w:szCs w:val="21"/>
                <w:highlight w:val="none"/>
              </w:rPr>
              <w:t>）业绩分</w:t>
            </w:r>
          </w:p>
          <w:p>
            <w:pPr>
              <w:adjustRightInd w:val="0"/>
              <w:spacing w:line="360" w:lineRule="auto"/>
              <w:jc w:val="center"/>
              <w:textAlignment w:val="baseline"/>
              <w:rPr>
                <w:rFonts w:hint="eastAsia" w:ascii="宋体" w:hAnsi="宋体" w:cs="宋体"/>
                <w:color w:val="auto"/>
                <w:szCs w:val="21"/>
                <w:highlight w:val="none"/>
              </w:rPr>
            </w:pPr>
            <w:r>
              <w:rPr>
                <w:rFonts w:hint="eastAsia" w:ascii="宋体" w:hAnsi="宋体" w:cs="宋体"/>
                <w:b/>
                <w:bCs/>
                <w:color w:val="auto"/>
                <w:szCs w:val="21"/>
                <w:highlight w:val="none"/>
              </w:rPr>
              <w:t>（满分5分）</w:t>
            </w:r>
          </w:p>
        </w:tc>
        <w:tc>
          <w:tcPr>
            <w:tcW w:w="5277" w:type="dxa"/>
            <w:noWrap w:val="0"/>
            <w:vAlign w:val="center"/>
          </w:tcPr>
          <w:p>
            <w:pPr>
              <w:adjustRightInd w:val="0"/>
              <w:snapToGrid w:val="0"/>
              <w:spacing w:line="360" w:lineRule="auto"/>
              <w:textAlignment w:val="baseline"/>
              <w:rPr>
                <w:rFonts w:hint="eastAsia" w:ascii="宋体" w:hAnsi="宋体" w:cs="宋体"/>
                <w:color w:val="auto"/>
                <w:szCs w:val="21"/>
                <w:highlight w:val="none"/>
              </w:rPr>
            </w:pPr>
            <w:r>
              <w:rPr>
                <w:rFonts w:hint="eastAsia" w:ascii="宋体" w:hAnsi="宋体" w:cs="宋体"/>
                <w:color w:val="auto"/>
                <w:szCs w:val="21"/>
                <w:highlight w:val="none"/>
              </w:rPr>
              <w:t>投标人拥有同类型项目案例业绩的，每提供1个得1分，最高得5分。【提供合同或者中标通知书复印件，不提供不予计分】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p>
        </w:tc>
        <w:tc>
          <w:tcPr>
            <w:tcW w:w="1711" w:type="dxa"/>
            <w:vMerge w:val="continue"/>
            <w:noWrap w:val="0"/>
            <w:vAlign w:val="center"/>
          </w:tcPr>
          <w:p>
            <w:pPr>
              <w:adjustRightInd w:val="0"/>
              <w:snapToGrid w:val="0"/>
              <w:spacing w:line="360" w:lineRule="auto"/>
              <w:jc w:val="center"/>
              <w:textAlignment w:val="baseline"/>
              <w:rPr>
                <w:rFonts w:hint="eastAsia" w:ascii="宋体" w:hAnsi="宋体" w:cs="宋体"/>
                <w:color w:val="auto"/>
                <w:szCs w:val="21"/>
                <w:highlight w:val="none"/>
              </w:rPr>
            </w:pPr>
          </w:p>
        </w:tc>
        <w:tc>
          <w:tcPr>
            <w:tcW w:w="1905" w:type="dxa"/>
            <w:noWrap w:val="0"/>
            <w:vAlign w:val="center"/>
          </w:tcPr>
          <w:p>
            <w:pPr>
              <w:spacing w:line="360" w:lineRule="auto"/>
              <w:jc w:val="center"/>
              <w:rPr>
                <w:rFonts w:hint="eastAsia" w:ascii="宋体" w:hAnsi="宋体" w:cs="宋体"/>
                <w:b/>
                <w:color w:val="auto"/>
                <w:szCs w:val="21"/>
                <w:highlight w:val="none"/>
              </w:rPr>
            </w:pPr>
            <w:r>
              <w:rPr>
                <w:rFonts w:hint="eastAsia" w:ascii="宋体" w:hAnsi="宋体" w:cs="宋体"/>
                <w:b/>
                <w:color w:val="auto"/>
                <w:szCs w:val="21"/>
                <w:highlight w:val="none"/>
              </w:rPr>
              <w:t>（</w:t>
            </w:r>
            <w:r>
              <w:rPr>
                <w:rFonts w:hint="eastAsia" w:ascii="宋体" w:hAnsi="宋体" w:cs="宋体"/>
                <w:b/>
                <w:color w:val="auto"/>
                <w:szCs w:val="21"/>
                <w:highlight w:val="none"/>
                <w:lang w:val="en-US" w:eastAsia="zh-CN"/>
              </w:rPr>
              <w:t>5</w:t>
            </w:r>
            <w:r>
              <w:rPr>
                <w:rFonts w:hint="eastAsia" w:ascii="宋体" w:hAnsi="宋体" w:cs="宋体"/>
                <w:b/>
                <w:color w:val="auto"/>
                <w:szCs w:val="21"/>
                <w:highlight w:val="none"/>
              </w:rPr>
              <w:t>）政策分</w:t>
            </w:r>
          </w:p>
          <w:p>
            <w:pPr>
              <w:spacing w:line="360" w:lineRule="auto"/>
              <w:jc w:val="center"/>
              <w:rPr>
                <w:rFonts w:hint="eastAsia" w:ascii="宋体" w:hAnsi="宋体" w:cs="宋体"/>
                <w:b/>
                <w:bCs/>
                <w:color w:val="auto"/>
                <w:szCs w:val="21"/>
                <w:highlight w:val="none"/>
              </w:rPr>
            </w:pPr>
            <w:r>
              <w:rPr>
                <w:rFonts w:hint="eastAsia" w:ascii="宋体" w:hAnsi="宋体" w:cs="宋体"/>
                <w:b/>
                <w:bCs/>
                <w:color w:val="auto"/>
                <w:szCs w:val="21"/>
                <w:highlight w:val="none"/>
              </w:rPr>
              <w:t>（满分</w:t>
            </w:r>
            <w:r>
              <w:rPr>
                <w:rFonts w:hint="eastAsia" w:ascii="宋体" w:hAnsi="宋体" w:cs="宋体"/>
                <w:b/>
                <w:bCs/>
                <w:color w:val="auto"/>
                <w:szCs w:val="21"/>
                <w:highlight w:val="none"/>
                <w:u w:val="single"/>
              </w:rPr>
              <w:t>2</w:t>
            </w:r>
            <w:r>
              <w:rPr>
                <w:rFonts w:hint="eastAsia" w:ascii="宋体" w:hAnsi="宋体" w:cs="宋体"/>
                <w:b/>
                <w:bCs/>
                <w:color w:val="auto"/>
                <w:szCs w:val="21"/>
                <w:highlight w:val="none"/>
              </w:rPr>
              <w:t>分）</w:t>
            </w:r>
          </w:p>
          <w:p>
            <w:pPr>
              <w:spacing w:line="360" w:lineRule="auto"/>
              <w:jc w:val="center"/>
              <w:rPr>
                <w:rFonts w:hint="eastAsia" w:ascii="宋体" w:hAnsi="宋体" w:cs="宋体"/>
                <w:b/>
                <w:bCs/>
                <w:color w:val="auto"/>
                <w:szCs w:val="21"/>
                <w:highlight w:val="none"/>
              </w:rPr>
            </w:pPr>
          </w:p>
        </w:tc>
        <w:tc>
          <w:tcPr>
            <w:tcW w:w="5277" w:type="dxa"/>
            <w:noWrap w:val="0"/>
            <w:vAlign w:val="center"/>
          </w:tcPr>
          <w:p>
            <w:pPr>
              <w:pStyle w:val="23"/>
              <w:spacing w:line="360" w:lineRule="auto"/>
              <w:rPr>
                <w:rFonts w:hint="eastAsia" w:hAnsi="宋体" w:cs="宋体"/>
                <w:bCs/>
                <w:color w:val="auto"/>
                <w:kern w:val="2"/>
                <w:sz w:val="21"/>
                <w:highlight w:val="none"/>
              </w:rPr>
            </w:pPr>
            <w:r>
              <w:rPr>
                <w:rFonts w:hint="eastAsia" w:hAnsi="宋体" w:cs="宋体"/>
                <w:bCs/>
                <w:color w:val="auto"/>
                <w:kern w:val="2"/>
                <w:sz w:val="21"/>
                <w:highlight w:val="none"/>
              </w:rPr>
              <w:t>（1）属于财政部《节能产品政府采购品目清单》内优先采购（清单内未标注“★”的品目）的产品[投标文件中提供有效的认证证书复印件及品目清单（标注出投标产品在品目清单中所属的品目），并加盖投标人公章]，根据其所占项目（或者分标）预算金额比例得</w:t>
            </w:r>
            <w:r>
              <w:rPr>
                <w:rFonts w:hint="eastAsia" w:hAnsi="宋体" w:cs="宋体"/>
                <w:bCs/>
                <w:color w:val="auto"/>
                <w:kern w:val="2"/>
                <w:sz w:val="21"/>
                <w:highlight w:val="none"/>
                <w:u w:val="single"/>
              </w:rPr>
              <w:t>0</w:t>
            </w:r>
            <w:r>
              <w:rPr>
                <w:rFonts w:hint="eastAsia" w:hAnsi="宋体" w:cs="宋体"/>
                <w:bCs/>
                <w:color w:val="auto"/>
                <w:kern w:val="2"/>
                <w:sz w:val="21"/>
                <w:highlight w:val="none"/>
              </w:rPr>
              <w:t>至</w:t>
            </w:r>
            <w:r>
              <w:rPr>
                <w:rFonts w:hint="eastAsia" w:hAnsi="宋体" w:cs="宋体"/>
                <w:bCs/>
                <w:color w:val="auto"/>
                <w:kern w:val="2"/>
                <w:sz w:val="21"/>
                <w:highlight w:val="none"/>
                <w:u w:val="single"/>
              </w:rPr>
              <w:t>1</w:t>
            </w:r>
            <w:r>
              <w:rPr>
                <w:rFonts w:hint="eastAsia" w:hAnsi="宋体" w:cs="宋体"/>
                <w:bCs/>
                <w:color w:val="auto"/>
                <w:kern w:val="2"/>
                <w:sz w:val="21"/>
                <w:highlight w:val="none"/>
              </w:rPr>
              <w:t>分，满分</w:t>
            </w:r>
            <w:r>
              <w:rPr>
                <w:rFonts w:hint="eastAsia" w:hAnsi="宋体" w:cs="宋体"/>
                <w:bCs/>
                <w:color w:val="auto"/>
                <w:kern w:val="2"/>
                <w:sz w:val="21"/>
                <w:highlight w:val="none"/>
                <w:u w:val="single"/>
              </w:rPr>
              <w:t>1</w:t>
            </w:r>
            <w:r>
              <w:rPr>
                <w:rFonts w:hint="eastAsia" w:hAnsi="宋体" w:cs="宋体"/>
                <w:bCs/>
                <w:color w:val="auto"/>
                <w:kern w:val="2"/>
                <w:sz w:val="21"/>
                <w:highlight w:val="none"/>
              </w:rPr>
              <w:t>分。</w:t>
            </w:r>
          </w:p>
          <w:p>
            <w:pPr>
              <w:pStyle w:val="23"/>
              <w:spacing w:line="360" w:lineRule="auto"/>
              <w:rPr>
                <w:rFonts w:hint="eastAsia" w:hAnsi="宋体" w:cs="宋体"/>
                <w:bCs/>
                <w:color w:val="auto"/>
                <w:kern w:val="2"/>
                <w:sz w:val="21"/>
                <w:highlight w:val="none"/>
              </w:rPr>
            </w:pPr>
            <w:r>
              <w:rPr>
                <w:rFonts w:hint="eastAsia" w:hAnsi="宋体" w:cs="宋体"/>
                <w:bCs/>
                <w:color w:val="auto"/>
                <w:kern w:val="2"/>
                <w:sz w:val="21"/>
                <w:highlight w:val="none"/>
              </w:rPr>
              <w:t>（2）属于财政部《环境标志产品政府采购品目清单》内的产品[投标文件中提供有效的认证证书复印件及品目清单（标注出投标产品在品目清单中所属的品目），并加盖投标人公章]，根据其所占项目（或者分标）预算金额比例得</w:t>
            </w:r>
            <w:r>
              <w:rPr>
                <w:rFonts w:hint="eastAsia" w:hAnsi="宋体" w:cs="宋体"/>
                <w:bCs/>
                <w:color w:val="auto"/>
                <w:kern w:val="2"/>
                <w:sz w:val="21"/>
                <w:highlight w:val="none"/>
                <w:u w:val="single"/>
              </w:rPr>
              <w:t>0</w:t>
            </w:r>
            <w:r>
              <w:rPr>
                <w:rFonts w:hint="eastAsia" w:hAnsi="宋体" w:cs="宋体"/>
                <w:bCs/>
                <w:color w:val="auto"/>
                <w:kern w:val="2"/>
                <w:sz w:val="21"/>
                <w:highlight w:val="none"/>
              </w:rPr>
              <w:t>至</w:t>
            </w:r>
            <w:r>
              <w:rPr>
                <w:rFonts w:hint="eastAsia" w:hAnsi="宋体" w:cs="宋体"/>
                <w:bCs/>
                <w:color w:val="auto"/>
                <w:kern w:val="2"/>
                <w:sz w:val="21"/>
                <w:highlight w:val="none"/>
                <w:u w:val="single"/>
              </w:rPr>
              <w:t>1</w:t>
            </w:r>
            <w:r>
              <w:rPr>
                <w:rFonts w:hint="eastAsia" w:hAnsi="宋体" w:cs="宋体"/>
                <w:bCs/>
                <w:color w:val="auto"/>
                <w:kern w:val="2"/>
                <w:sz w:val="21"/>
                <w:highlight w:val="none"/>
              </w:rPr>
              <w:t>分，满分</w:t>
            </w:r>
            <w:r>
              <w:rPr>
                <w:rFonts w:hint="eastAsia" w:hAnsi="宋体" w:cs="宋体"/>
                <w:bCs/>
                <w:color w:val="auto"/>
                <w:kern w:val="2"/>
                <w:sz w:val="21"/>
                <w:highlight w:val="none"/>
                <w:u w:val="single"/>
              </w:rPr>
              <w:t>1</w:t>
            </w:r>
            <w:r>
              <w:rPr>
                <w:rFonts w:hint="eastAsia" w:hAnsi="宋体" w:cs="宋体"/>
                <w:bCs/>
                <w:color w:val="auto"/>
                <w:kern w:val="2"/>
                <w:sz w:val="21"/>
                <w:highlight w:val="none"/>
              </w:rPr>
              <w:t>分；</w:t>
            </w:r>
          </w:p>
          <w:p>
            <w:pPr>
              <w:pStyle w:val="23"/>
              <w:spacing w:line="360" w:lineRule="auto"/>
              <w:rPr>
                <w:rFonts w:hint="eastAsia" w:hAnsi="宋体" w:cs="宋体"/>
                <w:bCs/>
                <w:color w:val="auto"/>
                <w:kern w:val="2"/>
                <w:sz w:val="21"/>
                <w:highlight w:val="none"/>
              </w:rPr>
            </w:pPr>
            <w:r>
              <w:rPr>
                <w:rFonts w:hint="eastAsia" w:hAnsi="宋体" w:cs="宋体"/>
                <w:b/>
                <w:bCs/>
                <w:color w:val="auto"/>
                <w:sz w:val="21"/>
                <w:highlight w:val="none"/>
              </w:rPr>
              <w:t>备注：</w:t>
            </w:r>
            <w:r>
              <w:rPr>
                <w:rFonts w:hint="eastAsia" w:hAnsi="宋体" w:cs="宋体"/>
                <w:bCs/>
                <w:color w:val="auto"/>
                <w:sz w:val="21"/>
                <w:highlight w:val="none"/>
              </w:rPr>
              <w:t>以上（1）、（2）分值计算公式列举说明，如某投标人属于优先采购环境标志产品总值占本投标报价的比例为35.6%，那该项得分为1×0.356=0.356分；</w:t>
            </w:r>
          </w:p>
          <w:p>
            <w:pPr>
              <w:pStyle w:val="23"/>
              <w:spacing w:line="360" w:lineRule="auto"/>
              <w:rPr>
                <w:rFonts w:hint="eastAsia" w:hAnsi="宋体" w:cs="宋体"/>
                <w:color w:val="auto"/>
                <w:sz w:val="21"/>
                <w:highlight w:val="none"/>
              </w:rPr>
            </w:pPr>
            <w:r>
              <w:rPr>
                <w:rFonts w:hint="eastAsia" w:hAnsi="宋体" w:cs="宋体"/>
                <w:bCs/>
                <w:color w:val="auto"/>
                <w:kern w:val="2"/>
                <w:sz w:val="21"/>
                <w:highlight w:val="none"/>
              </w:rPr>
              <w:t>（3）非节能、环境标志产品的不得分。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9455" w:type="dxa"/>
            <w:gridSpan w:val="4"/>
            <w:noWrap w:val="0"/>
            <w:vAlign w:val="center"/>
          </w:tcPr>
          <w:p>
            <w:pPr>
              <w:pStyle w:val="23"/>
              <w:snapToGrid w:val="0"/>
              <w:spacing w:line="360" w:lineRule="auto"/>
              <w:rPr>
                <w:rFonts w:hint="eastAsia" w:hAnsi="宋体" w:cs="宋体"/>
                <w:b/>
                <w:bCs/>
                <w:color w:val="auto"/>
                <w:sz w:val="21"/>
                <w:highlight w:val="none"/>
              </w:rPr>
            </w:pPr>
            <w:r>
              <w:rPr>
                <w:rFonts w:hint="eastAsia" w:hAnsi="宋体" w:cs="宋体"/>
                <w:b/>
                <w:bCs/>
                <w:color w:val="auto"/>
                <w:sz w:val="21"/>
                <w:highlight w:val="none"/>
              </w:rPr>
              <w:t>总得分=1+2+3</w:t>
            </w:r>
          </w:p>
        </w:tc>
      </w:tr>
    </w:tbl>
    <w:p>
      <w:pPr>
        <w:pStyle w:val="23"/>
        <w:spacing w:line="360" w:lineRule="auto"/>
        <w:ind w:firstLine="420"/>
        <w:rPr>
          <w:rFonts w:hint="eastAsia" w:hAnsi="宋体"/>
          <w:color w:val="auto"/>
          <w:sz w:val="21"/>
          <w:highlight w:val="none"/>
        </w:rPr>
      </w:pPr>
      <w:r>
        <w:rPr>
          <w:rFonts w:hint="eastAsia" w:hAnsi="宋体"/>
          <w:bCs/>
          <w:color w:val="auto"/>
          <w:sz w:val="21"/>
          <w:highlight w:val="none"/>
        </w:rPr>
        <w:t>注：计分方法按四舍五入取至百分位</w:t>
      </w:r>
    </w:p>
    <w:p>
      <w:pPr>
        <w:pStyle w:val="4"/>
        <w:keepNext w:val="0"/>
        <w:keepLines w:val="0"/>
        <w:jc w:val="center"/>
        <w:rPr>
          <w:color w:val="auto"/>
          <w:sz w:val="30"/>
          <w:szCs w:val="30"/>
          <w:highlight w:val="none"/>
        </w:rPr>
      </w:pPr>
      <w:r>
        <w:rPr>
          <w:color w:val="auto"/>
          <w:highlight w:val="none"/>
        </w:rPr>
        <w:br w:type="page"/>
      </w:r>
      <w:r>
        <w:rPr>
          <w:rFonts w:hint="eastAsia"/>
          <w:color w:val="auto"/>
          <w:sz w:val="30"/>
          <w:szCs w:val="30"/>
          <w:highlight w:val="none"/>
        </w:rPr>
        <w:t>四、中标候选人推荐原则</w:t>
      </w:r>
    </w:p>
    <w:p>
      <w:pPr>
        <w:pStyle w:val="23"/>
        <w:spacing w:line="360" w:lineRule="auto"/>
        <w:ind w:firstLine="420" w:firstLineChars="200"/>
        <w:contextualSpacing/>
        <w:rPr>
          <w:rFonts w:hAnsi="宋体"/>
          <w:color w:val="auto"/>
          <w:sz w:val="21"/>
          <w:highlight w:val="none"/>
        </w:rPr>
      </w:pPr>
      <w:r>
        <w:rPr>
          <w:rFonts w:hint="eastAsia" w:hAnsi="宋体"/>
          <w:color w:val="auto"/>
          <w:sz w:val="21"/>
          <w:highlight w:val="none"/>
        </w:rPr>
        <w:t>1</w:t>
      </w:r>
      <w:r>
        <w:rPr>
          <w:rFonts w:hAnsi="宋体"/>
          <w:color w:val="auto"/>
          <w:sz w:val="21"/>
          <w:highlight w:val="none"/>
        </w:rPr>
        <w:t>.</w:t>
      </w:r>
      <w:r>
        <w:rPr>
          <w:rFonts w:hint="eastAsia" w:hAnsi="宋体"/>
          <w:color w:val="auto"/>
          <w:sz w:val="21"/>
          <w:highlight w:val="none"/>
        </w:rPr>
        <w:t>评标委员会根据原始评标记录和评标结果编写评标报告，并通过电子交易平台向采购人、采购代理机构提交。</w:t>
      </w:r>
    </w:p>
    <w:p>
      <w:pPr>
        <w:pStyle w:val="23"/>
        <w:spacing w:line="360" w:lineRule="auto"/>
        <w:ind w:firstLine="420" w:firstLineChars="200"/>
        <w:contextualSpacing/>
        <w:rPr>
          <w:rFonts w:hint="eastAsia" w:hAnsi="宋体"/>
          <w:color w:val="auto"/>
          <w:sz w:val="21"/>
          <w:highlight w:val="none"/>
        </w:rPr>
      </w:pPr>
      <w:r>
        <w:rPr>
          <w:rFonts w:hint="eastAsia" w:hAnsi="宋体"/>
          <w:color w:val="auto"/>
          <w:sz w:val="21"/>
          <w:highlight w:val="none"/>
        </w:rPr>
        <w:t>2</w:t>
      </w:r>
      <w:r>
        <w:rPr>
          <w:rFonts w:hAnsi="宋体"/>
          <w:color w:val="auto"/>
          <w:sz w:val="21"/>
          <w:highlight w:val="none"/>
        </w:rPr>
        <w:t>.</w:t>
      </w:r>
      <w:r>
        <w:rPr>
          <w:rFonts w:hint="eastAsia" w:hAnsi="宋体"/>
          <w:color w:val="auto"/>
          <w:sz w:val="21"/>
          <w:highlight w:val="none"/>
        </w:rPr>
        <w:t>评标委员会将根据总得分由高到低排列次序并推荐中标候选人。得分相同的，以投标报价由低到高顺序排列。得分相同且投标报价相同的并列，投标文件满足招标文件全部实质性要求，且按照评审因素的量化指标评审得分最高的投标人为排名第一的中标候选人。</w:t>
      </w:r>
    </w:p>
    <w:p>
      <w:pPr>
        <w:pStyle w:val="4"/>
        <w:keepNext w:val="0"/>
        <w:keepLines w:val="0"/>
        <w:jc w:val="center"/>
        <w:rPr>
          <w:rFonts w:hint="eastAsia" w:hAnsi="宋体"/>
          <w:color w:val="auto"/>
          <w:sz w:val="21"/>
          <w:highlight w:val="none"/>
        </w:rPr>
      </w:pPr>
      <w:r>
        <w:rPr>
          <w:rFonts w:hAnsi="宋体"/>
          <w:b w:val="0"/>
          <w:color w:val="auto"/>
          <w:sz w:val="24"/>
          <w:highlight w:val="none"/>
        </w:rPr>
        <w:br w:type="page"/>
      </w: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spacing w:before="120" w:beforeLines="50" w:after="120" w:afterLines="50" w:line="400" w:lineRule="exact"/>
        <w:rPr>
          <w:rFonts w:hint="eastAsia" w:ascii="宋体" w:hAnsi="宋体"/>
          <w:b/>
          <w:color w:val="auto"/>
          <w:sz w:val="24"/>
          <w:highlight w:val="none"/>
        </w:rPr>
      </w:pPr>
    </w:p>
    <w:p>
      <w:pPr>
        <w:pStyle w:val="2"/>
        <w:jc w:val="center"/>
        <w:rPr>
          <w:rFonts w:hint="eastAsia"/>
          <w:color w:val="auto"/>
          <w:highlight w:val="none"/>
        </w:rPr>
      </w:pPr>
      <w:bookmarkStart w:id="137" w:name="_Toc25250"/>
      <w:r>
        <w:rPr>
          <w:rFonts w:hint="eastAsia"/>
          <w:color w:val="auto"/>
          <w:highlight w:val="none"/>
        </w:rPr>
        <w:t>第五章  拟签订的合同文本</w:t>
      </w:r>
      <w:bookmarkEnd w:id="137"/>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jc w:val="center"/>
        <w:rPr>
          <w:rFonts w:hint="eastAsia" w:ascii="宋体" w:hAnsi="宋体" w:cs="Courier New"/>
          <w:b/>
          <w:color w:val="auto"/>
          <w:sz w:val="32"/>
          <w:szCs w:val="32"/>
          <w:highlight w:val="none"/>
        </w:rPr>
      </w:pPr>
      <w:r>
        <w:rPr>
          <w:rFonts w:ascii="宋体" w:hAnsi="宋体"/>
          <w:bCs/>
          <w:color w:val="auto"/>
          <w:highlight w:val="none"/>
        </w:rPr>
        <w:br w:type="page"/>
      </w:r>
    </w:p>
    <w:p>
      <w:pPr>
        <w:snapToGrid w:val="0"/>
        <w:spacing w:line="360" w:lineRule="auto"/>
        <w:jc w:val="center"/>
        <w:rPr>
          <w:rFonts w:hint="eastAsia" w:ascii="宋体" w:hAnsi="宋体"/>
          <w:b/>
          <w:bCs/>
          <w:color w:val="auto"/>
          <w:sz w:val="32"/>
          <w:szCs w:val="32"/>
          <w:highlight w:val="none"/>
        </w:rPr>
      </w:pPr>
      <w:r>
        <w:rPr>
          <w:rFonts w:hint="eastAsia" w:ascii="宋体" w:hAnsi="宋体"/>
          <w:b/>
          <w:bCs/>
          <w:color w:val="auto"/>
          <w:sz w:val="32"/>
          <w:szCs w:val="32"/>
          <w:highlight w:val="none"/>
        </w:rPr>
        <w:t>政府采购合同</w:t>
      </w:r>
    </w:p>
    <w:p>
      <w:pPr>
        <w:snapToGrid w:val="0"/>
        <w:spacing w:line="360" w:lineRule="auto"/>
        <w:jc w:val="center"/>
        <w:rPr>
          <w:rFonts w:hint="eastAsia" w:ascii="宋体" w:hAnsi="宋体"/>
          <w:b/>
          <w:bCs/>
          <w:color w:val="auto"/>
          <w:sz w:val="32"/>
          <w:szCs w:val="32"/>
          <w:highlight w:val="none"/>
        </w:rPr>
      </w:pPr>
    </w:p>
    <w:p>
      <w:pPr>
        <w:snapToGrid w:val="0"/>
        <w:spacing w:line="360" w:lineRule="auto"/>
        <w:ind w:right="480" w:firstLine="5250" w:firstLineChars="2500"/>
        <w:rPr>
          <w:rFonts w:hint="eastAsia" w:ascii="宋体" w:hAnsi="宋体"/>
          <w:bCs/>
          <w:color w:val="auto"/>
          <w:szCs w:val="21"/>
          <w:highlight w:val="none"/>
          <w:u w:val="single"/>
        </w:rPr>
      </w:pPr>
      <w:r>
        <w:rPr>
          <w:rFonts w:hint="eastAsia" w:ascii="宋体" w:hAnsi="宋体"/>
          <w:bCs/>
          <w:color w:val="auto"/>
          <w:szCs w:val="21"/>
          <w:highlight w:val="none"/>
        </w:rPr>
        <w:t>合同编号：</w:t>
      </w:r>
    </w:p>
    <w:p>
      <w:pPr>
        <w:snapToGrid w:val="0"/>
        <w:spacing w:line="360" w:lineRule="auto"/>
        <w:rPr>
          <w:rFonts w:hint="eastAsia" w:ascii="宋体" w:hAnsi="宋体"/>
          <w:color w:val="auto"/>
          <w:szCs w:val="21"/>
          <w:highlight w:val="none"/>
        </w:rPr>
      </w:pPr>
    </w:p>
    <w:p>
      <w:pPr>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采购人（甲方）：</w:t>
      </w:r>
      <w:r>
        <w:rPr>
          <w:rFonts w:hint="eastAsia" w:ascii="宋体" w:hAnsi="宋体"/>
          <w:color w:val="auto"/>
          <w:szCs w:val="21"/>
          <w:highlight w:val="none"/>
          <w:u w:val="single"/>
        </w:rPr>
        <w:t xml:space="preserve">                          </w:t>
      </w:r>
      <w:r>
        <w:rPr>
          <w:rFonts w:hint="eastAsia" w:ascii="宋体" w:hAnsi="宋体"/>
          <w:color w:val="auto"/>
          <w:szCs w:val="21"/>
          <w:highlight w:val="none"/>
        </w:rPr>
        <w:t xml:space="preserve">  </w:t>
      </w:r>
    </w:p>
    <w:p>
      <w:pPr>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供应商（乙方）：</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rPr>
      </w:pPr>
      <w:r>
        <w:rPr>
          <w:rFonts w:hint="eastAsia" w:ascii="宋体" w:hAnsi="宋体"/>
          <w:color w:val="auto"/>
          <w:spacing w:val="-20"/>
          <w:szCs w:val="21"/>
          <w:highlight w:val="none"/>
        </w:rPr>
        <w:t>采 购 计 划 号：</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szCs w:val="21"/>
          <w:highlight w:val="none"/>
          <w:u w:val="single"/>
        </w:rPr>
      </w:pPr>
      <w:r>
        <w:rPr>
          <w:rFonts w:hint="eastAsia" w:ascii="宋体" w:hAnsi="宋体"/>
          <w:color w:val="auto"/>
          <w:szCs w:val="21"/>
          <w:highlight w:val="none"/>
        </w:rPr>
        <w:t>项目名称：</w:t>
      </w:r>
      <w:r>
        <w:rPr>
          <w:rFonts w:hint="eastAsia" w:ascii="宋体" w:hAnsi="宋体"/>
          <w:color w:val="auto"/>
          <w:szCs w:val="21"/>
          <w:highlight w:val="none"/>
          <w:u w:val="single"/>
        </w:rPr>
        <w:t xml:space="preserve">                           </w:t>
      </w:r>
      <w:r>
        <w:rPr>
          <w:rFonts w:hint="eastAsia" w:ascii="宋体" w:hAnsi="宋体"/>
          <w:color w:val="auto"/>
          <w:szCs w:val="21"/>
          <w:highlight w:val="none"/>
        </w:rPr>
        <w:t>项目编号：</w:t>
      </w:r>
      <w:r>
        <w:rPr>
          <w:rFonts w:hint="eastAsia" w:ascii="宋体" w:hAnsi="宋体"/>
          <w:color w:val="auto"/>
          <w:szCs w:val="21"/>
          <w:highlight w:val="none"/>
          <w:u w:val="single"/>
        </w:rPr>
        <w:t xml:space="preserve">                       </w:t>
      </w:r>
    </w:p>
    <w:p>
      <w:pPr>
        <w:snapToGrid w:val="0"/>
        <w:spacing w:line="360" w:lineRule="auto"/>
        <w:rPr>
          <w:rFonts w:hint="eastAsia" w:ascii="宋体" w:hAnsi="宋体"/>
          <w:color w:val="auto"/>
          <w:highlight w:val="none"/>
        </w:rPr>
      </w:pPr>
      <w:r>
        <w:rPr>
          <w:rFonts w:hint="eastAsia" w:ascii="宋体" w:hAnsi="宋体"/>
          <w:color w:val="auto"/>
          <w:szCs w:val="21"/>
          <w:highlight w:val="none"/>
        </w:rPr>
        <w:t>合同</w:t>
      </w:r>
      <w:r>
        <w:rPr>
          <w:rFonts w:hint="eastAsia" w:ascii="宋体" w:hAnsi="宋体"/>
          <w:color w:val="auto"/>
          <w:highlight w:val="none"/>
        </w:rPr>
        <w:t>类型：</w:t>
      </w:r>
      <w:r>
        <w:rPr>
          <w:rFonts w:hint="eastAsia" w:ascii="宋体" w:hAnsi="宋体"/>
          <w:color w:val="auto"/>
          <w:highlight w:val="none"/>
          <w:u w:val="single"/>
        </w:rPr>
        <w:t>买卖合同</w:t>
      </w: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本合同为中小企业预留合同：</w:t>
      </w:r>
      <w:r>
        <w:rPr>
          <w:rFonts w:hint="eastAsia" w:ascii="宋体" w:hAnsi="宋体" w:cs="宋体"/>
          <w:iCs/>
          <w:color w:val="auto"/>
          <w:szCs w:val="21"/>
          <w:highlight w:val="none"/>
          <w:u w:val="single"/>
        </w:rPr>
        <w:t>（否）</w:t>
      </w:r>
      <w:r>
        <w:rPr>
          <w:rFonts w:hint="eastAsia" w:ascii="宋体" w:hAnsi="宋体" w:cs="宋体"/>
          <w:color w:val="auto"/>
          <w:szCs w:val="21"/>
          <w:highlight w:val="none"/>
        </w:rPr>
        <w:t>。</w:t>
      </w:r>
    </w:p>
    <w:p>
      <w:pPr>
        <w:pStyle w:val="17"/>
        <w:spacing w:line="360" w:lineRule="auto"/>
        <w:rPr>
          <w:rFonts w:ascii="宋体" w:hAnsi="宋体"/>
          <w:color w:val="auto"/>
          <w:highlight w:val="none"/>
        </w:rPr>
      </w:pP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根据《中华人民共和国政府采购法》、《中华人民共和国民法典》等法律、法规规定，按照采购文件规定条款和乙方投标承诺，甲乙双方签订本合同。</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第一条　合同标的</w:t>
      </w:r>
    </w:p>
    <w:tbl>
      <w:tblPr>
        <w:tblStyle w:val="46"/>
        <w:tblW w:w="9156"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87"/>
        <w:gridCol w:w="1191"/>
        <w:gridCol w:w="1167"/>
        <w:gridCol w:w="1090"/>
        <w:gridCol w:w="908"/>
        <w:gridCol w:w="668"/>
        <w:gridCol w:w="947"/>
        <w:gridCol w:w="11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0" w:hRule="atLeast"/>
        </w:trPr>
        <w:tc>
          <w:tcPr>
            <w:tcW w:w="709"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序号</w:t>
            </w:r>
          </w:p>
        </w:tc>
        <w:tc>
          <w:tcPr>
            <w:tcW w:w="1287"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标的的名称</w:t>
            </w:r>
          </w:p>
        </w:tc>
        <w:tc>
          <w:tcPr>
            <w:tcW w:w="1191"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商标品牌</w:t>
            </w:r>
          </w:p>
        </w:tc>
        <w:tc>
          <w:tcPr>
            <w:tcW w:w="1167"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规格型号</w:t>
            </w:r>
          </w:p>
        </w:tc>
        <w:tc>
          <w:tcPr>
            <w:tcW w:w="1090"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生产厂家</w:t>
            </w:r>
          </w:p>
        </w:tc>
        <w:tc>
          <w:tcPr>
            <w:tcW w:w="908"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数  量</w:t>
            </w:r>
          </w:p>
        </w:tc>
        <w:tc>
          <w:tcPr>
            <w:tcW w:w="668"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单位</w:t>
            </w:r>
          </w:p>
        </w:tc>
        <w:tc>
          <w:tcPr>
            <w:tcW w:w="947"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单  价</w:t>
            </w:r>
          </w:p>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（元）</w:t>
            </w:r>
          </w:p>
        </w:tc>
        <w:tc>
          <w:tcPr>
            <w:tcW w:w="1189"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金  额</w:t>
            </w:r>
          </w:p>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1</w:t>
            </w:r>
          </w:p>
        </w:tc>
        <w:tc>
          <w:tcPr>
            <w:tcW w:w="1287" w:type="dxa"/>
            <w:noWrap w:val="0"/>
            <w:vAlign w:val="center"/>
          </w:tcPr>
          <w:p>
            <w:pPr>
              <w:snapToGrid w:val="0"/>
              <w:spacing w:line="360" w:lineRule="auto"/>
              <w:jc w:val="center"/>
              <w:rPr>
                <w:rFonts w:hint="eastAsia" w:ascii="宋体" w:hAnsi="宋体"/>
                <w:color w:val="auto"/>
                <w:szCs w:val="21"/>
                <w:highlight w:val="none"/>
              </w:rPr>
            </w:pPr>
          </w:p>
        </w:tc>
        <w:tc>
          <w:tcPr>
            <w:tcW w:w="1191" w:type="dxa"/>
            <w:noWrap w:val="0"/>
            <w:vAlign w:val="center"/>
          </w:tcPr>
          <w:p>
            <w:pPr>
              <w:snapToGrid w:val="0"/>
              <w:spacing w:line="360" w:lineRule="auto"/>
              <w:jc w:val="center"/>
              <w:rPr>
                <w:rFonts w:hint="eastAsia" w:ascii="宋体" w:hAnsi="宋体"/>
                <w:color w:val="auto"/>
                <w:szCs w:val="21"/>
                <w:highlight w:val="none"/>
              </w:rPr>
            </w:pPr>
          </w:p>
        </w:tc>
        <w:tc>
          <w:tcPr>
            <w:tcW w:w="1167" w:type="dxa"/>
            <w:noWrap w:val="0"/>
            <w:vAlign w:val="center"/>
          </w:tcPr>
          <w:p>
            <w:pPr>
              <w:snapToGrid w:val="0"/>
              <w:spacing w:line="360" w:lineRule="auto"/>
              <w:jc w:val="center"/>
              <w:rPr>
                <w:rFonts w:hint="eastAsia" w:ascii="宋体" w:hAnsi="宋体"/>
                <w:color w:val="auto"/>
                <w:szCs w:val="21"/>
                <w:highlight w:val="none"/>
              </w:rPr>
            </w:pPr>
          </w:p>
        </w:tc>
        <w:tc>
          <w:tcPr>
            <w:tcW w:w="1090" w:type="dxa"/>
            <w:noWrap w:val="0"/>
            <w:vAlign w:val="center"/>
          </w:tcPr>
          <w:p>
            <w:pPr>
              <w:snapToGrid w:val="0"/>
              <w:spacing w:line="360" w:lineRule="auto"/>
              <w:jc w:val="center"/>
              <w:rPr>
                <w:rFonts w:hint="eastAsia" w:ascii="宋体" w:hAnsi="宋体"/>
                <w:color w:val="auto"/>
                <w:szCs w:val="21"/>
                <w:highlight w:val="none"/>
              </w:rPr>
            </w:pPr>
          </w:p>
        </w:tc>
        <w:tc>
          <w:tcPr>
            <w:tcW w:w="908" w:type="dxa"/>
            <w:noWrap w:val="0"/>
            <w:vAlign w:val="center"/>
          </w:tcPr>
          <w:p>
            <w:pPr>
              <w:snapToGrid w:val="0"/>
              <w:spacing w:line="360" w:lineRule="auto"/>
              <w:jc w:val="center"/>
              <w:rPr>
                <w:rFonts w:hint="eastAsia" w:ascii="宋体" w:hAnsi="宋体"/>
                <w:color w:val="auto"/>
                <w:szCs w:val="21"/>
                <w:highlight w:val="none"/>
              </w:rPr>
            </w:pPr>
          </w:p>
        </w:tc>
        <w:tc>
          <w:tcPr>
            <w:tcW w:w="668" w:type="dxa"/>
            <w:noWrap w:val="0"/>
            <w:vAlign w:val="center"/>
          </w:tcPr>
          <w:p>
            <w:pPr>
              <w:snapToGrid w:val="0"/>
              <w:spacing w:line="360" w:lineRule="auto"/>
              <w:jc w:val="center"/>
              <w:rPr>
                <w:rFonts w:hint="eastAsia" w:ascii="宋体" w:hAnsi="宋体"/>
                <w:color w:val="auto"/>
                <w:szCs w:val="21"/>
                <w:highlight w:val="none"/>
              </w:rPr>
            </w:pPr>
          </w:p>
        </w:tc>
        <w:tc>
          <w:tcPr>
            <w:tcW w:w="947" w:type="dxa"/>
            <w:noWrap w:val="0"/>
            <w:vAlign w:val="center"/>
          </w:tcPr>
          <w:p>
            <w:pPr>
              <w:snapToGrid w:val="0"/>
              <w:spacing w:line="360" w:lineRule="auto"/>
              <w:jc w:val="center"/>
              <w:rPr>
                <w:rFonts w:hint="eastAsia" w:ascii="宋体" w:hAnsi="宋体"/>
                <w:color w:val="auto"/>
                <w:szCs w:val="21"/>
                <w:highlight w:val="none"/>
              </w:rPr>
            </w:pPr>
          </w:p>
        </w:tc>
        <w:tc>
          <w:tcPr>
            <w:tcW w:w="1189" w:type="dxa"/>
            <w:noWrap w:val="0"/>
            <w:vAlign w:val="center"/>
          </w:tcPr>
          <w:p>
            <w:pPr>
              <w:snapToGrid w:val="0"/>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2</w:t>
            </w:r>
          </w:p>
        </w:tc>
        <w:tc>
          <w:tcPr>
            <w:tcW w:w="1287" w:type="dxa"/>
            <w:noWrap w:val="0"/>
            <w:vAlign w:val="center"/>
          </w:tcPr>
          <w:p>
            <w:pPr>
              <w:snapToGrid w:val="0"/>
              <w:spacing w:line="360" w:lineRule="auto"/>
              <w:jc w:val="center"/>
              <w:rPr>
                <w:rFonts w:hint="eastAsia" w:ascii="宋体" w:hAnsi="宋体"/>
                <w:color w:val="auto"/>
                <w:szCs w:val="21"/>
                <w:highlight w:val="none"/>
              </w:rPr>
            </w:pPr>
          </w:p>
        </w:tc>
        <w:tc>
          <w:tcPr>
            <w:tcW w:w="1191" w:type="dxa"/>
            <w:noWrap w:val="0"/>
            <w:vAlign w:val="center"/>
          </w:tcPr>
          <w:p>
            <w:pPr>
              <w:snapToGrid w:val="0"/>
              <w:spacing w:line="360" w:lineRule="auto"/>
              <w:jc w:val="center"/>
              <w:rPr>
                <w:rFonts w:hint="eastAsia" w:ascii="宋体" w:hAnsi="宋体"/>
                <w:color w:val="auto"/>
                <w:szCs w:val="21"/>
                <w:highlight w:val="none"/>
              </w:rPr>
            </w:pPr>
          </w:p>
        </w:tc>
        <w:tc>
          <w:tcPr>
            <w:tcW w:w="1167" w:type="dxa"/>
            <w:noWrap w:val="0"/>
            <w:vAlign w:val="center"/>
          </w:tcPr>
          <w:p>
            <w:pPr>
              <w:snapToGrid w:val="0"/>
              <w:spacing w:line="360" w:lineRule="auto"/>
              <w:jc w:val="center"/>
              <w:rPr>
                <w:rFonts w:hint="eastAsia" w:ascii="宋体" w:hAnsi="宋体"/>
                <w:color w:val="auto"/>
                <w:szCs w:val="21"/>
                <w:highlight w:val="none"/>
              </w:rPr>
            </w:pPr>
          </w:p>
        </w:tc>
        <w:tc>
          <w:tcPr>
            <w:tcW w:w="1090" w:type="dxa"/>
            <w:noWrap w:val="0"/>
            <w:vAlign w:val="center"/>
          </w:tcPr>
          <w:p>
            <w:pPr>
              <w:snapToGrid w:val="0"/>
              <w:spacing w:line="360" w:lineRule="auto"/>
              <w:jc w:val="center"/>
              <w:rPr>
                <w:rFonts w:hint="eastAsia" w:ascii="宋体" w:hAnsi="宋体"/>
                <w:color w:val="auto"/>
                <w:szCs w:val="21"/>
                <w:highlight w:val="none"/>
              </w:rPr>
            </w:pPr>
          </w:p>
        </w:tc>
        <w:tc>
          <w:tcPr>
            <w:tcW w:w="908" w:type="dxa"/>
            <w:noWrap w:val="0"/>
            <w:vAlign w:val="center"/>
          </w:tcPr>
          <w:p>
            <w:pPr>
              <w:snapToGrid w:val="0"/>
              <w:spacing w:line="360" w:lineRule="auto"/>
              <w:jc w:val="center"/>
              <w:rPr>
                <w:rFonts w:hint="eastAsia" w:ascii="宋体" w:hAnsi="宋体"/>
                <w:color w:val="auto"/>
                <w:szCs w:val="21"/>
                <w:highlight w:val="none"/>
              </w:rPr>
            </w:pPr>
          </w:p>
        </w:tc>
        <w:tc>
          <w:tcPr>
            <w:tcW w:w="668" w:type="dxa"/>
            <w:noWrap w:val="0"/>
            <w:vAlign w:val="center"/>
          </w:tcPr>
          <w:p>
            <w:pPr>
              <w:snapToGrid w:val="0"/>
              <w:spacing w:line="360" w:lineRule="auto"/>
              <w:jc w:val="center"/>
              <w:rPr>
                <w:rFonts w:hint="eastAsia" w:ascii="宋体" w:hAnsi="宋体"/>
                <w:color w:val="auto"/>
                <w:szCs w:val="21"/>
                <w:highlight w:val="none"/>
              </w:rPr>
            </w:pPr>
          </w:p>
        </w:tc>
        <w:tc>
          <w:tcPr>
            <w:tcW w:w="947" w:type="dxa"/>
            <w:noWrap w:val="0"/>
            <w:vAlign w:val="center"/>
          </w:tcPr>
          <w:p>
            <w:pPr>
              <w:snapToGrid w:val="0"/>
              <w:spacing w:line="360" w:lineRule="auto"/>
              <w:jc w:val="center"/>
              <w:rPr>
                <w:rFonts w:hint="eastAsia" w:ascii="宋体" w:hAnsi="宋体"/>
                <w:color w:val="auto"/>
                <w:szCs w:val="21"/>
                <w:highlight w:val="none"/>
              </w:rPr>
            </w:pPr>
          </w:p>
        </w:tc>
        <w:tc>
          <w:tcPr>
            <w:tcW w:w="1189" w:type="dxa"/>
            <w:noWrap w:val="0"/>
            <w:vAlign w:val="center"/>
          </w:tcPr>
          <w:p>
            <w:pPr>
              <w:snapToGrid w:val="0"/>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3</w:t>
            </w:r>
          </w:p>
        </w:tc>
        <w:tc>
          <w:tcPr>
            <w:tcW w:w="1287" w:type="dxa"/>
            <w:noWrap w:val="0"/>
            <w:vAlign w:val="center"/>
          </w:tcPr>
          <w:p>
            <w:pPr>
              <w:snapToGrid w:val="0"/>
              <w:spacing w:line="360" w:lineRule="auto"/>
              <w:jc w:val="center"/>
              <w:rPr>
                <w:rFonts w:hint="eastAsia" w:ascii="宋体" w:hAnsi="宋体"/>
                <w:color w:val="auto"/>
                <w:szCs w:val="21"/>
                <w:highlight w:val="none"/>
              </w:rPr>
            </w:pPr>
          </w:p>
        </w:tc>
        <w:tc>
          <w:tcPr>
            <w:tcW w:w="1191" w:type="dxa"/>
            <w:noWrap w:val="0"/>
            <w:vAlign w:val="center"/>
          </w:tcPr>
          <w:p>
            <w:pPr>
              <w:snapToGrid w:val="0"/>
              <w:spacing w:line="360" w:lineRule="auto"/>
              <w:jc w:val="center"/>
              <w:rPr>
                <w:rFonts w:hint="eastAsia" w:ascii="宋体" w:hAnsi="宋体"/>
                <w:color w:val="auto"/>
                <w:szCs w:val="21"/>
                <w:highlight w:val="none"/>
              </w:rPr>
            </w:pPr>
          </w:p>
        </w:tc>
        <w:tc>
          <w:tcPr>
            <w:tcW w:w="1167" w:type="dxa"/>
            <w:noWrap w:val="0"/>
            <w:vAlign w:val="center"/>
          </w:tcPr>
          <w:p>
            <w:pPr>
              <w:snapToGrid w:val="0"/>
              <w:spacing w:line="360" w:lineRule="auto"/>
              <w:jc w:val="center"/>
              <w:rPr>
                <w:rFonts w:hint="eastAsia" w:ascii="宋体" w:hAnsi="宋体"/>
                <w:color w:val="auto"/>
                <w:szCs w:val="21"/>
                <w:highlight w:val="none"/>
              </w:rPr>
            </w:pPr>
          </w:p>
        </w:tc>
        <w:tc>
          <w:tcPr>
            <w:tcW w:w="1090" w:type="dxa"/>
            <w:noWrap w:val="0"/>
            <w:vAlign w:val="center"/>
          </w:tcPr>
          <w:p>
            <w:pPr>
              <w:snapToGrid w:val="0"/>
              <w:spacing w:line="360" w:lineRule="auto"/>
              <w:jc w:val="center"/>
              <w:rPr>
                <w:rFonts w:hint="eastAsia" w:ascii="宋体" w:hAnsi="宋体"/>
                <w:color w:val="auto"/>
                <w:szCs w:val="21"/>
                <w:highlight w:val="none"/>
              </w:rPr>
            </w:pPr>
          </w:p>
        </w:tc>
        <w:tc>
          <w:tcPr>
            <w:tcW w:w="908" w:type="dxa"/>
            <w:noWrap w:val="0"/>
            <w:vAlign w:val="center"/>
          </w:tcPr>
          <w:p>
            <w:pPr>
              <w:snapToGrid w:val="0"/>
              <w:spacing w:line="360" w:lineRule="auto"/>
              <w:jc w:val="center"/>
              <w:rPr>
                <w:rFonts w:hint="eastAsia" w:ascii="宋体" w:hAnsi="宋体"/>
                <w:color w:val="auto"/>
                <w:szCs w:val="21"/>
                <w:highlight w:val="none"/>
              </w:rPr>
            </w:pPr>
          </w:p>
        </w:tc>
        <w:tc>
          <w:tcPr>
            <w:tcW w:w="668" w:type="dxa"/>
            <w:noWrap w:val="0"/>
            <w:vAlign w:val="center"/>
          </w:tcPr>
          <w:p>
            <w:pPr>
              <w:snapToGrid w:val="0"/>
              <w:spacing w:line="360" w:lineRule="auto"/>
              <w:jc w:val="center"/>
              <w:rPr>
                <w:rFonts w:hint="eastAsia" w:ascii="宋体" w:hAnsi="宋体"/>
                <w:color w:val="auto"/>
                <w:szCs w:val="21"/>
                <w:highlight w:val="none"/>
              </w:rPr>
            </w:pPr>
          </w:p>
        </w:tc>
        <w:tc>
          <w:tcPr>
            <w:tcW w:w="947" w:type="dxa"/>
            <w:noWrap w:val="0"/>
            <w:vAlign w:val="center"/>
          </w:tcPr>
          <w:p>
            <w:pPr>
              <w:snapToGrid w:val="0"/>
              <w:spacing w:line="360" w:lineRule="auto"/>
              <w:jc w:val="center"/>
              <w:rPr>
                <w:rFonts w:hint="eastAsia" w:ascii="宋体" w:hAnsi="宋体"/>
                <w:color w:val="auto"/>
                <w:szCs w:val="21"/>
                <w:highlight w:val="none"/>
              </w:rPr>
            </w:pPr>
          </w:p>
        </w:tc>
        <w:tc>
          <w:tcPr>
            <w:tcW w:w="1189" w:type="dxa"/>
            <w:noWrap w:val="0"/>
            <w:vAlign w:val="center"/>
          </w:tcPr>
          <w:p>
            <w:pPr>
              <w:snapToGrid w:val="0"/>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709" w:type="dxa"/>
            <w:noWrap w:val="0"/>
            <w:vAlign w:val="center"/>
          </w:tcPr>
          <w:p>
            <w:pPr>
              <w:snapToGrid w:val="0"/>
              <w:spacing w:line="360" w:lineRule="auto"/>
              <w:jc w:val="center"/>
              <w:rPr>
                <w:rFonts w:hint="eastAsia" w:ascii="宋体" w:hAnsi="宋体"/>
                <w:color w:val="auto"/>
                <w:szCs w:val="21"/>
                <w:highlight w:val="none"/>
              </w:rPr>
            </w:pPr>
            <w:r>
              <w:rPr>
                <w:rFonts w:hint="eastAsia" w:ascii="宋体" w:hAnsi="宋体"/>
                <w:color w:val="auto"/>
                <w:szCs w:val="21"/>
                <w:highlight w:val="none"/>
              </w:rPr>
              <w:t>……</w:t>
            </w:r>
          </w:p>
        </w:tc>
        <w:tc>
          <w:tcPr>
            <w:tcW w:w="1287" w:type="dxa"/>
            <w:noWrap w:val="0"/>
            <w:vAlign w:val="center"/>
          </w:tcPr>
          <w:p>
            <w:pPr>
              <w:snapToGrid w:val="0"/>
              <w:spacing w:line="360" w:lineRule="auto"/>
              <w:jc w:val="center"/>
              <w:rPr>
                <w:rFonts w:hint="eastAsia" w:ascii="宋体" w:hAnsi="宋体"/>
                <w:color w:val="auto"/>
                <w:szCs w:val="21"/>
                <w:highlight w:val="none"/>
              </w:rPr>
            </w:pPr>
          </w:p>
        </w:tc>
        <w:tc>
          <w:tcPr>
            <w:tcW w:w="1191" w:type="dxa"/>
            <w:noWrap w:val="0"/>
            <w:vAlign w:val="center"/>
          </w:tcPr>
          <w:p>
            <w:pPr>
              <w:snapToGrid w:val="0"/>
              <w:spacing w:line="360" w:lineRule="auto"/>
              <w:jc w:val="center"/>
              <w:rPr>
                <w:rFonts w:hint="eastAsia" w:ascii="宋体" w:hAnsi="宋体"/>
                <w:color w:val="auto"/>
                <w:szCs w:val="21"/>
                <w:highlight w:val="none"/>
              </w:rPr>
            </w:pPr>
          </w:p>
        </w:tc>
        <w:tc>
          <w:tcPr>
            <w:tcW w:w="1167" w:type="dxa"/>
            <w:noWrap w:val="0"/>
            <w:vAlign w:val="center"/>
          </w:tcPr>
          <w:p>
            <w:pPr>
              <w:snapToGrid w:val="0"/>
              <w:spacing w:line="360" w:lineRule="auto"/>
              <w:jc w:val="center"/>
              <w:rPr>
                <w:rFonts w:hint="eastAsia" w:ascii="宋体" w:hAnsi="宋体"/>
                <w:color w:val="auto"/>
                <w:szCs w:val="21"/>
                <w:highlight w:val="none"/>
              </w:rPr>
            </w:pPr>
          </w:p>
        </w:tc>
        <w:tc>
          <w:tcPr>
            <w:tcW w:w="1090" w:type="dxa"/>
            <w:noWrap w:val="0"/>
            <w:vAlign w:val="center"/>
          </w:tcPr>
          <w:p>
            <w:pPr>
              <w:snapToGrid w:val="0"/>
              <w:spacing w:line="360" w:lineRule="auto"/>
              <w:jc w:val="center"/>
              <w:rPr>
                <w:rFonts w:hint="eastAsia" w:ascii="宋体" w:hAnsi="宋体"/>
                <w:color w:val="auto"/>
                <w:szCs w:val="21"/>
                <w:highlight w:val="none"/>
              </w:rPr>
            </w:pPr>
          </w:p>
        </w:tc>
        <w:tc>
          <w:tcPr>
            <w:tcW w:w="908" w:type="dxa"/>
            <w:noWrap w:val="0"/>
            <w:vAlign w:val="center"/>
          </w:tcPr>
          <w:p>
            <w:pPr>
              <w:snapToGrid w:val="0"/>
              <w:spacing w:line="360" w:lineRule="auto"/>
              <w:jc w:val="center"/>
              <w:rPr>
                <w:rFonts w:hint="eastAsia" w:ascii="宋体" w:hAnsi="宋体"/>
                <w:color w:val="auto"/>
                <w:szCs w:val="21"/>
                <w:highlight w:val="none"/>
              </w:rPr>
            </w:pPr>
          </w:p>
        </w:tc>
        <w:tc>
          <w:tcPr>
            <w:tcW w:w="668" w:type="dxa"/>
            <w:noWrap w:val="0"/>
            <w:vAlign w:val="center"/>
          </w:tcPr>
          <w:p>
            <w:pPr>
              <w:snapToGrid w:val="0"/>
              <w:spacing w:line="360" w:lineRule="auto"/>
              <w:jc w:val="center"/>
              <w:rPr>
                <w:rFonts w:hint="eastAsia" w:ascii="宋体" w:hAnsi="宋体"/>
                <w:color w:val="auto"/>
                <w:szCs w:val="21"/>
                <w:highlight w:val="none"/>
              </w:rPr>
            </w:pPr>
          </w:p>
        </w:tc>
        <w:tc>
          <w:tcPr>
            <w:tcW w:w="947" w:type="dxa"/>
            <w:noWrap w:val="0"/>
            <w:vAlign w:val="center"/>
          </w:tcPr>
          <w:p>
            <w:pPr>
              <w:snapToGrid w:val="0"/>
              <w:spacing w:line="360" w:lineRule="auto"/>
              <w:jc w:val="center"/>
              <w:rPr>
                <w:rFonts w:hint="eastAsia" w:ascii="宋体" w:hAnsi="宋体"/>
                <w:color w:val="auto"/>
                <w:szCs w:val="21"/>
                <w:highlight w:val="none"/>
              </w:rPr>
            </w:pPr>
          </w:p>
        </w:tc>
        <w:tc>
          <w:tcPr>
            <w:tcW w:w="1189" w:type="dxa"/>
            <w:noWrap w:val="0"/>
            <w:vAlign w:val="center"/>
          </w:tcPr>
          <w:p>
            <w:pPr>
              <w:snapToGrid w:val="0"/>
              <w:spacing w:line="360" w:lineRule="auto"/>
              <w:jc w:val="center"/>
              <w:rPr>
                <w:rFonts w:hint="eastAsia"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trPr>
        <w:tc>
          <w:tcPr>
            <w:tcW w:w="9156" w:type="dxa"/>
            <w:gridSpan w:val="9"/>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合计金额（人民币）：</w:t>
            </w:r>
            <w:r>
              <w:rPr>
                <w:rFonts w:hint="eastAsia" w:ascii="宋体" w:hAnsi="宋体"/>
                <w:color w:val="auto"/>
                <w:szCs w:val="21"/>
                <w:highlight w:val="none"/>
                <w:u w:val="single"/>
              </w:rPr>
              <w:t xml:space="preserve">（大写）                          （小写）                 </w:t>
            </w:r>
          </w:p>
        </w:tc>
      </w:tr>
    </w:tbl>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第二条　标的质量</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1.乙方所提供标的的名称、商标品牌、生产厂家、规格型号、技术参数等内容必须与乙方投标文件及有关承诺相一致，且满足项目实施要求。</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2.乙方所提供的货物必须是全新、未使用的原装产品，且在正常安装、使用和保养条件下，其使用寿命期内各项指标均达到投标文件的承诺。</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第三条　</w:t>
      </w:r>
      <w:r>
        <w:rPr>
          <w:rFonts w:hint="eastAsia"/>
          <w:color w:val="auto"/>
          <w:highlight w:val="none"/>
        </w:rPr>
        <w:t>交付的时间、地点和方式</w:t>
      </w:r>
    </w:p>
    <w:p>
      <w:pPr>
        <w:snapToGrid w:val="0"/>
        <w:spacing w:line="360" w:lineRule="auto"/>
        <w:ind w:firstLine="420" w:firstLineChars="200"/>
        <w:rPr>
          <w:rFonts w:hint="eastAsia" w:ascii="宋体" w:hAnsi="宋体"/>
          <w:i/>
          <w:color w:val="auto"/>
          <w:szCs w:val="21"/>
          <w:highlight w:val="none"/>
        </w:rPr>
      </w:pPr>
      <w:r>
        <w:rPr>
          <w:rFonts w:hint="eastAsia" w:ascii="宋体" w:hAnsi="宋体" w:cs="宋体"/>
          <w:color w:val="auto"/>
          <w:szCs w:val="21"/>
          <w:highlight w:val="none"/>
        </w:rPr>
        <w:t>1.交付时间：</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w:t>
      </w:r>
    </w:p>
    <w:p>
      <w:pPr>
        <w:snapToGrid w:val="0"/>
        <w:spacing w:line="360" w:lineRule="auto"/>
        <w:ind w:firstLine="420" w:firstLineChars="200"/>
        <w:rPr>
          <w:rFonts w:hint="eastAsia" w:ascii="宋体" w:hAnsi="宋体" w:cs="宋体"/>
          <w:color w:val="auto"/>
          <w:szCs w:val="21"/>
          <w:highlight w:val="none"/>
          <w:u w:val="single"/>
        </w:rPr>
      </w:pPr>
      <w:r>
        <w:rPr>
          <w:rFonts w:hint="eastAsia" w:ascii="宋体" w:hAnsi="宋体" w:cs="宋体"/>
          <w:color w:val="auto"/>
          <w:szCs w:val="21"/>
          <w:highlight w:val="none"/>
        </w:rPr>
        <w:t>2.交付地点：</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u w:val="single"/>
        </w:rPr>
        <w:t>。</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3.交付方式</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olor w:val="auto"/>
          <w:szCs w:val="21"/>
          <w:highlight w:val="none"/>
        </w:rPr>
        <w:t>乙方负责货物运输，</w:t>
      </w:r>
      <w:r>
        <w:rPr>
          <w:rFonts w:hint="eastAsia" w:ascii="宋体" w:hAnsi="宋体" w:cs="宋体"/>
          <w:color w:val="auto"/>
          <w:szCs w:val="21"/>
          <w:highlight w:val="none"/>
        </w:rPr>
        <w:t>货物的运输方式：</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（2）交货方式</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w:t>
      </w:r>
      <w:r>
        <w:rPr>
          <w:rFonts w:hint="eastAsia" w:ascii="宋体" w:hAnsi="宋体" w:cs="宋体"/>
          <w:color w:val="auto"/>
          <w:szCs w:val="21"/>
          <w:highlight w:val="none"/>
        </w:rPr>
        <w:t>乙方将货物送到甲方指定地点。</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w:t>
      </w:r>
      <w:r>
        <w:rPr>
          <w:rFonts w:hint="eastAsia" w:ascii="宋体" w:hAnsi="宋体" w:cs="宋体"/>
          <w:color w:val="auto"/>
          <w:szCs w:val="21"/>
          <w:highlight w:val="none"/>
        </w:rPr>
        <w:t>甲方自行到乙方指定地点提货。</w:t>
      </w:r>
    </w:p>
    <w:p>
      <w:pPr>
        <w:snapToGrid w:val="0"/>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w:t>
      </w:r>
      <w:r>
        <w:rPr>
          <w:rFonts w:hint="eastAsia" w:ascii="宋体" w:hAnsi="宋体" w:cs="宋体"/>
          <w:color w:val="auto"/>
          <w:szCs w:val="21"/>
          <w:highlight w:val="none"/>
        </w:rPr>
        <w:t>其他：</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第四条　</w:t>
      </w:r>
      <w:r>
        <w:rPr>
          <w:rFonts w:hint="eastAsia" w:ascii="宋体" w:hAnsi="宋体"/>
          <w:b/>
          <w:color w:val="auto"/>
          <w:highlight w:val="none"/>
        </w:rPr>
        <w:t>包装方式</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1.乙方提供的货物均应按投标文件承诺的要求的包装材料、包装标准、包装方式进行包装。</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2.乙方应在货物发运前对其进行满足运输距离、防水、防潮、防震、防锈和防破损装卸等要求包装，以保证货物安全运达甲方指定地点。</w:t>
      </w:r>
    </w:p>
    <w:p>
      <w:pPr>
        <w:pStyle w:val="17"/>
        <w:spacing w:line="360" w:lineRule="auto"/>
        <w:ind w:firstLine="420" w:firstLineChars="200"/>
        <w:rPr>
          <w:rFonts w:hint="eastAsia" w:hAnsi="宋体"/>
          <w:color w:val="auto"/>
          <w:sz w:val="21"/>
          <w:highlight w:val="none"/>
        </w:rPr>
      </w:pPr>
      <w:r>
        <w:rPr>
          <w:rFonts w:hint="eastAsia" w:hAnsi="宋体"/>
          <w:color w:val="auto"/>
          <w:sz w:val="21"/>
          <w:highlight w:val="none"/>
        </w:rPr>
        <w:t>3.货物的使用说明书、质量检验证明书、质量合格证、随配附件和工具以及清单一并附于货物包装内。</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第五条　安装和培训</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1.安装时间：</w:t>
      </w:r>
      <w:r>
        <w:rPr>
          <w:rFonts w:hint="eastAsia" w:ascii="宋体" w:hAnsi="宋体"/>
          <w:color w:val="auto"/>
          <w:szCs w:val="21"/>
          <w:highlight w:val="none"/>
          <w:u w:val="single"/>
        </w:rPr>
        <w:t xml:space="preserve">                     </w:t>
      </w:r>
      <w:r>
        <w:rPr>
          <w:rFonts w:hint="eastAsia" w:ascii="宋体" w:hAnsi="宋体"/>
          <w:color w:val="auto"/>
          <w:szCs w:val="21"/>
          <w:highlight w:val="none"/>
        </w:rPr>
        <w:t>；安装地点：</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2.安装要求：</w:t>
      </w:r>
      <w:r>
        <w:rPr>
          <w:rFonts w:hint="eastAsia" w:ascii="宋体" w:hAnsi="宋体"/>
          <w:iCs/>
          <w:color w:val="auto"/>
          <w:szCs w:val="21"/>
          <w:highlight w:val="none"/>
          <w:u w:val="single"/>
        </w:rPr>
        <w:t>乙方应当按采购文件要求（如有）或甲方要求进行安装</w:t>
      </w:r>
      <w:r>
        <w:rPr>
          <w:rFonts w:hint="eastAsia" w:ascii="宋体" w:hAnsi="宋体"/>
          <w:color w:val="auto"/>
          <w:szCs w:val="21"/>
          <w:highlight w:val="none"/>
        </w:rPr>
        <w:t>。</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3.甲方应提供必要安装条件（如场地、电源、水源等）。</w:t>
      </w:r>
    </w:p>
    <w:p>
      <w:pPr>
        <w:pStyle w:val="17"/>
        <w:spacing w:line="360" w:lineRule="auto"/>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4.乙方应当按照投标文件的承诺对甲方有关人员进行培训。培训时间：</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；培训地点：</w:t>
      </w:r>
      <w:r>
        <w:rPr>
          <w:rFonts w:hint="eastAsia" w:ascii="宋体" w:hAnsi="宋体"/>
          <w:color w:val="auto"/>
          <w:sz w:val="21"/>
          <w:szCs w:val="21"/>
          <w:highlight w:val="none"/>
          <w:u w:val="single"/>
        </w:rPr>
        <w:t xml:space="preserve">                     </w:t>
      </w:r>
      <w:r>
        <w:rPr>
          <w:rFonts w:hint="eastAsia" w:ascii="宋体" w:hAnsi="宋体"/>
          <w:color w:val="auto"/>
          <w:sz w:val="21"/>
          <w:szCs w:val="21"/>
          <w:highlight w:val="none"/>
        </w:rPr>
        <w:t>。</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第六条　合同价款及支付</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1.本合同以人民币付款。</w:t>
      </w:r>
    </w:p>
    <w:p>
      <w:pPr>
        <w:snapToGrid w:val="0"/>
        <w:spacing w:line="360" w:lineRule="auto"/>
        <w:ind w:firstLine="420" w:firstLineChars="200"/>
        <w:rPr>
          <w:rFonts w:hint="eastAsia" w:ascii="宋体" w:hAnsi="宋体"/>
          <w:color w:val="auto"/>
          <w:kern w:val="0"/>
          <w:sz w:val="20"/>
          <w:szCs w:val="21"/>
          <w:highlight w:val="none"/>
        </w:rPr>
      </w:pPr>
      <w:r>
        <w:rPr>
          <w:rFonts w:hint="eastAsia" w:ascii="宋体" w:hAnsi="宋体"/>
          <w:color w:val="auto"/>
          <w:kern w:val="0"/>
          <w:szCs w:val="21"/>
          <w:highlight w:val="none"/>
        </w:rPr>
        <w:t>2.合同价款（或者报酬）：</w:t>
      </w:r>
      <w:r>
        <w:rPr>
          <w:rFonts w:hint="eastAsia" w:ascii="宋体" w:hAnsi="宋体"/>
          <w:color w:val="auto"/>
          <w:kern w:val="0"/>
          <w:sz w:val="20"/>
          <w:szCs w:val="21"/>
          <w:highlight w:val="none"/>
          <w:u w:val="single"/>
        </w:rPr>
        <w:t xml:space="preserve">                     </w:t>
      </w:r>
      <w:r>
        <w:rPr>
          <w:rFonts w:hint="eastAsia" w:ascii="宋体" w:hAnsi="宋体"/>
          <w:color w:val="auto"/>
          <w:kern w:val="0"/>
          <w:sz w:val="20"/>
          <w:szCs w:val="21"/>
          <w:highlight w:val="none"/>
        </w:rPr>
        <w:t>。</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3.合同价款</w:t>
      </w:r>
      <w:r>
        <w:rPr>
          <w:rFonts w:hint="eastAsia" w:ascii="宋体" w:hAnsi="宋体"/>
          <w:bCs/>
          <w:iCs/>
          <w:color w:val="auto"/>
          <w:szCs w:val="21"/>
          <w:highlight w:val="none"/>
        </w:rPr>
        <w:t>包含货物及货物运抵指定交货地点的各种费用和安装调校、售后服务、税金、验收检验及其它所有费用的总和。</w:t>
      </w:r>
    </w:p>
    <w:p>
      <w:pPr>
        <w:snapToGrid w:val="0"/>
        <w:spacing w:line="360" w:lineRule="auto"/>
        <w:ind w:firstLine="420" w:firstLineChars="200"/>
        <w:rPr>
          <w:rFonts w:hint="eastAsia" w:ascii="宋体" w:hAnsi="宋体"/>
          <w:iCs/>
          <w:color w:val="auto"/>
          <w:kern w:val="0"/>
          <w:szCs w:val="21"/>
          <w:highlight w:val="none"/>
          <w:u w:val="single"/>
          <w:lang w:val="en-US" w:eastAsia="zh-CN"/>
        </w:rPr>
      </w:pPr>
      <w:r>
        <w:rPr>
          <w:rFonts w:hint="eastAsia" w:ascii="宋体" w:hAnsi="宋体"/>
          <w:bCs/>
          <w:color w:val="auto"/>
          <w:kern w:val="0"/>
          <w:szCs w:val="21"/>
          <w:highlight w:val="none"/>
        </w:rPr>
        <w:t>4.</w:t>
      </w:r>
      <w:r>
        <w:rPr>
          <w:rFonts w:hint="eastAsia" w:ascii="宋体" w:hAnsi="宋体"/>
          <w:color w:val="auto"/>
          <w:kern w:val="0"/>
          <w:szCs w:val="21"/>
          <w:highlight w:val="none"/>
        </w:rPr>
        <w:t>付款方式</w:t>
      </w:r>
      <w:r>
        <w:rPr>
          <w:rFonts w:hint="eastAsia" w:ascii="宋体" w:hAnsi="宋体"/>
          <w:iCs/>
          <w:color w:val="auto"/>
          <w:kern w:val="0"/>
          <w:szCs w:val="21"/>
          <w:highlight w:val="none"/>
        </w:rPr>
        <w:t>：</w:t>
      </w:r>
      <w:r>
        <w:rPr>
          <w:rFonts w:hint="eastAsia" w:ascii="宋体" w:hAnsi="宋体"/>
          <w:iCs/>
          <w:color w:val="auto"/>
          <w:kern w:val="0"/>
          <w:szCs w:val="21"/>
          <w:highlight w:val="none"/>
          <w:u w:val="single"/>
          <w:lang w:val="en-US" w:eastAsia="zh-CN"/>
        </w:rPr>
        <w:t>签订合同后，全部货物到达指定地点、安装调试并验收合格后，凭双方签署验收合格证，甲方按中标合同总额分三期支付完：（1）第一期：六个月内支付合同总金额的 60%；（2）第二期：第 18 个月后支付合同总金额的 20%；（3）第三期：第 24 个月后支付合同总金额的 20%；（4）以上均不计利息，每期乙方均须开出对应额度的发票，甲方收到发票后30日内支付。</w:t>
      </w:r>
    </w:p>
    <w:p>
      <w:pPr>
        <w:snapToGrid w:val="0"/>
        <w:spacing w:line="360" w:lineRule="auto"/>
        <w:ind w:firstLine="420" w:firstLineChars="200"/>
        <w:rPr>
          <w:rFonts w:hint="eastAsia" w:ascii="宋体" w:hAnsi="宋体"/>
          <w:iCs/>
          <w:color w:val="auto"/>
          <w:kern w:val="0"/>
          <w:szCs w:val="21"/>
          <w:highlight w:val="none"/>
          <w:u w:val="single"/>
          <w:lang w:val="en-US" w:eastAsia="zh-CN"/>
        </w:rPr>
      </w:pPr>
      <w:r>
        <w:rPr>
          <w:rFonts w:hint="eastAsia" w:ascii="宋体" w:hAnsi="宋体"/>
          <w:iCs/>
          <w:color w:val="auto"/>
          <w:kern w:val="0"/>
          <w:szCs w:val="21"/>
          <w:highlight w:val="none"/>
          <w:u w:val="single"/>
          <w:lang w:val="en-US" w:eastAsia="zh-CN"/>
        </w:rPr>
        <w:t>注：如乙方为中小企业，付款方式为：（1）第一期：合同签订后10个工作日内，甲方支付合同总金额30%的预付款；（2）第二期：履约验收后六个月内支付合同总金额的30%；（3）：第三期：第 18 个月后支付合同总金额的 20%（4）第四期：第 24 个月后支付合同总金额的 20%；（5）以上均不计利息，预付款后每期乙方均须开出对应额度的发票，甲方收到发票后30日内支付。</w:t>
      </w:r>
    </w:p>
    <w:p>
      <w:pPr>
        <w:snapToGrid w:val="0"/>
        <w:spacing w:line="360" w:lineRule="auto"/>
        <w:ind w:firstLine="420" w:firstLineChars="200"/>
        <w:rPr>
          <w:rFonts w:hint="eastAsia" w:ascii="宋体" w:hAnsi="宋体"/>
          <w:b/>
          <w:color w:val="auto"/>
          <w:szCs w:val="21"/>
          <w:highlight w:val="none"/>
        </w:rPr>
      </w:pPr>
      <w:r>
        <w:rPr>
          <w:rFonts w:hint="eastAsia" w:hAnsi="宋体"/>
          <w:color w:val="auto"/>
          <w:highlight w:val="none"/>
        </w:rPr>
        <w:t>5.资金支付方式：</w:t>
      </w:r>
      <w:r>
        <w:rPr>
          <w:rFonts w:hint="eastAsia" w:hAnsi="宋体"/>
          <w:color w:val="auto"/>
          <w:highlight w:val="none"/>
          <w:u w:val="single"/>
        </w:rPr>
        <w:t xml:space="preserve"> </w:t>
      </w:r>
      <w:r>
        <w:rPr>
          <w:rFonts w:hint="eastAsia" w:hAnsi="宋体"/>
          <w:iCs/>
          <w:color w:val="auto"/>
          <w:highlight w:val="none"/>
          <w:u w:val="single"/>
        </w:rPr>
        <w:t xml:space="preserve">银行转账 </w:t>
      </w:r>
      <w:r>
        <w:rPr>
          <w:rFonts w:hint="eastAsia" w:hAnsi="宋体"/>
          <w:color w:val="auto"/>
          <w:highlight w:val="none"/>
        </w:rPr>
        <w:t>。</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第七条　验收、交付标准和方法</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1.验收标准和方法</w:t>
      </w:r>
    </w:p>
    <w:p>
      <w:pPr>
        <w:snapToGrid w:val="0"/>
        <w:spacing w:line="360" w:lineRule="auto"/>
        <w:ind w:firstLine="420" w:firstLineChars="200"/>
        <w:rPr>
          <w:rFonts w:hint="eastAsia" w:ascii="宋体" w:hAnsi="宋体"/>
          <w:i/>
          <w:color w:val="auto"/>
          <w:szCs w:val="21"/>
          <w:highlight w:val="none"/>
        </w:rPr>
      </w:pPr>
      <w:r>
        <w:rPr>
          <w:rFonts w:hint="eastAsia" w:ascii="宋体" w:hAnsi="宋体"/>
          <w:color w:val="auto"/>
          <w:szCs w:val="21"/>
          <w:highlight w:val="none"/>
        </w:rPr>
        <w:t>（1）验收标准：</w:t>
      </w:r>
      <w:r>
        <w:rPr>
          <w:rFonts w:hint="eastAsia" w:ascii="宋体" w:hAnsi="宋体"/>
          <w:iCs/>
          <w:color w:val="auto"/>
          <w:szCs w:val="21"/>
          <w:highlight w:val="none"/>
        </w:rPr>
        <w:t>符合现行国家相关标准、行业标准、地方标准或者其他标准、规范。</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（2）验收程序及方法：</w:t>
      </w:r>
    </w:p>
    <w:p>
      <w:pPr>
        <w:snapToGrid w:val="0"/>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1）乙方履行完合同义务后，书面向甲方提交验收申请。</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甲方收到乙方验收申请之日起5个工作日内组织验收（如有特殊情况，按甲方或校方指定的时间，另行验收），并提出验收意见，逾期不验收的，视同验收合格。甲方委托第三方机构组织项目验收的，其验收时间以该项目验收方案确定的验收时间为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3）本项目验收由验收小组按照采购合同约定对每一项技术和商务要求的履约情况进行确认。</w:t>
      </w:r>
    </w:p>
    <w:p>
      <w:pPr>
        <w:spacing w:line="360" w:lineRule="auto"/>
        <w:ind w:firstLine="420" w:firstLineChars="200"/>
        <w:rPr>
          <w:rFonts w:hint="eastAsia" w:ascii="宋体" w:hAnsi="宋体" w:cs="宋体"/>
          <w:color w:val="auto"/>
          <w:kern w:val="0"/>
          <w:sz w:val="24"/>
          <w:highlight w:val="none"/>
        </w:rPr>
      </w:pPr>
      <w:r>
        <w:rPr>
          <w:rFonts w:hint="eastAsia" w:ascii="宋体" w:hAnsi="宋体"/>
          <w:color w:val="auto"/>
          <w:szCs w:val="21"/>
          <w:highlight w:val="none"/>
        </w:rPr>
        <w:t>4）验收结束后，验收小组出具采购验收书，验收书应当包括每一项技术和商务要求的履约情况，并列明项目总体评价，由验收小组、甲方和乙方共同签署。甲方委托第三方机构组织项目验收的，其验收结果以第三方机构出具验收书结论为准，甲方和乙方共同签署确认。</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5）验收过程中所产生的一切费用均由乙方承担。</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w:t>
      </w:r>
      <w:r>
        <w:rPr>
          <w:rFonts w:hint="eastAsia"/>
          <w:color w:val="auto"/>
          <w:highlight w:val="none"/>
        </w:rPr>
        <w:t>验收书一式</w:t>
      </w:r>
      <w:r>
        <w:rPr>
          <w:rFonts w:hint="eastAsia"/>
          <w:color w:val="auto"/>
          <w:highlight w:val="none"/>
          <w:u w:val="single"/>
        </w:rPr>
        <w:t xml:space="preserve"> 叁 </w:t>
      </w:r>
      <w:r>
        <w:rPr>
          <w:rFonts w:hint="eastAsia"/>
          <w:color w:val="auto"/>
          <w:highlight w:val="none"/>
        </w:rPr>
        <w:t>份，甲乙双方各执</w:t>
      </w:r>
      <w:r>
        <w:rPr>
          <w:rFonts w:hint="eastAsia"/>
          <w:color w:val="auto"/>
          <w:highlight w:val="none"/>
          <w:u w:val="single"/>
        </w:rPr>
        <w:t xml:space="preserve"> 壹 </w:t>
      </w:r>
      <w:r>
        <w:rPr>
          <w:rFonts w:hint="eastAsia"/>
          <w:color w:val="auto"/>
          <w:highlight w:val="none"/>
        </w:rPr>
        <w:t>份、受托第三方机构一份（如有）</w:t>
      </w:r>
      <w:r>
        <w:rPr>
          <w:rFonts w:hint="eastAsia" w:ascii="宋体" w:hAnsi="宋体"/>
          <w:color w:val="auto"/>
          <w:szCs w:val="21"/>
          <w:highlight w:val="none"/>
        </w:rPr>
        <w:t xml:space="preserve">。 </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7）验收结论不合格的，乙方应自收到验收书后</w:t>
      </w:r>
      <w:r>
        <w:rPr>
          <w:rFonts w:hint="eastAsia" w:ascii="宋体" w:hAnsi="宋体"/>
          <w:color w:val="auto"/>
          <w:szCs w:val="21"/>
          <w:highlight w:val="none"/>
          <w:u w:val="single"/>
        </w:rPr>
        <w:t xml:space="preserve">    </w:t>
      </w:r>
      <w:r>
        <w:rPr>
          <w:rFonts w:hint="eastAsia" w:ascii="宋体" w:hAnsi="宋体"/>
          <w:color w:val="auto"/>
          <w:szCs w:val="21"/>
          <w:highlight w:val="none"/>
        </w:rPr>
        <w:t>日内及时予以解决。经乙方对验收结论不合格的货物进行整改后，仍然达不到要求的，经双方协商，可按以下办法处理：</w:t>
      </w:r>
    </w:p>
    <w:p>
      <w:pPr>
        <w:spacing w:line="360" w:lineRule="auto"/>
        <w:ind w:firstLine="420" w:firstLineChars="200"/>
        <w:rPr>
          <w:rFonts w:ascii="宋体" w:hAnsi="宋体"/>
          <w:color w:val="auto"/>
          <w:szCs w:val="21"/>
          <w:highlight w:val="none"/>
        </w:rPr>
      </w:pPr>
      <w:r>
        <w:rPr>
          <w:rFonts w:hint="eastAsia" w:ascii="宋体" w:hAnsi="宋体"/>
          <w:color w:val="auto"/>
          <w:szCs w:val="21"/>
          <w:highlight w:val="none"/>
        </w:rPr>
        <w:t>①更换：由乙方承担所发生的全部费用。</w:t>
      </w:r>
    </w:p>
    <w:p>
      <w:pPr>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②贬值处理：由甲乙双方合议定价。</w:t>
      </w:r>
    </w:p>
    <w:p>
      <w:pPr>
        <w:spacing w:line="360" w:lineRule="auto"/>
        <w:ind w:firstLine="420" w:firstLineChars="200"/>
        <w:rPr>
          <w:rFonts w:hint="eastAsia" w:ascii="宋体" w:hAnsi="宋体"/>
          <w:color w:val="auto"/>
          <w:highlight w:val="none"/>
        </w:rPr>
      </w:pPr>
      <w:r>
        <w:rPr>
          <w:rFonts w:hint="eastAsia" w:ascii="宋体" w:hAnsi="宋体"/>
          <w:color w:val="auto"/>
          <w:highlight w:val="none"/>
        </w:rPr>
        <w:t>2.交付标准和方法</w:t>
      </w:r>
    </w:p>
    <w:p>
      <w:pPr>
        <w:spacing w:line="360" w:lineRule="auto"/>
        <w:ind w:firstLine="420" w:firstLineChars="200"/>
        <w:rPr>
          <w:rFonts w:hint="eastAsia" w:ascii="宋体" w:hAnsi="宋体"/>
          <w:color w:val="auto"/>
          <w:szCs w:val="21"/>
          <w:highlight w:val="none"/>
        </w:rPr>
      </w:pPr>
      <w:r>
        <w:rPr>
          <w:rFonts w:hint="eastAsia" w:ascii="宋体" w:hAnsi="宋体"/>
          <w:color w:val="auto"/>
          <w:highlight w:val="none"/>
        </w:rPr>
        <w:t>（1）除售后服务验收外，</w:t>
      </w:r>
      <w:r>
        <w:rPr>
          <w:rFonts w:hint="eastAsia" w:ascii="宋体" w:hAnsi="宋体"/>
          <w:color w:val="auto"/>
          <w:szCs w:val="21"/>
          <w:highlight w:val="none"/>
        </w:rPr>
        <w:t>验收结论合格的，乙方应自收到验收书后</w:t>
      </w:r>
      <w:r>
        <w:rPr>
          <w:rFonts w:hint="eastAsia" w:ascii="宋体" w:hAnsi="宋体"/>
          <w:color w:val="auto"/>
          <w:szCs w:val="21"/>
          <w:highlight w:val="none"/>
          <w:u w:val="single"/>
        </w:rPr>
        <w:t xml:space="preserve">   </w:t>
      </w:r>
      <w:r>
        <w:rPr>
          <w:rFonts w:hint="eastAsia" w:ascii="宋体" w:hAnsi="宋体"/>
          <w:color w:val="auto"/>
          <w:szCs w:val="21"/>
          <w:highlight w:val="none"/>
        </w:rPr>
        <w:t>日内向甲方交付使用。</w:t>
      </w:r>
    </w:p>
    <w:p>
      <w:pPr>
        <w:snapToGrid w:val="0"/>
        <w:spacing w:line="360" w:lineRule="auto"/>
        <w:ind w:firstLine="420" w:firstLineChars="200"/>
        <w:rPr>
          <w:rFonts w:hint="eastAsia" w:ascii="宋体" w:hAnsi="宋体"/>
          <w:b/>
          <w:color w:val="auto"/>
          <w:szCs w:val="21"/>
          <w:highlight w:val="none"/>
        </w:rPr>
      </w:pPr>
      <w:r>
        <w:rPr>
          <w:rFonts w:hint="eastAsia" w:ascii="宋体" w:hAnsi="宋体"/>
          <w:color w:val="auto"/>
          <w:highlight w:val="none"/>
        </w:rPr>
        <w:t>（2）货物的所有权和风险自交付时起由乙方转移至甲方，货物交付给甲方之前所有风险均由乙方承担。</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第八条  售后服务</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1.乙方应按照国家有关法律法规规定以及投标文件承诺，为甲方提供售后服务。</w:t>
      </w:r>
    </w:p>
    <w:p>
      <w:pPr>
        <w:snapToGrid w:val="0"/>
        <w:spacing w:line="360" w:lineRule="auto"/>
        <w:ind w:firstLine="420" w:firstLineChars="200"/>
        <w:rPr>
          <w:rFonts w:hint="eastAsia" w:ascii="宋体" w:hAnsi="宋体"/>
          <w:color w:val="auto"/>
          <w:szCs w:val="21"/>
          <w:highlight w:val="none"/>
          <w:u w:val="single"/>
        </w:rPr>
      </w:pPr>
      <w:r>
        <w:rPr>
          <w:rFonts w:hint="eastAsia" w:ascii="宋体" w:hAnsi="宋体"/>
          <w:color w:val="auto"/>
          <w:szCs w:val="21"/>
          <w:highlight w:val="none"/>
        </w:rPr>
        <w:t>2.质量保修范围:</w:t>
      </w:r>
      <w:r>
        <w:rPr>
          <w:rFonts w:hint="eastAsia" w:ascii="宋体" w:hAnsi="宋体"/>
          <w:color w:val="auto"/>
          <w:szCs w:val="21"/>
          <w:highlight w:val="none"/>
          <w:u w:val="single"/>
        </w:rPr>
        <w:t xml:space="preserve">                  </w:t>
      </w:r>
      <w:r>
        <w:rPr>
          <w:rFonts w:hint="eastAsia" w:ascii="宋体" w:hAnsi="宋体"/>
          <w:color w:val="auto"/>
          <w:szCs w:val="21"/>
          <w:highlight w:val="none"/>
        </w:rPr>
        <w:t>；保修期：</w:t>
      </w:r>
      <w:r>
        <w:rPr>
          <w:rFonts w:hint="eastAsia" w:ascii="宋体" w:hAnsi="宋体"/>
          <w:color w:val="auto"/>
          <w:szCs w:val="21"/>
          <w:highlight w:val="none"/>
          <w:u w:val="single"/>
        </w:rPr>
        <w:t xml:space="preserve">                     </w:t>
      </w:r>
      <w:r>
        <w:rPr>
          <w:rFonts w:hint="eastAsia" w:ascii="宋体" w:hAnsi="宋体"/>
          <w:color w:val="auto"/>
          <w:szCs w:val="21"/>
          <w:highlight w:val="none"/>
        </w:rPr>
        <w:t>。</w:t>
      </w:r>
    </w:p>
    <w:p>
      <w:pPr>
        <w:snapToGrid w:val="0"/>
        <w:spacing w:line="360" w:lineRule="auto"/>
        <w:ind w:left="-61" w:leftChars="-29" w:firstLine="517" w:firstLineChars="245"/>
        <w:rPr>
          <w:rFonts w:hint="eastAsia" w:ascii="宋体" w:hAnsi="宋体"/>
          <w:b/>
          <w:color w:val="auto"/>
          <w:szCs w:val="21"/>
          <w:highlight w:val="none"/>
        </w:rPr>
      </w:pPr>
      <w:r>
        <w:rPr>
          <w:rFonts w:hint="eastAsia" w:ascii="宋体" w:hAnsi="宋体"/>
          <w:b/>
          <w:color w:val="auto"/>
          <w:szCs w:val="21"/>
          <w:highlight w:val="none"/>
        </w:rPr>
        <w:t>第九条　履约保证金</w:t>
      </w:r>
    </w:p>
    <w:p>
      <w:pPr>
        <w:snapToGrid w:val="0"/>
        <w:spacing w:line="360" w:lineRule="auto"/>
        <w:ind w:firstLine="420" w:firstLineChars="200"/>
        <w:rPr>
          <w:rFonts w:hint="eastAsia" w:ascii="宋体" w:hAnsi="宋体"/>
          <w:bCs/>
          <w:color w:val="auto"/>
          <w:szCs w:val="21"/>
          <w:highlight w:val="none"/>
          <w:u w:val="single"/>
        </w:rPr>
      </w:pPr>
      <w:r>
        <w:rPr>
          <w:rFonts w:hint="eastAsia" w:ascii="宋体" w:hAnsi="宋体"/>
          <w:bCs/>
          <w:color w:val="auto"/>
          <w:szCs w:val="21"/>
          <w:highlight w:val="none"/>
          <w:u w:val="single"/>
          <w:lang w:val="en-US" w:eastAsia="zh-CN"/>
        </w:rPr>
        <w:t>不收取履约保证金</w:t>
      </w:r>
      <w:r>
        <w:rPr>
          <w:rFonts w:hint="eastAsia" w:ascii="宋体" w:hAnsi="宋体"/>
          <w:bCs/>
          <w:color w:val="auto"/>
          <w:szCs w:val="21"/>
          <w:highlight w:val="none"/>
          <w:u w:val="single"/>
        </w:rPr>
        <w:t>。</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第十条　违约责任</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1.合同一方不履行合同义务、履行合同义务不符合约定或者违反合同项下所作保证的， 应向对方承担继续履行、采取修理、更换、退货等补救措施或者赔偿损失等违约责任。</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2.乙方未能按时交付货物的，应向甲方支付迟延交付违约金。迟延交付违约金的计算方法如下：</w:t>
      </w:r>
    </w:p>
    <w:p>
      <w:pPr>
        <w:snapToGrid w:val="0"/>
        <w:spacing w:line="360" w:lineRule="auto"/>
        <w:ind w:firstLine="420" w:firstLineChars="200"/>
        <w:rPr>
          <w:rFonts w:hint="eastAsia" w:ascii="宋体" w:hAnsi="宋体"/>
          <w:i w:val="0"/>
          <w:iCs w:val="0"/>
          <w:color w:val="auto"/>
          <w:kern w:val="0"/>
          <w:szCs w:val="21"/>
          <w:highlight w:val="none"/>
        </w:rPr>
      </w:pPr>
      <w:r>
        <w:rPr>
          <w:rFonts w:hint="eastAsia" w:ascii="宋体" w:hAnsi="宋体"/>
          <w:color w:val="auto"/>
          <w:kern w:val="0"/>
          <w:szCs w:val="21"/>
          <w:highlight w:val="none"/>
        </w:rPr>
        <w:t>（1）从迟交的第一周到第四周，每周迟延交付违约金为合同价款（</w:t>
      </w:r>
      <w:r>
        <w:rPr>
          <w:rFonts w:hint="eastAsia" w:ascii="宋体" w:hAnsi="宋体"/>
          <w:i w:val="0"/>
          <w:iCs w:val="0"/>
          <w:color w:val="auto"/>
          <w:kern w:val="0"/>
          <w:szCs w:val="21"/>
          <w:highlight w:val="none"/>
        </w:rPr>
        <w:t>报酬）的</w:t>
      </w:r>
      <w:r>
        <w:rPr>
          <w:rFonts w:hint="eastAsia" w:ascii="宋体" w:hAnsi="宋体"/>
          <w:i w:val="0"/>
          <w:iCs w:val="0"/>
          <w:color w:val="auto"/>
          <w:kern w:val="0"/>
          <w:szCs w:val="21"/>
          <w:highlight w:val="none"/>
          <w:u w:val="single"/>
        </w:rPr>
        <w:t xml:space="preserve"> 0.5% </w:t>
      </w:r>
      <w:r>
        <w:rPr>
          <w:rFonts w:hint="eastAsia" w:ascii="宋体" w:hAnsi="宋体"/>
          <w:i w:val="0"/>
          <w:iCs w:val="0"/>
          <w:color w:val="auto"/>
          <w:kern w:val="0"/>
          <w:szCs w:val="21"/>
          <w:highlight w:val="none"/>
        </w:rPr>
        <w:t>；</w:t>
      </w:r>
    </w:p>
    <w:p>
      <w:pPr>
        <w:snapToGrid w:val="0"/>
        <w:spacing w:line="360" w:lineRule="auto"/>
        <w:ind w:firstLine="420" w:firstLineChars="200"/>
        <w:rPr>
          <w:rFonts w:hint="eastAsia" w:ascii="宋体" w:hAnsi="宋体"/>
          <w:i w:val="0"/>
          <w:iCs w:val="0"/>
          <w:color w:val="auto"/>
          <w:kern w:val="0"/>
          <w:szCs w:val="21"/>
          <w:highlight w:val="none"/>
        </w:rPr>
      </w:pPr>
      <w:r>
        <w:rPr>
          <w:rFonts w:hint="eastAsia" w:ascii="宋体" w:hAnsi="宋体"/>
          <w:i w:val="0"/>
          <w:iCs w:val="0"/>
          <w:color w:val="auto"/>
          <w:kern w:val="0"/>
          <w:szCs w:val="21"/>
          <w:highlight w:val="none"/>
        </w:rPr>
        <w:t>（2）从迟交的第五周到第八周，每周迟延交付违约金为合同价款（报酬）的</w:t>
      </w:r>
      <w:r>
        <w:rPr>
          <w:rFonts w:hint="eastAsia" w:ascii="宋体" w:hAnsi="宋体"/>
          <w:i w:val="0"/>
          <w:iCs w:val="0"/>
          <w:color w:val="auto"/>
          <w:kern w:val="0"/>
          <w:szCs w:val="21"/>
          <w:highlight w:val="none"/>
          <w:u w:val="single"/>
        </w:rPr>
        <w:t xml:space="preserve"> 1% </w:t>
      </w:r>
      <w:r>
        <w:rPr>
          <w:rFonts w:hint="eastAsia" w:ascii="宋体" w:hAnsi="宋体"/>
          <w:i w:val="0"/>
          <w:iCs w:val="0"/>
          <w:color w:val="auto"/>
          <w:kern w:val="0"/>
          <w:szCs w:val="21"/>
          <w:highlight w:val="none"/>
        </w:rPr>
        <w:t>；</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i w:val="0"/>
          <w:iCs w:val="0"/>
          <w:color w:val="auto"/>
          <w:kern w:val="0"/>
          <w:szCs w:val="21"/>
          <w:highlight w:val="none"/>
        </w:rPr>
        <w:t>（3）从迟交第九周起，每周迟延交付违约金为合同价款（报酬）的</w:t>
      </w:r>
      <w:r>
        <w:rPr>
          <w:rFonts w:hint="eastAsia" w:ascii="宋体" w:hAnsi="宋体"/>
          <w:i w:val="0"/>
          <w:iCs w:val="0"/>
          <w:color w:val="auto"/>
          <w:kern w:val="0"/>
          <w:szCs w:val="21"/>
          <w:highlight w:val="none"/>
          <w:u w:val="single"/>
        </w:rPr>
        <w:t xml:space="preserve"> 1.5% </w:t>
      </w:r>
      <w:r>
        <w:rPr>
          <w:rFonts w:hint="eastAsia" w:ascii="宋体" w:hAnsi="宋体"/>
          <w:color w:val="auto"/>
          <w:kern w:val="0"/>
          <w:szCs w:val="21"/>
          <w:highlight w:val="none"/>
        </w:rPr>
        <w:t>。在计算迟延交付违约金时，迟交不足一周的按一周计算。迟延交付违约金的总额不得超过合同价款（报酬）的</w:t>
      </w:r>
      <w:r>
        <w:rPr>
          <w:rFonts w:hint="eastAsia" w:ascii="宋体" w:hAnsi="宋体"/>
          <w:color w:val="auto"/>
          <w:kern w:val="0"/>
          <w:szCs w:val="21"/>
          <w:highlight w:val="none"/>
          <w:u w:val="single"/>
        </w:rPr>
        <w:t xml:space="preserve"> 10% </w:t>
      </w:r>
      <w:r>
        <w:rPr>
          <w:rFonts w:hint="eastAsia" w:ascii="宋体" w:hAnsi="宋体"/>
          <w:color w:val="auto"/>
          <w:kern w:val="0"/>
          <w:szCs w:val="21"/>
          <w:highlight w:val="none"/>
        </w:rPr>
        <w:t>。迟延交付违约金的支付不能免除乙方继续交付相关合同货物的义务，但如迟延交付必然导致合同货物安装、调试、验收等工作推迟的，相关工作应相应顺延。</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3.甲方未能按合同约定支付合同价款的，应向乙方支付延迟付款违约金。迟延付款违约金的计算方法如下：</w:t>
      </w:r>
    </w:p>
    <w:p>
      <w:pPr>
        <w:snapToGrid w:val="0"/>
        <w:spacing w:line="360" w:lineRule="auto"/>
        <w:ind w:firstLine="420" w:firstLineChars="200"/>
        <w:rPr>
          <w:rFonts w:hint="eastAsia" w:ascii="宋体" w:hAnsi="宋体"/>
          <w:i w:val="0"/>
          <w:iCs w:val="0"/>
          <w:color w:val="auto"/>
          <w:kern w:val="0"/>
          <w:szCs w:val="21"/>
          <w:highlight w:val="none"/>
        </w:rPr>
      </w:pPr>
      <w:r>
        <w:rPr>
          <w:rFonts w:hint="eastAsia" w:ascii="宋体" w:hAnsi="宋体"/>
          <w:color w:val="auto"/>
          <w:kern w:val="0"/>
          <w:szCs w:val="21"/>
          <w:highlight w:val="none"/>
        </w:rPr>
        <w:t>（1）从迟付的第一周到第四周，每周迟延付款违约金为迟延付款金额</w:t>
      </w:r>
      <w:r>
        <w:rPr>
          <w:rFonts w:hint="eastAsia" w:ascii="宋体" w:hAnsi="宋体"/>
          <w:i w:val="0"/>
          <w:iCs w:val="0"/>
          <w:color w:val="auto"/>
          <w:kern w:val="0"/>
          <w:szCs w:val="21"/>
          <w:highlight w:val="none"/>
        </w:rPr>
        <w:t>的</w:t>
      </w:r>
      <w:r>
        <w:rPr>
          <w:rFonts w:hint="eastAsia" w:ascii="宋体" w:hAnsi="宋体"/>
          <w:i w:val="0"/>
          <w:iCs w:val="0"/>
          <w:color w:val="auto"/>
          <w:kern w:val="0"/>
          <w:szCs w:val="21"/>
          <w:highlight w:val="none"/>
          <w:u w:val="single"/>
        </w:rPr>
        <w:t xml:space="preserve"> 0.5% </w:t>
      </w:r>
      <w:r>
        <w:rPr>
          <w:rFonts w:hint="eastAsia" w:ascii="宋体" w:hAnsi="宋体"/>
          <w:i w:val="0"/>
          <w:iCs w:val="0"/>
          <w:color w:val="auto"/>
          <w:kern w:val="0"/>
          <w:szCs w:val="21"/>
          <w:highlight w:val="none"/>
        </w:rPr>
        <w:t>；</w:t>
      </w:r>
    </w:p>
    <w:p>
      <w:pPr>
        <w:snapToGrid w:val="0"/>
        <w:spacing w:line="360" w:lineRule="auto"/>
        <w:ind w:firstLine="420" w:firstLineChars="200"/>
        <w:rPr>
          <w:rFonts w:hint="eastAsia" w:ascii="宋体" w:hAnsi="宋体"/>
          <w:i w:val="0"/>
          <w:iCs w:val="0"/>
          <w:color w:val="auto"/>
          <w:kern w:val="0"/>
          <w:szCs w:val="21"/>
          <w:highlight w:val="none"/>
        </w:rPr>
      </w:pPr>
      <w:r>
        <w:rPr>
          <w:rFonts w:hint="eastAsia" w:ascii="宋体" w:hAnsi="宋体"/>
          <w:i w:val="0"/>
          <w:iCs w:val="0"/>
          <w:color w:val="auto"/>
          <w:kern w:val="0"/>
          <w:szCs w:val="21"/>
          <w:highlight w:val="none"/>
        </w:rPr>
        <w:t>（2）从迟付的第五周到第八周，每周迟延付款违约金为迟延付款金额的</w:t>
      </w:r>
      <w:r>
        <w:rPr>
          <w:rFonts w:hint="eastAsia" w:ascii="宋体" w:hAnsi="宋体"/>
          <w:i w:val="0"/>
          <w:iCs w:val="0"/>
          <w:color w:val="auto"/>
          <w:kern w:val="0"/>
          <w:szCs w:val="21"/>
          <w:highlight w:val="none"/>
          <w:u w:val="single"/>
        </w:rPr>
        <w:t xml:space="preserve"> 1% </w:t>
      </w:r>
      <w:r>
        <w:rPr>
          <w:rFonts w:hint="eastAsia" w:ascii="宋体" w:hAnsi="宋体"/>
          <w:i w:val="0"/>
          <w:iCs w:val="0"/>
          <w:color w:val="auto"/>
          <w:kern w:val="0"/>
          <w:szCs w:val="21"/>
          <w:highlight w:val="none"/>
        </w:rPr>
        <w:t>；</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i w:val="0"/>
          <w:iCs w:val="0"/>
          <w:color w:val="auto"/>
          <w:kern w:val="0"/>
          <w:szCs w:val="21"/>
          <w:highlight w:val="none"/>
        </w:rPr>
        <w:t>（3）从迟付第九周起，每周迟延付款违约金为迟延付款金额的</w:t>
      </w:r>
      <w:r>
        <w:rPr>
          <w:rFonts w:hint="eastAsia" w:ascii="宋体" w:hAnsi="宋体"/>
          <w:i w:val="0"/>
          <w:iCs w:val="0"/>
          <w:color w:val="auto"/>
          <w:kern w:val="0"/>
          <w:szCs w:val="21"/>
          <w:highlight w:val="none"/>
          <w:u w:val="single"/>
        </w:rPr>
        <w:t xml:space="preserve"> 1.5% </w:t>
      </w:r>
      <w:r>
        <w:rPr>
          <w:rFonts w:hint="eastAsia" w:ascii="宋体" w:hAnsi="宋体"/>
          <w:i w:val="0"/>
          <w:iCs w:val="0"/>
          <w:color w:val="auto"/>
          <w:kern w:val="0"/>
          <w:szCs w:val="21"/>
          <w:highlight w:val="none"/>
        </w:rPr>
        <w:t>。在计</w:t>
      </w:r>
      <w:r>
        <w:rPr>
          <w:rFonts w:hint="eastAsia" w:ascii="宋体" w:hAnsi="宋体"/>
          <w:color w:val="auto"/>
          <w:kern w:val="0"/>
          <w:szCs w:val="21"/>
          <w:highlight w:val="none"/>
        </w:rPr>
        <w:t>算迟延付款违约金时，迟付不足一周的按一周计算。迟延付款违约金的总额不得超过合同价格的</w:t>
      </w:r>
      <w:r>
        <w:rPr>
          <w:rFonts w:hint="eastAsia" w:ascii="宋体" w:hAnsi="宋体"/>
          <w:color w:val="auto"/>
          <w:kern w:val="0"/>
          <w:szCs w:val="21"/>
          <w:highlight w:val="none"/>
          <w:u w:val="single"/>
        </w:rPr>
        <w:t xml:space="preserve"> 10% </w:t>
      </w:r>
      <w:r>
        <w:rPr>
          <w:rFonts w:hint="eastAsia" w:ascii="宋体" w:hAnsi="宋体"/>
          <w:color w:val="auto"/>
          <w:kern w:val="0"/>
          <w:szCs w:val="21"/>
          <w:highlight w:val="none"/>
        </w:rPr>
        <w:t>。</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 xml:space="preserve">4.乙方未按本合同和投标文件承诺提供售后服务的，乙方应按本合同价款（报酬）的 </w:t>
      </w:r>
      <w:r>
        <w:rPr>
          <w:rFonts w:hint="eastAsia" w:ascii="宋体" w:hAnsi="宋体"/>
          <w:color w:val="auto"/>
          <w:kern w:val="0"/>
          <w:szCs w:val="21"/>
          <w:highlight w:val="none"/>
          <w:u w:val="single"/>
        </w:rPr>
        <w:t xml:space="preserve">   </w:t>
      </w:r>
      <w:r>
        <w:rPr>
          <w:rFonts w:hint="eastAsia" w:ascii="宋体" w:hAnsi="宋体"/>
          <w:color w:val="auto"/>
          <w:kern w:val="0"/>
          <w:szCs w:val="21"/>
          <w:highlight w:val="none"/>
        </w:rPr>
        <w:t>%向甲方支付违约金。</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5.因某一方原因导致变更、中止或者终止政府采购合同的，该方应当对另一方受到的损失予以赔偿或者补偿。</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6.其它违约责任按《中华人民共和国民法典》处理。</w:t>
      </w:r>
    </w:p>
    <w:p>
      <w:pPr>
        <w:snapToGrid w:val="0"/>
        <w:spacing w:line="360" w:lineRule="auto"/>
        <w:ind w:firstLine="413"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第十一条  不可抗力事件处理</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1.在合同有效期内，任何一方因不可抗力事件导致不能履行合同，则合同履行期可延长，其延长期与不可抗力影响期相同。</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2.不可抗力事件发生后，应立即通知对方，并寄送有关权威机构出具的证明。</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3.不可抗力事件延续一百二十天以上，双方应通过友好协商，确定是否继续履行合同。</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第十二条  合同争议解决</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1.因货物质量问题发生争议的，应邀请国家认可的质量检测机构对货物质量进行鉴定。货物符合标准的，鉴定费由甲方承担；货物不符合标准的，鉴定费由乙方承担。</w:t>
      </w:r>
    </w:p>
    <w:p>
      <w:pPr>
        <w:autoSpaceDE w:val="0"/>
        <w:autoSpaceDN w:val="0"/>
        <w:adjustRightInd w:val="0"/>
        <w:spacing w:line="360" w:lineRule="auto"/>
        <w:ind w:left="100" w:right="42" w:firstLine="420"/>
        <w:rPr>
          <w:rFonts w:ascii="宋体" w:hAnsi="宋体"/>
          <w:color w:val="auto"/>
          <w:szCs w:val="21"/>
          <w:highlight w:val="none"/>
        </w:rPr>
      </w:pPr>
      <w:r>
        <w:rPr>
          <w:rFonts w:hint="eastAsia" w:ascii="宋体" w:hAnsi="宋体"/>
          <w:color w:val="auto"/>
          <w:szCs w:val="21"/>
          <w:highlight w:val="none"/>
        </w:rPr>
        <w:t>2.因履行本合同引起的或者与本合同有关的争议，甲乙双方应首先通过友好协商解决，如果协商不能解决，按下列</w:t>
      </w:r>
      <w:r>
        <w:rPr>
          <w:rFonts w:hint="eastAsia" w:ascii="宋体" w:hAnsi="宋体"/>
          <w:color w:val="auto"/>
          <w:szCs w:val="21"/>
          <w:highlight w:val="none"/>
          <w:u w:val="single"/>
        </w:rPr>
        <w:t xml:space="preserve">    </w:t>
      </w:r>
      <w:r>
        <w:rPr>
          <w:rFonts w:hint="eastAsia" w:ascii="宋体" w:hAnsi="宋体"/>
          <w:color w:val="auto"/>
          <w:szCs w:val="21"/>
          <w:highlight w:val="none"/>
        </w:rPr>
        <w:t>方式解决：</w:t>
      </w:r>
    </w:p>
    <w:p>
      <w:pPr>
        <w:autoSpaceDE w:val="0"/>
        <w:autoSpaceDN w:val="0"/>
        <w:adjustRightInd w:val="0"/>
        <w:spacing w:line="360" w:lineRule="auto"/>
        <w:ind w:right="40" w:firstLine="42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1</w:t>
      </w:r>
      <w:r>
        <w:rPr>
          <w:rFonts w:hint="eastAsia" w:ascii="宋体" w:hAnsi="宋体"/>
          <w:color w:val="auto"/>
          <w:szCs w:val="21"/>
          <w:highlight w:val="none"/>
        </w:rPr>
        <w:t>）向</w:t>
      </w:r>
      <w:r>
        <w:rPr>
          <w:rFonts w:hint="eastAsia" w:ascii="宋体" w:hAnsi="宋体"/>
          <w:color w:val="auto"/>
          <w:szCs w:val="21"/>
          <w:highlight w:val="none"/>
          <w:u w:val="single"/>
        </w:rPr>
        <w:t xml:space="preserve">     </w:t>
      </w:r>
      <w:r>
        <w:rPr>
          <w:rFonts w:hint="eastAsia" w:ascii="宋体" w:hAnsi="宋体"/>
          <w:color w:val="auto"/>
          <w:szCs w:val="21"/>
          <w:highlight w:val="none"/>
        </w:rPr>
        <w:t>仲裁委员会申请仲裁；</w:t>
      </w:r>
    </w:p>
    <w:p>
      <w:pPr>
        <w:autoSpaceDE w:val="0"/>
        <w:autoSpaceDN w:val="0"/>
        <w:adjustRightInd w:val="0"/>
        <w:spacing w:line="360" w:lineRule="auto"/>
        <w:ind w:right="40" w:firstLine="420"/>
        <w:rPr>
          <w:rFonts w:hint="eastAsia" w:ascii="宋体" w:hAnsi="宋体"/>
          <w:color w:val="auto"/>
          <w:szCs w:val="21"/>
          <w:highlight w:val="none"/>
        </w:rPr>
      </w:pPr>
      <w:r>
        <w:rPr>
          <w:rFonts w:hint="eastAsia" w:ascii="宋体" w:hAnsi="宋体"/>
          <w:color w:val="auto"/>
          <w:szCs w:val="21"/>
          <w:highlight w:val="none"/>
        </w:rPr>
        <w:t>（</w:t>
      </w:r>
      <w:r>
        <w:rPr>
          <w:rFonts w:ascii="宋体" w:hAnsi="宋体"/>
          <w:color w:val="auto"/>
          <w:szCs w:val="21"/>
          <w:highlight w:val="none"/>
        </w:rPr>
        <w:t>2</w:t>
      </w:r>
      <w:r>
        <w:rPr>
          <w:rFonts w:hint="eastAsia" w:ascii="宋体" w:hAnsi="宋体"/>
          <w:color w:val="auto"/>
          <w:szCs w:val="21"/>
          <w:highlight w:val="none"/>
        </w:rPr>
        <w:t>）向有管辖权的人民法院提起诉讼。</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第十三条　合同的变更、中止或者终止</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 除《中华人民共和国政府采购法》第五十条规定的情形外，本合同一经签订，甲乙双方不得擅自变更、中止或者终止合同。</w:t>
      </w:r>
    </w:p>
    <w:p>
      <w:pPr>
        <w:pStyle w:val="17"/>
        <w:spacing w:line="360" w:lineRule="auto"/>
        <w:ind w:firstLine="420" w:firstLineChars="200"/>
        <w:rPr>
          <w:rFonts w:hint="eastAsia" w:ascii="宋体" w:hAnsi="宋体"/>
          <w:color w:val="auto"/>
          <w:kern w:val="2"/>
          <w:sz w:val="21"/>
          <w:szCs w:val="21"/>
          <w:highlight w:val="none"/>
        </w:rPr>
      </w:pPr>
      <w:r>
        <w:rPr>
          <w:rFonts w:hint="eastAsia" w:ascii="宋体" w:hAnsi="宋体"/>
          <w:color w:val="auto"/>
          <w:kern w:val="2"/>
          <w:sz w:val="21"/>
          <w:szCs w:val="21"/>
          <w:highlight w:val="none"/>
        </w:rPr>
        <w:t>2.采购合同继续履行将损害国家利益和社会公共利益的，双方当事人应当变更、中止或者终止合同。有过错的一方应当承担赔偿责任，双方都有过错的，各自承担相应的责任。</w:t>
      </w:r>
    </w:p>
    <w:p>
      <w:pPr>
        <w:snapToGrid w:val="0"/>
        <w:spacing w:line="360" w:lineRule="auto"/>
        <w:ind w:firstLine="422" w:firstLineChars="200"/>
        <w:rPr>
          <w:rFonts w:hint="eastAsia" w:ascii="宋体" w:hAnsi="宋体"/>
          <w:b/>
          <w:color w:val="auto"/>
          <w:szCs w:val="21"/>
          <w:highlight w:val="none"/>
        </w:rPr>
      </w:pPr>
      <w:r>
        <w:rPr>
          <w:rFonts w:hint="eastAsia" w:ascii="宋体" w:hAnsi="宋体"/>
          <w:b/>
          <w:color w:val="auto"/>
          <w:szCs w:val="21"/>
          <w:highlight w:val="none"/>
        </w:rPr>
        <w:t>第十四条　</w:t>
      </w:r>
      <w:r>
        <w:rPr>
          <w:rFonts w:hint="eastAsia" w:ascii="宋体" w:hAnsi="宋体" w:cs="微软雅黑"/>
          <w:b/>
          <w:color w:val="auto"/>
          <w:kern w:val="0"/>
          <w:szCs w:val="21"/>
          <w:highlight w:val="none"/>
        </w:rPr>
        <w:t>合</w:t>
      </w:r>
      <w:r>
        <w:rPr>
          <w:rFonts w:hint="eastAsia" w:ascii="宋体" w:hAnsi="宋体" w:cs="微软雅黑"/>
          <w:b/>
          <w:color w:val="auto"/>
          <w:spacing w:val="-2"/>
          <w:kern w:val="0"/>
          <w:szCs w:val="21"/>
          <w:highlight w:val="none"/>
        </w:rPr>
        <w:t>同</w:t>
      </w:r>
      <w:r>
        <w:rPr>
          <w:rFonts w:hint="eastAsia" w:ascii="宋体" w:hAnsi="宋体" w:cs="微软雅黑"/>
          <w:b/>
          <w:color w:val="auto"/>
          <w:kern w:val="0"/>
          <w:szCs w:val="21"/>
          <w:highlight w:val="none"/>
        </w:rPr>
        <w:t>文</w:t>
      </w:r>
      <w:r>
        <w:rPr>
          <w:rFonts w:hint="eastAsia" w:ascii="宋体" w:hAnsi="宋体" w:cs="微软雅黑"/>
          <w:b/>
          <w:color w:val="auto"/>
          <w:spacing w:val="-2"/>
          <w:kern w:val="0"/>
          <w:szCs w:val="21"/>
          <w:highlight w:val="none"/>
        </w:rPr>
        <w:t>件构成</w:t>
      </w:r>
    </w:p>
    <w:p>
      <w:pPr>
        <w:snapToGrid w:val="0"/>
        <w:spacing w:line="360" w:lineRule="auto"/>
        <w:ind w:left="420" w:leftChars="200"/>
        <w:rPr>
          <w:rFonts w:hint="eastAsia" w:ascii="宋体" w:hAnsi="宋体"/>
          <w:color w:val="auto"/>
          <w:kern w:val="0"/>
          <w:szCs w:val="21"/>
          <w:highlight w:val="none"/>
        </w:rPr>
      </w:pPr>
      <w:r>
        <w:rPr>
          <w:rFonts w:hint="eastAsia" w:ascii="宋体" w:hAnsi="宋体"/>
          <w:color w:val="auto"/>
          <w:kern w:val="0"/>
          <w:szCs w:val="21"/>
          <w:highlight w:val="none"/>
        </w:rPr>
        <w:t>1.政府采购合同</w:t>
      </w:r>
    </w:p>
    <w:p>
      <w:pPr>
        <w:snapToGrid w:val="0"/>
        <w:spacing w:line="360" w:lineRule="auto"/>
        <w:ind w:left="420" w:leftChars="200"/>
        <w:rPr>
          <w:rFonts w:hint="eastAsia" w:ascii="宋体" w:hAnsi="宋体"/>
          <w:color w:val="auto"/>
          <w:kern w:val="0"/>
          <w:szCs w:val="21"/>
          <w:highlight w:val="none"/>
        </w:rPr>
      </w:pPr>
      <w:r>
        <w:rPr>
          <w:rFonts w:hint="eastAsia" w:ascii="宋体" w:hAnsi="宋体"/>
          <w:color w:val="auto"/>
          <w:kern w:val="0"/>
          <w:szCs w:val="21"/>
          <w:highlight w:val="none"/>
        </w:rPr>
        <w:t>2.中标（成交）通知书；</w:t>
      </w:r>
    </w:p>
    <w:p>
      <w:pPr>
        <w:snapToGrid w:val="0"/>
        <w:spacing w:line="360" w:lineRule="auto"/>
        <w:ind w:left="420" w:leftChars="200"/>
        <w:rPr>
          <w:rFonts w:hint="eastAsia" w:ascii="宋体" w:hAnsi="宋体"/>
          <w:color w:val="auto"/>
          <w:kern w:val="0"/>
          <w:szCs w:val="21"/>
          <w:highlight w:val="none"/>
        </w:rPr>
      </w:pPr>
      <w:r>
        <w:rPr>
          <w:rFonts w:hint="eastAsia" w:ascii="宋体" w:hAnsi="宋体"/>
          <w:color w:val="auto"/>
          <w:kern w:val="0"/>
          <w:szCs w:val="21"/>
          <w:highlight w:val="none"/>
        </w:rPr>
        <w:t>3.投标（响应）文件；</w:t>
      </w:r>
    </w:p>
    <w:p>
      <w:pPr>
        <w:snapToGrid w:val="0"/>
        <w:spacing w:line="360" w:lineRule="auto"/>
        <w:ind w:left="420" w:leftChars="200"/>
        <w:rPr>
          <w:rFonts w:hint="eastAsia" w:ascii="宋体" w:hAnsi="宋体"/>
          <w:color w:val="auto"/>
          <w:kern w:val="0"/>
          <w:szCs w:val="21"/>
          <w:highlight w:val="none"/>
        </w:rPr>
      </w:pPr>
      <w:r>
        <w:rPr>
          <w:rFonts w:hint="eastAsia" w:ascii="宋体" w:hAnsi="宋体"/>
          <w:color w:val="auto"/>
          <w:kern w:val="0"/>
          <w:szCs w:val="21"/>
          <w:highlight w:val="none"/>
        </w:rPr>
        <w:t>4.采购文件及更正公告（澄清或补充通知）；</w:t>
      </w:r>
    </w:p>
    <w:p>
      <w:pPr>
        <w:snapToGrid w:val="0"/>
        <w:spacing w:line="360" w:lineRule="auto"/>
        <w:ind w:left="420" w:leftChars="200"/>
        <w:rPr>
          <w:rFonts w:hint="eastAsia" w:ascii="宋体" w:hAnsi="宋体"/>
          <w:color w:val="auto"/>
          <w:kern w:val="0"/>
          <w:szCs w:val="21"/>
          <w:highlight w:val="none"/>
        </w:rPr>
      </w:pPr>
      <w:r>
        <w:rPr>
          <w:rFonts w:hint="eastAsia" w:ascii="宋体" w:hAnsi="宋体"/>
          <w:color w:val="auto"/>
          <w:kern w:val="0"/>
          <w:szCs w:val="21"/>
          <w:highlight w:val="none"/>
        </w:rPr>
        <w:t>5.标准、规范及有关技术文件；</w:t>
      </w:r>
    </w:p>
    <w:p>
      <w:pPr>
        <w:snapToGrid w:val="0"/>
        <w:spacing w:line="360" w:lineRule="auto"/>
        <w:ind w:left="420" w:leftChars="200"/>
        <w:rPr>
          <w:rFonts w:hint="eastAsia" w:ascii="宋体" w:hAnsi="宋体"/>
          <w:color w:val="auto"/>
          <w:kern w:val="0"/>
          <w:szCs w:val="21"/>
          <w:highlight w:val="none"/>
        </w:rPr>
      </w:pPr>
      <w:r>
        <w:rPr>
          <w:rFonts w:hint="eastAsia" w:ascii="宋体" w:hAnsi="宋体"/>
          <w:color w:val="auto"/>
          <w:kern w:val="0"/>
          <w:szCs w:val="21"/>
          <w:highlight w:val="none"/>
        </w:rPr>
        <w:t>6.双方约定的其他合同文件。</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上述合同文件互相补充和解释。如果合同文件之间存在矛盾或者不一致之处，以上述文件的排列顺序在先者为准。</w:t>
      </w:r>
    </w:p>
    <w:p>
      <w:pPr>
        <w:snapToGrid w:val="0"/>
        <w:spacing w:line="360" w:lineRule="auto"/>
        <w:ind w:firstLine="422" w:firstLineChars="200"/>
        <w:rPr>
          <w:rFonts w:hint="eastAsia" w:ascii="宋体" w:hAnsi="宋体"/>
          <w:color w:val="auto"/>
          <w:szCs w:val="21"/>
          <w:highlight w:val="none"/>
        </w:rPr>
      </w:pPr>
      <w:r>
        <w:rPr>
          <w:rFonts w:hint="eastAsia" w:ascii="宋体" w:hAnsi="宋体"/>
          <w:b/>
          <w:color w:val="auto"/>
          <w:szCs w:val="21"/>
          <w:highlight w:val="none"/>
        </w:rPr>
        <w:t>第</w:t>
      </w:r>
      <w:r>
        <w:rPr>
          <w:rFonts w:hint="eastAsia" w:hAnsi="宋体"/>
          <w:b/>
          <w:color w:val="auto"/>
          <w:highlight w:val="none"/>
        </w:rPr>
        <w:t>十五</w:t>
      </w:r>
      <w:r>
        <w:rPr>
          <w:rFonts w:hint="eastAsia" w:ascii="宋体" w:hAnsi="宋体"/>
          <w:b/>
          <w:color w:val="auto"/>
          <w:szCs w:val="21"/>
          <w:highlight w:val="none"/>
        </w:rPr>
        <w:t>条　知识产权和保密要求</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1.甲方在履行合同过程中提供给乙方的全部图纸、文件和其他含有数据和信息的资料，其知识产权属于甲方。</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2.除采购文件采购需求另有约定外，甲方不因签署和履行合同而享有乙方在履行合同过程中提供给甲方的图纸、文件、配套软件、电子辅助程序和其他含有数据和信息的资料的知识产权。</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3.乙方应保证所提供货物在使用时不会侵犯任何第三方的知识产权或者其他权利。如合同货物涉及知识产权，则乙方保证甲方在使用合同货物过程中免于受到第三方提出的有关知识产权侵权的主张、索赔或诉讼的伤害。</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4.如果甲方收到任何第三方有关知识产权的主张、索赔或诉讼，乙方在收到甲方通知后， 应以甲方名义并在甲方的协助下，自负费用处理与第三方的索赔或诉讼，并赔偿甲方因此发生的费用和遭受的损失。如果乙方拒绝处理前述索赔或诉讼或在收到甲方通知后</w:t>
      </w:r>
      <w:r>
        <w:rPr>
          <w:rFonts w:ascii="宋体" w:hAnsi="宋体"/>
          <w:color w:val="auto"/>
          <w:szCs w:val="21"/>
          <w:highlight w:val="none"/>
        </w:rPr>
        <w:t>28</w:t>
      </w:r>
      <w:r>
        <w:rPr>
          <w:rFonts w:hint="eastAsia" w:ascii="宋体" w:hAnsi="宋体"/>
          <w:color w:val="auto"/>
          <w:szCs w:val="21"/>
          <w:highlight w:val="none"/>
        </w:rPr>
        <w:t>日内未作表示，甲方可以自己的名义进行这些索赔或诉讼，因此发生的费用和遭受的损失均应由乙方承担。</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5.未经甲方书面同意，乙方不得将由甲方提供的有关合同或者任何合同条款、规格、计划、图纸、样品或者资料提供给与履行本合同无关的任何其他人。即使向履行本合同有关的其他人员提供，也应注意保密并限于履行合同的必需范围。</w:t>
      </w:r>
    </w:p>
    <w:p>
      <w:pPr>
        <w:snapToGrid w:val="0"/>
        <w:spacing w:line="360" w:lineRule="auto"/>
        <w:ind w:firstLine="420" w:firstLineChars="200"/>
        <w:rPr>
          <w:rFonts w:hint="eastAsia" w:ascii="宋体" w:hAnsi="宋体"/>
          <w:color w:val="auto"/>
          <w:szCs w:val="21"/>
          <w:highlight w:val="none"/>
        </w:rPr>
      </w:pPr>
      <w:r>
        <w:rPr>
          <w:rFonts w:hint="eastAsia" w:ascii="宋体" w:hAnsi="宋体"/>
          <w:color w:val="auto"/>
          <w:szCs w:val="21"/>
          <w:highlight w:val="none"/>
        </w:rPr>
        <w:t>6.乙方保证将要交付的货物的所有权完全属于乙方且无任何抵押、质押、查封等产权瑕疵。</w:t>
      </w:r>
    </w:p>
    <w:p>
      <w:pPr>
        <w:snapToGrid w:val="0"/>
        <w:spacing w:line="360" w:lineRule="auto"/>
        <w:ind w:firstLine="413" w:firstLineChars="196"/>
        <w:rPr>
          <w:rFonts w:hint="eastAsia" w:ascii="宋体" w:hAnsi="宋体"/>
          <w:b/>
          <w:color w:val="auto"/>
          <w:kern w:val="0"/>
          <w:szCs w:val="21"/>
          <w:highlight w:val="none"/>
        </w:rPr>
      </w:pPr>
      <w:r>
        <w:rPr>
          <w:rFonts w:hint="eastAsia" w:ascii="宋体" w:hAnsi="宋体"/>
          <w:b/>
          <w:color w:val="auto"/>
          <w:kern w:val="0"/>
          <w:szCs w:val="21"/>
          <w:highlight w:val="none"/>
        </w:rPr>
        <w:t>第十六条  合同生效及其它</w:t>
      </w:r>
    </w:p>
    <w:p>
      <w:pPr>
        <w:snapToGrid w:val="0"/>
        <w:spacing w:line="360" w:lineRule="auto"/>
        <w:ind w:firstLine="420" w:firstLineChars="200"/>
        <w:rPr>
          <w:rFonts w:hint="eastAsia" w:ascii="宋体" w:hAnsi="宋体"/>
          <w:color w:val="auto"/>
          <w:kern w:val="0"/>
          <w:szCs w:val="21"/>
          <w:highlight w:val="none"/>
        </w:rPr>
      </w:pPr>
      <w:r>
        <w:rPr>
          <w:rFonts w:hint="eastAsia" w:ascii="宋体" w:hAnsi="宋体"/>
          <w:color w:val="auto"/>
          <w:kern w:val="0"/>
          <w:szCs w:val="21"/>
          <w:highlight w:val="none"/>
        </w:rPr>
        <w:t>1.合同经双方法定代表人或者委托代理人签字并加盖单位公章后生效（委托代理人签字的需后附授权委托书，格式自拟）。</w:t>
      </w:r>
    </w:p>
    <w:p>
      <w:pPr>
        <w:pStyle w:val="17"/>
        <w:spacing w:line="360" w:lineRule="auto"/>
        <w:ind w:firstLine="420" w:firstLineChars="200"/>
        <w:rPr>
          <w:rFonts w:hint="eastAsia" w:ascii="宋体" w:hAnsi="宋体"/>
          <w:color w:val="auto"/>
          <w:sz w:val="21"/>
          <w:highlight w:val="none"/>
        </w:rPr>
      </w:pPr>
      <w:r>
        <w:rPr>
          <w:rFonts w:hint="eastAsia" w:ascii="宋体" w:hAnsi="宋体"/>
          <w:color w:val="auto"/>
          <w:sz w:val="21"/>
          <w:highlight w:val="none"/>
        </w:rPr>
        <w:t>2.合同执行中涉及采购资金和采购内容修改或者补充的，并签书面补充协议报财政部门备案，方可作为主合同不可分割的一部分。</w:t>
      </w:r>
    </w:p>
    <w:p>
      <w:pPr>
        <w:pStyle w:val="17"/>
        <w:spacing w:line="360" w:lineRule="auto"/>
        <w:ind w:firstLine="420" w:firstLineChars="200"/>
        <w:rPr>
          <w:rFonts w:hint="eastAsia" w:ascii="宋体" w:hAnsi="宋体"/>
          <w:color w:val="auto"/>
          <w:kern w:val="2"/>
          <w:sz w:val="21"/>
          <w:szCs w:val="21"/>
          <w:highlight w:val="none"/>
        </w:rPr>
      </w:pPr>
      <w:r>
        <w:rPr>
          <w:rFonts w:hint="eastAsia" w:ascii="宋体" w:hAnsi="宋体"/>
          <w:color w:val="auto"/>
          <w:kern w:val="2"/>
          <w:sz w:val="21"/>
          <w:szCs w:val="21"/>
          <w:highlight w:val="none"/>
        </w:rPr>
        <w:t>3.合同生效后，甲乙双方不得因姓名、名称的变更或者法定代表人、负责人、承办人的变动而不履行合同义务。</w:t>
      </w:r>
    </w:p>
    <w:p>
      <w:pPr>
        <w:snapToGrid w:val="0"/>
        <w:spacing w:line="360" w:lineRule="auto"/>
        <w:ind w:left="420" w:leftChars="200"/>
        <w:rPr>
          <w:rFonts w:hint="eastAsia" w:ascii="宋体" w:hAnsi="宋体"/>
          <w:color w:val="auto"/>
          <w:kern w:val="0"/>
          <w:szCs w:val="21"/>
          <w:highlight w:val="none"/>
        </w:rPr>
      </w:pPr>
      <w:r>
        <w:rPr>
          <w:rFonts w:hint="eastAsia" w:ascii="宋体" w:hAnsi="宋体"/>
          <w:color w:val="auto"/>
          <w:kern w:val="0"/>
          <w:szCs w:val="21"/>
          <w:highlight w:val="none"/>
        </w:rPr>
        <w:t>4.本合同未尽事宜，遵照《中华人民共和国民法典》有关条文执行。</w:t>
      </w:r>
    </w:p>
    <w:p>
      <w:pPr>
        <w:spacing w:line="360" w:lineRule="auto"/>
        <w:ind w:firstLine="420" w:firstLineChars="200"/>
        <w:rPr>
          <w:rFonts w:hint="eastAsia" w:ascii="宋体" w:hAnsi="宋体" w:cs="宋体"/>
          <w:color w:val="auto"/>
          <w:szCs w:val="21"/>
          <w:highlight w:val="none"/>
        </w:rPr>
      </w:pPr>
      <w:r>
        <w:rPr>
          <w:rFonts w:hint="eastAsia" w:ascii="宋体" w:hAnsi="宋体"/>
          <w:color w:val="auto"/>
          <w:szCs w:val="21"/>
          <w:highlight w:val="none"/>
        </w:rPr>
        <w:t>5.本合同一式</w:t>
      </w:r>
      <w:r>
        <w:rPr>
          <w:rFonts w:hint="eastAsia" w:ascii="宋体" w:hAnsi="宋体"/>
          <w:color w:val="auto"/>
          <w:szCs w:val="21"/>
          <w:highlight w:val="none"/>
          <w:u w:val="single"/>
        </w:rPr>
        <w:t>伍</w:t>
      </w:r>
      <w:r>
        <w:rPr>
          <w:rFonts w:hint="eastAsia" w:ascii="宋体" w:hAnsi="宋体"/>
          <w:color w:val="auto"/>
          <w:szCs w:val="21"/>
          <w:highlight w:val="none"/>
        </w:rPr>
        <w:t>份，具有同等法律效力，采购代理机构各一份，甲乙双方各贰份。</w:t>
      </w:r>
    </w:p>
    <w:p>
      <w:pPr>
        <w:snapToGrid w:val="0"/>
        <w:spacing w:line="360" w:lineRule="auto"/>
        <w:rPr>
          <w:rFonts w:hint="eastAsia" w:ascii="宋体" w:hAnsi="宋体"/>
          <w:color w:val="auto"/>
          <w:szCs w:val="21"/>
          <w:highlight w:val="none"/>
        </w:rPr>
      </w:pPr>
    </w:p>
    <w:tbl>
      <w:tblPr>
        <w:tblStyle w:val="46"/>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1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8" w:hRule="atLeast"/>
        </w:trPr>
        <w:tc>
          <w:tcPr>
            <w:tcW w:w="4516"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甲方（章）           </w:t>
            </w:r>
          </w:p>
          <w:p>
            <w:pPr>
              <w:snapToGrid w:val="0"/>
              <w:spacing w:line="360" w:lineRule="auto"/>
              <w:rPr>
                <w:rFonts w:hint="eastAsia" w:ascii="宋体" w:hAnsi="宋体"/>
                <w:color w:val="auto"/>
                <w:szCs w:val="21"/>
                <w:highlight w:val="none"/>
              </w:rPr>
            </w:pPr>
          </w:p>
          <w:p>
            <w:pPr>
              <w:snapToGrid w:val="0"/>
              <w:spacing w:line="360" w:lineRule="auto"/>
              <w:ind w:firstLine="945" w:firstLineChars="450"/>
              <w:jc w:val="right"/>
              <w:rPr>
                <w:rFonts w:hint="eastAsia" w:ascii="宋体" w:hAnsi="宋体"/>
                <w:color w:val="auto"/>
                <w:szCs w:val="21"/>
                <w:highlight w:val="none"/>
              </w:rPr>
            </w:pPr>
            <w:r>
              <w:rPr>
                <w:rFonts w:hint="eastAsia" w:ascii="宋体" w:hAnsi="宋体"/>
                <w:color w:val="auto"/>
                <w:szCs w:val="21"/>
                <w:highlight w:val="none"/>
              </w:rPr>
              <w:t>年   月   日</w:t>
            </w:r>
          </w:p>
        </w:tc>
        <w:tc>
          <w:tcPr>
            <w:tcW w:w="4517"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 xml:space="preserve">乙方（章）              </w:t>
            </w:r>
          </w:p>
          <w:p>
            <w:pPr>
              <w:snapToGrid w:val="0"/>
              <w:spacing w:line="360" w:lineRule="auto"/>
              <w:rPr>
                <w:rFonts w:hint="eastAsia" w:ascii="宋体" w:hAnsi="宋体"/>
                <w:color w:val="auto"/>
                <w:szCs w:val="21"/>
                <w:highlight w:val="none"/>
              </w:rPr>
            </w:pPr>
          </w:p>
          <w:p>
            <w:pPr>
              <w:snapToGrid w:val="0"/>
              <w:spacing w:line="360" w:lineRule="auto"/>
              <w:jc w:val="right"/>
              <w:rPr>
                <w:rFonts w:hint="eastAsia" w:ascii="宋体" w:hAnsi="宋体"/>
                <w:color w:val="auto"/>
                <w:szCs w:val="21"/>
                <w:highlight w:val="none"/>
              </w:rPr>
            </w:pPr>
            <w:r>
              <w:rPr>
                <w:rFonts w:hint="eastAsia" w:ascii="宋体" w:hAnsi="宋体"/>
                <w:color w:val="auto"/>
                <w:szCs w:val="21"/>
                <w:highlight w:val="none"/>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4516"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单位地址：</w:t>
            </w:r>
          </w:p>
        </w:tc>
        <w:tc>
          <w:tcPr>
            <w:tcW w:w="4517"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0" w:hRule="atLeast"/>
        </w:trPr>
        <w:tc>
          <w:tcPr>
            <w:tcW w:w="4516" w:type="dxa"/>
            <w:noWrap w:val="0"/>
            <w:vAlign w:val="top"/>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法定代表人或者委托代理人</w:t>
            </w:r>
            <w:r>
              <w:rPr>
                <w:rFonts w:hint="eastAsia" w:ascii="宋体" w:hAnsi="宋体"/>
                <w:bCs/>
                <w:color w:val="auto"/>
                <w:szCs w:val="21"/>
                <w:highlight w:val="none"/>
              </w:rPr>
              <w:t>（签字）</w:t>
            </w:r>
            <w:r>
              <w:rPr>
                <w:rFonts w:hint="eastAsia" w:ascii="宋体" w:hAnsi="宋体"/>
                <w:color w:val="auto"/>
                <w:szCs w:val="21"/>
                <w:highlight w:val="none"/>
              </w:rPr>
              <w:t>：</w:t>
            </w:r>
          </w:p>
        </w:tc>
        <w:tc>
          <w:tcPr>
            <w:tcW w:w="4517" w:type="dxa"/>
            <w:noWrap w:val="0"/>
            <w:vAlign w:val="top"/>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法定代表人或者委托代理人</w:t>
            </w:r>
            <w:r>
              <w:rPr>
                <w:rFonts w:hint="eastAsia" w:ascii="宋体" w:hAnsi="宋体"/>
                <w:bCs/>
                <w:color w:val="auto"/>
                <w:szCs w:val="21"/>
                <w:highlight w:val="none"/>
              </w:rPr>
              <w:t>（签字）</w:t>
            </w:r>
            <w:r>
              <w:rPr>
                <w:rFonts w:hint="eastAsia" w:ascii="宋体" w:hAnsi="宋体"/>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trPr>
        <w:tc>
          <w:tcPr>
            <w:tcW w:w="4516"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电话：</w:t>
            </w:r>
          </w:p>
        </w:tc>
        <w:tc>
          <w:tcPr>
            <w:tcW w:w="4517"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trPr>
        <w:tc>
          <w:tcPr>
            <w:tcW w:w="4516"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电子邮箱：</w:t>
            </w:r>
          </w:p>
        </w:tc>
        <w:tc>
          <w:tcPr>
            <w:tcW w:w="4517"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0" w:hRule="atLeast"/>
        </w:trPr>
        <w:tc>
          <w:tcPr>
            <w:tcW w:w="4516"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开户银行：</w:t>
            </w:r>
          </w:p>
        </w:tc>
        <w:tc>
          <w:tcPr>
            <w:tcW w:w="4517"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1" w:hRule="atLeast"/>
        </w:trPr>
        <w:tc>
          <w:tcPr>
            <w:tcW w:w="4516"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账号：</w:t>
            </w:r>
          </w:p>
        </w:tc>
        <w:tc>
          <w:tcPr>
            <w:tcW w:w="4517"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4516"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邮政编码：</w:t>
            </w:r>
          </w:p>
        </w:tc>
        <w:tc>
          <w:tcPr>
            <w:tcW w:w="4517" w:type="dxa"/>
            <w:noWrap w:val="0"/>
            <w:vAlign w:val="center"/>
          </w:tcPr>
          <w:p>
            <w:pPr>
              <w:snapToGrid w:val="0"/>
              <w:spacing w:line="360" w:lineRule="auto"/>
              <w:rPr>
                <w:rFonts w:hint="eastAsia" w:ascii="宋体" w:hAnsi="宋体"/>
                <w:color w:val="auto"/>
                <w:szCs w:val="21"/>
                <w:highlight w:val="none"/>
              </w:rPr>
            </w:pPr>
            <w:r>
              <w:rPr>
                <w:rFonts w:hint="eastAsia" w:ascii="宋体" w:hAnsi="宋体"/>
                <w:color w:val="auto"/>
                <w:szCs w:val="21"/>
                <w:highlight w:val="none"/>
              </w:rPr>
              <w:t>邮政编码：</w:t>
            </w:r>
          </w:p>
        </w:tc>
      </w:tr>
    </w:tbl>
    <w:p>
      <w:pPr>
        <w:snapToGrid w:val="0"/>
        <w:jc w:val="center"/>
        <w:rPr>
          <w:rFonts w:hint="eastAsia" w:ascii="宋体" w:hAnsi="宋体" w:cs="宋体"/>
          <w:b/>
          <w:bCs/>
          <w:color w:val="auto"/>
          <w:szCs w:val="21"/>
          <w:highlight w:val="none"/>
        </w:rPr>
      </w:pPr>
    </w:p>
    <w:p>
      <w:pPr>
        <w:snapToGrid w:val="0"/>
        <w:spacing w:line="360" w:lineRule="auto"/>
        <w:ind w:left="420" w:hanging="420" w:hangingChars="200"/>
        <w:rPr>
          <w:rFonts w:hint="eastAsia" w:ascii="宋体" w:hAnsi="宋体"/>
          <w:color w:val="auto"/>
          <w:szCs w:val="21"/>
          <w:highlight w:val="none"/>
        </w:rPr>
      </w:pPr>
    </w:p>
    <w:p>
      <w:pPr>
        <w:snapToGrid w:val="0"/>
        <w:jc w:val="center"/>
        <w:rPr>
          <w:rFonts w:ascii="宋体" w:hAnsi="宋体"/>
          <w:bCs/>
          <w:color w:val="auto"/>
          <w:sz w:val="32"/>
          <w:szCs w:val="32"/>
          <w:highlight w:val="none"/>
        </w:rPr>
      </w:pPr>
    </w:p>
    <w:p>
      <w:pPr>
        <w:snapToGrid w:val="0"/>
        <w:spacing w:line="480" w:lineRule="auto"/>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ascii="宋体" w:hAnsi="宋体"/>
          <w:bCs/>
          <w:color w:val="auto"/>
          <w:sz w:val="32"/>
          <w:szCs w:val="32"/>
          <w:highlight w:val="none"/>
        </w:rPr>
      </w:pPr>
    </w:p>
    <w:p>
      <w:pPr>
        <w:pStyle w:val="31"/>
        <w:ind w:firstLine="321"/>
        <w:rPr>
          <w:rFonts w:hint="eastAsia"/>
          <w:bCs w:val="0"/>
          <w:color w:val="auto"/>
          <w:sz w:val="32"/>
          <w:szCs w:val="32"/>
          <w:highlight w:val="none"/>
        </w:rPr>
      </w:pPr>
    </w:p>
    <w:p>
      <w:pPr>
        <w:rPr>
          <w:rFonts w:hint="eastAsia"/>
          <w:color w:val="auto"/>
          <w:highlight w:val="none"/>
        </w:rPr>
      </w:pPr>
    </w:p>
    <w:p>
      <w:pPr>
        <w:snapToGrid w:val="0"/>
        <w:jc w:val="center"/>
        <w:rPr>
          <w:rFonts w:hint="eastAsia" w:ascii="宋体" w:hAnsi="宋体"/>
          <w:bCs/>
          <w:color w:val="auto"/>
          <w:sz w:val="32"/>
          <w:szCs w:val="32"/>
          <w:highlight w:val="none"/>
        </w:rPr>
      </w:pPr>
    </w:p>
    <w:p>
      <w:pPr>
        <w:snapToGrid w:val="0"/>
        <w:jc w:val="center"/>
        <w:rPr>
          <w:rFonts w:hint="eastAsia" w:ascii="宋体" w:hAnsi="宋体"/>
          <w:bCs/>
          <w:color w:val="auto"/>
          <w:sz w:val="32"/>
          <w:szCs w:val="32"/>
          <w:highlight w:val="none"/>
        </w:rPr>
      </w:pPr>
    </w:p>
    <w:p>
      <w:pPr>
        <w:pStyle w:val="2"/>
        <w:jc w:val="center"/>
        <w:rPr>
          <w:rFonts w:hint="eastAsia"/>
          <w:color w:val="auto"/>
          <w:highlight w:val="none"/>
        </w:rPr>
      </w:pPr>
      <w:bookmarkStart w:id="138" w:name="_Toc25289"/>
      <w:r>
        <w:rPr>
          <w:rFonts w:hint="eastAsia"/>
          <w:color w:val="auto"/>
          <w:highlight w:val="none"/>
        </w:rPr>
        <w:t>第六章　投标文件格式</w:t>
      </w:r>
      <w:bookmarkEnd w:id="138"/>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snapToGrid w:val="0"/>
        <w:spacing w:before="50" w:after="50"/>
        <w:outlineLvl w:val="1"/>
        <w:rPr>
          <w:rFonts w:hint="eastAsia" w:ascii="宋体" w:hAnsi="宋体"/>
          <w:color w:val="auto"/>
          <w:sz w:val="32"/>
          <w:szCs w:val="20"/>
          <w:highlight w:val="none"/>
        </w:rPr>
      </w:pPr>
    </w:p>
    <w:p>
      <w:pPr>
        <w:rPr>
          <w:rFonts w:hint="eastAsia"/>
          <w:b/>
          <w:color w:val="auto"/>
          <w:sz w:val="28"/>
          <w:szCs w:val="28"/>
          <w:highlight w:val="none"/>
        </w:rPr>
      </w:pPr>
      <w:r>
        <w:rPr>
          <w:color w:val="auto"/>
          <w:sz w:val="32"/>
          <w:szCs w:val="20"/>
          <w:highlight w:val="none"/>
        </w:rPr>
        <w:br w:type="page"/>
      </w:r>
      <w:bookmarkStart w:id="139" w:name="_Toc19686836"/>
      <w:bookmarkStart w:id="140" w:name="_Toc254970698"/>
      <w:bookmarkStart w:id="141" w:name="_Toc254970557"/>
      <w:r>
        <w:rPr>
          <w:rFonts w:hint="eastAsia"/>
          <w:b/>
          <w:color w:val="auto"/>
          <w:sz w:val="28"/>
          <w:szCs w:val="28"/>
          <w:highlight w:val="none"/>
        </w:rPr>
        <w:t>一、报价文件格式</w:t>
      </w:r>
      <w:bookmarkEnd w:id="139"/>
    </w:p>
    <w:p>
      <w:pPr>
        <w:snapToGrid w:val="0"/>
        <w:spacing w:before="120" w:beforeLines="50" w:after="50" w:line="360" w:lineRule="auto"/>
        <w:ind w:left="142"/>
        <w:jc w:val="left"/>
        <w:rPr>
          <w:rFonts w:hint="eastAsia" w:ascii="宋体" w:hAnsi="宋体"/>
          <w:color w:val="auto"/>
          <w:sz w:val="24"/>
          <w:szCs w:val="20"/>
          <w:highlight w:val="none"/>
        </w:rPr>
      </w:pPr>
      <w:r>
        <w:rPr>
          <w:rFonts w:hint="eastAsia" w:ascii="宋体" w:hAnsi="宋体"/>
          <w:b/>
          <w:color w:val="auto"/>
          <w:sz w:val="24"/>
          <w:highlight w:val="none"/>
        </w:rPr>
        <w:t xml:space="preserve">1. 报价文件封面格式： </w:t>
      </w:r>
    </w:p>
    <w:p>
      <w:pPr>
        <w:snapToGrid w:val="0"/>
        <w:spacing w:before="120" w:beforeLines="50" w:after="50" w:line="360" w:lineRule="auto"/>
        <w:ind w:left="142"/>
        <w:jc w:val="center"/>
        <w:rPr>
          <w:rFonts w:hint="eastAsia" w:ascii="宋体" w:hAnsi="宋体" w:eastAsia="方正小标宋简体"/>
          <w:bCs/>
          <w:color w:val="auto"/>
          <w:sz w:val="48"/>
          <w:szCs w:val="48"/>
          <w:highlight w:val="none"/>
        </w:rPr>
      </w:pPr>
      <w:r>
        <w:rPr>
          <w:rFonts w:hint="eastAsia" w:ascii="宋体" w:hAnsi="宋体" w:eastAsia="方正小标宋简体"/>
          <w:bCs/>
          <w:color w:val="auto"/>
          <w:sz w:val="48"/>
          <w:szCs w:val="48"/>
          <w:highlight w:val="none"/>
        </w:rPr>
        <w:t>电子投标文件</w:t>
      </w:r>
    </w:p>
    <w:p>
      <w:pPr>
        <w:snapToGrid w:val="0"/>
        <w:spacing w:before="120" w:beforeLines="50" w:after="50" w:line="400" w:lineRule="exact"/>
        <w:rPr>
          <w:rFonts w:hint="eastAsia" w:ascii="宋体" w:hAnsi="宋体"/>
          <w:bCs/>
          <w:color w:val="auto"/>
          <w:sz w:val="32"/>
          <w:szCs w:val="20"/>
          <w:highlight w:val="none"/>
        </w:rPr>
      </w:pPr>
      <w:r>
        <w:rPr>
          <w:rFonts w:hint="eastAsia" w:ascii="宋体" w:hAnsi="宋体"/>
          <w:color w:val="auto"/>
          <w:sz w:val="24"/>
          <w:highlight w:val="none"/>
        </w:rPr>
        <w:t xml:space="preserve">                 </w:t>
      </w:r>
    </w:p>
    <w:p>
      <w:pPr>
        <w:snapToGrid w:val="0"/>
        <w:spacing w:before="120" w:beforeLines="50" w:after="50" w:line="400" w:lineRule="exact"/>
        <w:jc w:val="center"/>
        <w:rPr>
          <w:rFonts w:hint="eastAsia" w:ascii="宋体" w:hAnsi="宋体"/>
          <w:bCs/>
          <w:color w:val="auto"/>
          <w:sz w:val="24"/>
          <w:szCs w:val="20"/>
          <w:highlight w:val="none"/>
        </w:rPr>
      </w:pPr>
    </w:p>
    <w:p>
      <w:pPr>
        <w:snapToGrid w:val="0"/>
        <w:spacing w:before="120" w:beforeLines="50" w:after="50" w:line="400" w:lineRule="exact"/>
        <w:jc w:val="center"/>
        <w:rPr>
          <w:rFonts w:hint="eastAsia" w:ascii="宋体" w:hAnsi="宋体"/>
          <w:b/>
          <w:bCs/>
          <w:color w:val="auto"/>
          <w:sz w:val="32"/>
          <w:szCs w:val="32"/>
          <w:highlight w:val="none"/>
        </w:rPr>
      </w:pPr>
      <w:r>
        <w:rPr>
          <w:rFonts w:hint="eastAsia" w:ascii="宋体" w:hAnsi="宋体"/>
          <w:b/>
          <w:bCs/>
          <w:color w:val="auto"/>
          <w:sz w:val="32"/>
          <w:szCs w:val="32"/>
          <w:highlight w:val="none"/>
        </w:rPr>
        <w:t>报价文件</w:t>
      </w: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rPr>
          <w:rFonts w:hint="eastAsia" w:ascii="宋体" w:hAnsi="宋体"/>
          <w:bCs/>
          <w:color w:val="auto"/>
          <w:sz w:val="24"/>
          <w:szCs w:val="20"/>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项目名称：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 xml:space="preserve">项目编号： </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ascii="宋体" w:hAnsi="宋体"/>
          <w:bCs/>
          <w:color w:val="auto"/>
          <w:sz w:val="24"/>
          <w:highlight w:val="none"/>
        </w:rPr>
      </w:pPr>
      <w:r>
        <w:rPr>
          <w:rFonts w:hint="eastAsia" w:ascii="宋体" w:hAnsi="宋体"/>
          <w:bCs/>
          <w:color w:val="auto"/>
          <w:sz w:val="24"/>
          <w:highlight w:val="none"/>
        </w:rPr>
        <w:t>投标人名称：</w:t>
      </w:r>
    </w:p>
    <w:p>
      <w:pPr>
        <w:snapToGrid w:val="0"/>
        <w:spacing w:before="120" w:beforeLines="50" w:after="50" w:line="400" w:lineRule="exact"/>
        <w:ind w:firstLine="360" w:firstLineChars="150"/>
        <w:rPr>
          <w:rFonts w:hint="eastAsia" w:ascii="宋体" w:hAnsi="宋体"/>
          <w:bCs/>
          <w:color w:val="auto"/>
          <w:sz w:val="24"/>
          <w:highlight w:val="none"/>
        </w:rPr>
      </w:pPr>
    </w:p>
    <w:p>
      <w:pPr>
        <w:snapToGrid w:val="0"/>
        <w:spacing w:before="120" w:beforeLines="50" w:after="50" w:line="400" w:lineRule="exact"/>
        <w:ind w:firstLine="360" w:firstLineChars="150"/>
        <w:rPr>
          <w:rFonts w:hint="eastAsia" w:ascii="宋体" w:hAnsi="宋体"/>
          <w:bCs/>
          <w:color w:val="auto"/>
          <w:sz w:val="24"/>
          <w:highlight w:val="none"/>
        </w:rPr>
      </w:pPr>
      <w:r>
        <w:rPr>
          <w:rFonts w:hint="eastAsia" w:ascii="宋体" w:hAnsi="宋体"/>
          <w:bCs/>
          <w:color w:val="auto"/>
          <w:sz w:val="24"/>
          <w:highlight w:val="none"/>
        </w:rPr>
        <w:t>投标人地址：</w:t>
      </w:r>
    </w:p>
    <w:p>
      <w:pPr>
        <w:pStyle w:val="8"/>
        <w:snapToGrid w:val="0"/>
        <w:spacing w:before="50" w:after="50" w:line="400" w:lineRule="exact"/>
        <w:ind w:firstLine="960" w:firstLineChars="400"/>
        <w:rPr>
          <w:rFonts w:hint="eastAsia" w:ascii="宋体" w:hAnsi="宋体"/>
          <w:bCs/>
          <w:color w:val="auto"/>
          <w:sz w:val="24"/>
          <w:szCs w:val="24"/>
          <w:highlight w:val="none"/>
        </w:rPr>
      </w:pPr>
    </w:p>
    <w:p>
      <w:pPr>
        <w:snapToGrid w:val="0"/>
        <w:spacing w:before="120" w:beforeLines="50" w:after="50" w:line="400" w:lineRule="exact"/>
        <w:rPr>
          <w:rFonts w:hint="eastAsia" w:ascii="宋体" w:hAnsi="宋体"/>
          <w:color w:val="auto"/>
          <w:sz w:val="30"/>
          <w:szCs w:val="20"/>
          <w:highlight w:val="none"/>
        </w:rPr>
      </w:pPr>
      <w:r>
        <w:rPr>
          <w:rFonts w:hint="eastAsia" w:ascii="宋体" w:hAnsi="宋体"/>
          <w:color w:val="auto"/>
          <w:sz w:val="24"/>
          <w:highlight w:val="none"/>
        </w:rPr>
        <w:t xml:space="preserve">                                   年  月  日</w:t>
      </w:r>
    </w:p>
    <w:p>
      <w:pPr>
        <w:snapToGrid w:val="0"/>
        <w:spacing w:before="120" w:beforeLines="50" w:after="50" w:line="360" w:lineRule="auto"/>
        <w:jc w:val="left"/>
        <w:rPr>
          <w:rFonts w:hint="eastAsia" w:ascii="宋体" w:hAnsi="宋体"/>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2.</w:t>
      </w:r>
      <w:r>
        <w:rPr>
          <w:rFonts w:hint="eastAsia" w:ascii="宋体" w:hAnsi="宋体"/>
          <w:b/>
          <w:bCs/>
          <w:color w:val="auto"/>
          <w:sz w:val="24"/>
          <w:highlight w:val="none"/>
        </w:rPr>
        <w:t>报价文件目录</w:t>
      </w:r>
    </w:p>
    <w:p>
      <w:pPr>
        <w:snapToGrid w:val="0"/>
        <w:spacing w:before="50" w:after="120" w:afterLines="50" w:line="360" w:lineRule="auto"/>
        <w:jc w:val="left"/>
        <w:rPr>
          <w:rFonts w:ascii="宋体" w:hAnsi="宋体"/>
          <w:b/>
          <w:color w:val="auto"/>
          <w:sz w:val="24"/>
          <w:highlight w:val="none"/>
        </w:rPr>
      </w:pPr>
      <w:r>
        <w:rPr>
          <w:rFonts w:hint="eastAsia" w:ascii="宋体" w:hAnsi="宋体"/>
          <w:color w:val="auto"/>
          <w:szCs w:val="21"/>
          <w:highlight w:val="none"/>
        </w:rPr>
        <w:t>根据招标文件规定及投标人提供的材料自行编写目录。</w:t>
      </w: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rPr>
          <w:rFonts w:hint="eastAsia" w:ascii="宋体" w:hAnsi="宋体"/>
          <w:b/>
          <w:color w:val="auto"/>
          <w:sz w:val="24"/>
          <w:highlight w:val="none"/>
        </w:rPr>
      </w:pPr>
    </w:p>
    <w:p>
      <w:pPr>
        <w:snapToGrid w:val="0"/>
        <w:spacing w:before="120" w:beforeLines="50" w:after="50"/>
        <w:ind w:left="142"/>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 投标函格式：</w:t>
      </w:r>
    </w:p>
    <w:p>
      <w:pPr>
        <w:snapToGrid w:val="0"/>
        <w:spacing w:before="120" w:beforeLines="50" w:after="50" w:line="320" w:lineRule="exact"/>
        <w:jc w:val="center"/>
        <w:rPr>
          <w:rFonts w:hint="eastAsia" w:ascii="宋体" w:hAnsi="宋体"/>
          <w:b/>
          <w:color w:val="auto"/>
          <w:sz w:val="32"/>
          <w:szCs w:val="32"/>
          <w:highlight w:val="none"/>
        </w:rPr>
      </w:pPr>
      <w:r>
        <w:rPr>
          <w:rFonts w:hint="eastAsia" w:ascii="宋体" w:hAnsi="宋体"/>
          <w:b/>
          <w:color w:val="auto"/>
          <w:sz w:val="32"/>
          <w:szCs w:val="32"/>
          <w:highlight w:val="none"/>
        </w:rPr>
        <w:t>投 标 函</w:t>
      </w:r>
    </w:p>
    <w:p>
      <w:pPr>
        <w:snapToGrid w:val="0"/>
        <w:spacing w:before="120" w:beforeLines="50" w:after="50" w:line="320" w:lineRule="exact"/>
        <w:jc w:val="center"/>
        <w:rPr>
          <w:rFonts w:ascii="宋体" w:hAnsi="宋体"/>
          <w:b/>
          <w:color w:val="auto"/>
          <w:sz w:val="24"/>
          <w:szCs w:val="20"/>
          <w:highlight w:val="none"/>
        </w:rPr>
      </w:pPr>
    </w:p>
    <w:p>
      <w:pPr>
        <w:snapToGrid w:val="0"/>
        <w:spacing w:before="120" w:beforeLines="50" w:after="50" w:line="320" w:lineRule="exact"/>
        <w:jc w:val="center"/>
        <w:rPr>
          <w:rFonts w:ascii="宋体" w:hAnsi="宋体"/>
          <w:b/>
          <w:color w:val="auto"/>
          <w:sz w:val="24"/>
          <w:szCs w:val="20"/>
          <w:highlight w:val="none"/>
        </w:rPr>
      </w:pPr>
    </w:p>
    <w:p>
      <w:pPr>
        <w:snapToGrid w:val="0"/>
        <w:spacing w:before="120" w:beforeLines="50" w:after="50" w:line="320" w:lineRule="exact"/>
        <w:jc w:val="center"/>
        <w:rPr>
          <w:rFonts w:hint="eastAsia" w:ascii="宋体" w:hAnsi="宋体"/>
          <w:b/>
          <w:color w:val="auto"/>
          <w:sz w:val="24"/>
          <w:szCs w:val="20"/>
          <w:highlight w:val="none"/>
        </w:rPr>
      </w:pPr>
    </w:p>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根据贵方</w:t>
      </w:r>
      <w:r>
        <w:rPr>
          <w:rFonts w:hint="eastAsia" w:ascii="宋体" w:hAnsi="宋体"/>
          <w:color w:val="auto"/>
          <w:sz w:val="24"/>
          <w:highlight w:val="none"/>
          <w:u w:val="single"/>
        </w:rPr>
        <w:t xml:space="preserve"> 项目名称</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）的招标文件，签字代表______</w:t>
      </w:r>
      <w:r>
        <w:rPr>
          <w:rFonts w:hint="eastAsia" w:ascii="宋体" w:hAnsi="宋体"/>
          <w:color w:val="auto"/>
          <w:sz w:val="24"/>
          <w:highlight w:val="none"/>
          <w:u w:val="single"/>
        </w:rPr>
        <w:t xml:space="preserve">     </w:t>
      </w:r>
      <w:r>
        <w:rPr>
          <w:rFonts w:hint="eastAsia" w:ascii="宋体" w:hAnsi="宋体"/>
          <w:color w:val="auto"/>
          <w:sz w:val="24"/>
          <w:highlight w:val="none"/>
        </w:rPr>
        <w:t>（姓名）经正式授权并代表投标人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（投标人名称）提交投标文件。</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据此函，我方宣布同意如下：</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1.我方已详细审查全部“招标文件”，包括修改文件（如有的话）以及全部参考资料和有关附件，已经了解我方对于招标文件、采购过程、采购结果有依法进行询问、质疑、投诉的权利及相关渠道和要求。</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2.我方在投标之前已经完全理解并接受招标文件的各项规定和要求，对招标文件的合理性、合法性不再有异议。</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3.本投标有效期自投标截止之日起</w:t>
      </w:r>
      <w:r>
        <w:rPr>
          <w:rFonts w:ascii="宋体" w:hAnsi="宋体"/>
          <w:color w:val="auto"/>
          <w:sz w:val="24"/>
          <w:highlight w:val="none"/>
          <w:u w:val="single"/>
        </w:rPr>
        <w:t xml:space="preserve">    </w:t>
      </w:r>
      <w:r>
        <w:rPr>
          <w:rFonts w:hint="eastAsia" w:ascii="宋体" w:hAnsi="宋体"/>
          <w:color w:val="auto"/>
          <w:sz w:val="24"/>
          <w:highlight w:val="none"/>
        </w:rPr>
        <w:t>日。</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4.如中标，本投标文件至本项目合同履行完毕止均保持有效，我方将按“招标文件”及政府采购法律、法规的规定履行合同责任和义务。</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5.我方同意按照贵方要求提供与投标有关的一切数据或者资料。</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6.我方向贵方提交的所有投标文件、资料都是准确的和真实的。</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7.以上事项如有虚假或者隐瞒，我方愿意承担一切后果，并不再寻求任何旨在减轻或者免除法律责任的辩解。</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8.根据</w:t>
      </w:r>
      <w:r>
        <w:rPr>
          <w:rFonts w:ascii="宋体" w:hAnsi="宋体"/>
          <w:color w:val="auto"/>
          <w:sz w:val="24"/>
          <w:highlight w:val="none"/>
        </w:rPr>
        <w:t>《中华人民共和国政府采购法实施条例》第五十条要求对政府采购合同进行公告</w:t>
      </w:r>
      <w:r>
        <w:rPr>
          <w:rFonts w:hint="eastAsia" w:ascii="宋体" w:hAnsi="宋体"/>
          <w:color w:val="auto"/>
          <w:sz w:val="24"/>
          <w:highlight w:val="none"/>
        </w:rPr>
        <w:t>，</w:t>
      </w:r>
      <w:r>
        <w:rPr>
          <w:rFonts w:ascii="宋体" w:hAnsi="宋体"/>
          <w:color w:val="auto"/>
          <w:sz w:val="24"/>
          <w:highlight w:val="none"/>
        </w:rPr>
        <w:t>但政府采购合同中涉及国家秘密、商业秘密的内容除外。</w:t>
      </w:r>
      <w:r>
        <w:rPr>
          <w:rFonts w:hint="eastAsia" w:ascii="宋体" w:hAnsi="宋体"/>
          <w:color w:val="auto"/>
          <w:sz w:val="24"/>
          <w:highlight w:val="none"/>
        </w:rPr>
        <w:t>我方就对本次投标文件进行注明如下：（两项内容中必须选择一项）</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内容中</w:t>
      </w:r>
      <w:r>
        <w:rPr>
          <w:rFonts w:hint="eastAsia" w:ascii="宋体" w:hAnsi="宋体"/>
          <w:color w:val="auto"/>
          <w:sz w:val="24"/>
          <w:highlight w:val="none"/>
        </w:rPr>
        <w:t>未</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□我方本次投标文件</w:t>
      </w:r>
      <w:r>
        <w:rPr>
          <w:rFonts w:ascii="宋体" w:hAnsi="宋体" w:cs="宋体"/>
          <w:color w:val="auto"/>
          <w:kern w:val="0"/>
          <w:sz w:val="24"/>
          <w:highlight w:val="none"/>
        </w:rPr>
        <w:t>涉及商业秘密</w:t>
      </w:r>
      <w:r>
        <w:rPr>
          <w:rFonts w:hint="eastAsia" w:ascii="宋体" w:hAnsi="宋体" w:cs="宋体"/>
          <w:color w:val="auto"/>
          <w:kern w:val="0"/>
          <w:sz w:val="24"/>
          <w:highlight w:val="none"/>
        </w:rPr>
        <w:t>的</w:t>
      </w:r>
      <w:r>
        <w:rPr>
          <w:rFonts w:ascii="宋体" w:hAnsi="宋体" w:cs="宋体"/>
          <w:color w:val="auto"/>
          <w:kern w:val="0"/>
          <w:sz w:val="24"/>
          <w:highlight w:val="none"/>
        </w:rPr>
        <w:t>内容</w:t>
      </w:r>
      <w:r>
        <w:rPr>
          <w:rFonts w:hint="eastAsia" w:ascii="宋体" w:hAnsi="宋体" w:cs="宋体"/>
          <w:color w:val="auto"/>
          <w:kern w:val="0"/>
          <w:sz w:val="24"/>
          <w:highlight w:val="none"/>
        </w:rPr>
        <w:t>有：</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9.与本项目有关的一切正式往来信函请寄：</w:t>
      </w:r>
    </w:p>
    <w:p>
      <w:pPr>
        <w:spacing w:line="360" w:lineRule="auto"/>
        <w:ind w:firstLine="480" w:firstLineChars="200"/>
        <w:contextualSpacing/>
        <w:rPr>
          <w:rFonts w:hint="eastAsia" w:ascii="宋体" w:hAnsi="宋体"/>
          <w:color w:val="auto"/>
          <w:sz w:val="24"/>
          <w:highlight w:val="none"/>
          <w:u w:val="single"/>
        </w:rPr>
      </w:pPr>
      <w:r>
        <w:rPr>
          <w:rFonts w:hint="eastAsia" w:ascii="宋体" w:hAnsi="宋体"/>
          <w:color w:val="auto"/>
          <w:sz w:val="24"/>
          <w:highlight w:val="none"/>
        </w:rPr>
        <w:t>地址：</w:t>
      </w:r>
      <w:r>
        <w:rPr>
          <w:rFonts w:hint="eastAsia" w:ascii="宋体" w:hAnsi="宋体"/>
          <w:color w:val="auto"/>
          <w:sz w:val="24"/>
          <w:highlight w:val="none"/>
          <w:u w:val="single"/>
        </w:rPr>
        <w:t xml:space="preserve">          </w:t>
      </w:r>
      <w:r>
        <w:rPr>
          <w:rFonts w:hint="eastAsia" w:ascii="宋体" w:hAnsi="宋体"/>
          <w:color w:val="auto"/>
          <w:sz w:val="24"/>
          <w:highlight w:val="none"/>
        </w:rPr>
        <w:t>邮编：</w:t>
      </w:r>
      <w:r>
        <w:rPr>
          <w:rFonts w:hint="eastAsia" w:ascii="宋体" w:hAnsi="宋体"/>
          <w:color w:val="auto"/>
          <w:sz w:val="24"/>
          <w:highlight w:val="none"/>
          <w:u w:val="single"/>
        </w:rPr>
        <w:t xml:space="preserve">            </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联系人：</w:t>
      </w:r>
      <w:r>
        <w:rPr>
          <w:rFonts w:hint="eastAsia" w:ascii="宋体" w:hAnsi="宋体"/>
          <w:color w:val="auto"/>
          <w:sz w:val="24"/>
          <w:highlight w:val="none"/>
          <w:u w:val="single"/>
        </w:rPr>
        <w:t xml:space="preserve">        </w:t>
      </w:r>
      <w:r>
        <w:rPr>
          <w:rFonts w:hint="eastAsia" w:ascii="宋体" w:hAnsi="宋体"/>
          <w:color w:val="auto"/>
          <w:sz w:val="24"/>
          <w:highlight w:val="none"/>
        </w:rPr>
        <w:t>电话：</w:t>
      </w:r>
      <w:r>
        <w:rPr>
          <w:rFonts w:hint="eastAsia" w:ascii="宋体" w:hAnsi="宋体"/>
          <w:color w:val="auto"/>
          <w:sz w:val="24"/>
          <w:highlight w:val="none"/>
          <w:u w:val="single"/>
        </w:rPr>
        <w:t xml:space="preserve">        </w:t>
      </w:r>
      <w:r>
        <w:rPr>
          <w:rFonts w:hint="eastAsia" w:ascii="宋体" w:hAnsi="宋体"/>
          <w:color w:val="auto"/>
          <w:sz w:val="24"/>
          <w:highlight w:val="none"/>
        </w:rPr>
        <w:t>传真：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电子邮箱：</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p>
    <w:p>
      <w:pPr>
        <w:spacing w:line="360" w:lineRule="auto"/>
        <w:ind w:firstLine="480" w:firstLineChars="200"/>
        <w:contextualSpacing/>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开户银行：</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银行账号：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pStyle w:val="17"/>
        <w:rPr>
          <w:rFonts w:hint="eastAsia"/>
          <w:color w:val="auto"/>
          <w:highlight w:val="none"/>
          <w:lang w:val="en-US" w:eastAsia="zh-CN"/>
        </w:rPr>
      </w:pPr>
    </w:p>
    <w:p>
      <w:pPr>
        <w:spacing w:line="360" w:lineRule="auto"/>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 xml:space="preserve">              法定代表人或者委托代理人（签字或者电子签名）：_______ </w:t>
      </w:r>
    </w:p>
    <w:p>
      <w:pPr>
        <w:pStyle w:val="23"/>
        <w:spacing w:line="360" w:lineRule="auto"/>
        <w:contextualSpacing/>
        <w:jc w:val="center"/>
        <w:rPr>
          <w:rFonts w:hint="eastAsia" w:hAnsi="宋体"/>
          <w:color w:val="auto"/>
          <w:sz w:val="24"/>
          <w:szCs w:val="24"/>
          <w:highlight w:val="none"/>
          <w:u w:val="single"/>
        </w:rPr>
      </w:pPr>
      <w:r>
        <w:rPr>
          <w:rFonts w:hint="eastAsia" w:hAnsi="宋体"/>
          <w:color w:val="auto"/>
          <w:sz w:val="24"/>
          <w:highlight w:val="none"/>
        </w:rPr>
        <w:t xml:space="preserve"> </w:t>
      </w:r>
      <w:r>
        <w:rPr>
          <w:rFonts w:hAnsi="宋体"/>
          <w:color w:val="auto"/>
          <w:sz w:val="24"/>
          <w:highlight w:val="none"/>
        </w:rPr>
        <w:t xml:space="preserve">                                   </w:t>
      </w:r>
      <w:r>
        <w:rPr>
          <w:rFonts w:hint="eastAsia" w:hAnsi="宋体"/>
          <w:color w:val="auto"/>
          <w:sz w:val="24"/>
          <w:highlight w:val="none"/>
        </w:rPr>
        <w:t>投标人名称（电子签章）：</w:t>
      </w:r>
    </w:p>
    <w:p>
      <w:pPr>
        <w:pStyle w:val="23"/>
        <w:spacing w:line="360" w:lineRule="auto"/>
        <w:contextualSpacing/>
        <w:rPr>
          <w:rFonts w:hint="eastAsia" w:hAnsi="宋体"/>
          <w:color w:val="auto"/>
          <w:sz w:val="24"/>
          <w:highlight w:val="none"/>
        </w:rPr>
      </w:pPr>
      <w:r>
        <w:rPr>
          <w:rFonts w:hint="eastAsia" w:hAnsi="宋体"/>
          <w:color w:val="auto"/>
          <w:sz w:val="24"/>
          <w:szCs w:val="24"/>
          <w:highlight w:val="none"/>
        </w:rPr>
        <w:t xml:space="preserve">                                                </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p>
    <w:p>
      <w:pPr>
        <w:pStyle w:val="23"/>
        <w:snapToGrid w:val="0"/>
        <w:spacing w:before="295" w:after="295" w:line="360" w:lineRule="auto"/>
        <w:rPr>
          <w:rFonts w:hint="eastAsia" w:hAnsi="宋体"/>
          <w:color w:val="auto"/>
          <w:sz w:val="24"/>
          <w:highlight w:val="none"/>
        </w:rPr>
      </w:pPr>
    </w:p>
    <w:p>
      <w:pPr>
        <w:snapToGrid w:val="0"/>
        <w:spacing w:before="120" w:beforeLines="50" w:after="50"/>
        <w:jc w:val="left"/>
        <w:rPr>
          <w:rFonts w:hint="eastAsia" w:ascii="宋体" w:hAnsi="宋体"/>
          <w:b/>
          <w:color w:val="auto"/>
          <w:sz w:val="24"/>
          <w:szCs w:val="20"/>
          <w:highlight w:val="none"/>
        </w:rPr>
      </w:pPr>
      <w:r>
        <w:rPr>
          <w:rFonts w:hAnsi="宋体"/>
          <w:color w:val="auto"/>
          <w:highlight w:val="none"/>
          <w:u w:val="single"/>
        </w:rPr>
        <w:br w:type="page"/>
      </w:r>
      <w:r>
        <w:rPr>
          <w:rFonts w:hint="eastAsia" w:ascii="宋体" w:hAnsi="宋体"/>
          <w:b/>
          <w:color w:val="auto"/>
          <w:sz w:val="24"/>
          <w:highlight w:val="none"/>
        </w:rPr>
        <w:t>4. 开标一览表</w:t>
      </w:r>
    </w:p>
    <w:p>
      <w:pPr>
        <w:snapToGrid w:val="0"/>
        <w:spacing w:before="50" w:after="50"/>
        <w:jc w:val="center"/>
        <w:rPr>
          <w:rFonts w:hint="eastAsia" w:ascii="宋体" w:hAnsi="宋体"/>
          <w:b/>
          <w:color w:val="auto"/>
          <w:sz w:val="30"/>
          <w:highlight w:val="none"/>
        </w:rPr>
      </w:pPr>
      <w:r>
        <w:rPr>
          <w:rFonts w:hint="eastAsia" w:ascii="宋体" w:hAnsi="宋体"/>
          <w:b/>
          <w:color w:val="auto"/>
          <w:sz w:val="30"/>
          <w:highlight w:val="none"/>
        </w:rPr>
        <w:t>开标一览表</w:t>
      </w:r>
    </w:p>
    <w:p>
      <w:pPr>
        <w:snapToGrid w:val="0"/>
        <w:spacing w:before="50" w:after="50"/>
        <w:jc w:val="center"/>
        <w:rPr>
          <w:rFonts w:hint="eastAsia" w:ascii="宋体" w:hAnsi="宋体"/>
          <w:b/>
          <w:color w:val="auto"/>
          <w:sz w:val="30"/>
          <w:szCs w:val="20"/>
          <w:highlight w:val="none"/>
        </w:rPr>
      </w:pPr>
    </w:p>
    <w:p>
      <w:pPr>
        <w:snapToGrid w:val="0"/>
        <w:spacing w:before="50" w:after="50" w:line="360" w:lineRule="auto"/>
        <w:rPr>
          <w:rFonts w:hint="eastAsia" w:ascii="宋体" w:hAnsi="宋体"/>
          <w:color w:val="auto"/>
          <w:sz w:val="24"/>
          <w:highlight w:val="none"/>
          <w:u w:val="single"/>
        </w:rPr>
      </w:pPr>
      <w:r>
        <w:rPr>
          <w:rFonts w:hint="eastAsia" w:ascii="宋体" w:hAnsi="宋体"/>
          <w:color w:val="auto"/>
          <w:sz w:val="24"/>
          <w:highlight w:val="none"/>
        </w:rPr>
        <w:t>项目名称：</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ascii="宋体" w:hAnsi="宋体"/>
          <w:color w:val="auto"/>
          <w:sz w:val="24"/>
          <w:highlight w:val="none"/>
        </w:rPr>
        <w:t xml:space="preserve">         </w:t>
      </w:r>
      <w:r>
        <w:rPr>
          <w:rFonts w:hint="eastAsia" w:ascii="宋体" w:hAnsi="宋体"/>
          <w:color w:val="auto"/>
          <w:sz w:val="24"/>
          <w:highlight w:val="none"/>
        </w:rPr>
        <w:t>项目编号：</w:t>
      </w:r>
      <w:r>
        <w:rPr>
          <w:rFonts w:hint="eastAsia" w:ascii="宋体" w:hAnsi="宋体"/>
          <w:color w:val="auto"/>
          <w:sz w:val="24"/>
          <w:highlight w:val="none"/>
          <w:u w:val="single"/>
        </w:rPr>
        <w:t xml:space="preserve">  </w:t>
      </w:r>
      <w:r>
        <w:rPr>
          <w:rFonts w:ascii="宋体" w:hAnsi="宋体"/>
          <w:color w:val="auto"/>
          <w:sz w:val="24"/>
          <w:highlight w:val="none"/>
          <w:u w:val="single"/>
        </w:rPr>
        <w:t xml:space="preserve">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分标：</w:t>
      </w:r>
      <w:r>
        <w:rPr>
          <w:rFonts w:hint="eastAsia" w:ascii="宋体" w:hAnsi="宋体"/>
          <w:color w:val="auto"/>
          <w:sz w:val="24"/>
          <w:highlight w:val="none"/>
          <w:u w:val="single"/>
        </w:rPr>
        <w:t xml:space="preserve">           </w:t>
      </w:r>
    </w:p>
    <w:p>
      <w:pPr>
        <w:snapToGrid w:val="0"/>
        <w:spacing w:before="50" w:after="50" w:line="360" w:lineRule="auto"/>
        <w:rPr>
          <w:rFonts w:hint="eastAsia" w:ascii="宋体" w:hAnsi="宋体"/>
          <w:color w:val="auto"/>
          <w:sz w:val="24"/>
          <w:highlight w:val="none"/>
        </w:rPr>
      </w:pPr>
      <w:r>
        <w:rPr>
          <w:rFonts w:hint="eastAsia" w:ascii="宋体" w:hAnsi="宋体"/>
          <w:color w:val="auto"/>
          <w:sz w:val="24"/>
          <w:highlight w:val="none"/>
        </w:rPr>
        <w:t>投标人名称：</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单位：元</w:t>
      </w:r>
    </w:p>
    <w:p>
      <w:pPr>
        <w:snapToGrid w:val="0"/>
        <w:spacing w:before="50" w:after="50" w:line="360" w:lineRule="auto"/>
        <w:rPr>
          <w:rFonts w:hint="eastAsia" w:ascii="宋体" w:hAnsi="宋体" w:cs="仿宋_GB2312"/>
          <w:color w:val="auto"/>
          <w:sz w:val="24"/>
          <w:highlight w:val="none"/>
        </w:rPr>
      </w:pPr>
      <w:r>
        <w:rPr>
          <w:rFonts w:hint="eastAsia" w:ascii="宋体" w:hAnsi="宋体" w:cs="仿宋_GB2312"/>
          <w:color w:val="auto"/>
          <w:sz w:val="24"/>
          <w:highlight w:val="none"/>
        </w:rPr>
        <w:t xml:space="preserve">                                           </w:t>
      </w:r>
    </w:p>
    <w:tbl>
      <w:tblPr>
        <w:tblStyle w:val="46"/>
        <w:tblpPr w:leftFromText="180" w:rightFromText="180" w:vertAnchor="text" w:horzAnchor="page" w:tblpX="422" w:tblpY="533"/>
        <w:tblOverlap w:val="never"/>
        <w:tblW w:w="101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617"/>
        <w:gridCol w:w="2200"/>
        <w:gridCol w:w="1165"/>
        <w:gridCol w:w="1401"/>
        <w:gridCol w:w="1967"/>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序号</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标的的名称</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规格型号和品牌</w:t>
            </w:r>
          </w:p>
        </w:tc>
        <w:tc>
          <w:tcPr>
            <w:tcW w:w="11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数量及单位</w:t>
            </w:r>
          </w:p>
        </w:tc>
        <w:tc>
          <w:tcPr>
            <w:tcW w:w="1401"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单价</w:t>
            </w:r>
          </w:p>
        </w:tc>
        <w:tc>
          <w:tcPr>
            <w:tcW w:w="19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cs="仿宋_GB2312"/>
                <w:color w:val="auto"/>
                <w:sz w:val="24"/>
                <w:highlight w:val="none"/>
              </w:rPr>
              <w:t>总价</w:t>
            </w:r>
          </w:p>
        </w:tc>
        <w:tc>
          <w:tcPr>
            <w:tcW w:w="7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7" w:hRule="atLeas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ascii="宋体" w:hAnsi="宋体" w:cs="仿宋_GB2312"/>
                <w:color w:val="auto"/>
                <w:sz w:val="24"/>
                <w:highlight w:val="none"/>
              </w:rPr>
              <w:t>1</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196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s="仿宋_GB2312"/>
                <w:color w:val="auto"/>
                <w:sz w:val="24"/>
                <w:highlight w:val="none"/>
              </w:rPr>
            </w:pPr>
            <w:r>
              <w:rPr>
                <w:rFonts w:hint="eastAsia" w:ascii="宋体" w:hAnsi="宋体" w:cs="仿宋_GB2312"/>
                <w:color w:val="auto"/>
                <w:sz w:val="24"/>
                <w:highlight w:val="none"/>
              </w:rPr>
              <w:t>2</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196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101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b/>
                <w:color w:val="auto"/>
                <w:sz w:val="24"/>
                <w:highlight w:val="none"/>
              </w:rPr>
              <w:t>……</w:t>
            </w:r>
          </w:p>
        </w:tc>
        <w:tc>
          <w:tcPr>
            <w:tcW w:w="161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仿宋_GB2312"/>
                <w:color w:val="auto"/>
                <w:sz w:val="24"/>
                <w:highlight w:val="none"/>
              </w:rPr>
            </w:pPr>
            <w:r>
              <w:rPr>
                <w:rFonts w:hint="eastAsia" w:ascii="宋体" w:hAnsi="宋体"/>
                <w:b/>
                <w:color w:val="auto"/>
                <w:sz w:val="24"/>
                <w:highlight w:val="none"/>
              </w:rPr>
              <w:t>……</w:t>
            </w:r>
          </w:p>
        </w:tc>
        <w:tc>
          <w:tcPr>
            <w:tcW w:w="220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b/>
                <w:color w:val="auto"/>
                <w:sz w:val="24"/>
                <w:highlight w:val="none"/>
              </w:rPr>
            </w:pPr>
          </w:p>
        </w:tc>
        <w:tc>
          <w:tcPr>
            <w:tcW w:w="1165"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c>
          <w:tcPr>
            <w:tcW w:w="1401"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1967"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ascii="宋体" w:hAnsi="宋体" w:cs="仿宋_GB2312"/>
                <w:color w:val="auto"/>
                <w:sz w:val="24"/>
                <w:highlight w:val="none"/>
              </w:rPr>
            </w:pPr>
          </w:p>
        </w:tc>
        <w:tc>
          <w:tcPr>
            <w:tcW w:w="799" w:type="dxa"/>
            <w:tcBorders>
              <w:top w:val="single" w:color="auto" w:sz="4" w:space="0"/>
              <w:left w:val="single" w:color="auto" w:sz="4" w:space="0"/>
              <w:bottom w:val="single" w:color="auto" w:sz="4" w:space="0"/>
              <w:right w:val="single" w:color="auto" w:sz="4" w:space="0"/>
            </w:tcBorders>
            <w:noWrap w:val="0"/>
            <w:vAlign w:val="center"/>
          </w:tcPr>
          <w:p>
            <w:pPr>
              <w:spacing w:line="360" w:lineRule="auto"/>
              <w:rPr>
                <w:rFonts w:ascii="宋体" w:hAnsi="宋体"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0161" w:type="dxa"/>
            <w:gridSpan w:val="7"/>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line="440" w:lineRule="exact"/>
              <w:rPr>
                <w:color w:val="auto"/>
                <w:sz w:val="24"/>
                <w:highlight w:val="none"/>
              </w:rPr>
            </w:pPr>
            <w:r>
              <w:rPr>
                <w:rFonts w:hint="eastAsia"/>
                <w:color w:val="auto"/>
                <w:sz w:val="24"/>
                <w:highlight w:val="none"/>
              </w:rPr>
              <w:t>合计金额大写：</w:t>
            </w:r>
            <w:r>
              <w:rPr>
                <w:rFonts w:hint="eastAsia"/>
                <w:color w:val="auto"/>
                <w:sz w:val="24"/>
                <w:highlight w:val="none"/>
                <w:u w:val="single"/>
              </w:rPr>
              <w:t>人民币              （</w:t>
            </w:r>
            <w:r>
              <w:rPr>
                <w:rFonts w:hint="eastAsia" w:ascii="宋体" w:hAnsi="宋体" w:eastAsia="宋体" w:cs="宋体"/>
                <w:color w:val="auto"/>
                <w:sz w:val="24"/>
                <w:highlight w:val="none"/>
                <w:u w:val="single"/>
              </w:rPr>
              <w:t xml:space="preserve">¥ </w:t>
            </w:r>
            <w:r>
              <w:rPr>
                <w:rFonts w:hint="eastAsia"/>
                <w:color w:val="auto"/>
                <w:sz w:val="24"/>
                <w:highlight w:val="none"/>
                <w:u w:val="single"/>
              </w:rPr>
              <w:t xml:space="preserve">               ）</w:t>
            </w:r>
          </w:p>
          <w:p>
            <w:pPr>
              <w:pStyle w:val="15"/>
              <w:spacing w:line="440" w:lineRule="exact"/>
              <w:rPr>
                <w:rFonts w:hint="eastAsia" w:ascii="宋体" w:hAnsi="宋体"/>
                <w:color w:val="auto"/>
                <w:sz w:val="24"/>
                <w:highlight w:val="none"/>
                <w:u w:val="single"/>
              </w:rPr>
            </w:pPr>
            <w:r>
              <w:rPr>
                <w:rFonts w:hint="eastAsia" w:ascii="宋体" w:hAnsi="宋体"/>
                <w:color w:val="auto"/>
                <w:sz w:val="24"/>
                <w:highlight w:val="none"/>
                <w:u w:val="single"/>
              </w:rPr>
              <w:t>投标货物中，属于优先采购节能产品总值为</w:t>
            </w:r>
            <w:r>
              <w:rPr>
                <w:rFonts w:hint="eastAsia" w:ascii="宋体" w:hAnsi="宋体"/>
                <w:color w:val="auto"/>
                <w:sz w:val="24"/>
                <w:highlight w:val="none"/>
                <w:u w:val="single"/>
                <w:lang w:eastAsia="zh-CN"/>
              </w:rPr>
              <w:t xml:space="preserve">¥ </w:t>
            </w:r>
            <w:r>
              <w:rPr>
                <w:rFonts w:hint="eastAsia" w:ascii="宋体" w:hAnsi="宋体"/>
                <w:color w:val="auto"/>
                <w:sz w:val="24"/>
                <w:highlight w:val="none"/>
                <w:u w:val="single"/>
              </w:rPr>
              <w:t xml:space="preserve">               （具体明细详见附表，附表格式自拟），占本投标报价的比例为  %；属于优先采购环境标志产品总值为</w:t>
            </w:r>
            <w:r>
              <w:rPr>
                <w:rFonts w:hint="eastAsia" w:ascii="宋体" w:hAnsi="宋体"/>
                <w:color w:val="auto"/>
                <w:sz w:val="24"/>
                <w:highlight w:val="none"/>
                <w:u w:val="single"/>
                <w:lang w:eastAsia="zh-CN"/>
              </w:rPr>
              <w:t xml:space="preserve">¥ </w:t>
            </w:r>
            <w:r>
              <w:rPr>
                <w:rFonts w:hint="eastAsia" w:ascii="宋体" w:hAnsi="宋体"/>
                <w:color w:val="auto"/>
                <w:sz w:val="24"/>
                <w:highlight w:val="none"/>
                <w:u w:val="single"/>
              </w:rPr>
              <w:t xml:space="preserve">              （具体明细详见附表，附表格式自拟），占本投标报价的比例为  %。</w:t>
            </w: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 xml:space="preserve">注: </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1.投标人的开标一览表必须加盖投标人电子签章并由</w:t>
      </w:r>
      <w:r>
        <w:rPr>
          <w:rFonts w:ascii="宋体" w:hAnsi="宋体"/>
          <w:color w:val="auto"/>
          <w:sz w:val="24"/>
          <w:highlight w:val="none"/>
        </w:rPr>
        <w:t>法定代表人或者委托代理人</w:t>
      </w:r>
      <w:r>
        <w:rPr>
          <w:rFonts w:hint="eastAsia" w:ascii="宋体" w:hAnsi="宋体"/>
          <w:color w:val="auto"/>
          <w:sz w:val="24"/>
          <w:highlight w:val="none"/>
        </w:rPr>
        <w:t>签字或者电子签名，</w:t>
      </w:r>
      <w:r>
        <w:rPr>
          <w:rFonts w:hint="eastAsia" w:ascii="宋体" w:hAnsi="宋体"/>
          <w:b/>
          <w:color w:val="auto"/>
          <w:sz w:val="24"/>
          <w:highlight w:val="none"/>
        </w:rPr>
        <w:t>否则其投标作无效标处理</w:t>
      </w:r>
      <w:r>
        <w:rPr>
          <w:rFonts w:hint="eastAsia" w:ascii="宋体" w:hAnsi="宋体"/>
          <w:color w:val="auto"/>
          <w:sz w:val="24"/>
          <w:highlight w:val="none"/>
        </w:rPr>
        <w:t>。</w:t>
      </w:r>
    </w:p>
    <w:p>
      <w:pPr>
        <w:snapToGrid w:val="0"/>
        <w:spacing w:line="360" w:lineRule="auto"/>
        <w:ind w:firstLine="480" w:firstLineChars="200"/>
        <w:jc w:val="left"/>
        <w:rPr>
          <w:rFonts w:hint="eastAsia" w:ascii="宋体" w:hAnsi="宋体"/>
          <w:b/>
          <w:color w:val="auto"/>
          <w:sz w:val="24"/>
          <w:highlight w:val="none"/>
        </w:rPr>
      </w:pPr>
      <w:r>
        <w:rPr>
          <w:rFonts w:hint="eastAsia" w:ascii="宋体" w:hAnsi="宋体"/>
          <w:bCs/>
          <w:color w:val="auto"/>
          <w:sz w:val="24"/>
          <w:highlight w:val="none"/>
        </w:rPr>
        <w:t>2.</w:t>
      </w:r>
      <w:r>
        <w:rPr>
          <w:rFonts w:hint="eastAsia" w:ascii="宋体" w:hAnsi="宋体"/>
          <w:color w:val="auto"/>
          <w:sz w:val="24"/>
          <w:highlight w:val="none"/>
        </w:rPr>
        <w:t>报价一经涂改，应在涂改处加盖投标人公章</w:t>
      </w:r>
      <w:r>
        <w:rPr>
          <w:rFonts w:hint="eastAsia" w:ascii="宋体" w:hAnsi="宋体" w:cs="仿宋_GB2312"/>
          <w:color w:val="auto"/>
          <w:sz w:val="24"/>
          <w:highlight w:val="none"/>
        </w:rPr>
        <w:t>或者加盖电子签章</w:t>
      </w:r>
      <w:r>
        <w:rPr>
          <w:rFonts w:hint="eastAsia" w:ascii="宋体" w:hAnsi="宋体"/>
          <w:color w:val="auto"/>
          <w:sz w:val="24"/>
          <w:highlight w:val="none"/>
        </w:rPr>
        <w:t>或者由法定代表人或者委托代理人签字（或者电子签名）</w:t>
      </w:r>
      <w:r>
        <w:rPr>
          <w:rFonts w:hint="eastAsia" w:ascii="宋体" w:hAnsi="宋体"/>
          <w:b/>
          <w:color w:val="auto"/>
          <w:sz w:val="24"/>
          <w:highlight w:val="none"/>
        </w:rPr>
        <w:t>，否则其投标作无效标处理。</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3.招标文件中列明采购专用耗材的，应按招标文件规定的耗材量或者按耗材的常规试用量提供报价。</w:t>
      </w:r>
    </w:p>
    <w:p>
      <w:pPr>
        <w:snapToGrid w:val="0"/>
        <w:spacing w:line="360" w:lineRule="auto"/>
        <w:ind w:firstLine="480" w:firstLineChars="200"/>
        <w:rPr>
          <w:rFonts w:hint="eastAsia" w:ascii="宋体" w:hAnsi="宋体"/>
          <w:b/>
          <w:color w:val="auto"/>
          <w:sz w:val="24"/>
          <w:highlight w:val="none"/>
        </w:rPr>
      </w:pPr>
      <w:r>
        <w:rPr>
          <w:rFonts w:hint="eastAsia" w:ascii="宋体" w:hAnsi="宋体"/>
          <w:color w:val="auto"/>
          <w:sz w:val="24"/>
          <w:highlight w:val="none"/>
        </w:rPr>
        <w:t>4.如有多分标，按分标分别提供开标一览表，</w:t>
      </w:r>
      <w:r>
        <w:rPr>
          <w:rFonts w:hint="eastAsia" w:ascii="宋体" w:hAnsi="宋体"/>
          <w:b/>
          <w:color w:val="auto"/>
          <w:sz w:val="24"/>
          <w:highlight w:val="none"/>
        </w:rPr>
        <w:t>否则投标无效。</w:t>
      </w:r>
    </w:p>
    <w:p>
      <w:pPr>
        <w:snapToGrid w:val="0"/>
        <w:spacing w:line="360" w:lineRule="auto"/>
        <w:ind w:left="-2" w:leftChars="-1" w:right="-817" w:rightChars="-389"/>
        <w:rPr>
          <w:rFonts w:hint="eastAsia" w:ascii="宋体" w:hAnsi="宋体"/>
          <w:color w:val="auto"/>
          <w:sz w:val="24"/>
          <w:highlight w:val="none"/>
        </w:rPr>
      </w:pPr>
      <w:r>
        <w:rPr>
          <w:rFonts w:hint="eastAsia" w:ascii="宋体" w:hAnsi="宋体"/>
          <w:color w:val="auto"/>
          <w:sz w:val="24"/>
          <w:highlight w:val="none"/>
        </w:rPr>
        <w:t xml:space="preserve">                           法定代表人或者委托代理人（签字或者电子签名）： </w:t>
      </w:r>
    </w:p>
    <w:p>
      <w:pPr>
        <w:snapToGrid w:val="0"/>
        <w:spacing w:line="360" w:lineRule="auto"/>
        <w:ind w:left="-3" w:leftChars="-15" w:right="-817" w:rightChars="-389" w:hanging="28" w:hangingChars="12"/>
        <w:rPr>
          <w:rFonts w:hint="eastAsia" w:ascii="宋体" w:hAnsi="宋体"/>
          <w:color w:val="auto"/>
          <w:sz w:val="24"/>
          <w:highlight w:val="none"/>
        </w:rPr>
      </w:pPr>
      <w:r>
        <w:rPr>
          <w:rFonts w:hint="eastAsia" w:ascii="宋体" w:hAnsi="宋体"/>
          <w:color w:val="auto"/>
          <w:sz w:val="24"/>
          <w:highlight w:val="none"/>
        </w:rPr>
        <w:t xml:space="preserve">                                  投标人名称（电子签章）：</w:t>
      </w:r>
    </w:p>
    <w:p>
      <w:pPr>
        <w:snapToGrid w:val="0"/>
        <w:spacing w:line="360" w:lineRule="auto"/>
        <w:ind w:left="-3" w:leftChars="-15" w:right="-817" w:rightChars="-389" w:hanging="28" w:hangingChars="12"/>
        <w:rPr>
          <w:rFonts w:hint="eastAsia" w:ascii="宋体" w:hAnsi="宋体"/>
          <w:color w:val="auto"/>
          <w:szCs w:val="21"/>
          <w:highlight w:val="none"/>
        </w:rPr>
      </w:pPr>
      <w:r>
        <w:rPr>
          <w:rFonts w:hint="eastAsia" w:ascii="宋体" w:hAnsi="宋体"/>
          <w:color w:val="auto"/>
          <w:sz w:val="24"/>
          <w:highlight w:val="none"/>
        </w:rPr>
        <w:t xml:space="preserve">                                  日期：    年   月   日</w:t>
      </w:r>
    </w:p>
    <w:p>
      <w:pPr>
        <w:snapToGrid w:val="0"/>
        <w:spacing w:before="50" w:after="50" w:line="360" w:lineRule="auto"/>
        <w:ind w:left="-6" w:leftChars="-15" w:right="-817" w:rightChars="-389" w:hanging="25" w:hangingChars="12"/>
        <w:rPr>
          <w:rFonts w:hint="eastAsia" w:ascii="宋体" w:hAnsi="宋体"/>
          <w:color w:val="auto"/>
          <w:szCs w:val="21"/>
          <w:highlight w:val="none"/>
        </w:rPr>
      </w:pPr>
    </w:p>
    <w:p>
      <w:pPr>
        <w:rPr>
          <w:rFonts w:hint="eastAsia"/>
          <w:b/>
          <w:color w:val="auto"/>
          <w:sz w:val="28"/>
          <w:szCs w:val="28"/>
          <w:highlight w:val="none"/>
        </w:rPr>
      </w:pPr>
      <w:r>
        <w:rPr>
          <w:rFonts w:ascii="宋体" w:hAnsi="宋体"/>
          <w:b/>
          <w:bCs/>
          <w:color w:val="auto"/>
          <w:sz w:val="24"/>
          <w:highlight w:val="none"/>
        </w:rPr>
        <w:br w:type="page"/>
      </w:r>
      <w:bookmarkStart w:id="142" w:name="_Toc19686837"/>
      <w:r>
        <w:rPr>
          <w:rFonts w:hint="eastAsia"/>
          <w:b/>
          <w:color w:val="auto"/>
          <w:sz w:val="28"/>
          <w:szCs w:val="28"/>
          <w:highlight w:val="none"/>
        </w:rPr>
        <w:t>二、资格证明文件格式</w:t>
      </w:r>
      <w:bookmarkEnd w:id="140"/>
      <w:bookmarkEnd w:id="141"/>
      <w:bookmarkEnd w:id="142"/>
    </w:p>
    <w:p>
      <w:pPr>
        <w:numPr>
          <w:ilvl w:val="2"/>
          <w:numId w:val="5"/>
        </w:numPr>
        <w:snapToGrid w:val="0"/>
        <w:spacing w:before="120" w:beforeLines="50" w:after="50" w:line="360" w:lineRule="auto"/>
        <w:ind w:left="0" w:firstLine="0"/>
        <w:jc w:val="left"/>
        <w:rPr>
          <w:rFonts w:hint="eastAsia" w:ascii="宋体" w:hAnsi="宋体"/>
          <w:b/>
          <w:color w:val="auto"/>
          <w:sz w:val="24"/>
          <w:highlight w:val="none"/>
        </w:rPr>
      </w:pPr>
      <w:r>
        <w:rPr>
          <w:rFonts w:hint="eastAsia" w:ascii="宋体" w:hAnsi="宋体"/>
          <w:b/>
          <w:color w:val="auto"/>
          <w:sz w:val="24"/>
          <w:highlight w:val="none"/>
        </w:rPr>
        <w:t xml:space="preserve">资格证明文件封面格式： </w:t>
      </w:r>
    </w:p>
    <w:p>
      <w:pPr>
        <w:snapToGrid w:val="0"/>
        <w:spacing w:before="120" w:beforeLines="50" w:after="50"/>
        <w:jc w:val="center"/>
        <w:rPr>
          <w:rFonts w:hint="eastAsia" w:ascii="宋体" w:hAnsi="宋体" w:eastAsia="方正小标宋简体"/>
          <w:bCs/>
          <w:color w:val="auto"/>
          <w:sz w:val="48"/>
          <w:szCs w:val="48"/>
          <w:highlight w:val="none"/>
        </w:rPr>
      </w:pPr>
      <w:r>
        <w:rPr>
          <w:rFonts w:hint="eastAsia" w:ascii="宋体" w:hAnsi="宋体" w:eastAsia="方正小标宋简体"/>
          <w:bCs/>
          <w:color w:val="auto"/>
          <w:sz w:val="48"/>
          <w:szCs w:val="48"/>
          <w:highlight w:val="none"/>
        </w:rPr>
        <w:t>电子投标文件</w:t>
      </w:r>
    </w:p>
    <w:p>
      <w:pPr>
        <w:snapToGrid w:val="0"/>
        <w:spacing w:before="120" w:beforeLines="50" w:after="50"/>
        <w:rPr>
          <w:rFonts w:hint="eastAsia" w:ascii="宋体" w:hAnsi="宋体"/>
          <w:color w:val="auto"/>
          <w:sz w:val="24"/>
          <w:szCs w:val="20"/>
          <w:highlight w:val="none"/>
        </w:rPr>
      </w:pPr>
      <w:r>
        <w:rPr>
          <w:rFonts w:hint="eastAsia" w:ascii="宋体" w:hAnsi="宋体"/>
          <w:color w:val="auto"/>
          <w:sz w:val="24"/>
          <w:highlight w:val="none"/>
        </w:rPr>
        <w:t xml:space="preserve">                 </w:t>
      </w:r>
    </w:p>
    <w:p>
      <w:pPr>
        <w:snapToGrid w:val="0"/>
        <w:spacing w:before="120" w:beforeLines="50" w:after="50"/>
        <w:jc w:val="center"/>
        <w:rPr>
          <w:rFonts w:hint="eastAsia" w:ascii="宋体" w:hAnsi="宋体"/>
          <w:b/>
          <w:color w:val="auto"/>
          <w:sz w:val="24"/>
          <w:szCs w:val="20"/>
          <w:highlight w:val="none"/>
        </w:rPr>
      </w:pPr>
      <w:r>
        <w:rPr>
          <w:rFonts w:hint="eastAsia" w:ascii="宋体" w:hAnsi="宋体"/>
          <w:b/>
          <w:color w:val="auto"/>
          <w:sz w:val="32"/>
          <w:szCs w:val="32"/>
          <w:highlight w:val="none"/>
        </w:rPr>
        <w:t>资格证明文件</w:t>
      </w: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ascii="宋体" w:hAnsi="宋体"/>
          <w:bCs/>
          <w:color w:val="auto"/>
          <w:sz w:val="24"/>
          <w:szCs w:val="20"/>
          <w:highlight w:val="none"/>
        </w:rPr>
      </w:pP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pStyle w:val="8"/>
        <w:snapToGrid w:val="0"/>
        <w:spacing w:before="50" w:after="50"/>
        <w:ind w:firstLine="540" w:firstLineChars="225"/>
        <w:rPr>
          <w:rFonts w:hint="eastAsia" w:ascii="宋体" w:hAnsi="宋体"/>
          <w:bCs/>
          <w:color w:val="auto"/>
          <w:sz w:val="24"/>
          <w:szCs w:val="24"/>
          <w:highlight w:val="none"/>
        </w:rPr>
      </w:pPr>
    </w:p>
    <w:p>
      <w:pPr>
        <w:pStyle w:val="8"/>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hint="eastAsia" w:ascii="宋体" w:hAnsi="宋体"/>
          <w:bCs/>
          <w:color w:val="auto"/>
          <w:sz w:val="24"/>
          <w:szCs w:val="24"/>
          <w:highlight w:val="none"/>
        </w:rPr>
      </w:pPr>
    </w:p>
    <w:p>
      <w:pPr>
        <w:pStyle w:val="8"/>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jc w:val="center"/>
        <w:rPr>
          <w:rFonts w:ascii="宋体" w:hAnsi="宋体"/>
          <w:color w:val="auto"/>
          <w:sz w:val="24"/>
          <w:highlight w:val="none"/>
        </w:rPr>
      </w:pPr>
      <w:r>
        <w:rPr>
          <w:rFonts w:hint="eastAsia" w:ascii="宋体" w:hAnsi="宋体"/>
          <w:color w:val="auto"/>
          <w:sz w:val="24"/>
          <w:highlight w:val="none"/>
        </w:rPr>
        <w:t>年  月  日</w:t>
      </w: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before="120" w:beforeLines="50" w:after="50"/>
        <w:rPr>
          <w:rFonts w:hint="eastAsia" w:ascii="宋体" w:hAnsi="宋体"/>
          <w:color w:val="auto"/>
          <w:sz w:val="24"/>
          <w:szCs w:val="20"/>
          <w:highlight w:val="none"/>
        </w:rPr>
      </w:pPr>
    </w:p>
    <w:p>
      <w:pPr>
        <w:numPr>
          <w:ilvl w:val="2"/>
          <w:numId w:val="5"/>
        </w:numPr>
        <w:snapToGrid w:val="0"/>
        <w:spacing w:before="120" w:beforeLines="50" w:after="50" w:line="360" w:lineRule="auto"/>
        <w:ind w:left="0" w:firstLine="0"/>
        <w:jc w:val="left"/>
        <w:rPr>
          <w:rFonts w:hint="eastAsia" w:ascii="宋体" w:hAnsi="宋体"/>
          <w:color w:val="auto"/>
          <w:sz w:val="24"/>
          <w:szCs w:val="20"/>
          <w:highlight w:val="none"/>
        </w:rPr>
      </w:pPr>
      <w:r>
        <w:rPr>
          <w:rFonts w:ascii="宋体" w:hAnsi="宋体"/>
          <w:b/>
          <w:bCs/>
          <w:color w:val="auto"/>
          <w:sz w:val="24"/>
          <w:highlight w:val="none"/>
        </w:rPr>
        <w:br w:type="page"/>
      </w:r>
      <w:r>
        <w:rPr>
          <w:rFonts w:hint="eastAsia" w:ascii="宋体" w:hAnsi="宋体"/>
          <w:b/>
          <w:bCs/>
          <w:color w:val="auto"/>
          <w:sz w:val="24"/>
          <w:highlight w:val="none"/>
        </w:rPr>
        <w:t>资格证明文件目录</w:t>
      </w:r>
    </w:p>
    <w:p>
      <w:pPr>
        <w:snapToGrid w:val="0"/>
        <w:spacing w:line="360" w:lineRule="auto"/>
        <w:ind w:firstLine="420" w:firstLineChars="200"/>
        <w:jc w:val="left"/>
        <w:rPr>
          <w:rFonts w:hint="eastAsia" w:ascii="宋体" w:hAnsi="宋体"/>
          <w:color w:val="auto"/>
          <w:szCs w:val="21"/>
          <w:highlight w:val="none"/>
        </w:rPr>
      </w:pPr>
      <w:r>
        <w:rPr>
          <w:rFonts w:hint="eastAsia" w:ascii="宋体" w:hAnsi="宋体"/>
          <w:color w:val="auto"/>
          <w:szCs w:val="21"/>
          <w:highlight w:val="none"/>
        </w:rPr>
        <w:t>根据招标文件规定及投标人提供的材料自行编写目录。</w:t>
      </w:r>
    </w:p>
    <w:p>
      <w:pPr>
        <w:snapToGrid w:val="0"/>
        <w:spacing w:before="50" w:after="120" w:afterLines="50"/>
        <w:jc w:val="left"/>
        <w:rPr>
          <w:rFonts w:hint="eastAsia" w:ascii="宋体" w:hAnsi="宋体"/>
          <w:color w:val="auto"/>
          <w:sz w:val="24"/>
          <w:highlight w:val="none"/>
        </w:rPr>
      </w:pPr>
    </w:p>
    <w:p>
      <w:pPr>
        <w:snapToGrid w:val="0"/>
        <w:spacing w:before="50" w:after="120" w:afterLines="50"/>
        <w:jc w:val="left"/>
        <w:rPr>
          <w:rFonts w:hint="eastAsia" w:ascii="宋体" w:hAnsi="宋体"/>
          <w:color w:val="auto"/>
          <w:sz w:val="24"/>
          <w:highlight w:val="none"/>
        </w:rPr>
      </w:pPr>
    </w:p>
    <w:p>
      <w:pPr>
        <w:snapToGrid w:val="0"/>
        <w:spacing w:before="120" w:beforeLines="50" w:after="5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w:t>
      </w:r>
      <w:r>
        <w:rPr>
          <w:rFonts w:hint="eastAsia" w:ascii="宋体" w:hAnsi="宋体"/>
          <w:b/>
          <w:color w:val="auto"/>
          <w:sz w:val="28"/>
          <w:szCs w:val="28"/>
          <w:highlight w:val="none"/>
        </w:rPr>
        <w:t>投标人直接控股股东信息表</w:t>
      </w:r>
    </w:p>
    <w:p>
      <w:pPr>
        <w:snapToGrid w:val="0"/>
        <w:spacing w:before="50" w:after="120" w:afterLines="50"/>
        <w:jc w:val="center"/>
        <w:rPr>
          <w:rFonts w:hint="eastAsia" w:ascii="宋体" w:hAnsi="宋体"/>
          <w:b/>
          <w:color w:val="auto"/>
          <w:sz w:val="28"/>
          <w:szCs w:val="28"/>
          <w:highlight w:val="none"/>
        </w:rPr>
      </w:pPr>
    </w:p>
    <w:p>
      <w:pPr>
        <w:snapToGrid w:val="0"/>
        <w:spacing w:before="50" w:after="120" w:afterLines="50" w:line="360" w:lineRule="auto"/>
        <w:jc w:val="center"/>
        <w:rPr>
          <w:rFonts w:hint="eastAsia" w:ascii="宋体" w:hAnsi="宋体"/>
          <w:b/>
          <w:color w:val="auto"/>
          <w:sz w:val="32"/>
          <w:szCs w:val="32"/>
          <w:highlight w:val="none"/>
        </w:rPr>
      </w:pPr>
      <w:r>
        <w:rPr>
          <w:rFonts w:hint="eastAsia" w:ascii="宋体" w:hAnsi="宋体"/>
          <w:b/>
          <w:color w:val="auto"/>
          <w:sz w:val="32"/>
          <w:szCs w:val="32"/>
          <w:highlight w:val="none"/>
        </w:rPr>
        <w:t>投标人直接控股股东信息表</w:t>
      </w:r>
    </w:p>
    <w:tbl>
      <w:tblPr>
        <w:tblStyle w:val="46"/>
        <w:tblW w:w="9476" w:type="dxa"/>
        <w:tblInd w:w="0" w:type="dxa"/>
        <w:shd w:val="clear" w:color="auto" w:fill="FBFBFB"/>
        <w:tblLayout w:type="fixed"/>
        <w:tblCellMar>
          <w:top w:w="0" w:type="dxa"/>
          <w:left w:w="0" w:type="dxa"/>
          <w:bottom w:w="0" w:type="dxa"/>
          <w:right w:w="0" w:type="dxa"/>
        </w:tblCellMar>
      </w:tblPr>
      <w:tblGrid>
        <w:gridCol w:w="828"/>
        <w:gridCol w:w="2269"/>
        <w:gridCol w:w="1239"/>
        <w:gridCol w:w="3722"/>
        <w:gridCol w:w="1418"/>
      </w:tblGrid>
      <w:tr>
        <w:tblPrEx>
          <w:shd w:val="clear" w:color="auto" w:fill="FBFBFB"/>
          <w:tblCellMar>
            <w:top w:w="0" w:type="dxa"/>
            <w:left w:w="0" w:type="dxa"/>
            <w:bottom w:w="0" w:type="dxa"/>
            <w:right w:w="0" w:type="dxa"/>
          </w:tblCellMar>
        </w:tblPrEx>
        <w:trPr>
          <w:tblHeader/>
        </w:trPr>
        <w:tc>
          <w:tcPr>
            <w:tcW w:w="82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26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直接控股股东名称</w:t>
            </w:r>
          </w:p>
        </w:tc>
        <w:tc>
          <w:tcPr>
            <w:tcW w:w="123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出资比例(%)</w:t>
            </w:r>
          </w:p>
        </w:tc>
        <w:tc>
          <w:tcPr>
            <w:tcW w:w="3722"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身份证号码或者统一社会信用代码</w:t>
            </w:r>
          </w:p>
        </w:tc>
        <w:tc>
          <w:tcPr>
            <w:tcW w:w="1418"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82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26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23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722"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1418"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1.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2.本表所指的控股关系仅限于直接控股关系，不包括间接的控股关系。公司实际控制人与公司之间的关系不属于本表所指的直接控股关系。</w:t>
      </w:r>
    </w:p>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3.供应商不存在直接控股股东的，则在“</w:t>
      </w:r>
      <w:r>
        <w:rPr>
          <w:rFonts w:hint="eastAsia" w:ascii="宋体" w:hAnsi="宋体" w:cs="宋体"/>
          <w:b/>
          <w:bCs/>
          <w:color w:val="auto"/>
          <w:kern w:val="0"/>
          <w:sz w:val="24"/>
          <w:highlight w:val="none"/>
        </w:rPr>
        <w:t>直接控股股东名称</w:t>
      </w:r>
      <w:r>
        <w:rPr>
          <w:rFonts w:hint="eastAsia" w:ascii="宋体" w:hAnsi="宋体"/>
          <w:color w:val="auto"/>
          <w:sz w:val="24"/>
          <w:highlight w:val="none"/>
        </w:rPr>
        <w:t>”中填“无”。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ind w:left="-2" w:leftChars="-1" w:right="-817" w:rightChars="-389"/>
        <w:rPr>
          <w:rFonts w:hint="eastAsia" w:ascii="宋体" w:hAnsi="宋体"/>
          <w:color w:val="auto"/>
          <w:sz w:val="24"/>
          <w:highlight w:val="none"/>
        </w:rPr>
      </w:pPr>
      <w:r>
        <w:rPr>
          <w:rFonts w:hint="eastAsia" w:ascii="宋体" w:hAnsi="宋体"/>
          <w:color w:val="auto"/>
          <w:sz w:val="24"/>
          <w:highlight w:val="none"/>
        </w:rPr>
        <w:t xml:space="preserve">             法定代表人或者委托代理人（签字或者电子签名）：</w:t>
      </w:r>
    </w:p>
    <w:p>
      <w:pPr>
        <w:snapToGrid w:val="0"/>
        <w:spacing w:line="360" w:lineRule="auto"/>
        <w:ind w:left="-3" w:leftChars="-15" w:right="-817" w:rightChars="-389" w:hanging="28" w:hangingChars="12"/>
        <w:rPr>
          <w:rFonts w:hint="eastAsia" w:ascii="宋体" w:hAnsi="宋体"/>
          <w:color w:val="auto"/>
          <w:sz w:val="24"/>
          <w:highlight w:val="none"/>
        </w:rPr>
      </w:pPr>
      <w:r>
        <w:rPr>
          <w:rFonts w:hint="eastAsia" w:ascii="宋体" w:hAnsi="宋体"/>
          <w:color w:val="auto"/>
          <w:sz w:val="24"/>
          <w:highlight w:val="none"/>
        </w:rPr>
        <w:t xml:space="preserve">                                    投标人名称（电子签章）：</w:t>
      </w:r>
    </w:p>
    <w:p>
      <w:pPr>
        <w:snapToGrid w:val="0"/>
        <w:spacing w:line="360" w:lineRule="auto"/>
        <w:jc w:val="left"/>
        <w:rPr>
          <w:rFonts w:hint="eastAsia" w:ascii="宋体" w:hAnsi="宋体"/>
          <w:color w:val="auto"/>
          <w:szCs w:val="21"/>
          <w:highlight w:val="none"/>
        </w:rPr>
      </w:pPr>
      <w:r>
        <w:rPr>
          <w:rFonts w:hint="eastAsia" w:ascii="宋体" w:hAnsi="宋体"/>
          <w:color w:val="auto"/>
          <w:sz w:val="24"/>
          <w:highlight w:val="none"/>
        </w:rPr>
        <w:t xml:space="preserve">                                    日期：    年   月   日</w:t>
      </w:r>
    </w:p>
    <w:p>
      <w:pPr>
        <w:snapToGrid w:val="0"/>
        <w:jc w:val="center"/>
        <w:rPr>
          <w:rFonts w:hint="eastAsia" w:ascii="宋体" w:hAnsi="宋体"/>
          <w:b/>
          <w:color w:val="auto"/>
          <w:sz w:val="28"/>
          <w:szCs w:val="28"/>
          <w:highlight w:val="none"/>
        </w:rPr>
      </w:pPr>
    </w:p>
    <w:p>
      <w:pPr>
        <w:snapToGrid w:val="0"/>
        <w:spacing w:line="360" w:lineRule="auto"/>
        <w:jc w:val="left"/>
        <w:rPr>
          <w:rFonts w:hint="eastAsia" w:ascii="宋体" w:hAnsi="宋体"/>
          <w:b/>
          <w:color w:val="auto"/>
          <w:sz w:val="32"/>
          <w:szCs w:val="32"/>
          <w:highlight w:val="none"/>
        </w:rPr>
      </w:pPr>
      <w:r>
        <w:rPr>
          <w:rFonts w:ascii="宋体" w:hAnsi="宋体"/>
          <w:b/>
          <w:color w:val="auto"/>
          <w:sz w:val="32"/>
          <w:szCs w:val="32"/>
          <w:highlight w:val="none"/>
        </w:rPr>
        <w:br w:type="page"/>
      </w:r>
      <w:r>
        <w:rPr>
          <w:rFonts w:hint="eastAsia" w:ascii="宋体" w:hAnsi="宋体"/>
          <w:b/>
          <w:color w:val="auto"/>
          <w:sz w:val="24"/>
          <w:highlight w:val="none"/>
        </w:rPr>
        <w:t>4.</w:t>
      </w:r>
      <w:r>
        <w:rPr>
          <w:rFonts w:hint="eastAsia"/>
          <w:color w:val="auto"/>
          <w:highlight w:val="none"/>
        </w:rPr>
        <w:t xml:space="preserve"> </w:t>
      </w:r>
      <w:r>
        <w:rPr>
          <w:rFonts w:hint="eastAsia" w:ascii="宋体" w:hAnsi="宋体"/>
          <w:b/>
          <w:color w:val="auto"/>
          <w:sz w:val="28"/>
          <w:szCs w:val="28"/>
          <w:highlight w:val="none"/>
        </w:rPr>
        <w:t>投标人直接管理关系信息表</w:t>
      </w:r>
    </w:p>
    <w:p>
      <w:pPr>
        <w:snapToGrid w:val="0"/>
        <w:spacing w:line="360" w:lineRule="auto"/>
        <w:jc w:val="center"/>
        <w:rPr>
          <w:rFonts w:hint="eastAsia" w:ascii="宋体" w:hAnsi="宋体"/>
          <w:color w:val="auto"/>
          <w:sz w:val="32"/>
          <w:szCs w:val="32"/>
          <w:highlight w:val="none"/>
        </w:rPr>
      </w:pPr>
      <w:r>
        <w:rPr>
          <w:rFonts w:hint="eastAsia" w:ascii="宋体" w:hAnsi="宋体"/>
          <w:b/>
          <w:color w:val="auto"/>
          <w:sz w:val="32"/>
          <w:szCs w:val="32"/>
          <w:highlight w:val="none"/>
        </w:rPr>
        <w:t>投标人直接管理关系信息表</w:t>
      </w:r>
    </w:p>
    <w:tbl>
      <w:tblPr>
        <w:tblStyle w:val="46"/>
        <w:tblW w:w="9652" w:type="dxa"/>
        <w:tblInd w:w="0" w:type="dxa"/>
        <w:shd w:val="clear" w:color="auto" w:fill="FBFBFB"/>
        <w:tblLayout w:type="fixed"/>
        <w:tblCellMar>
          <w:top w:w="0" w:type="dxa"/>
          <w:left w:w="0" w:type="dxa"/>
          <w:bottom w:w="0" w:type="dxa"/>
          <w:right w:w="0" w:type="dxa"/>
        </w:tblCellMar>
      </w:tblPr>
      <w:tblGrid>
        <w:gridCol w:w="1005"/>
        <w:gridCol w:w="2659"/>
        <w:gridCol w:w="3924"/>
        <w:gridCol w:w="2064"/>
      </w:tblGrid>
      <w:tr>
        <w:tblPrEx>
          <w:shd w:val="clear" w:color="auto" w:fill="FBFBFB"/>
          <w:tblCellMar>
            <w:top w:w="0" w:type="dxa"/>
            <w:left w:w="0" w:type="dxa"/>
            <w:bottom w:w="0" w:type="dxa"/>
            <w:right w:w="0" w:type="dxa"/>
          </w:tblCellMar>
        </w:tblPrEx>
        <w:trPr>
          <w:tblHeader/>
        </w:trPr>
        <w:tc>
          <w:tcPr>
            <w:tcW w:w="1005"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序号</w:t>
            </w:r>
          </w:p>
        </w:tc>
        <w:tc>
          <w:tcPr>
            <w:tcW w:w="2659"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直接管理关系单位名称</w:t>
            </w:r>
          </w:p>
        </w:tc>
        <w:tc>
          <w:tcPr>
            <w:tcW w:w="392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统一社会信用代码</w:t>
            </w:r>
          </w:p>
        </w:tc>
        <w:tc>
          <w:tcPr>
            <w:tcW w:w="2064" w:type="dxa"/>
            <w:tcBorders>
              <w:top w:val="single" w:color="auto" w:sz="4" w:space="0"/>
              <w:left w:val="single" w:color="auto" w:sz="4" w:space="0"/>
              <w:bottom w:val="single" w:color="auto" w:sz="4" w:space="0"/>
              <w:right w:val="single" w:color="auto" w:sz="4" w:space="0"/>
            </w:tcBorders>
            <w:shd w:val="clear" w:color="auto" w:fill="EAE3D8"/>
            <w:noWrap w:val="0"/>
            <w:tcMar>
              <w:top w:w="120" w:type="dxa"/>
              <w:left w:w="120" w:type="dxa"/>
              <w:bottom w:w="120" w:type="dxa"/>
              <w:right w:w="120" w:type="dxa"/>
            </w:tcMar>
            <w:vAlign w:val="center"/>
          </w:tcPr>
          <w:p>
            <w:pPr>
              <w:spacing w:line="360" w:lineRule="auto"/>
              <w:jc w:val="center"/>
              <w:rPr>
                <w:rFonts w:ascii="宋体" w:hAnsi="宋体" w:cs="宋体"/>
                <w:b/>
                <w:bCs/>
                <w:color w:val="auto"/>
                <w:kern w:val="0"/>
                <w:sz w:val="24"/>
                <w:highlight w:val="none"/>
              </w:rPr>
            </w:pPr>
            <w:r>
              <w:rPr>
                <w:rFonts w:hint="eastAsia" w:ascii="宋体" w:hAnsi="宋体" w:cs="宋体"/>
                <w:b/>
                <w:bCs/>
                <w:color w:val="auto"/>
                <w:kern w:val="0"/>
                <w:sz w:val="24"/>
                <w:highlight w:val="none"/>
              </w:rPr>
              <w:t>备注</w:t>
            </w: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r>
        <w:tblPrEx>
          <w:tblCellMar>
            <w:top w:w="0" w:type="dxa"/>
            <w:left w:w="0" w:type="dxa"/>
            <w:bottom w:w="0" w:type="dxa"/>
            <w:right w:w="0" w:type="dxa"/>
          </w:tblCellMar>
        </w:tblPrEx>
        <w:tc>
          <w:tcPr>
            <w:tcW w:w="1005"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2659"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392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c>
          <w:tcPr>
            <w:tcW w:w="2064" w:type="dxa"/>
            <w:tcBorders>
              <w:top w:val="single" w:color="auto" w:sz="4" w:space="0"/>
              <w:left w:val="single" w:color="auto" w:sz="4" w:space="0"/>
              <w:bottom w:val="single" w:color="auto" w:sz="4" w:space="0"/>
              <w:right w:val="single" w:color="auto" w:sz="4" w:space="0"/>
            </w:tcBorders>
            <w:shd w:val="clear" w:color="auto" w:fill="F9F9F9"/>
            <w:noWrap w:val="0"/>
            <w:tcMar>
              <w:top w:w="120" w:type="dxa"/>
              <w:left w:w="120" w:type="dxa"/>
              <w:bottom w:w="120" w:type="dxa"/>
              <w:right w:w="120" w:type="dxa"/>
            </w:tcMar>
            <w:vAlign w:val="center"/>
          </w:tcPr>
          <w:p>
            <w:pPr>
              <w:spacing w:line="360" w:lineRule="auto"/>
              <w:jc w:val="center"/>
              <w:rPr>
                <w:rFonts w:ascii="宋体" w:hAnsi="宋体" w:cs="宋体"/>
                <w:color w:val="auto"/>
                <w:kern w:val="0"/>
                <w:sz w:val="24"/>
                <w:highlight w:val="none"/>
              </w:rPr>
            </w:pPr>
          </w:p>
        </w:tc>
      </w:tr>
    </w:tbl>
    <w:p>
      <w:pPr>
        <w:snapToGrid w:val="0"/>
        <w:spacing w:line="360" w:lineRule="auto"/>
        <w:jc w:val="left"/>
        <w:rPr>
          <w:rFonts w:hint="eastAsia" w:ascii="宋体" w:hAnsi="宋体"/>
          <w:color w:val="auto"/>
          <w:sz w:val="24"/>
          <w:highlight w:val="none"/>
        </w:rPr>
      </w:pPr>
      <w:r>
        <w:rPr>
          <w:rFonts w:hint="eastAsia" w:ascii="宋体" w:hAnsi="宋体"/>
          <w:color w:val="auto"/>
          <w:sz w:val="24"/>
          <w:highlight w:val="none"/>
        </w:rPr>
        <w:t>注：</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1.管理关系：是指不具有出资持股关系的其他单位之间存在的管理与被管理关系，如一些上下级关系的事业单位和团体组织。</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2.</w:t>
      </w:r>
      <w:r>
        <w:rPr>
          <w:rFonts w:hint="eastAsia" w:ascii="宋体" w:hAnsi="宋体"/>
          <w:color w:val="auto"/>
          <w:spacing w:val="-6"/>
          <w:sz w:val="24"/>
          <w:highlight w:val="none"/>
        </w:rPr>
        <w:t>本表所指的管理关系仅限于直接管理关系，不包括间接的管理关系。</w:t>
      </w:r>
    </w:p>
    <w:p>
      <w:pPr>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3.供应商不存在直接管理关系的，则在“</w:t>
      </w:r>
      <w:r>
        <w:rPr>
          <w:rFonts w:hint="eastAsia" w:ascii="宋体" w:hAnsi="宋体" w:cs="宋体"/>
          <w:b/>
          <w:bCs/>
          <w:color w:val="auto"/>
          <w:kern w:val="0"/>
          <w:sz w:val="24"/>
          <w:highlight w:val="none"/>
        </w:rPr>
        <w:t>直接管理关系单位名称</w:t>
      </w:r>
      <w:r>
        <w:rPr>
          <w:rFonts w:hint="eastAsia" w:ascii="宋体" w:hAnsi="宋体"/>
          <w:color w:val="auto"/>
          <w:sz w:val="24"/>
          <w:highlight w:val="none"/>
        </w:rPr>
        <w:t>”中填“无”。</w:t>
      </w: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ascii="宋体" w:hAnsi="宋体"/>
          <w:color w:val="auto"/>
          <w:sz w:val="24"/>
          <w:highlight w:val="none"/>
        </w:rPr>
      </w:pPr>
    </w:p>
    <w:p>
      <w:pPr>
        <w:snapToGrid w:val="0"/>
        <w:spacing w:line="360" w:lineRule="auto"/>
        <w:jc w:val="left"/>
        <w:rPr>
          <w:rFonts w:hint="eastAsia"/>
          <w:color w:val="auto"/>
          <w:sz w:val="24"/>
          <w:highlight w:val="none"/>
        </w:rPr>
      </w:pPr>
    </w:p>
    <w:p>
      <w:pPr>
        <w:snapToGrid w:val="0"/>
        <w:spacing w:line="360" w:lineRule="auto"/>
        <w:ind w:left="-2" w:leftChars="-1" w:right="-817" w:rightChars="-389"/>
        <w:rPr>
          <w:rFonts w:hint="eastAsia" w:ascii="宋体" w:hAnsi="宋体"/>
          <w:color w:val="auto"/>
          <w:sz w:val="24"/>
          <w:highlight w:val="none"/>
        </w:rPr>
      </w:pPr>
      <w:r>
        <w:rPr>
          <w:rFonts w:hint="eastAsia" w:ascii="宋体" w:hAnsi="宋体"/>
          <w:color w:val="auto"/>
          <w:sz w:val="24"/>
          <w:highlight w:val="none"/>
        </w:rPr>
        <w:t xml:space="preserve">            法定代表人或者委托代理人（签字或者电子签名）：</w:t>
      </w:r>
    </w:p>
    <w:p>
      <w:pPr>
        <w:snapToGrid w:val="0"/>
        <w:spacing w:line="360" w:lineRule="auto"/>
        <w:ind w:left="-3" w:leftChars="-15" w:right="-817" w:rightChars="-389" w:hanging="28" w:hangingChars="12"/>
        <w:rPr>
          <w:rFonts w:hint="eastAsia" w:ascii="宋体" w:hAnsi="宋体"/>
          <w:color w:val="auto"/>
          <w:sz w:val="24"/>
          <w:highlight w:val="none"/>
        </w:rPr>
      </w:pPr>
      <w:r>
        <w:rPr>
          <w:rFonts w:hint="eastAsia" w:ascii="宋体" w:hAnsi="宋体"/>
          <w:color w:val="auto"/>
          <w:sz w:val="24"/>
          <w:highlight w:val="none"/>
        </w:rPr>
        <w:t xml:space="preserve">                                  投标人名称（电子签章）：</w:t>
      </w:r>
    </w:p>
    <w:p>
      <w:pPr>
        <w:snapToGrid w:val="0"/>
        <w:spacing w:line="360" w:lineRule="auto"/>
        <w:ind w:right="480" w:firstLine="240" w:firstLineChars="100"/>
        <w:jc w:val="left"/>
        <w:rPr>
          <w:rFonts w:hint="eastAsia" w:ascii="宋体" w:hAnsi="宋体"/>
          <w:color w:val="auto"/>
          <w:szCs w:val="21"/>
          <w:highlight w:val="none"/>
        </w:rPr>
      </w:pPr>
      <w:r>
        <w:rPr>
          <w:rFonts w:hint="eastAsia" w:ascii="宋体" w:hAnsi="宋体"/>
          <w:color w:val="auto"/>
          <w:sz w:val="24"/>
          <w:highlight w:val="none"/>
        </w:rPr>
        <w:t xml:space="preserve">                                日期：    年   月   日</w:t>
      </w:r>
    </w:p>
    <w:p>
      <w:pPr>
        <w:snapToGrid w:val="0"/>
        <w:spacing w:line="360" w:lineRule="auto"/>
        <w:ind w:right="480" w:firstLine="210" w:firstLineChars="100"/>
        <w:jc w:val="left"/>
        <w:rPr>
          <w:rFonts w:hint="eastAsia" w:ascii="宋体" w:hAnsi="宋体"/>
          <w:color w:val="auto"/>
          <w:szCs w:val="21"/>
          <w:highlight w:val="none"/>
        </w:rPr>
      </w:pPr>
    </w:p>
    <w:p>
      <w:pPr>
        <w:snapToGrid w:val="0"/>
        <w:spacing w:before="120" w:beforeLines="50" w:after="50" w:line="360" w:lineRule="auto"/>
        <w:ind w:right="480" w:firstLine="240" w:firstLineChars="100"/>
        <w:jc w:val="right"/>
        <w:rPr>
          <w:rFonts w:hint="eastAsia" w:ascii="宋体" w:hAnsi="宋体"/>
          <w:color w:val="auto"/>
          <w:sz w:val="24"/>
          <w:highlight w:val="none"/>
        </w:rPr>
      </w:pPr>
    </w:p>
    <w:p>
      <w:pPr>
        <w:snapToGrid w:val="0"/>
        <w:spacing w:before="50" w:after="120" w:afterLines="50"/>
        <w:jc w:val="left"/>
        <w:rPr>
          <w:rFonts w:hint="eastAsia" w:ascii="宋体" w:hAnsi="宋体"/>
          <w:color w:val="auto"/>
          <w:szCs w:val="21"/>
          <w:highlight w:val="none"/>
        </w:rPr>
      </w:pPr>
    </w:p>
    <w:p>
      <w:pPr>
        <w:snapToGrid w:val="0"/>
        <w:spacing w:before="120" w:beforeLines="50" w:after="50"/>
        <w:jc w:val="left"/>
        <w:rPr>
          <w:rFonts w:hint="eastAsia" w:ascii="宋体" w:hAnsi="宋体"/>
          <w:b/>
          <w:color w:val="auto"/>
          <w:sz w:val="24"/>
          <w:szCs w:val="20"/>
          <w:highlight w:val="none"/>
        </w:rPr>
      </w:pPr>
    </w:p>
    <w:p>
      <w:pPr>
        <w:numPr>
          <w:ilvl w:val="0"/>
          <w:numId w:val="0"/>
        </w:numPr>
        <w:snapToGrid w:val="0"/>
        <w:spacing w:before="120" w:beforeLines="50" w:after="50"/>
        <w:ind w:leftChars="0"/>
        <w:jc w:val="left"/>
        <w:rPr>
          <w:rFonts w:hint="eastAsia" w:ascii="宋体" w:hAnsi="宋体"/>
          <w:b/>
          <w:color w:val="auto"/>
          <w:sz w:val="24"/>
          <w:szCs w:val="20"/>
          <w:highlight w:val="none"/>
        </w:rPr>
      </w:pPr>
      <w:r>
        <w:rPr>
          <w:rFonts w:hint="eastAsia" w:ascii="宋体" w:hAnsi="宋体"/>
          <w:b/>
          <w:color w:val="auto"/>
          <w:sz w:val="24"/>
          <w:highlight w:val="none"/>
        </w:rPr>
        <w:br w:type="page"/>
      </w:r>
      <w:r>
        <w:rPr>
          <w:rFonts w:hint="eastAsia" w:ascii="宋体" w:hAnsi="宋体"/>
          <w:b/>
          <w:color w:val="auto"/>
          <w:sz w:val="24"/>
          <w:highlight w:val="none"/>
        </w:rPr>
        <w:t>5.投标声明</w:t>
      </w:r>
    </w:p>
    <w:p>
      <w:pPr>
        <w:snapToGrid w:val="0"/>
        <w:spacing w:before="50" w:after="120" w:afterLines="50"/>
        <w:jc w:val="left"/>
        <w:rPr>
          <w:rFonts w:hint="eastAsia" w:ascii="宋体" w:hAnsi="宋体"/>
          <w:color w:val="auto"/>
          <w:highlight w:val="none"/>
        </w:rPr>
      </w:pPr>
    </w:p>
    <w:p>
      <w:pPr>
        <w:snapToGrid w:val="0"/>
        <w:spacing w:before="50" w:after="120" w:afterLines="5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投标声明</w:t>
      </w:r>
    </w:p>
    <w:p>
      <w:pPr>
        <w:spacing w:line="400" w:lineRule="exact"/>
        <w:contextualSpacing/>
        <w:jc w:val="left"/>
        <w:rPr>
          <w:rFonts w:hint="eastAsia"/>
          <w:color w:val="auto"/>
          <w:sz w:val="24"/>
          <w:highlight w:val="none"/>
        </w:rPr>
      </w:pPr>
      <w:r>
        <w:rPr>
          <w:rFonts w:hint="eastAsia"/>
          <w:color w:val="auto"/>
          <w:sz w:val="24"/>
          <w:highlight w:val="none"/>
        </w:rPr>
        <w:t>（采购人名称）：</w:t>
      </w:r>
    </w:p>
    <w:p>
      <w:pPr>
        <w:spacing w:line="400" w:lineRule="exact"/>
        <w:ind w:firstLine="523" w:firstLineChars="218"/>
        <w:contextualSpacing/>
        <w:jc w:val="left"/>
        <w:rPr>
          <w:rFonts w:hint="eastAsia" w:ascii="宋体" w:hAnsi="宋体"/>
          <w:color w:val="auto"/>
          <w:sz w:val="24"/>
          <w:highlight w:val="none"/>
        </w:rPr>
      </w:pPr>
      <w:r>
        <w:rPr>
          <w:rFonts w:hint="eastAsia" w:ascii="宋体" w:hAnsi="宋体"/>
          <w:color w:val="auto"/>
          <w:sz w:val="24"/>
          <w:highlight w:val="none"/>
        </w:rPr>
        <w:t>我方参加贵单位组织</w:t>
      </w:r>
      <w:r>
        <w:rPr>
          <w:rFonts w:hint="eastAsia" w:ascii="宋体" w:hAnsi="宋体"/>
          <w:color w:val="auto"/>
          <w:sz w:val="24"/>
          <w:highlight w:val="none"/>
          <w:u w:val="single"/>
        </w:rPr>
        <w:t xml:space="preserve">             </w:t>
      </w:r>
      <w:r>
        <w:rPr>
          <w:rFonts w:hint="eastAsia" w:ascii="宋体" w:hAnsi="宋体"/>
          <w:color w:val="auto"/>
          <w:sz w:val="24"/>
          <w:highlight w:val="none"/>
        </w:rPr>
        <w:t>项目（项目编号：</w:t>
      </w:r>
      <w:r>
        <w:rPr>
          <w:rFonts w:hint="eastAsia" w:ascii="宋体" w:hAnsi="宋体"/>
          <w:color w:val="auto"/>
          <w:sz w:val="24"/>
          <w:highlight w:val="none"/>
          <w:u w:val="single"/>
        </w:rPr>
        <w:t xml:space="preserve">       </w:t>
      </w:r>
      <w:r>
        <w:rPr>
          <w:rFonts w:hint="eastAsia" w:ascii="宋体" w:hAnsi="宋体"/>
          <w:color w:val="auto"/>
          <w:sz w:val="24"/>
          <w:highlight w:val="none"/>
        </w:rPr>
        <w:t>）的政府采购活动。我方在此郑重声明：</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1.我方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失信主体、政府采购严重违法失信行为记录名单，完全符合《中华人民共和国政府采购法》第二十二条规定的供应商资格条件，我方对此声明负全部法律责任。</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2.我方不是为本次采购项目提供整体设计、规范编制或者项目管理、监理、检测等服务的供应商。</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3. 我方承诺符合《中华人民共和国政府采购法》第二十二条规定：</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（一）具有独立承担民事责任的能力；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（二）具有良好的商业信誉和健全的财务会计制度；</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（三）具有履行合同所必需的设备和专业技术能力；</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（四）有依法缴纳税收和社会保障资金的良好记录；</w:t>
      </w:r>
    </w:p>
    <w:p>
      <w:pPr>
        <w:spacing w:line="400" w:lineRule="exact"/>
        <w:ind w:firstLine="480" w:firstLineChars="200"/>
        <w:contextualSpacing/>
        <w:jc w:val="left"/>
        <w:rPr>
          <w:rFonts w:ascii="宋体" w:hAnsi="宋体"/>
          <w:color w:val="auto"/>
          <w:sz w:val="24"/>
          <w:highlight w:val="none"/>
        </w:rPr>
      </w:pPr>
      <w:r>
        <w:rPr>
          <w:rFonts w:hint="eastAsia" w:ascii="宋体" w:hAnsi="宋体"/>
          <w:color w:val="auto"/>
          <w:sz w:val="24"/>
          <w:highlight w:val="none"/>
        </w:rPr>
        <w:t>（五）参加政府采购活动前三年内，在经营活动中没有重大违法记录；</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（六）法律、行政法规规定的其他条件。</w:t>
      </w:r>
    </w:p>
    <w:p>
      <w:pPr>
        <w:spacing w:line="400" w:lineRule="exact"/>
        <w:ind w:firstLine="480" w:firstLineChars="200"/>
        <w:contextualSpacing/>
        <w:jc w:val="left"/>
        <w:rPr>
          <w:rFonts w:hint="eastAsia" w:ascii="宋体" w:hAnsi="宋体"/>
          <w:color w:val="auto"/>
          <w:sz w:val="24"/>
          <w:highlight w:val="none"/>
        </w:rPr>
      </w:pPr>
      <w:r>
        <w:rPr>
          <w:rFonts w:hint="eastAsia" w:ascii="宋体" w:hAnsi="宋体"/>
          <w:color w:val="auto"/>
          <w:sz w:val="24"/>
          <w:highlight w:val="none"/>
        </w:rPr>
        <w:t>4.以上事项如有虚假或者隐瞒，我方愿意承担一切后果，并不再寻求任何旨在减轻或者免除法律责任的辩解。</w:t>
      </w:r>
    </w:p>
    <w:p>
      <w:pPr>
        <w:spacing w:line="400" w:lineRule="exact"/>
        <w:contextualSpacing/>
        <w:jc w:val="left"/>
        <w:rPr>
          <w:rFonts w:ascii="宋体" w:hAnsi="宋体"/>
          <w:color w:val="auto"/>
          <w:sz w:val="24"/>
          <w:highlight w:val="none"/>
        </w:rPr>
      </w:pPr>
      <w:r>
        <w:rPr>
          <w:rFonts w:hint="eastAsia" w:ascii="宋体" w:hAnsi="宋体"/>
          <w:color w:val="auto"/>
          <w:sz w:val="24"/>
          <w:highlight w:val="none"/>
        </w:rPr>
        <w:t xml:space="preserve">    特此承诺。</w:t>
      </w:r>
    </w:p>
    <w:p>
      <w:pPr>
        <w:snapToGrid w:val="0"/>
        <w:spacing w:before="50" w:after="50"/>
        <w:rPr>
          <w:rFonts w:ascii="宋体" w:hAnsi="宋体"/>
          <w:color w:val="auto"/>
          <w:sz w:val="24"/>
          <w:highlight w:val="none"/>
        </w:rPr>
      </w:pPr>
      <w:r>
        <w:rPr>
          <w:rFonts w:hint="eastAsia" w:ascii="宋体" w:hAnsi="宋体"/>
          <w:b/>
          <w:color w:val="auto"/>
          <w:sz w:val="24"/>
          <w:highlight w:val="none"/>
        </w:rPr>
        <w:t xml:space="preserve">    </w:t>
      </w:r>
      <w:r>
        <w:rPr>
          <w:rFonts w:hint="eastAsia" w:ascii="宋体" w:hAnsi="宋体"/>
          <w:color w:val="auto"/>
          <w:sz w:val="24"/>
          <w:highlight w:val="none"/>
        </w:rPr>
        <w:t xml:space="preserve">            </w:t>
      </w:r>
    </w:p>
    <w:p>
      <w:pPr>
        <w:snapToGrid w:val="0"/>
        <w:spacing w:before="50" w:after="50"/>
        <w:ind w:firstLine="840" w:firstLineChars="350"/>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（签字或者电子签名）：</w:t>
      </w:r>
      <w:r>
        <w:rPr>
          <w:rFonts w:hint="eastAsia" w:ascii="宋体" w:hAnsi="宋体"/>
          <w:color w:val="auto"/>
          <w:spacing w:val="20"/>
          <w:sz w:val="24"/>
          <w:highlight w:val="none"/>
          <w:u w:val="single"/>
        </w:rPr>
        <w:t xml:space="preserve">        </w:t>
      </w:r>
    </w:p>
    <w:p>
      <w:pPr>
        <w:spacing w:line="400" w:lineRule="exact"/>
        <w:contextualSpacing/>
        <w:jc w:val="left"/>
        <w:rPr>
          <w:rFonts w:hint="eastAsia" w:ascii="宋体" w:hAnsi="宋体"/>
          <w:color w:val="auto"/>
          <w:sz w:val="24"/>
          <w:highlight w:val="none"/>
        </w:rPr>
      </w:pPr>
    </w:p>
    <w:p>
      <w:pPr>
        <w:spacing w:line="400" w:lineRule="exact"/>
        <w:contextualSpacing/>
        <w:jc w:val="left"/>
        <w:rPr>
          <w:rFonts w:hint="eastAsia" w:ascii="宋体" w:hAnsi="宋体"/>
          <w:color w:val="auto"/>
          <w:sz w:val="24"/>
          <w:highlight w:val="none"/>
        </w:rPr>
      </w:pPr>
      <w:r>
        <w:rPr>
          <w:rFonts w:hint="eastAsia" w:ascii="宋体" w:hAnsi="宋体"/>
          <w:color w:val="auto"/>
          <w:sz w:val="24"/>
          <w:highlight w:val="none"/>
        </w:rPr>
        <w:t xml:space="preserve">                           投标人名称（电子签章）：</w:t>
      </w:r>
      <w:r>
        <w:rPr>
          <w:rFonts w:hint="eastAsia" w:ascii="宋体" w:hAnsi="宋体"/>
          <w:color w:val="auto"/>
          <w:sz w:val="24"/>
          <w:highlight w:val="none"/>
          <w:u w:val="single"/>
        </w:rPr>
        <w:t xml:space="preserve">                 </w:t>
      </w:r>
    </w:p>
    <w:p>
      <w:pPr>
        <w:spacing w:line="400" w:lineRule="exact"/>
        <w:contextualSpacing/>
        <w:jc w:val="left"/>
        <w:rPr>
          <w:rFonts w:hint="eastAsia" w:ascii="宋体" w:hAnsi="宋体"/>
          <w:color w:val="auto"/>
          <w:highlight w:val="none"/>
        </w:rPr>
      </w:pPr>
      <w:r>
        <w:rPr>
          <w:rFonts w:hint="eastAsia" w:ascii="宋体" w:hAnsi="宋体"/>
          <w:color w:val="auto"/>
          <w:sz w:val="24"/>
          <w:highlight w:val="none"/>
        </w:rPr>
        <w:t xml:space="preserve">                                                  年    月    日</w:t>
      </w:r>
    </w:p>
    <w:p>
      <w:pPr>
        <w:spacing w:line="400" w:lineRule="exact"/>
        <w:contextualSpacing/>
        <w:jc w:val="left"/>
        <w:rPr>
          <w:rFonts w:hint="eastAsia" w:ascii="宋体" w:hAnsi="宋体"/>
          <w:color w:val="auto"/>
          <w:sz w:val="24"/>
          <w:highlight w:val="none"/>
        </w:rPr>
      </w:pPr>
    </w:p>
    <w:p>
      <w:pPr>
        <w:spacing w:line="400" w:lineRule="exact"/>
        <w:contextualSpacing/>
        <w:jc w:val="left"/>
        <w:rPr>
          <w:rFonts w:hint="eastAsia" w:ascii="宋体" w:hAnsi="宋体"/>
          <w:color w:val="auto"/>
          <w:sz w:val="24"/>
          <w:highlight w:val="none"/>
        </w:rPr>
      </w:pPr>
    </w:p>
    <w:p>
      <w:pPr>
        <w:spacing w:line="400" w:lineRule="exact"/>
        <w:contextualSpacing/>
        <w:jc w:val="left"/>
        <w:rPr>
          <w:rFonts w:hint="eastAsia" w:ascii="宋体" w:hAnsi="宋体"/>
          <w:color w:val="auto"/>
          <w:sz w:val="24"/>
          <w:highlight w:val="none"/>
        </w:rPr>
      </w:pPr>
    </w:p>
    <w:p>
      <w:pPr>
        <w:rPr>
          <w:rFonts w:hint="eastAsia"/>
          <w:b/>
          <w:color w:val="auto"/>
          <w:sz w:val="28"/>
          <w:szCs w:val="28"/>
          <w:highlight w:val="none"/>
        </w:rPr>
      </w:pPr>
      <w:bookmarkStart w:id="143" w:name="_Toc19686838"/>
      <w:r>
        <w:rPr>
          <w:rFonts w:hint="eastAsia"/>
          <w:b/>
          <w:color w:val="auto"/>
          <w:sz w:val="28"/>
          <w:szCs w:val="28"/>
          <w:highlight w:val="none"/>
        </w:rPr>
        <w:br w:type="page"/>
      </w:r>
      <w:bookmarkEnd w:id="143"/>
      <w:r>
        <w:rPr>
          <w:rFonts w:hint="eastAsia"/>
          <w:b/>
          <w:color w:val="auto"/>
          <w:sz w:val="28"/>
          <w:szCs w:val="28"/>
          <w:highlight w:val="none"/>
        </w:rPr>
        <w:t>三、商务及技术文件格式</w:t>
      </w:r>
    </w:p>
    <w:p>
      <w:pPr>
        <w:snapToGrid w:val="0"/>
        <w:spacing w:before="120" w:beforeLines="50" w:after="50" w:line="360" w:lineRule="auto"/>
        <w:jc w:val="left"/>
        <w:rPr>
          <w:rFonts w:hint="eastAsia" w:ascii="宋体" w:hAnsi="宋体"/>
          <w:b/>
          <w:color w:val="auto"/>
          <w:sz w:val="24"/>
          <w:highlight w:val="none"/>
        </w:rPr>
      </w:pPr>
      <w:r>
        <w:rPr>
          <w:rFonts w:hint="eastAsia" w:ascii="宋体" w:hAnsi="宋体"/>
          <w:b/>
          <w:color w:val="auto"/>
          <w:sz w:val="24"/>
          <w:highlight w:val="none"/>
        </w:rPr>
        <w:t xml:space="preserve">1.商务及技术文件封面格式： </w:t>
      </w:r>
    </w:p>
    <w:p>
      <w:pPr>
        <w:snapToGrid w:val="0"/>
        <w:spacing w:before="120" w:beforeLines="50" w:after="50"/>
        <w:jc w:val="center"/>
        <w:rPr>
          <w:rFonts w:hint="eastAsia" w:ascii="宋体" w:hAnsi="宋体"/>
          <w:color w:val="auto"/>
          <w:sz w:val="24"/>
          <w:highlight w:val="none"/>
        </w:rPr>
      </w:pPr>
      <w:r>
        <w:rPr>
          <w:rFonts w:hint="eastAsia" w:ascii="宋体" w:hAnsi="宋体" w:eastAsia="方正小标宋简体"/>
          <w:bCs/>
          <w:color w:val="auto"/>
          <w:sz w:val="48"/>
          <w:szCs w:val="48"/>
          <w:highlight w:val="none"/>
        </w:rPr>
        <w:t>电子投标文件</w:t>
      </w:r>
    </w:p>
    <w:p>
      <w:pPr>
        <w:snapToGrid w:val="0"/>
        <w:spacing w:before="120" w:beforeLines="50" w:after="5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商务及技术文件</w:t>
      </w:r>
    </w:p>
    <w:p>
      <w:pPr>
        <w:snapToGrid w:val="0"/>
        <w:spacing w:before="120" w:beforeLines="50" w:after="50"/>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项目名称：</w:t>
      </w:r>
    </w:p>
    <w:p>
      <w:pPr>
        <w:snapToGrid w:val="0"/>
        <w:spacing w:before="120" w:beforeLines="50" w:after="50"/>
        <w:ind w:firstLine="540" w:firstLineChars="225"/>
        <w:rPr>
          <w:rFonts w:hint="eastAsia" w:ascii="宋体" w:hAnsi="宋体"/>
          <w:bCs/>
          <w:color w:val="auto"/>
          <w:sz w:val="24"/>
          <w:szCs w:val="20"/>
          <w:highlight w:val="none"/>
        </w:rPr>
      </w:pP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项目编号：</w:t>
      </w:r>
    </w:p>
    <w:p>
      <w:pPr>
        <w:snapToGrid w:val="0"/>
        <w:spacing w:before="120" w:beforeLines="50" w:after="50"/>
        <w:ind w:firstLine="540" w:firstLineChars="225"/>
        <w:rPr>
          <w:rFonts w:hint="eastAsia" w:ascii="宋体" w:hAnsi="宋体"/>
          <w:bCs/>
          <w:color w:val="auto"/>
          <w:sz w:val="24"/>
          <w:szCs w:val="20"/>
          <w:highlight w:val="none"/>
        </w:rPr>
      </w:pPr>
      <w:r>
        <w:rPr>
          <w:rFonts w:hint="eastAsia" w:ascii="宋体" w:hAnsi="宋体"/>
          <w:bCs/>
          <w:color w:val="auto"/>
          <w:sz w:val="24"/>
          <w:highlight w:val="none"/>
        </w:rPr>
        <w:t xml:space="preserve"> </w:t>
      </w:r>
    </w:p>
    <w:p>
      <w:pPr>
        <w:snapToGrid w:val="0"/>
        <w:spacing w:before="120" w:beforeLines="50" w:after="50"/>
        <w:ind w:firstLine="540" w:firstLineChars="225"/>
        <w:rPr>
          <w:rFonts w:hint="eastAsia" w:ascii="宋体" w:hAnsi="宋体"/>
          <w:bCs/>
          <w:color w:val="auto"/>
          <w:sz w:val="24"/>
          <w:highlight w:val="none"/>
        </w:rPr>
      </w:pPr>
      <w:r>
        <w:rPr>
          <w:rFonts w:hint="eastAsia" w:ascii="宋体" w:hAnsi="宋体"/>
          <w:bCs/>
          <w:color w:val="auto"/>
          <w:sz w:val="24"/>
          <w:highlight w:val="none"/>
        </w:rPr>
        <w:t>所投分标：</w:t>
      </w:r>
    </w:p>
    <w:p>
      <w:pPr>
        <w:snapToGrid w:val="0"/>
        <w:spacing w:before="120" w:beforeLines="50" w:after="50"/>
        <w:ind w:firstLine="540" w:firstLineChars="225"/>
        <w:rPr>
          <w:rFonts w:hint="eastAsia" w:ascii="宋体" w:hAnsi="宋体"/>
          <w:bCs/>
          <w:color w:val="auto"/>
          <w:sz w:val="24"/>
          <w:szCs w:val="20"/>
          <w:highlight w:val="none"/>
        </w:rPr>
      </w:pPr>
    </w:p>
    <w:p>
      <w:pPr>
        <w:pStyle w:val="8"/>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投标人名称：</w:t>
      </w:r>
    </w:p>
    <w:p>
      <w:pPr>
        <w:pStyle w:val="8"/>
        <w:snapToGrid w:val="0"/>
        <w:spacing w:before="50" w:after="50"/>
        <w:ind w:firstLine="540" w:firstLineChars="225"/>
        <w:rPr>
          <w:rFonts w:hint="eastAsia" w:ascii="宋体" w:hAnsi="宋体"/>
          <w:bCs/>
          <w:color w:val="auto"/>
          <w:sz w:val="24"/>
          <w:szCs w:val="24"/>
          <w:highlight w:val="none"/>
        </w:rPr>
      </w:pPr>
    </w:p>
    <w:p>
      <w:pPr>
        <w:pStyle w:val="8"/>
        <w:snapToGrid w:val="0"/>
        <w:spacing w:before="50" w:after="50"/>
        <w:ind w:firstLine="540" w:firstLineChars="225"/>
        <w:rPr>
          <w:rFonts w:hint="eastAsia" w:ascii="宋体" w:hAnsi="宋体"/>
          <w:bCs/>
          <w:color w:val="auto"/>
          <w:sz w:val="24"/>
          <w:szCs w:val="24"/>
          <w:highlight w:val="none"/>
        </w:rPr>
      </w:pPr>
      <w:r>
        <w:rPr>
          <w:rFonts w:hint="eastAsia" w:ascii="宋体" w:hAnsi="宋体"/>
          <w:bCs/>
          <w:color w:val="auto"/>
          <w:sz w:val="24"/>
          <w:szCs w:val="24"/>
          <w:highlight w:val="none"/>
        </w:rPr>
        <w:t>投标人地址：</w:t>
      </w:r>
    </w:p>
    <w:p>
      <w:pPr>
        <w:pStyle w:val="8"/>
        <w:snapToGrid w:val="0"/>
        <w:spacing w:before="50" w:after="50"/>
        <w:ind w:firstLine="960" w:firstLineChars="400"/>
        <w:rPr>
          <w:rFonts w:hint="eastAsia" w:ascii="宋体" w:hAnsi="宋体"/>
          <w:bCs/>
          <w:color w:val="auto"/>
          <w:sz w:val="24"/>
          <w:szCs w:val="24"/>
          <w:highlight w:val="none"/>
        </w:rPr>
      </w:pPr>
    </w:p>
    <w:p>
      <w:pPr>
        <w:snapToGrid w:val="0"/>
        <w:spacing w:before="120" w:beforeLines="50" w:after="50"/>
        <w:ind w:firstLine="645"/>
        <w:rPr>
          <w:rFonts w:ascii="宋体" w:hAnsi="宋体"/>
          <w:color w:val="auto"/>
          <w:sz w:val="24"/>
          <w:highlight w:val="none"/>
        </w:rPr>
      </w:pPr>
      <w:r>
        <w:rPr>
          <w:rFonts w:hint="eastAsia" w:ascii="宋体" w:hAnsi="宋体"/>
          <w:color w:val="auto"/>
          <w:sz w:val="24"/>
          <w:highlight w:val="none"/>
        </w:rPr>
        <w:t xml:space="preserve">                        年  月  日</w:t>
      </w:r>
    </w:p>
    <w:p>
      <w:pPr>
        <w:snapToGrid w:val="0"/>
        <w:spacing w:before="120" w:beforeLines="50" w:after="50"/>
        <w:ind w:firstLine="645"/>
        <w:rPr>
          <w:rFonts w:ascii="宋体" w:hAnsi="宋体"/>
          <w:color w:val="auto"/>
          <w:sz w:val="24"/>
          <w:highlight w:val="none"/>
        </w:rPr>
      </w:pPr>
    </w:p>
    <w:p>
      <w:pPr>
        <w:snapToGrid w:val="0"/>
        <w:spacing w:before="120" w:beforeLines="50" w:after="50"/>
        <w:rPr>
          <w:rFonts w:ascii="宋体" w:hAnsi="宋体"/>
          <w:color w:val="auto"/>
          <w:sz w:val="24"/>
          <w:szCs w:val="20"/>
          <w:highlight w:val="none"/>
        </w:rPr>
      </w:pPr>
      <w:r>
        <w:rPr>
          <w:rFonts w:ascii="宋体" w:hAnsi="宋体"/>
          <w:color w:val="auto"/>
          <w:sz w:val="24"/>
          <w:szCs w:val="20"/>
          <w:highlight w:val="none"/>
        </w:rPr>
        <w:t xml:space="preserve"> </w:t>
      </w:r>
    </w:p>
    <w:p>
      <w:pPr>
        <w:snapToGrid w:val="0"/>
        <w:spacing w:line="360" w:lineRule="auto"/>
        <w:jc w:val="left"/>
        <w:rPr>
          <w:rFonts w:hint="eastAsia"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2.商务及技术文件目录</w:t>
      </w:r>
    </w:p>
    <w:p>
      <w:pPr>
        <w:snapToGrid w:val="0"/>
        <w:spacing w:before="50" w:after="120" w:afterLines="50" w:line="360" w:lineRule="auto"/>
        <w:ind w:firstLine="560" w:firstLineChars="200"/>
        <w:jc w:val="left"/>
        <w:rPr>
          <w:rFonts w:ascii="微软雅黑" w:hAnsi="微软雅黑" w:eastAsia="微软雅黑"/>
          <w:b/>
          <w:bCs/>
          <w:color w:val="auto"/>
          <w:sz w:val="32"/>
          <w:szCs w:val="32"/>
          <w:highlight w:val="none"/>
        </w:rPr>
      </w:pPr>
      <w:r>
        <w:rPr>
          <w:rFonts w:hint="eastAsia" w:ascii="宋体" w:hAnsi="宋体"/>
          <w:color w:val="auto"/>
          <w:sz w:val="28"/>
          <w:szCs w:val="28"/>
          <w:highlight w:val="none"/>
        </w:rPr>
        <w:t>根据招标文件规定及投标人提供的材料自行编写目录。</w:t>
      </w:r>
    </w:p>
    <w:p>
      <w:pPr>
        <w:snapToGrid w:val="0"/>
        <w:spacing w:before="50" w:after="120" w:afterLines="50" w:line="360" w:lineRule="auto"/>
        <w:jc w:val="left"/>
        <w:rPr>
          <w:rFonts w:ascii="微软雅黑" w:hAnsi="微软雅黑" w:eastAsia="微软雅黑"/>
          <w:b/>
          <w:bCs/>
          <w:color w:val="auto"/>
          <w:sz w:val="24"/>
          <w:highlight w:val="none"/>
        </w:rPr>
      </w:pPr>
    </w:p>
    <w:p>
      <w:pPr>
        <w:snapToGrid w:val="0"/>
        <w:spacing w:before="50" w:after="120" w:afterLines="50"/>
        <w:jc w:val="left"/>
        <w:rPr>
          <w:rFonts w:hint="eastAsia" w:ascii="宋体" w:hAnsi="宋体"/>
          <w:color w:val="auto"/>
          <w:highlight w:val="none"/>
        </w:rPr>
      </w:pPr>
    </w:p>
    <w:p>
      <w:pPr>
        <w:snapToGrid w:val="0"/>
        <w:spacing w:before="120" w:beforeLines="50" w:after="50"/>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3.投标人参加本项目无围标串标行为的承诺</w:t>
      </w:r>
    </w:p>
    <w:p>
      <w:pPr>
        <w:snapToGrid w:val="0"/>
        <w:spacing w:before="120" w:beforeLines="50" w:after="50"/>
        <w:jc w:val="left"/>
        <w:rPr>
          <w:rFonts w:hint="eastAsia" w:ascii="宋体" w:hAnsi="宋体"/>
          <w:b/>
          <w:color w:val="auto"/>
          <w:sz w:val="24"/>
          <w:highlight w:val="none"/>
        </w:rPr>
      </w:pPr>
    </w:p>
    <w:p>
      <w:pPr>
        <w:snapToGrid w:val="0"/>
        <w:spacing w:before="120" w:beforeLines="50" w:after="50"/>
        <w:ind w:left="420"/>
        <w:jc w:val="center"/>
        <w:rPr>
          <w:rFonts w:hint="eastAsia" w:ascii="宋体" w:hAnsi="宋体"/>
          <w:b/>
          <w:color w:val="auto"/>
          <w:spacing w:val="-17"/>
          <w:sz w:val="32"/>
          <w:szCs w:val="32"/>
          <w:highlight w:val="none"/>
        </w:rPr>
      </w:pPr>
      <w:r>
        <w:rPr>
          <w:rFonts w:hint="eastAsia" w:ascii="方正小标宋简体" w:hAnsi="方正小标宋简体" w:eastAsia="方正小标宋简体" w:cs="方正小标宋简体"/>
          <w:bCs/>
          <w:color w:val="auto"/>
          <w:spacing w:val="-17"/>
          <w:sz w:val="44"/>
          <w:szCs w:val="44"/>
          <w:highlight w:val="none"/>
        </w:rPr>
        <w:t>投标人参加本项目无围标串标行为的承诺函</w:t>
      </w:r>
    </w:p>
    <w:p>
      <w:pPr>
        <w:snapToGrid w:val="0"/>
        <w:spacing w:before="120" w:beforeLines="50" w:after="50"/>
        <w:rPr>
          <w:rFonts w:ascii="宋体" w:hAnsi="宋体"/>
          <w:b/>
          <w:color w:val="auto"/>
          <w:sz w:val="24"/>
          <w:highlight w:val="none"/>
        </w:rPr>
      </w:pPr>
    </w:p>
    <w:p>
      <w:pPr>
        <w:spacing w:line="400" w:lineRule="exact"/>
        <w:contextualSpacing/>
        <w:jc w:val="left"/>
        <w:rPr>
          <w:rFonts w:hint="eastAsia" w:ascii="宋体" w:hAnsi="宋体"/>
          <w:b/>
          <w:color w:val="auto"/>
          <w:sz w:val="24"/>
          <w:highlight w:val="none"/>
        </w:rPr>
      </w:pPr>
      <w:r>
        <w:rPr>
          <w:rFonts w:hint="eastAsia" w:ascii="宋体" w:hAnsi="宋体"/>
          <w:b/>
          <w:color w:val="auto"/>
          <w:sz w:val="24"/>
          <w:highlight w:val="none"/>
        </w:rPr>
        <w:t>一、我方承诺无下列相互串通投标的情形：</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 xml:space="preserve">1.不同投标人的投标文件由同一单位或者个人编制； </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2.不同投标人委托同一单位或者个人办理投标事宜；</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3.不同的投标人的投标文件载明的项目管理员为同一个人；</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4.不同投标人的投标文件异常一致或者投标报价呈规律性差异；</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5.不同投标人的投标文件相互混装；</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6.不同投标人的投标保证金从同一单位或者个人账户转出。</w:t>
      </w:r>
    </w:p>
    <w:p>
      <w:pPr>
        <w:spacing w:line="400" w:lineRule="exact"/>
        <w:contextualSpacing/>
        <w:jc w:val="left"/>
        <w:rPr>
          <w:rFonts w:hint="eastAsia" w:ascii="宋体" w:hAnsi="宋体"/>
          <w:color w:val="auto"/>
          <w:sz w:val="24"/>
          <w:highlight w:val="none"/>
        </w:rPr>
      </w:pPr>
      <w:r>
        <w:rPr>
          <w:rFonts w:hint="eastAsia" w:ascii="宋体" w:hAnsi="宋体"/>
          <w:b/>
          <w:color w:val="auto"/>
          <w:sz w:val="24"/>
          <w:highlight w:val="none"/>
        </w:rPr>
        <w:t>二、我方承诺无下列恶意串通的情形：</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1.投标人直接或者间接从采购人或者采购代理机构处获得其他投标人的相关信息并修改其投标文件或者响应文件；</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2.投标人按照采购人或者采购代理机构的授意撤换、修改投标文件或者响应文件；</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3.投标人之间协商报价、技术方案等投标文件或者响应文件的实质性内容；</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4.属于同一集团、协会、商会等组织成员的投标人按照该组织要求协同参加政府采购活动；</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5.投标人之间事先约定一致抬高或者压低投标报价，或者在招标项目中事先约定轮流以高价位或者低价位中标，或者事先约定由某一特定投标人中标，然后再参加投标；</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6.投标人之间商定部分投标人放弃参加政府采购活动或者放弃中标；</w:t>
      </w:r>
    </w:p>
    <w:p>
      <w:pPr>
        <w:spacing w:line="400" w:lineRule="exact"/>
        <w:ind w:firstLine="470" w:firstLineChars="196"/>
        <w:contextualSpacing/>
        <w:jc w:val="left"/>
        <w:rPr>
          <w:rFonts w:hint="eastAsia" w:ascii="宋体" w:hAnsi="宋体"/>
          <w:color w:val="auto"/>
          <w:sz w:val="24"/>
          <w:highlight w:val="none"/>
        </w:rPr>
      </w:pPr>
      <w:r>
        <w:rPr>
          <w:rFonts w:hint="eastAsia" w:ascii="宋体" w:hAnsi="宋体"/>
          <w:color w:val="auto"/>
          <w:sz w:val="24"/>
          <w:highlight w:val="none"/>
        </w:rPr>
        <w:t>7.投标人与采购人或者采购代理机构之间、投标人相互之间，为谋求特定投标人中标或者排斥其他投标人的其他串通行为。</w:t>
      </w:r>
    </w:p>
    <w:p>
      <w:pPr>
        <w:spacing w:line="400" w:lineRule="exact"/>
        <w:ind w:firstLine="472" w:firstLineChars="196"/>
        <w:contextualSpacing/>
        <w:jc w:val="left"/>
        <w:rPr>
          <w:rFonts w:hint="eastAsia" w:ascii="宋体" w:hAnsi="宋体"/>
          <w:b/>
          <w:color w:val="auto"/>
          <w:sz w:val="24"/>
          <w:highlight w:val="none"/>
        </w:rPr>
      </w:pPr>
      <w:r>
        <w:rPr>
          <w:rFonts w:hint="eastAsia" w:ascii="宋体" w:hAnsi="宋体"/>
          <w:b/>
          <w:color w:val="auto"/>
          <w:sz w:val="24"/>
          <w:highlight w:val="none"/>
        </w:rPr>
        <w:t>以上情形一经核查属实，我方愿意承担一切后果，并不再寻求任何旨在减轻或者免除法律责任的辩解。</w:t>
      </w:r>
    </w:p>
    <w:p>
      <w:pPr>
        <w:pStyle w:val="23"/>
        <w:spacing w:line="400" w:lineRule="exact"/>
        <w:ind w:firstLine="6840" w:firstLineChars="2850"/>
        <w:contextualSpacing/>
        <w:rPr>
          <w:rFonts w:hint="eastAsia" w:hAnsi="宋体"/>
          <w:color w:val="auto"/>
          <w:sz w:val="24"/>
          <w:szCs w:val="24"/>
          <w:highlight w:val="none"/>
        </w:rPr>
      </w:pPr>
    </w:p>
    <w:p>
      <w:pPr>
        <w:pStyle w:val="23"/>
        <w:spacing w:line="440" w:lineRule="exact"/>
        <w:ind w:firstLine="960" w:firstLineChars="400"/>
        <w:contextualSpacing/>
        <w:rPr>
          <w:rFonts w:hint="eastAsia" w:hAnsi="宋体"/>
          <w:color w:val="auto"/>
          <w:sz w:val="24"/>
          <w:szCs w:val="24"/>
          <w:highlight w:val="none"/>
        </w:rPr>
      </w:pPr>
      <w:r>
        <w:rPr>
          <w:rFonts w:hint="eastAsia" w:hAnsi="宋体"/>
          <w:color w:val="auto"/>
          <w:sz w:val="24"/>
          <w:szCs w:val="24"/>
          <w:highlight w:val="none"/>
        </w:rPr>
        <w:t xml:space="preserve"> </w:t>
      </w:r>
      <w:r>
        <w:rPr>
          <w:rFonts w:hint="eastAsia" w:hAnsi="宋体"/>
          <w:color w:val="auto"/>
          <w:sz w:val="24"/>
          <w:highlight w:val="none"/>
        </w:rPr>
        <w:t>法定代表人或者委托代理人</w:t>
      </w:r>
      <w:r>
        <w:rPr>
          <w:rFonts w:hint="eastAsia" w:hAnsi="宋体"/>
          <w:color w:val="auto"/>
          <w:spacing w:val="20"/>
          <w:sz w:val="24"/>
          <w:highlight w:val="none"/>
        </w:rPr>
        <w:t>（签字或者电子签名）：</w:t>
      </w:r>
      <w:r>
        <w:rPr>
          <w:rFonts w:hint="eastAsia" w:hAnsi="宋体"/>
          <w:color w:val="auto"/>
          <w:spacing w:val="20"/>
          <w:sz w:val="24"/>
          <w:highlight w:val="none"/>
          <w:u w:val="single"/>
        </w:rPr>
        <w:t xml:space="preserve">        </w:t>
      </w:r>
    </w:p>
    <w:p>
      <w:pPr>
        <w:pStyle w:val="23"/>
        <w:spacing w:line="440" w:lineRule="exact"/>
        <w:contextualSpacing/>
        <w:jc w:val="center"/>
        <w:rPr>
          <w:rFonts w:hint="eastAsia" w:hAnsi="宋体"/>
          <w:color w:val="auto"/>
          <w:sz w:val="24"/>
          <w:szCs w:val="24"/>
          <w:highlight w:val="none"/>
        </w:rPr>
      </w:pPr>
      <w:r>
        <w:rPr>
          <w:rFonts w:hint="eastAsia" w:hAnsi="宋体"/>
          <w:color w:val="auto"/>
          <w:sz w:val="24"/>
          <w:szCs w:val="24"/>
          <w:highlight w:val="none"/>
        </w:rPr>
        <w:t xml:space="preserve"> </w:t>
      </w:r>
      <w:r>
        <w:rPr>
          <w:rFonts w:hAnsi="宋体"/>
          <w:color w:val="auto"/>
          <w:sz w:val="24"/>
          <w:szCs w:val="24"/>
          <w:highlight w:val="none"/>
        </w:rPr>
        <w:t xml:space="preserve">                                   </w:t>
      </w:r>
      <w:r>
        <w:rPr>
          <w:rFonts w:hint="eastAsia" w:hAnsi="宋体"/>
          <w:color w:val="auto"/>
          <w:sz w:val="24"/>
          <w:szCs w:val="24"/>
          <w:highlight w:val="none"/>
        </w:rPr>
        <w:t>投标人名称（电子签章）</w:t>
      </w:r>
    </w:p>
    <w:p>
      <w:pPr>
        <w:pStyle w:val="23"/>
        <w:spacing w:line="440" w:lineRule="exact"/>
        <w:contextualSpacing/>
        <w:rPr>
          <w:rFonts w:hint="eastAsia" w:hAnsi="宋体"/>
          <w:color w:val="auto"/>
          <w:sz w:val="24"/>
          <w:highlight w:val="none"/>
        </w:rPr>
      </w:pPr>
      <w:r>
        <w:rPr>
          <w:rFonts w:hint="eastAsia" w:hAnsi="宋体"/>
          <w:color w:val="auto"/>
          <w:sz w:val="24"/>
          <w:highlight w:val="none"/>
        </w:rPr>
        <w:t xml:space="preserve">                                                </w:t>
      </w:r>
      <w:r>
        <w:rPr>
          <w:rFonts w:hint="eastAsia" w:hAnsi="宋体"/>
          <w:color w:val="auto"/>
          <w:sz w:val="24"/>
          <w:highlight w:val="none"/>
          <w:u w:val="single"/>
        </w:rPr>
        <w:t xml:space="preserve">      </w:t>
      </w:r>
      <w:r>
        <w:rPr>
          <w:rFonts w:hint="eastAsia" w:hAnsi="宋体"/>
          <w:color w:val="auto"/>
          <w:sz w:val="24"/>
          <w:highlight w:val="none"/>
        </w:rPr>
        <w:t>年</w:t>
      </w:r>
      <w:r>
        <w:rPr>
          <w:rFonts w:hint="eastAsia" w:hAnsi="宋体"/>
          <w:color w:val="auto"/>
          <w:sz w:val="24"/>
          <w:highlight w:val="none"/>
          <w:u w:val="single"/>
        </w:rPr>
        <w:t xml:space="preserve">    </w:t>
      </w:r>
      <w:r>
        <w:rPr>
          <w:rFonts w:hint="eastAsia" w:hAnsi="宋体"/>
          <w:color w:val="auto"/>
          <w:sz w:val="24"/>
          <w:highlight w:val="none"/>
        </w:rPr>
        <w:t>月</w:t>
      </w:r>
      <w:r>
        <w:rPr>
          <w:rFonts w:hint="eastAsia" w:hAnsi="宋体"/>
          <w:color w:val="auto"/>
          <w:sz w:val="24"/>
          <w:highlight w:val="none"/>
          <w:u w:val="single"/>
        </w:rPr>
        <w:t xml:space="preserve">     </w:t>
      </w:r>
      <w:r>
        <w:rPr>
          <w:rFonts w:hint="eastAsia" w:hAnsi="宋体"/>
          <w:color w:val="auto"/>
          <w:sz w:val="24"/>
          <w:highlight w:val="none"/>
        </w:rPr>
        <w:t>日</w:t>
      </w:r>
    </w:p>
    <w:p>
      <w:pPr>
        <w:pStyle w:val="23"/>
        <w:spacing w:line="400" w:lineRule="exact"/>
        <w:contextualSpacing/>
        <w:rPr>
          <w:rFonts w:hint="eastAsia" w:hAnsi="宋体"/>
          <w:color w:val="auto"/>
          <w:sz w:val="24"/>
          <w:highlight w:val="none"/>
        </w:rPr>
      </w:pPr>
    </w:p>
    <w:p>
      <w:pPr>
        <w:snapToGrid w:val="0"/>
        <w:spacing w:before="120" w:beforeLines="50" w:after="50"/>
        <w:ind w:firstLine="472" w:firstLineChars="196"/>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4.法定代表人身份证明</w:t>
      </w:r>
    </w:p>
    <w:p>
      <w:pPr>
        <w:spacing w:before="240" w:beforeLines="100" w:after="120" w:afterLines="50"/>
        <w:ind w:left="540"/>
        <w:jc w:val="center"/>
        <w:rPr>
          <w:rFonts w:hint="eastAsia" w:ascii="宋体" w:hAnsi="Courier New"/>
          <w:b/>
          <w:color w:val="auto"/>
          <w:sz w:val="32"/>
          <w:szCs w:val="32"/>
          <w:highlight w:val="none"/>
        </w:rPr>
      </w:pPr>
    </w:p>
    <w:p>
      <w:pPr>
        <w:spacing w:before="240" w:beforeLines="100" w:after="120" w:afterLines="50"/>
        <w:ind w:left="54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法定代表人身份证明</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投 标 人：</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地    址：</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姓    名：</w:t>
      </w:r>
      <w:r>
        <w:rPr>
          <w:rFonts w:hint="eastAsia" w:ascii="宋体" w:hAnsi="宋体"/>
          <w:color w:val="auto"/>
          <w:sz w:val="24"/>
          <w:highlight w:val="none"/>
          <w:u w:val="single"/>
        </w:rPr>
        <w:t xml:space="preserve">                          </w:t>
      </w:r>
      <w:r>
        <w:rPr>
          <w:rFonts w:hint="eastAsia" w:ascii="宋体" w:hAnsi="宋体"/>
          <w:color w:val="auto"/>
          <w:sz w:val="24"/>
          <w:highlight w:val="none"/>
        </w:rPr>
        <w:t>性      别：</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u w:val="single"/>
        </w:rPr>
      </w:pPr>
      <w:r>
        <w:rPr>
          <w:rFonts w:hint="eastAsia" w:ascii="宋体" w:hAnsi="宋体"/>
          <w:color w:val="auto"/>
          <w:sz w:val="24"/>
          <w:highlight w:val="none"/>
        </w:rPr>
        <w:t>年    龄：</w:t>
      </w:r>
      <w:r>
        <w:rPr>
          <w:rFonts w:hint="eastAsia" w:ascii="宋体" w:hAnsi="宋体"/>
          <w:color w:val="auto"/>
          <w:sz w:val="24"/>
          <w:highlight w:val="none"/>
          <w:u w:val="single"/>
        </w:rPr>
        <w:t xml:space="preserve">                          </w:t>
      </w:r>
      <w:r>
        <w:rPr>
          <w:rFonts w:hint="eastAsia" w:ascii="宋体" w:hAnsi="宋体"/>
          <w:color w:val="auto"/>
          <w:sz w:val="24"/>
          <w:highlight w:val="none"/>
        </w:rPr>
        <w:t>职      务：</w:t>
      </w:r>
      <w:r>
        <w:rPr>
          <w:rFonts w:hint="eastAsia" w:ascii="宋体" w:hAnsi="宋体"/>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身份证</w:t>
      </w:r>
      <w:r>
        <w:rPr>
          <w:rFonts w:hint="eastAsia"/>
          <w:color w:val="auto"/>
          <w:sz w:val="24"/>
          <w:highlight w:val="none"/>
        </w:rPr>
        <w:t>号码：</w:t>
      </w:r>
      <w:r>
        <w:rPr>
          <w:rFonts w:hint="eastAsia"/>
          <w:color w:val="auto"/>
          <w:sz w:val="24"/>
          <w:highlight w:val="none"/>
          <w:u w:val="single"/>
        </w:rPr>
        <w:t xml:space="preserve">                                 </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系</w:t>
      </w:r>
      <w:r>
        <w:rPr>
          <w:rFonts w:hint="eastAsia" w:ascii="宋体" w:hAnsi="宋体"/>
          <w:color w:val="auto"/>
          <w:sz w:val="24"/>
          <w:highlight w:val="none"/>
          <w:u w:val="single"/>
        </w:rPr>
        <w:t xml:space="preserve">            （投标人名称）              </w:t>
      </w:r>
      <w:r>
        <w:rPr>
          <w:rFonts w:hint="eastAsia" w:ascii="宋体" w:hAnsi="宋体"/>
          <w:color w:val="auto"/>
          <w:sz w:val="24"/>
          <w:highlight w:val="none"/>
        </w:rPr>
        <w:t>的法定代表人。</w:t>
      </w: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特此证明。</w:t>
      </w: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p>
    <w:p>
      <w:pPr>
        <w:spacing w:line="500" w:lineRule="exact"/>
        <w:ind w:left="540"/>
        <w:rPr>
          <w:rFonts w:hint="eastAsia" w:ascii="宋体" w:hAnsi="宋体"/>
          <w:color w:val="auto"/>
          <w:sz w:val="24"/>
          <w:highlight w:val="none"/>
        </w:rPr>
      </w:pPr>
      <w:r>
        <w:rPr>
          <w:rFonts w:hint="eastAsia" w:ascii="宋体" w:hAnsi="宋体"/>
          <w:color w:val="auto"/>
          <w:sz w:val="24"/>
          <w:highlight w:val="none"/>
        </w:rPr>
        <w:t>附件：法定代表人有效身份证正反面复印件</w:t>
      </w:r>
    </w:p>
    <w:p>
      <w:pPr>
        <w:spacing w:line="500" w:lineRule="exact"/>
        <w:ind w:left="540"/>
        <w:rPr>
          <w:rFonts w:hint="eastAsia" w:ascii="宋体" w:hAnsi="宋体"/>
          <w:color w:val="auto"/>
          <w:sz w:val="24"/>
          <w:highlight w:val="none"/>
        </w:rPr>
      </w:pPr>
    </w:p>
    <w:p>
      <w:pPr>
        <w:spacing w:line="500" w:lineRule="exact"/>
        <w:ind w:left="540"/>
        <w:jc w:val="right"/>
        <w:rPr>
          <w:rFonts w:hint="eastAsia" w:ascii="宋体" w:hAnsi="宋体"/>
          <w:color w:val="auto"/>
          <w:sz w:val="24"/>
          <w:highlight w:val="none"/>
        </w:rPr>
      </w:pPr>
      <w:r>
        <w:rPr>
          <w:rFonts w:hint="eastAsia" w:ascii="宋体" w:hAnsi="宋体"/>
          <w:color w:val="auto"/>
          <w:sz w:val="24"/>
          <w:highlight w:val="none"/>
        </w:rPr>
        <w:t>投标人名称（电子签章）</w:t>
      </w:r>
    </w:p>
    <w:p>
      <w:pPr>
        <w:snapToGrid w:val="0"/>
        <w:spacing w:before="120" w:beforeLines="50" w:after="50"/>
        <w:ind w:left="540"/>
        <w:jc w:val="right"/>
        <w:rPr>
          <w:rFonts w:hint="eastAsia" w:ascii="宋体" w:hAnsi="宋体"/>
          <w:color w:val="auto"/>
          <w:sz w:val="24"/>
          <w:highlight w:val="none"/>
        </w:rPr>
      </w:pPr>
      <w:r>
        <w:rPr>
          <w:rFonts w:hint="eastAsia" w:ascii="宋体" w:hAnsi="宋体"/>
          <w:color w:val="auto"/>
          <w:sz w:val="24"/>
          <w:highlight w:val="none"/>
          <w:u w:val="single"/>
        </w:rPr>
        <w:t xml:space="preserve">         </w:t>
      </w:r>
      <w:r>
        <w:rPr>
          <w:rFonts w:hint="eastAsia" w:ascii="宋体" w:hAnsi="宋体"/>
          <w:color w:val="auto"/>
          <w:sz w:val="24"/>
          <w:highlight w:val="none"/>
        </w:rPr>
        <w:t>年</w:t>
      </w:r>
      <w:r>
        <w:rPr>
          <w:rFonts w:hint="eastAsia" w:ascii="宋体" w:hAnsi="宋体"/>
          <w:color w:val="auto"/>
          <w:sz w:val="24"/>
          <w:highlight w:val="none"/>
          <w:u w:val="single"/>
        </w:rPr>
        <w:t xml:space="preserve">        </w:t>
      </w:r>
      <w:r>
        <w:rPr>
          <w:rFonts w:hint="eastAsia" w:ascii="宋体" w:hAnsi="宋体"/>
          <w:color w:val="auto"/>
          <w:sz w:val="24"/>
          <w:highlight w:val="none"/>
        </w:rPr>
        <w:t>月</w:t>
      </w:r>
      <w:r>
        <w:rPr>
          <w:rFonts w:hint="eastAsia" w:ascii="宋体" w:hAnsi="宋体"/>
          <w:color w:val="auto"/>
          <w:sz w:val="24"/>
          <w:highlight w:val="none"/>
          <w:u w:val="single"/>
        </w:rPr>
        <w:t xml:space="preserve">        </w:t>
      </w:r>
      <w:r>
        <w:rPr>
          <w:rFonts w:hint="eastAsia" w:ascii="宋体" w:hAnsi="宋体"/>
          <w:color w:val="auto"/>
          <w:sz w:val="24"/>
          <w:highlight w:val="none"/>
        </w:rPr>
        <w:t>日</w:t>
      </w:r>
    </w:p>
    <w:p>
      <w:pPr>
        <w:snapToGrid w:val="0"/>
        <w:spacing w:before="120" w:beforeLines="50" w:after="50"/>
        <w:jc w:val="center"/>
        <w:rPr>
          <w:rFonts w:hint="eastAsia" w:ascii="宋体" w:hAnsi="宋体"/>
          <w:b/>
          <w:color w:val="auto"/>
          <w:sz w:val="24"/>
          <w:highlight w:val="none"/>
        </w:rPr>
      </w:pPr>
    </w:p>
    <w:p>
      <w:pPr>
        <w:snapToGrid w:val="0"/>
        <w:spacing w:before="120" w:beforeLines="50" w:after="50"/>
        <w:jc w:val="left"/>
        <w:rPr>
          <w:rFonts w:hint="eastAsia" w:ascii="宋体" w:hAnsi="宋体"/>
          <w:b/>
          <w:color w:val="auto"/>
          <w:sz w:val="24"/>
          <w:szCs w:val="20"/>
          <w:highlight w:val="none"/>
        </w:rPr>
      </w:pPr>
      <w:r>
        <w:rPr>
          <w:rFonts w:hint="eastAsia" w:ascii="宋体" w:hAnsi="宋体"/>
          <w:color w:val="auto"/>
          <w:sz w:val="24"/>
          <w:highlight w:val="none"/>
        </w:rPr>
        <w:t>注：自然人投标的无需提供</w:t>
      </w:r>
    </w:p>
    <w:p>
      <w:pPr>
        <w:snapToGrid w:val="0"/>
        <w:spacing w:before="120" w:beforeLines="50" w:after="50"/>
        <w:jc w:val="left"/>
        <w:rPr>
          <w:rFonts w:hint="eastAsia" w:ascii="宋体" w:hAnsi="宋体"/>
          <w:b/>
          <w:color w:val="auto"/>
          <w:sz w:val="24"/>
          <w:szCs w:val="20"/>
          <w:highlight w:val="none"/>
        </w:rPr>
      </w:pPr>
      <w:r>
        <w:rPr>
          <w:rFonts w:ascii="宋体" w:hAnsi="宋体"/>
          <w:b/>
          <w:color w:val="auto"/>
          <w:sz w:val="24"/>
          <w:highlight w:val="none"/>
        </w:rPr>
        <w:br w:type="page"/>
      </w:r>
      <w:r>
        <w:rPr>
          <w:rFonts w:hint="eastAsia" w:ascii="宋体" w:hAnsi="宋体"/>
          <w:b/>
          <w:color w:val="auto"/>
          <w:sz w:val="24"/>
          <w:highlight w:val="none"/>
        </w:rPr>
        <w:t>5.授权委托书格式</w:t>
      </w:r>
    </w:p>
    <w:p>
      <w:pPr>
        <w:snapToGrid w:val="0"/>
        <w:spacing w:before="120" w:beforeLines="50" w:after="50"/>
        <w:jc w:val="center"/>
        <w:rPr>
          <w:rFonts w:hint="eastAsia" w:ascii="宋体" w:hAnsi="宋体"/>
          <w:b/>
          <w:color w:val="auto"/>
          <w:sz w:val="44"/>
          <w:szCs w:val="44"/>
          <w:highlight w:val="none"/>
        </w:rPr>
      </w:pPr>
    </w:p>
    <w:p>
      <w:pPr>
        <w:snapToGrid w:val="0"/>
        <w:spacing w:before="120" w:beforeLines="50" w:after="5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授权委托书</w:t>
      </w:r>
    </w:p>
    <w:p>
      <w:pPr>
        <w:snapToGrid w:val="0"/>
        <w:spacing w:before="120" w:beforeLines="50" w:after="50"/>
        <w:jc w:val="center"/>
        <w:rPr>
          <w:rFonts w:hint="eastAsia" w:ascii="宋体" w:hAnsi="宋体"/>
          <w:b/>
          <w:color w:val="auto"/>
          <w:sz w:val="24"/>
          <w:highlight w:val="none"/>
        </w:rPr>
      </w:pPr>
      <w:r>
        <w:rPr>
          <w:rFonts w:hint="eastAsia" w:ascii="宋体" w:hAnsi="宋体"/>
          <w:b/>
          <w:color w:val="auto"/>
          <w:sz w:val="32"/>
          <w:szCs w:val="32"/>
          <w:highlight w:val="none"/>
        </w:rPr>
        <w:t>（如有委托时）</w:t>
      </w:r>
    </w:p>
    <w:p>
      <w:pPr>
        <w:snapToGrid w:val="0"/>
        <w:spacing w:before="120" w:beforeLines="50" w:after="50"/>
        <w:jc w:val="center"/>
        <w:rPr>
          <w:rFonts w:hint="eastAsia" w:ascii="宋体" w:hAnsi="宋体"/>
          <w:b/>
          <w:color w:val="auto"/>
          <w:sz w:val="24"/>
          <w:highlight w:val="none"/>
        </w:rPr>
      </w:pPr>
    </w:p>
    <w:p>
      <w:pPr>
        <w:spacing w:line="360" w:lineRule="auto"/>
        <w:contextualSpacing/>
        <w:rPr>
          <w:rFonts w:hint="eastAsia"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采购人名称</w:t>
      </w:r>
      <w:r>
        <w:rPr>
          <w:rFonts w:hint="eastAsia" w:ascii="宋体" w:hAnsi="宋体"/>
          <w:color w:val="auto"/>
          <w:sz w:val="24"/>
          <w:highlight w:val="none"/>
        </w:rPr>
        <w:t>：</w:t>
      </w:r>
    </w:p>
    <w:p>
      <w:pPr>
        <w:spacing w:line="360" w:lineRule="auto"/>
        <w:ind w:firstLine="566" w:firstLineChars="236"/>
        <w:contextualSpacing/>
        <w:rPr>
          <w:rFonts w:hint="eastAsia" w:ascii="宋体" w:hAnsi="宋体"/>
          <w:color w:val="auto"/>
          <w:sz w:val="24"/>
          <w:highlight w:val="none"/>
        </w:rPr>
      </w:pPr>
      <w:r>
        <w:rPr>
          <w:rFonts w:hint="eastAsia" w:ascii="宋体" w:hAnsi="宋体"/>
          <w:color w:val="auto"/>
          <w:sz w:val="24"/>
          <w:highlight w:val="none"/>
        </w:rPr>
        <w:t>我</w:t>
      </w:r>
      <w:r>
        <w:rPr>
          <w:rFonts w:hint="eastAsia" w:ascii="宋体" w:hAnsi="宋体"/>
          <w:color w:val="auto"/>
          <w:sz w:val="24"/>
          <w:highlight w:val="none"/>
          <w:u w:val="single"/>
        </w:rPr>
        <w:t xml:space="preserve">       </w:t>
      </w:r>
      <w:r>
        <w:rPr>
          <w:rFonts w:hint="eastAsia" w:ascii="宋体" w:hAnsi="宋体"/>
          <w:color w:val="auto"/>
          <w:sz w:val="24"/>
          <w:highlight w:val="none"/>
        </w:rPr>
        <w:t>（姓名）系</w:t>
      </w:r>
      <w:r>
        <w:rPr>
          <w:rFonts w:hint="eastAsia" w:ascii="宋体" w:hAnsi="宋体"/>
          <w:color w:val="auto"/>
          <w:sz w:val="24"/>
          <w:highlight w:val="none"/>
          <w:u w:val="single"/>
        </w:rPr>
        <w:t xml:space="preserve">      </w:t>
      </w:r>
      <w:r>
        <w:rPr>
          <w:rFonts w:hint="eastAsia" w:ascii="宋体" w:hAnsi="宋体"/>
          <w:color w:val="auto"/>
          <w:sz w:val="24"/>
          <w:highlight w:val="none"/>
        </w:rPr>
        <w:t>（投标人名称）的法定代表人，现授权委托</w:t>
      </w:r>
      <w:r>
        <w:rPr>
          <w:rFonts w:hint="eastAsia" w:ascii="宋体" w:hAnsi="宋体"/>
          <w:color w:val="auto"/>
          <w:sz w:val="24"/>
          <w:highlight w:val="none"/>
          <w:u w:val="single"/>
        </w:rPr>
        <w:t xml:space="preserve">              （姓名）</w:t>
      </w:r>
      <w:r>
        <w:rPr>
          <w:rFonts w:hint="eastAsia" w:ascii="宋体" w:hAnsi="宋体"/>
          <w:color w:val="auto"/>
          <w:sz w:val="24"/>
          <w:highlight w:val="none"/>
        </w:rPr>
        <w:t>以我方的名义参加</w:t>
      </w:r>
      <w:r>
        <w:rPr>
          <w:rFonts w:hint="eastAsia" w:ascii="宋体" w:hAnsi="宋体"/>
          <w:color w:val="auto"/>
          <w:sz w:val="24"/>
          <w:highlight w:val="none"/>
          <w:u w:val="single"/>
        </w:rPr>
        <w:t xml:space="preserve">              </w:t>
      </w:r>
      <w:r>
        <w:rPr>
          <w:rFonts w:hint="eastAsia" w:ascii="宋体" w:hAnsi="宋体"/>
          <w:color w:val="auto"/>
          <w:sz w:val="24"/>
          <w:highlight w:val="none"/>
        </w:rPr>
        <w:t>项目的投标活动，并代表我方全权办理针对上述项目的所有采购程序和环节的具体事务和签署相关文件。</w:t>
      </w:r>
    </w:p>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 xml:space="preserve">    我方对委托代理人的签字或者电子签名事项负全部责任。</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u w:val="single"/>
        </w:rPr>
        <w:t>本授权书自签署之日起生效，在撤销授权的书面通知以前，本授权书一直有效。委托代理人在授权书有效期内签署的所有文件不因授权的撤销而失效。</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委托代理人无转委托权，特此委托。</w:t>
      </w:r>
    </w:p>
    <w:p>
      <w:pPr>
        <w:spacing w:line="360" w:lineRule="auto"/>
        <w:ind w:firstLine="480"/>
        <w:contextualSpacing/>
        <w:rPr>
          <w:rFonts w:hint="eastAsia" w:ascii="宋体" w:hAnsi="宋体"/>
          <w:color w:val="auto"/>
          <w:sz w:val="24"/>
          <w:highlight w:val="none"/>
        </w:rPr>
      </w:pPr>
      <w:r>
        <w:rPr>
          <w:rFonts w:hint="eastAsia" w:ascii="宋体" w:hAnsi="宋体"/>
          <w:color w:val="auto"/>
          <w:sz w:val="24"/>
          <w:highlight w:val="none"/>
        </w:rPr>
        <w:t>附：法定代表人身份证明及委托代理人有效身份证正反面复印件</w:t>
      </w:r>
    </w:p>
    <w:p>
      <w:pPr>
        <w:spacing w:line="360" w:lineRule="auto"/>
        <w:contextualSpacing/>
        <w:rPr>
          <w:rFonts w:hint="eastAsia" w:ascii="宋体" w:hAnsi="宋体"/>
          <w:color w:val="auto"/>
          <w:sz w:val="24"/>
          <w:highlight w:val="none"/>
        </w:rPr>
      </w:pPr>
    </w:p>
    <w:p>
      <w:pPr>
        <w:spacing w:line="440" w:lineRule="exact"/>
        <w:contextualSpacing/>
        <w:rPr>
          <w:rFonts w:hint="eastAsia" w:ascii="宋体" w:hAnsi="宋体"/>
          <w:color w:val="auto"/>
          <w:sz w:val="24"/>
          <w:highlight w:val="none"/>
        </w:rPr>
      </w:pPr>
      <w:r>
        <w:rPr>
          <w:rFonts w:hint="eastAsia" w:ascii="宋体" w:hAnsi="宋体"/>
          <w:color w:val="auto"/>
          <w:sz w:val="24"/>
          <w:highlight w:val="none"/>
        </w:rPr>
        <w:t>委托代理人（签字或者电子签名）：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440" w:lineRule="exact"/>
        <w:contextualSpacing/>
        <w:rPr>
          <w:rFonts w:hint="eastAsia" w:ascii="宋体" w:hAnsi="宋体"/>
          <w:color w:val="auto"/>
          <w:sz w:val="24"/>
          <w:highlight w:val="none"/>
          <w:u w:val="single"/>
        </w:rPr>
      </w:pPr>
      <w:r>
        <w:rPr>
          <w:rFonts w:hint="eastAsia" w:ascii="宋体" w:hAnsi="宋体"/>
          <w:color w:val="auto"/>
          <w:sz w:val="24"/>
          <w:highlight w:val="none"/>
        </w:rPr>
        <w:t>委托代理人身份证号码：</w:t>
      </w:r>
      <w:r>
        <w:rPr>
          <w:rFonts w:hint="eastAsia" w:ascii="宋体" w:hAnsi="宋体"/>
          <w:color w:val="auto"/>
          <w:sz w:val="24"/>
          <w:highlight w:val="none"/>
          <w:u w:val="single"/>
        </w:rPr>
        <w:t xml:space="preserve">                             </w:t>
      </w:r>
    </w:p>
    <w:p>
      <w:pPr>
        <w:spacing w:line="440" w:lineRule="exact"/>
        <w:contextualSpacing/>
        <w:rPr>
          <w:rFonts w:hint="eastAsia" w:ascii="宋体" w:hAnsi="宋体"/>
          <w:color w:val="auto"/>
          <w:sz w:val="24"/>
          <w:highlight w:val="none"/>
          <w:u w:val="single"/>
        </w:rPr>
      </w:pPr>
      <w:r>
        <w:rPr>
          <w:rFonts w:hint="eastAsia" w:ascii="宋体" w:hAnsi="宋体"/>
          <w:color w:val="auto"/>
          <w:sz w:val="24"/>
          <w:highlight w:val="none"/>
        </w:rPr>
        <w:t>法定代表人（签字或者盖章或者电子签名）：</w:t>
      </w:r>
      <w:r>
        <w:rPr>
          <w:rFonts w:hint="eastAsia" w:ascii="宋体" w:hAnsi="宋体"/>
          <w:color w:val="auto"/>
          <w:sz w:val="24"/>
          <w:highlight w:val="none"/>
          <w:u w:val="single"/>
        </w:rPr>
        <w:t xml:space="preserve">              </w:t>
      </w:r>
    </w:p>
    <w:p>
      <w:pPr>
        <w:spacing w:line="440" w:lineRule="exact"/>
        <w:contextualSpacing/>
        <w:rPr>
          <w:rFonts w:hint="eastAsia" w:ascii="宋体" w:hAnsi="宋体"/>
          <w:color w:val="auto"/>
          <w:sz w:val="24"/>
          <w:highlight w:val="none"/>
        </w:rPr>
      </w:pPr>
      <w:r>
        <w:rPr>
          <w:rFonts w:hint="eastAsia" w:ascii="宋体" w:hAnsi="宋体"/>
          <w:color w:val="auto"/>
          <w:sz w:val="24"/>
          <w:highlight w:val="none"/>
        </w:rPr>
        <w:t xml:space="preserve"> </w:t>
      </w:r>
    </w:p>
    <w:p>
      <w:pPr>
        <w:spacing w:line="440" w:lineRule="exact"/>
        <w:contextualSpacing/>
        <w:jc w:val="center"/>
        <w:rPr>
          <w:rFonts w:hint="eastAsia" w:ascii="宋体" w:hAnsi="宋体"/>
          <w:color w:val="auto"/>
          <w:sz w:val="24"/>
          <w:highlight w:val="none"/>
        </w:rPr>
      </w:pPr>
      <w:r>
        <w:rPr>
          <w:rFonts w:hint="eastAsia" w:ascii="宋体" w:hAnsi="宋体"/>
          <w:color w:val="auto"/>
          <w:sz w:val="24"/>
          <w:highlight w:val="none"/>
        </w:rPr>
        <w:t xml:space="preserve">                                                投标人名称（电子签章）：</w:t>
      </w:r>
    </w:p>
    <w:p>
      <w:pPr>
        <w:spacing w:line="440" w:lineRule="exact"/>
        <w:contextualSpacing/>
        <w:jc w:val="center"/>
        <w:rPr>
          <w:rFonts w:hint="eastAsia" w:ascii="宋体" w:hAnsi="宋体"/>
          <w:color w:val="auto"/>
          <w:sz w:val="24"/>
          <w:highlight w:val="none"/>
        </w:rPr>
      </w:pPr>
      <w:r>
        <w:rPr>
          <w:rFonts w:hint="eastAsia" w:ascii="宋体" w:hAnsi="宋体"/>
          <w:color w:val="auto"/>
          <w:sz w:val="24"/>
          <w:highlight w:val="none"/>
        </w:rPr>
        <w:t xml:space="preserve">                                              年    月    日</w:t>
      </w:r>
    </w:p>
    <w:p>
      <w:pPr>
        <w:spacing w:line="440" w:lineRule="exact"/>
        <w:contextualSpacing/>
        <w:rPr>
          <w:rFonts w:hint="eastAsia" w:ascii="宋体" w:hAnsi="宋体" w:cs="仿宋_GB2312"/>
          <w:color w:val="auto"/>
          <w:sz w:val="24"/>
          <w:highlight w:val="none"/>
        </w:rPr>
      </w:pPr>
      <w:r>
        <w:rPr>
          <w:rFonts w:hint="eastAsia" w:ascii="宋体" w:hAnsi="宋体" w:cs="仿宋_GB2312"/>
          <w:color w:val="auto"/>
          <w:sz w:val="24"/>
          <w:highlight w:val="none"/>
        </w:rPr>
        <w:t>注：1.</w:t>
      </w:r>
      <w:bookmarkStart w:id="144" w:name="_Hlk65851555"/>
      <w:bookmarkStart w:id="145" w:name="_Hlk65851620"/>
      <w:r>
        <w:rPr>
          <w:rFonts w:hint="eastAsia" w:ascii="宋体" w:hAnsi="宋体" w:cs="仿宋_GB2312"/>
          <w:color w:val="auto"/>
          <w:sz w:val="24"/>
          <w:highlight w:val="none"/>
        </w:rPr>
        <w:t>法定代表人必须在授权委托书上签字或者盖章</w:t>
      </w:r>
      <w:r>
        <w:rPr>
          <w:rFonts w:hint="eastAsia" w:ascii="宋体" w:hAnsi="宋体"/>
          <w:color w:val="auto"/>
          <w:sz w:val="24"/>
          <w:highlight w:val="none"/>
        </w:rPr>
        <w:t>或者电子签名</w:t>
      </w:r>
      <w:r>
        <w:rPr>
          <w:rFonts w:hint="eastAsia" w:ascii="宋体" w:hAnsi="宋体" w:cs="仿宋_GB2312"/>
          <w:color w:val="auto"/>
          <w:sz w:val="24"/>
          <w:highlight w:val="none"/>
        </w:rPr>
        <w:t>，</w:t>
      </w:r>
      <w:bookmarkEnd w:id="144"/>
      <w:r>
        <w:rPr>
          <w:rFonts w:hint="eastAsia" w:ascii="宋体" w:hAnsi="宋体" w:cs="仿宋_GB2312"/>
          <w:color w:val="auto"/>
          <w:sz w:val="24"/>
          <w:highlight w:val="none"/>
        </w:rPr>
        <w:t>委托代理人必须在授权委托书上签字</w:t>
      </w:r>
      <w:r>
        <w:rPr>
          <w:rFonts w:hint="eastAsia" w:ascii="宋体" w:hAnsi="宋体"/>
          <w:color w:val="auto"/>
          <w:sz w:val="24"/>
          <w:highlight w:val="none"/>
        </w:rPr>
        <w:t>或者电子签名</w:t>
      </w:r>
      <w:r>
        <w:rPr>
          <w:rFonts w:hint="eastAsia" w:ascii="宋体" w:hAnsi="宋体" w:cs="仿宋_GB2312"/>
          <w:color w:val="auto"/>
          <w:sz w:val="24"/>
          <w:highlight w:val="none"/>
        </w:rPr>
        <w:t>，</w:t>
      </w:r>
      <w:r>
        <w:rPr>
          <w:rFonts w:hint="eastAsia" w:ascii="宋体" w:hAnsi="宋体" w:cs="仿宋_GB2312"/>
          <w:b/>
          <w:bCs/>
          <w:color w:val="auto"/>
          <w:sz w:val="24"/>
          <w:highlight w:val="none"/>
        </w:rPr>
        <w:t>否则按无效投标处理</w:t>
      </w:r>
      <w:r>
        <w:rPr>
          <w:rFonts w:hint="eastAsia" w:ascii="宋体" w:hAnsi="宋体" w:cs="仿宋_GB2312"/>
          <w:color w:val="auto"/>
          <w:sz w:val="24"/>
          <w:highlight w:val="none"/>
        </w:rPr>
        <w:t>；</w:t>
      </w:r>
      <w:bookmarkEnd w:id="145"/>
    </w:p>
    <w:p>
      <w:pPr>
        <w:spacing w:line="440" w:lineRule="exact"/>
        <w:ind w:firstLine="480" w:firstLineChars="200"/>
        <w:contextualSpacing/>
        <w:jc w:val="left"/>
        <w:rPr>
          <w:rFonts w:hint="eastAsia" w:ascii="宋体" w:hAnsi="宋体"/>
          <w:color w:val="auto"/>
          <w:sz w:val="24"/>
          <w:highlight w:val="none"/>
        </w:rPr>
      </w:pPr>
      <w:r>
        <w:rPr>
          <w:rFonts w:hint="eastAsia" w:ascii="宋体" w:hAnsi="宋体" w:cs="仿宋_GB2312"/>
          <w:color w:val="auto"/>
          <w:sz w:val="24"/>
          <w:highlight w:val="none"/>
        </w:rPr>
        <w:t>2.法人、其他组织投标时“我方”是指“我单位”，自然人投标时“我方”是指“本人”。</w:t>
      </w:r>
    </w:p>
    <w:p>
      <w:pPr>
        <w:rPr>
          <w:rFonts w:hint="eastAsia" w:ascii="宋体" w:hAnsi="宋体"/>
          <w:color w:val="auto"/>
          <w:sz w:val="24"/>
          <w:highlight w:val="none"/>
        </w:rPr>
      </w:pPr>
      <w:r>
        <w:rPr>
          <w:rFonts w:ascii="宋体" w:hAnsi="宋体"/>
          <w:color w:val="auto"/>
          <w:sz w:val="24"/>
          <w:highlight w:val="none"/>
        </w:rPr>
        <w:br w:type="page"/>
      </w:r>
    </w:p>
    <w:p>
      <w:pPr>
        <w:rPr>
          <w:rFonts w:hint="eastAsia" w:ascii="宋体" w:hAnsi="宋体"/>
          <w:b/>
          <w:color w:val="auto"/>
          <w:sz w:val="24"/>
          <w:szCs w:val="20"/>
          <w:highlight w:val="none"/>
        </w:rPr>
      </w:pPr>
      <w:r>
        <w:rPr>
          <w:rFonts w:hint="eastAsia" w:ascii="宋体" w:hAnsi="宋体"/>
          <w:b/>
          <w:color w:val="auto"/>
          <w:sz w:val="24"/>
          <w:highlight w:val="none"/>
        </w:rPr>
        <w:t>6.商务要求偏离表格式</w:t>
      </w:r>
    </w:p>
    <w:p>
      <w:pPr>
        <w:snapToGrid w:val="0"/>
        <w:spacing w:before="50"/>
        <w:jc w:val="left"/>
        <w:rPr>
          <w:rFonts w:hint="eastAsia" w:ascii="宋体" w:hAnsi="宋体"/>
          <w:color w:val="auto"/>
          <w:sz w:val="24"/>
          <w:highlight w:val="none"/>
        </w:rPr>
      </w:pPr>
    </w:p>
    <w:p>
      <w:pPr>
        <w:pStyle w:val="23"/>
        <w:rPr>
          <w:rFonts w:hint="eastAsia"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p>
      <w:pPr>
        <w:snapToGrid w:val="0"/>
        <w:spacing w:before="50"/>
        <w:jc w:val="left"/>
        <w:rPr>
          <w:rFonts w:hint="eastAsia" w:ascii="宋体" w:hAnsi="宋体"/>
          <w:color w:val="auto"/>
          <w:sz w:val="24"/>
          <w:highlight w:val="none"/>
          <w:u w:val="single"/>
        </w:rPr>
      </w:pPr>
    </w:p>
    <w:tbl>
      <w:tblPr>
        <w:tblStyle w:val="46"/>
        <w:tblW w:w="8641" w:type="dxa"/>
        <w:tblInd w:w="-11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10"/>
        <w:gridCol w:w="3336"/>
        <w:gridCol w:w="1760"/>
        <w:gridCol w:w="2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151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项目</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招标文件商务要求</w:t>
            </w: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投标人的承诺</w:t>
            </w: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r>
              <w:rPr>
                <w:rFonts w:hint="eastAsia" w:ascii="宋体" w:hAnsi="宋体"/>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r>
              <w:rPr>
                <w:rFonts w:hint="eastAsia" w:ascii="宋体" w:hAnsi="宋体" w:cs="宋体"/>
                <w:color w:val="auto"/>
                <w:sz w:val="24"/>
                <w:highlight w:val="none"/>
              </w:rPr>
              <w:t>交付时间和地点</w:t>
            </w:r>
          </w:p>
        </w:tc>
        <w:tc>
          <w:tcPr>
            <w:tcW w:w="3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8" w:hRule="atLeast"/>
        </w:trPr>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olor w:val="auto"/>
                <w:sz w:val="24"/>
                <w:highlight w:val="none"/>
              </w:rPr>
            </w:pPr>
            <w:r>
              <w:rPr>
                <w:rFonts w:hint="eastAsia" w:ascii="宋体" w:hAnsi="宋体" w:cs="宋体"/>
                <w:color w:val="auto"/>
                <w:sz w:val="24"/>
                <w:highlight w:val="none"/>
              </w:rPr>
              <w:t>合同签订时间</w:t>
            </w:r>
          </w:p>
        </w:tc>
        <w:tc>
          <w:tcPr>
            <w:tcW w:w="3336"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left="43"/>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4"/>
                <w:highlight w:val="none"/>
              </w:rPr>
            </w:pPr>
            <w:r>
              <w:rPr>
                <w:rFonts w:hint="eastAsia" w:ascii="宋体" w:hAnsi="宋体" w:cs="宋体"/>
                <w:color w:val="auto"/>
                <w:sz w:val="24"/>
                <w:highlight w:val="none"/>
              </w:rPr>
              <w:t>付款方式</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4"/>
                <w:highlight w:val="none"/>
              </w:rPr>
            </w:pPr>
            <w:r>
              <w:rPr>
                <w:rFonts w:hint="eastAsia" w:ascii="宋体" w:hAnsi="宋体" w:cs="宋体"/>
                <w:color w:val="auto"/>
                <w:sz w:val="24"/>
                <w:highlight w:val="none"/>
              </w:rPr>
              <w:t>售后服务</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51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color w:val="auto"/>
                <w:sz w:val="24"/>
                <w:highlight w:val="none"/>
              </w:rPr>
            </w:pPr>
            <w:r>
              <w:rPr>
                <w:rFonts w:hint="eastAsia" w:ascii="宋体" w:hAnsi="宋体" w:cs="宋体"/>
                <w:color w:val="auto"/>
                <w:sz w:val="24"/>
                <w:highlight w:val="none"/>
              </w:rPr>
              <w:t>项目产品基本要求</w:t>
            </w:r>
          </w:p>
        </w:tc>
        <w:tc>
          <w:tcPr>
            <w:tcW w:w="3336"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1760"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c>
          <w:tcPr>
            <w:tcW w:w="2035"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jc w:val="center"/>
              <w:rPr>
                <w:rFonts w:hint="eastAsia" w:ascii="宋体" w:hAnsi="宋体"/>
                <w:color w:val="auto"/>
                <w:sz w:val="24"/>
                <w:highlight w:val="none"/>
              </w:rPr>
            </w:pPr>
          </w:p>
        </w:tc>
      </w:tr>
    </w:tbl>
    <w:p>
      <w:pPr>
        <w:pStyle w:val="16"/>
        <w:rPr>
          <w:rFonts w:hint="eastAsia" w:ascii="宋体" w:hAnsi="宋体"/>
          <w:color w:val="auto"/>
          <w:highlight w:val="none"/>
        </w:rPr>
      </w:pPr>
      <w:r>
        <w:rPr>
          <w:rFonts w:hint="eastAsia" w:ascii="宋体" w:hAnsi="宋体"/>
          <w:color w:val="auto"/>
          <w:highlight w:val="none"/>
        </w:rPr>
        <w:t>注：</w:t>
      </w:r>
    </w:p>
    <w:p>
      <w:pPr>
        <w:pStyle w:val="18"/>
        <w:spacing w:line="520" w:lineRule="exact"/>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 说明：应对照招标文件“第二章 采购需求”中的商务要求逐条作明确的投标响应，并作出偏离说明。</w:t>
      </w:r>
    </w:p>
    <w:p>
      <w:pPr>
        <w:pStyle w:val="16"/>
        <w:rPr>
          <w:rFonts w:ascii="宋体" w:hAnsi="宋体"/>
          <w:b w:val="0"/>
          <w:bCs w:val="0"/>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投标人应根据自身的承诺，对照招标文件要求在“偏离说明”中注明“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snapToGrid w:val="0"/>
        <w:spacing w:before="50" w:after="50"/>
        <w:rPr>
          <w:rFonts w:ascii="宋体" w:hAnsi="宋体"/>
          <w:color w:val="auto"/>
          <w:sz w:val="24"/>
          <w:highlight w:val="none"/>
        </w:rPr>
      </w:pPr>
    </w:p>
    <w:p>
      <w:pPr>
        <w:snapToGrid w:val="0"/>
        <w:spacing w:before="50" w:after="50"/>
        <w:rPr>
          <w:rFonts w:ascii="宋体" w:hAnsi="宋体"/>
          <w:color w:val="auto"/>
          <w:sz w:val="24"/>
          <w:highlight w:val="none"/>
        </w:rPr>
      </w:pPr>
    </w:p>
    <w:p>
      <w:pPr>
        <w:snapToGrid w:val="0"/>
        <w:spacing w:before="50" w:after="50"/>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（签字或者电子签名）：</w:t>
      </w:r>
      <w:r>
        <w:rPr>
          <w:rFonts w:hint="eastAsia" w:ascii="宋体" w:hAnsi="宋体"/>
          <w:color w:val="auto"/>
          <w:spacing w:val="20"/>
          <w:sz w:val="24"/>
          <w:highlight w:val="none"/>
          <w:u w:val="single"/>
        </w:rPr>
        <w:t xml:space="preserve">        </w:t>
      </w:r>
    </w:p>
    <w:p>
      <w:pPr>
        <w:snapToGrid w:val="0"/>
        <w:spacing w:before="120" w:beforeLines="50"/>
        <w:rPr>
          <w:rFonts w:hint="eastAsia" w:ascii="宋体" w:hAnsi="宋体"/>
          <w:color w:val="auto"/>
          <w:spacing w:val="20"/>
          <w:sz w:val="24"/>
          <w:highlight w:val="none"/>
        </w:rPr>
      </w:pPr>
      <w:r>
        <w:rPr>
          <w:rFonts w:hint="eastAsia" w:ascii="宋体" w:hAnsi="宋体"/>
          <w:color w:val="auto"/>
          <w:spacing w:val="20"/>
          <w:sz w:val="24"/>
          <w:highlight w:val="none"/>
        </w:rPr>
        <w:t>投标人名称（电子签章）：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120" w:beforeLines="50"/>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rPr>
          <w:rFonts w:hint="eastAsia" w:ascii="宋体" w:hAnsi="宋体"/>
          <w:color w:val="auto"/>
          <w:sz w:val="24"/>
          <w:szCs w:val="20"/>
          <w:highlight w:val="none"/>
        </w:rPr>
      </w:pPr>
    </w:p>
    <w:p>
      <w:pPr>
        <w:snapToGrid w:val="0"/>
        <w:spacing w:before="120" w:beforeLines="50" w:after="50"/>
        <w:jc w:val="left"/>
        <w:rPr>
          <w:rFonts w:ascii="宋体" w:hAnsi="宋体"/>
          <w:color w:val="auto"/>
          <w:sz w:val="24"/>
          <w:szCs w:val="20"/>
          <w:highlight w:val="none"/>
        </w:rPr>
        <w:sectPr>
          <w:footerReference r:id="rId6" w:type="first"/>
          <w:headerReference r:id="rId3" w:type="default"/>
          <w:footerReference r:id="rId4" w:type="default"/>
          <w:footerReference r:id="rId5" w:type="even"/>
          <w:pgSz w:w="11906" w:h="16838"/>
          <w:pgMar w:top="1440" w:right="1797" w:bottom="1440" w:left="1797" w:header="851" w:footer="992" w:gutter="0"/>
          <w:cols w:space="720" w:num="1"/>
          <w:docGrid w:linePitch="312" w:charSpace="0"/>
        </w:sectPr>
      </w:pPr>
    </w:p>
    <w:p>
      <w:pPr>
        <w:snapToGrid w:val="0"/>
        <w:spacing w:before="120" w:beforeLines="50" w:after="50"/>
        <w:jc w:val="left"/>
        <w:rPr>
          <w:rFonts w:hint="eastAsia" w:ascii="宋体" w:hAnsi="宋体"/>
          <w:b/>
          <w:color w:val="auto"/>
          <w:sz w:val="24"/>
          <w:highlight w:val="none"/>
        </w:rPr>
      </w:pPr>
      <w:r>
        <w:rPr>
          <w:rFonts w:hint="eastAsia" w:ascii="宋体" w:hAnsi="宋体"/>
          <w:b/>
          <w:color w:val="auto"/>
          <w:sz w:val="24"/>
          <w:highlight w:val="none"/>
        </w:rPr>
        <w:t>7.投标人业绩证明材料</w:t>
      </w:r>
    </w:p>
    <w:p>
      <w:pPr>
        <w:pStyle w:val="33"/>
        <w:snapToGrid w:val="0"/>
        <w:ind w:left="480" w:hanging="480"/>
        <w:rPr>
          <w:rFonts w:hint="eastAsia" w:ascii="宋体" w:hAnsi="宋体"/>
          <w:color w:val="auto"/>
          <w:sz w:val="24"/>
          <w:highlight w:val="none"/>
        </w:rPr>
      </w:pPr>
    </w:p>
    <w:p>
      <w:pPr>
        <w:pStyle w:val="33"/>
        <w:snapToGrid w:val="0"/>
        <w:ind w:left="480" w:hanging="480"/>
        <w:rPr>
          <w:rFonts w:hint="eastAsia" w:ascii="宋体" w:hAnsi="宋体"/>
          <w:color w:val="auto"/>
          <w:sz w:val="24"/>
          <w:highlight w:val="none"/>
        </w:rPr>
      </w:pPr>
      <w:r>
        <w:rPr>
          <w:rFonts w:hint="eastAsia" w:ascii="宋体" w:hAnsi="宋体"/>
          <w:color w:val="auto"/>
          <w:sz w:val="24"/>
          <w:highlight w:val="none"/>
        </w:rPr>
        <w:t xml:space="preserve">投标人业绩情况一览表格式： </w:t>
      </w:r>
    </w:p>
    <w:tbl>
      <w:tblPr>
        <w:tblStyle w:val="46"/>
        <w:tblW w:w="85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1770"/>
        <w:gridCol w:w="1770"/>
        <w:gridCol w:w="285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7" w:hRule="atLeast"/>
        </w:trPr>
        <w:tc>
          <w:tcPr>
            <w:tcW w:w="2132"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项目名称</w:t>
            </w:r>
          </w:p>
        </w:tc>
        <w:tc>
          <w:tcPr>
            <w:tcW w:w="1770"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合同金额</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（万元）</w:t>
            </w:r>
          </w:p>
        </w:tc>
        <w:tc>
          <w:tcPr>
            <w:tcW w:w="2856" w:type="dxa"/>
            <w:vMerge w:val="restart"/>
            <w:tcBorders>
              <w:top w:val="single" w:color="auto" w:sz="4" w:space="0"/>
              <w:left w:val="single" w:color="auto" w:sz="4" w:space="0"/>
              <w:bottom w:val="single" w:color="auto" w:sz="4" w:space="0"/>
              <w:right w:val="single" w:color="auto" w:sz="4" w:space="0"/>
            </w:tcBorders>
            <w:noWrap w:val="0"/>
            <w:vAlign w:val="center"/>
          </w:tcPr>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采购人联系人及</w:t>
            </w:r>
          </w:p>
          <w:p>
            <w:pPr>
              <w:snapToGrid w:val="0"/>
              <w:spacing w:line="240" w:lineRule="exact"/>
              <w:jc w:val="center"/>
              <w:rPr>
                <w:rFonts w:hint="eastAsia" w:ascii="宋体" w:hAnsi="宋体"/>
                <w:color w:val="auto"/>
                <w:sz w:val="24"/>
                <w:highlight w:val="none"/>
              </w:rPr>
            </w:pPr>
            <w:r>
              <w:rPr>
                <w:rFonts w:hint="eastAsia" w:ascii="宋体" w:hAnsi="宋体"/>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836" w:hRule="atLeast"/>
        </w:trPr>
        <w:tc>
          <w:tcPr>
            <w:tcW w:w="2132"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1770"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c>
          <w:tcPr>
            <w:tcW w:w="2856"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9" w:hRule="atLeast"/>
        </w:trPr>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line="24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trPr>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2132"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1770"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c>
          <w:tcPr>
            <w:tcW w:w="2856"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120" w:afterLines="50" w:line="400" w:lineRule="exact"/>
              <w:jc w:val="left"/>
              <w:rPr>
                <w:rFonts w:hint="eastAsia" w:ascii="宋体" w:hAnsi="宋体"/>
                <w:color w:val="auto"/>
                <w:sz w:val="24"/>
                <w:highlight w:val="none"/>
              </w:rPr>
            </w:pPr>
          </w:p>
        </w:tc>
      </w:tr>
    </w:tbl>
    <w:p>
      <w:pPr>
        <w:pStyle w:val="14"/>
        <w:spacing w:before="0" w:after="0" w:line="360" w:lineRule="auto"/>
        <w:contextualSpacing/>
        <w:rPr>
          <w:rFonts w:hint="eastAsia" w:ascii="宋体" w:hAnsi="宋体" w:eastAsia="宋体"/>
          <w:color w:val="auto"/>
          <w:sz w:val="24"/>
          <w:szCs w:val="24"/>
          <w:highlight w:val="none"/>
        </w:rPr>
      </w:pPr>
    </w:p>
    <w:p>
      <w:pPr>
        <w:pStyle w:val="14"/>
        <w:spacing w:before="0" w:after="0" w:line="360" w:lineRule="auto"/>
        <w:contextualSpacing/>
        <w:rPr>
          <w:rFonts w:hint="eastAsia" w:ascii="宋体" w:hAnsi="宋体" w:eastAsia="宋体"/>
          <w:color w:val="auto"/>
          <w:sz w:val="24"/>
          <w:szCs w:val="24"/>
          <w:highlight w:val="none"/>
        </w:rPr>
      </w:pPr>
      <w:r>
        <w:rPr>
          <w:rFonts w:hint="eastAsia" w:ascii="宋体" w:hAnsi="宋体" w:eastAsia="宋体"/>
          <w:color w:val="auto"/>
          <w:sz w:val="24"/>
          <w:szCs w:val="24"/>
          <w:highlight w:val="none"/>
        </w:rPr>
        <w:t>注：</w:t>
      </w:r>
      <w:r>
        <w:rPr>
          <w:rFonts w:hint="eastAsia" w:ascii="宋体" w:hAnsi="宋体"/>
          <w:color w:val="auto"/>
          <w:sz w:val="24"/>
          <w:highlight w:val="none"/>
        </w:rPr>
        <w:t>投标人根据评标标准具体要求附业绩证明材料。</w:t>
      </w:r>
    </w:p>
    <w:p>
      <w:pPr>
        <w:pStyle w:val="14"/>
        <w:spacing w:before="0" w:after="0" w:line="360" w:lineRule="auto"/>
        <w:contextualSpacing/>
        <w:jc w:val="left"/>
        <w:rPr>
          <w:rFonts w:hint="eastAsia" w:ascii="宋体" w:hAnsi="宋体" w:eastAsia="宋体"/>
          <w:color w:val="auto"/>
          <w:sz w:val="24"/>
          <w:szCs w:val="24"/>
          <w:highlight w:val="none"/>
          <w:u w:val="single"/>
        </w:rPr>
      </w:pPr>
      <w:r>
        <w:rPr>
          <w:rFonts w:hint="eastAsia" w:ascii="宋体" w:hAnsi="宋体" w:eastAsia="宋体"/>
          <w:color w:val="auto"/>
          <w:sz w:val="24"/>
          <w:szCs w:val="24"/>
          <w:highlight w:val="none"/>
        </w:rPr>
        <w:t>法定代表人或者委托代理人（签字或者电子签名）：</w:t>
      </w:r>
      <w:r>
        <w:rPr>
          <w:rFonts w:hint="eastAsia" w:ascii="宋体" w:hAnsi="宋体" w:eastAsia="宋体"/>
          <w:color w:val="auto"/>
          <w:sz w:val="24"/>
          <w:szCs w:val="24"/>
          <w:highlight w:val="none"/>
          <w:u w:val="single"/>
        </w:rPr>
        <w:t>　　　　　</w:t>
      </w:r>
    </w:p>
    <w:p>
      <w:pPr>
        <w:spacing w:line="360" w:lineRule="auto"/>
        <w:ind w:right="480"/>
        <w:contextualSpacing/>
        <w:jc w:val="left"/>
        <w:rPr>
          <w:rFonts w:hint="eastAsia" w:ascii="宋体" w:hAnsi="宋体"/>
          <w:color w:val="auto"/>
          <w:sz w:val="24"/>
          <w:szCs w:val="20"/>
          <w:highlight w:val="none"/>
        </w:rPr>
      </w:pPr>
      <w:r>
        <w:rPr>
          <w:rFonts w:hint="eastAsia" w:ascii="宋体" w:hAnsi="宋体" w:cs="Arial"/>
          <w:color w:val="auto"/>
          <w:sz w:val="24"/>
          <w:highlight w:val="none"/>
        </w:rPr>
        <w:t xml:space="preserve">投标人名称（电子签章）： </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年    月    日</w:t>
      </w:r>
    </w:p>
    <w:p>
      <w:pPr>
        <w:snapToGrid w:val="0"/>
        <w:spacing w:before="50"/>
        <w:ind w:firstLine="480" w:firstLineChars="200"/>
        <w:jc w:val="left"/>
        <w:rPr>
          <w:rFonts w:hint="eastAsia" w:ascii="宋体" w:hAnsi="宋体"/>
          <w:color w:val="auto"/>
          <w:sz w:val="24"/>
          <w:szCs w:val="20"/>
          <w:highlight w:val="none"/>
        </w:rPr>
      </w:pPr>
    </w:p>
    <w:p>
      <w:pPr>
        <w:snapToGrid w:val="0"/>
        <w:spacing w:before="50"/>
        <w:jc w:val="left"/>
        <w:rPr>
          <w:rFonts w:hint="eastAsia" w:ascii="宋体" w:hAnsi="宋体"/>
          <w:color w:val="auto"/>
          <w:sz w:val="24"/>
          <w:highlight w:val="none"/>
        </w:rPr>
      </w:pPr>
    </w:p>
    <w:p>
      <w:pPr>
        <w:snapToGrid w:val="0"/>
        <w:spacing w:before="120" w:beforeLines="50" w:after="50"/>
        <w:jc w:val="left"/>
        <w:rPr>
          <w:rFonts w:ascii="方正小标宋简体" w:hAnsi="方正小标宋简体" w:eastAsia="方正小标宋简体" w:cs="方正小标宋简体"/>
          <w:bCs/>
          <w:color w:val="auto"/>
          <w:szCs w:val="21"/>
          <w:highlight w:val="none"/>
        </w:rPr>
      </w:pPr>
      <w:r>
        <w:rPr>
          <w:rFonts w:ascii="宋体" w:hAnsi="宋体"/>
          <w:color w:val="auto"/>
          <w:sz w:val="24"/>
          <w:szCs w:val="20"/>
          <w:highlight w:val="none"/>
        </w:rPr>
        <w:br w:type="page"/>
      </w:r>
      <w:r>
        <w:rPr>
          <w:rFonts w:hint="eastAsia" w:ascii="宋体" w:hAnsi="宋体" w:eastAsia="宋体" w:cs="Times New Roman"/>
          <w:b/>
          <w:color w:val="auto"/>
          <w:sz w:val="24"/>
          <w:highlight w:val="none"/>
        </w:rPr>
        <w:t>8. 代理服务费承诺书</w:t>
      </w:r>
    </w:p>
    <w:p>
      <w:pPr>
        <w:snapToGrid w:val="0"/>
        <w:spacing w:before="120" w:beforeLines="50" w:after="50"/>
        <w:jc w:val="left"/>
        <w:rPr>
          <w:rFonts w:hint="eastAsia" w:ascii="方正小标宋简体" w:hAnsi="方正小标宋简体" w:eastAsia="方正小标宋简体" w:cs="方正小标宋简体"/>
          <w:bCs/>
          <w:color w:val="auto"/>
          <w:szCs w:val="21"/>
          <w:highlight w:val="none"/>
        </w:rPr>
      </w:pPr>
    </w:p>
    <w:p>
      <w:pPr>
        <w:snapToGrid w:val="0"/>
        <w:spacing w:before="120" w:beforeLines="50" w:after="50"/>
        <w:jc w:val="center"/>
        <w:rPr>
          <w:rFonts w:hint="eastAsia" w:ascii="方正小标宋简体" w:hAnsi="方正小标宋简体" w:eastAsia="方正小标宋简体" w:cs="方正小标宋简体"/>
          <w:bCs/>
          <w:color w:val="auto"/>
          <w:sz w:val="44"/>
          <w:szCs w:val="44"/>
          <w:highlight w:val="none"/>
        </w:rPr>
      </w:pPr>
      <w:r>
        <w:rPr>
          <w:rFonts w:hint="eastAsia" w:ascii="方正小标宋简体" w:hAnsi="方正小标宋简体" w:eastAsia="方正小标宋简体" w:cs="方正小标宋简体"/>
          <w:bCs/>
          <w:color w:val="auto"/>
          <w:sz w:val="44"/>
          <w:szCs w:val="44"/>
          <w:highlight w:val="none"/>
        </w:rPr>
        <w:t>代理服务费承诺书</w:t>
      </w:r>
    </w:p>
    <w:p>
      <w:pPr>
        <w:snapToGrid w:val="0"/>
        <w:spacing w:before="120" w:beforeLines="50" w:after="50"/>
        <w:jc w:val="center"/>
        <w:rPr>
          <w:rFonts w:hint="eastAsia" w:ascii="宋体" w:hAnsi="宋体"/>
          <w:b/>
          <w:color w:val="auto"/>
          <w:sz w:val="24"/>
          <w:highlight w:val="none"/>
        </w:rPr>
      </w:pPr>
    </w:p>
    <w:p>
      <w:pPr>
        <w:spacing w:line="360" w:lineRule="auto"/>
        <w:rPr>
          <w:rFonts w:hint="eastAsia" w:ascii="宋体" w:hAnsi="宋体"/>
          <w:b/>
          <w:bCs/>
          <w:color w:val="auto"/>
          <w:sz w:val="24"/>
          <w:highlight w:val="none"/>
        </w:rPr>
      </w:pPr>
      <w:r>
        <w:rPr>
          <w:rFonts w:hint="eastAsia" w:ascii="宋体" w:hAnsi="宋体"/>
          <w:bCs/>
          <w:color w:val="auto"/>
          <w:sz w:val="24"/>
          <w:highlight w:val="none"/>
        </w:rPr>
        <w:t>致：</w:t>
      </w:r>
      <w:r>
        <w:rPr>
          <w:rFonts w:hint="eastAsia" w:ascii="宋体" w:hAnsi="宋体"/>
          <w:color w:val="auto"/>
          <w:sz w:val="24"/>
          <w:highlight w:val="none"/>
          <w:u w:val="single"/>
        </w:rPr>
        <w:t>招标代理机构名称</w:t>
      </w:r>
      <w:r>
        <w:rPr>
          <w:rFonts w:hint="eastAsia" w:ascii="宋体" w:hAnsi="宋体"/>
          <w:color w:val="auto"/>
          <w:sz w:val="24"/>
          <w:highlight w:val="none"/>
        </w:rPr>
        <w:t>：</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本单位参加了贵方组织的</w:t>
      </w:r>
      <w:r>
        <w:rPr>
          <w:rFonts w:hint="eastAsia" w:ascii="宋体" w:hAnsi="宋体"/>
          <w:color w:val="auto"/>
          <w:sz w:val="24"/>
          <w:highlight w:val="none"/>
          <w:u w:val="single"/>
        </w:rPr>
        <w:t xml:space="preserve">  项目名称（项目编号）  </w:t>
      </w:r>
      <w:r>
        <w:rPr>
          <w:rFonts w:hint="eastAsia" w:ascii="宋体" w:hAnsi="宋体"/>
          <w:color w:val="auto"/>
          <w:sz w:val="24"/>
          <w:highlight w:val="none"/>
        </w:rPr>
        <w:t>项目， 在此说明如下：</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1.我方承诺，若本单位中标，保证在发出中标通知书之后，按本项目招标文件的规定标准向贵单位一次性足额支付代理服务费。</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2.本单位选择第</w:t>
      </w:r>
      <w:r>
        <w:rPr>
          <w:rFonts w:hint="eastAsia" w:ascii="宋体" w:hAnsi="宋体"/>
          <w:color w:val="auto"/>
          <w:sz w:val="24"/>
          <w:highlight w:val="none"/>
          <w:u w:val="single"/>
        </w:rPr>
        <w:t xml:space="preserve">     </w:t>
      </w:r>
      <w:r>
        <w:rPr>
          <w:rFonts w:hint="eastAsia" w:ascii="宋体" w:hAnsi="宋体"/>
          <w:color w:val="auto"/>
          <w:sz w:val="24"/>
          <w:highlight w:val="none"/>
        </w:rPr>
        <w:t>种方式作为代理服务费开票类型：</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第一种方式：开具增值税普通发票。开票信息如下：</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（1）公司名称</w:t>
      </w:r>
      <w:r>
        <w:rPr>
          <w:rFonts w:hint="eastAsia" w:ascii="宋体" w:hAnsi="宋体"/>
          <w:color w:val="auto"/>
          <w:sz w:val="24"/>
          <w:highlight w:val="none"/>
          <w:u w:val="single"/>
        </w:rPr>
        <w:t xml:space="preserve">_                       </w:t>
      </w:r>
      <w:r>
        <w:rPr>
          <w:rFonts w:hint="eastAsia" w:ascii="宋体" w:hAnsi="宋体"/>
          <w:color w:val="auto"/>
          <w:sz w:val="24"/>
          <w:highlight w:val="none"/>
        </w:rPr>
        <w:t>；</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（2）纳税人识别号</w:t>
      </w:r>
      <w:r>
        <w:rPr>
          <w:rFonts w:hint="eastAsia" w:ascii="宋体" w:hAnsi="宋体"/>
          <w:color w:val="auto"/>
          <w:sz w:val="24"/>
          <w:highlight w:val="none"/>
          <w:u w:val="single"/>
        </w:rPr>
        <w:t xml:space="preserve">_                   </w:t>
      </w:r>
      <w:r>
        <w:rPr>
          <w:rFonts w:hint="eastAsia" w:ascii="宋体" w:hAnsi="宋体"/>
          <w:color w:val="auto"/>
          <w:sz w:val="24"/>
          <w:highlight w:val="none"/>
        </w:rPr>
        <w:t>。</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第二种方式：开具增值税专用发票，开票信息如下：</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（1）公司名称</w:t>
      </w:r>
      <w:r>
        <w:rPr>
          <w:rFonts w:hint="eastAsia" w:ascii="宋体" w:hAnsi="宋体"/>
          <w:color w:val="auto"/>
          <w:sz w:val="24"/>
          <w:highlight w:val="none"/>
          <w:u w:val="single"/>
        </w:rPr>
        <w:t xml:space="preserve">_                           </w:t>
      </w:r>
      <w:r>
        <w:rPr>
          <w:rFonts w:hint="eastAsia" w:ascii="宋体" w:hAnsi="宋体"/>
          <w:color w:val="auto"/>
          <w:sz w:val="24"/>
          <w:highlight w:val="none"/>
        </w:rPr>
        <w:t>；</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（2）纳税人识别号</w:t>
      </w:r>
      <w:r>
        <w:rPr>
          <w:rFonts w:hint="eastAsia" w:ascii="宋体" w:hAnsi="宋体"/>
          <w:color w:val="auto"/>
          <w:sz w:val="24"/>
          <w:highlight w:val="none"/>
          <w:u w:val="single"/>
        </w:rPr>
        <w:t xml:space="preserve">_                       </w:t>
      </w:r>
      <w:r>
        <w:rPr>
          <w:rFonts w:hint="eastAsia" w:ascii="宋体" w:hAnsi="宋体"/>
          <w:color w:val="auto"/>
          <w:sz w:val="24"/>
          <w:highlight w:val="none"/>
        </w:rPr>
        <w:t>；</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（3）在税局登记的地址</w:t>
      </w:r>
      <w:r>
        <w:rPr>
          <w:rFonts w:hint="eastAsia" w:ascii="宋体" w:hAnsi="宋体"/>
          <w:color w:val="auto"/>
          <w:sz w:val="24"/>
          <w:highlight w:val="none"/>
          <w:u w:val="single"/>
        </w:rPr>
        <w:t xml:space="preserve">_                   </w:t>
      </w:r>
      <w:r>
        <w:rPr>
          <w:rFonts w:hint="eastAsia" w:ascii="宋体" w:hAnsi="宋体"/>
          <w:color w:val="auto"/>
          <w:sz w:val="24"/>
          <w:highlight w:val="none"/>
        </w:rPr>
        <w:t>；</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（4）在税局登记的电话</w:t>
      </w:r>
      <w:r>
        <w:rPr>
          <w:rFonts w:hint="eastAsia" w:ascii="宋体" w:hAnsi="宋体"/>
          <w:color w:val="auto"/>
          <w:sz w:val="24"/>
          <w:highlight w:val="none"/>
          <w:u w:val="single"/>
        </w:rPr>
        <w:t xml:space="preserve">_                   </w:t>
      </w:r>
      <w:r>
        <w:rPr>
          <w:rFonts w:hint="eastAsia" w:ascii="宋体" w:hAnsi="宋体"/>
          <w:color w:val="auto"/>
          <w:sz w:val="24"/>
          <w:highlight w:val="none"/>
        </w:rPr>
        <w:t>；</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（5）开户银行</w:t>
      </w:r>
      <w:r>
        <w:rPr>
          <w:rFonts w:hint="eastAsia" w:ascii="宋体" w:hAnsi="宋体"/>
          <w:color w:val="auto"/>
          <w:sz w:val="24"/>
          <w:highlight w:val="none"/>
          <w:u w:val="single"/>
        </w:rPr>
        <w:t xml:space="preserve">_                           </w:t>
      </w:r>
      <w:r>
        <w:rPr>
          <w:rFonts w:hint="eastAsia" w:ascii="宋体" w:hAnsi="宋体"/>
          <w:color w:val="auto"/>
          <w:sz w:val="24"/>
          <w:highlight w:val="none"/>
        </w:rPr>
        <w:t>；</w:t>
      </w:r>
    </w:p>
    <w:p>
      <w:pPr>
        <w:spacing w:line="440" w:lineRule="exact"/>
        <w:ind w:firstLine="360" w:firstLineChars="150"/>
        <w:rPr>
          <w:rFonts w:hint="eastAsia" w:ascii="宋体" w:hAnsi="宋体"/>
          <w:color w:val="auto"/>
          <w:sz w:val="24"/>
          <w:highlight w:val="none"/>
        </w:rPr>
      </w:pPr>
      <w:r>
        <w:rPr>
          <w:rFonts w:hint="eastAsia" w:ascii="宋体" w:hAnsi="宋体"/>
          <w:color w:val="auto"/>
          <w:sz w:val="24"/>
          <w:highlight w:val="none"/>
        </w:rPr>
        <w:t>（6）银行账户</w:t>
      </w:r>
      <w:r>
        <w:rPr>
          <w:rFonts w:hint="eastAsia" w:ascii="宋体" w:hAnsi="宋体"/>
          <w:color w:val="auto"/>
          <w:sz w:val="24"/>
          <w:highlight w:val="none"/>
          <w:u w:val="single"/>
        </w:rPr>
        <w:t xml:space="preserve">_                           </w:t>
      </w:r>
      <w:r>
        <w:rPr>
          <w:rFonts w:hint="eastAsia" w:ascii="宋体" w:hAnsi="宋体"/>
          <w:color w:val="auto"/>
          <w:sz w:val="24"/>
          <w:highlight w:val="none"/>
        </w:rPr>
        <w:t>。</w:t>
      </w:r>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p>
    <w:p>
      <w:pPr>
        <w:spacing w:line="440" w:lineRule="exact"/>
        <w:rPr>
          <w:rFonts w:hint="eastAsia" w:ascii="宋体" w:hAnsi="宋体"/>
          <w:color w:val="auto"/>
          <w:sz w:val="24"/>
          <w:highlight w:val="none"/>
        </w:rPr>
      </w:pPr>
    </w:p>
    <w:p>
      <w:pPr>
        <w:snapToGrid w:val="0"/>
        <w:spacing w:line="360" w:lineRule="auto"/>
        <w:ind w:left="-2" w:leftChars="-1" w:right="-817" w:rightChars="-389" w:firstLine="1920" w:firstLineChars="800"/>
        <w:rPr>
          <w:rFonts w:hint="eastAsia" w:ascii="宋体" w:hAnsi="宋体"/>
          <w:color w:val="auto"/>
          <w:sz w:val="24"/>
          <w:highlight w:val="none"/>
        </w:rPr>
      </w:pPr>
      <w:r>
        <w:rPr>
          <w:rFonts w:hint="eastAsia" w:ascii="宋体" w:hAnsi="宋体"/>
          <w:color w:val="auto"/>
          <w:sz w:val="24"/>
          <w:highlight w:val="none"/>
        </w:rPr>
        <w:t xml:space="preserve">法定代表人或者委托代理人（签字或者电子签名）： </w:t>
      </w:r>
    </w:p>
    <w:p>
      <w:pPr>
        <w:snapToGrid w:val="0"/>
        <w:spacing w:line="360" w:lineRule="auto"/>
        <w:ind w:left="-3" w:leftChars="-15" w:right="-817" w:rightChars="-389" w:hanging="28" w:hangingChars="12"/>
        <w:rPr>
          <w:rFonts w:hint="eastAsia" w:ascii="宋体" w:hAnsi="宋体"/>
          <w:color w:val="auto"/>
          <w:sz w:val="24"/>
          <w:highlight w:val="none"/>
        </w:rPr>
      </w:pPr>
      <w:r>
        <w:rPr>
          <w:rFonts w:hint="eastAsia" w:ascii="宋体" w:hAnsi="宋体"/>
          <w:color w:val="auto"/>
          <w:sz w:val="24"/>
          <w:highlight w:val="none"/>
        </w:rPr>
        <w:t xml:space="preserve">                                      供应商公章（电子签章）：</w:t>
      </w:r>
    </w:p>
    <w:p>
      <w:pPr>
        <w:snapToGrid w:val="0"/>
        <w:spacing w:line="360" w:lineRule="auto"/>
        <w:ind w:right="480" w:firstLine="240" w:firstLineChars="100"/>
        <w:jc w:val="left"/>
        <w:rPr>
          <w:rFonts w:hint="eastAsia" w:ascii="宋体" w:hAnsi="宋体"/>
          <w:color w:val="auto"/>
          <w:szCs w:val="21"/>
          <w:highlight w:val="none"/>
        </w:rPr>
      </w:pPr>
      <w:r>
        <w:rPr>
          <w:rFonts w:hint="eastAsia" w:ascii="宋体" w:hAnsi="宋体"/>
          <w:color w:val="auto"/>
          <w:sz w:val="24"/>
          <w:highlight w:val="none"/>
        </w:rPr>
        <w:t xml:space="preserve">                                    日期：    年   月   日</w:t>
      </w:r>
    </w:p>
    <w:p>
      <w:pPr>
        <w:snapToGrid w:val="0"/>
        <w:spacing w:before="120" w:beforeLines="50" w:after="50"/>
        <w:jc w:val="left"/>
        <w:rPr>
          <w:rFonts w:hint="eastAsia"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9. 设备性能配置清单格式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设备性能配置清单</w:t>
      </w:r>
    </w:p>
    <w:p>
      <w:pPr>
        <w:pStyle w:val="23"/>
        <w:rPr>
          <w:rFonts w:hint="eastAsia"/>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46"/>
        <w:tblW w:w="852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56"/>
        <w:gridCol w:w="1495"/>
        <w:gridCol w:w="992"/>
        <w:gridCol w:w="708"/>
        <w:gridCol w:w="1561"/>
        <w:gridCol w:w="1187"/>
        <w:gridCol w:w="703"/>
        <w:gridCol w:w="14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序号</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hAnsi="宋体" w:cs="Courier New"/>
                <w:color w:val="auto"/>
                <w:sz w:val="24"/>
                <w:highlight w:val="none"/>
              </w:rPr>
              <w:t>标的的名称</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数量及单位</w:t>
            </w: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品牌</w:t>
            </w:r>
          </w:p>
        </w:tc>
        <w:tc>
          <w:tcPr>
            <w:tcW w:w="156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ascii="宋体" w:hAnsi="宋体"/>
                <w:color w:val="auto"/>
                <w:sz w:val="24"/>
                <w:highlight w:val="none"/>
              </w:rPr>
            </w:pPr>
          </w:p>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规格型号</w:t>
            </w: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制造商</w:t>
            </w:r>
          </w:p>
        </w:tc>
        <w:tc>
          <w:tcPr>
            <w:tcW w:w="7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原产地</w:t>
            </w:r>
          </w:p>
        </w:tc>
        <w:tc>
          <w:tcPr>
            <w:tcW w:w="1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r>
              <w:rPr>
                <w:rFonts w:hint="eastAsia" w:ascii="宋体" w:hAnsi="宋体"/>
                <w:color w:val="auto"/>
                <w:sz w:val="24"/>
                <w:highlight w:val="none"/>
              </w:rPr>
              <w:t>参数性能、指标及配置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5" w:hRule="atLeast"/>
          <w:jc w:val="center"/>
        </w:trPr>
        <w:tc>
          <w:tcPr>
            <w:tcW w:w="45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4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561" w:type="dxa"/>
            <w:tcBorders>
              <w:top w:val="single" w:color="auto" w:sz="4" w:space="0"/>
              <w:left w:val="single" w:color="auto" w:sz="4" w:space="0"/>
              <w:bottom w:val="single" w:color="auto" w:sz="4" w:space="0"/>
              <w:right w:val="single" w:color="auto" w:sz="4" w:space="0"/>
            </w:tcBorders>
            <w:noWrap w:val="0"/>
            <w:vAlign w:val="top"/>
          </w:tcPr>
          <w:p>
            <w:pPr>
              <w:snapToGrid w:val="0"/>
              <w:spacing w:before="50" w:after="50"/>
              <w:jc w:val="center"/>
              <w:rPr>
                <w:rFonts w:hint="eastAsia" w:ascii="宋体" w:hAnsi="宋体"/>
                <w:color w:val="auto"/>
                <w:sz w:val="24"/>
                <w:highlight w:val="none"/>
              </w:rPr>
            </w:pPr>
          </w:p>
        </w:tc>
        <w:tc>
          <w:tcPr>
            <w:tcW w:w="118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70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c>
          <w:tcPr>
            <w:tcW w:w="14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50" w:after="50"/>
              <w:jc w:val="center"/>
              <w:rPr>
                <w:rFonts w:hint="eastAsia" w:ascii="宋体" w:hAnsi="宋体"/>
                <w:color w:val="auto"/>
                <w:sz w:val="24"/>
                <w:highlight w:val="none"/>
              </w:rPr>
            </w:pPr>
          </w:p>
        </w:tc>
      </w:tr>
    </w:tbl>
    <w:p>
      <w:pPr>
        <w:spacing w:line="360" w:lineRule="auto"/>
        <w:contextualSpacing/>
        <w:rPr>
          <w:rFonts w:hint="eastAsia" w:ascii="宋体" w:hAnsi="宋体"/>
          <w:color w:val="auto"/>
          <w:sz w:val="24"/>
          <w:highlight w:val="none"/>
        </w:rPr>
      </w:pPr>
      <w:r>
        <w:rPr>
          <w:rFonts w:hint="eastAsia" w:ascii="宋体" w:hAnsi="宋体"/>
          <w:color w:val="auto"/>
          <w:sz w:val="24"/>
          <w:highlight w:val="none"/>
        </w:rPr>
        <w:t>备注：</w:t>
      </w:r>
    </w:p>
    <w:p>
      <w:pPr>
        <w:spacing w:line="360" w:lineRule="auto"/>
        <w:ind w:firstLine="480" w:firstLineChars="200"/>
        <w:contextualSpacing/>
        <w:rPr>
          <w:rFonts w:hint="eastAsia" w:ascii="宋体" w:hAnsi="宋体"/>
          <w:b/>
          <w:color w:val="auto"/>
          <w:sz w:val="24"/>
          <w:highlight w:val="none"/>
        </w:rPr>
      </w:pPr>
      <w:r>
        <w:rPr>
          <w:rFonts w:hint="eastAsia" w:ascii="宋体" w:hAnsi="宋体"/>
          <w:color w:val="auto"/>
          <w:sz w:val="24"/>
          <w:highlight w:val="none"/>
          <w:lang w:val="en-US" w:eastAsia="zh-CN"/>
        </w:rPr>
        <w:t>1.</w:t>
      </w:r>
      <w:r>
        <w:rPr>
          <w:rFonts w:hint="eastAsia" w:ascii="宋体" w:hAnsi="宋体"/>
          <w:color w:val="auto"/>
          <w:sz w:val="24"/>
          <w:highlight w:val="none"/>
        </w:rPr>
        <w:t>以上设备性能配置清单中“标的的名称、数量及单位、品牌、规格型号、制造商、原产地、参数性能、指标及配置”必须如实填写完整，品牌、规格型号没有则填无，填写有缺漏</w:t>
      </w:r>
      <w:r>
        <w:rPr>
          <w:rFonts w:hint="eastAsia" w:ascii="宋体" w:hAnsi="宋体"/>
          <w:bCs/>
          <w:color w:val="auto"/>
          <w:sz w:val="24"/>
          <w:highlight w:val="none"/>
        </w:rPr>
        <w:t>的，</w:t>
      </w:r>
      <w:r>
        <w:rPr>
          <w:rFonts w:hint="eastAsia" w:ascii="宋体" w:hAnsi="宋体"/>
          <w:b/>
          <w:color w:val="auto"/>
          <w:sz w:val="24"/>
          <w:highlight w:val="none"/>
        </w:rPr>
        <w:t>作无效投标处理。</w:t>
      </w:r>
      <w:r>
        <w:rPr>
          <w:rFonts w:hint="eastAsia" w:hAnsi="宋体" w:cs="Courier New"/>
          <w:color w:val="auto"/>
          <w:sz w:val="24"/>
          <w:highlight w:val="none"/>
        </w:rPr>
        <w:t>标的的名称</w:t>
      </w:r>
      <w:r>
        <w:rPr>
          <w:rFonts w:hint="eastAsia" w:ascii="宋体" w:hAnsi="宋体"/>
          <w:color w:val="auto"/>
          <w:sz w:val="24"/>
          <w:highlight w:val="none"/>
        </w:rPr>
        <w:t>、数量及单位、品牌必须与“开标一览表”一致，</w:t>
      </w:r>
      <w:r>
        <w:rPr>
          <w:rFonts w:hint="eastAsia" w:ascii="宋体" w:hAnsi="宋体"/>
          <w:b/>
          <w:color w:val="auto"/>
          <w:sz w:val="24"/>
          <w:highlight w:val="none"/>
        </w:rPr>
        <w:t>否则按无效投标处理。</w:t>
      </w:r>
    </w:p>
    <w:p>
      <w:pPr>
        <w:pStyle w:val="15"/>
        <w:ind w:firstLine="480" w:firstLineChars="200"/>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2.投标人在投标文件中必须提交设备配置清单，如设备有配套试剂及定期更换的配件请投标时与设备一起报价，投标人自拟报价格式。</w:t>
      </w:r>
    </w:p>
    <w:p>
      <w:pPr>
        <w:spacing w:line="360" w:lineRule="auto"/>
        <w:ind w:firstLine="482" w:firstLineChars="200"/>
        <w:contextualSpacing/>
        <w:rPr>
          <w:rFonts w:hint="default" w:ascii="宋体" w:hAnsi="宋体" w:eastAsia="宋体"/>
          <w:b/>
          <w:color w:val="auto"/>
          <w:sz w:val="24"/>
          <w:highlight w:val="none"/>
          <w:lang w:val="en-US" w:eastAsia="zh-CN"/>
        </w:rPr>
      </w:pPr>
    </w:p>
    <w:p>
      <w:pPr>
        <w:spacing w:line="360" w:lineRule="auto"/>
        <w:ind w:firstLine="480" w:firstLineChars="200"/>
        <w:contextualSpacing/>
        <w:rPr>
          <w:rFonts w:hint="eastAsia" w:ascii="宋体" w:hAnsi="宋体"/>
          <w:color w:val="auto"/>
          <w:sz w:val="24"/>
          <w:highlight w:val="none"/>
        </w:rPr>
      </w:pPr>
    </w:p>
    <w:p>
      <w:pPr>
        <w:spacing w:line="360" w:lineRule="auto"/>
        <w:contextualSpacing/>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（签字或者电子签名）：</w:t>
      </w:r>
      <w:r>
        <w:rPr>
          <w:rFonts w:hint="eastAsia" w:ascii="宋体" w:hAnsi="宋体"/>
          <w:color w:val="auto"/>
          <w:spacing w:val="20"/>
          <w:sz w:val="24"/>
          <w:highlight w:val="none"/>
          <w:u w:val="single"/>
        </w:rPr>
        <w:t xml:space="preserve">        </w:t>
      </w:r>
    </w:p>
    <w:p>
      <w:pPr>
        <w:spacing w:line="360" w:lineRule="auto"/>
        <w:contextualSpacing/>
        <w:rPr>
          <w:rFonts w:hint="eastAsia" w:ascii="宋体" w:hAnsi="宋体"/>
          <w:color w:val="auto"/>
          <w:spacing w:val="20"/>
          <w:sz w:val="24"/>
          <w:highlight w:val="none"/>
        </w:rPr>
      </w:pPr>
      <w:r>
        <w:rPr>
          <w:rFonts w:hint="eastAsia" w:ascii="宋体" w:hAnsi="宋体"/>
          <w:color w:val="auto"/>
          <w:spacing w:val="20"/>
          <w:sz w:val="24"/>
          <w:highlight w:val="none"/>
        </w:rPr>
        <w:t>投标人名称（电子签章）：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pacing w:line="360" w:lineRule="auto"/>
        <w:contextualSpacing/>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after="50"/>
        <w:ind w:left="142"/>
        <w:jc w:val="left"/>
        <w:rPr>
          <w:rFonts w:hint="eastAsia"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10. 技术要求偏离表格式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技术要求偏离表</w:t>
      </w:r>
    </w:p>
    <w:p>
      <w:pPr>
        <w:pStyle w:val="23"/>
        <w:rPr>
          <w:rFonts w:hint="eastAsia" w:hAnsi="宋体"/>
          <w:color w:val="auto"/>
          <w:sz w:val="24"/>
          <w:szCs w:val="24"/>
          <w:highlight w:val="none"/>
        </w:rPr>
      </w:pPr>
      <w:r>
        <w:rPr>
          <w:rFonts w:hint="eastAsia" w:hAnsi="宋体"/>
          <w:color w:val="auto"/>
          <w:sz w:val="24"/>
          <w:szCs w:val="24"/>
          <w:highlight w:val="none"/>
        </w:rPr>
        <w:t>所投分标：</w:t>
      </w:r>
      <w:r>
        <w:rPr>
          <w:rFonts w:hint="eastAsia" w:hAnsi="宋体"/>
          <w:color w:val="auto"/>
          <w:sz w:val="24"/>
          <w:szCs w:val="24"/>
          <w:highlight w:val="none"/>
          <w:u w:val="single"/>
        </w:rPr>
        <w:t xml:space="preserve">     </w:t>
      </w:r>
      <w:r>
        <w:rPr>
          <w:rFonts w:hint="eastAsia" w:hAnsi="宋体"/>
          <w:color w:val="auto"/>
          <w:sz w:val="24"/>
          <w:szCs w:val="24"/>
          <w:highlight w:val="none"/>
        </w:rPr>
        <w:t>分标</w:t>
      </w:r>
    </w:p>
    <w:tbl>
      <w:tblPr>
        <w:tblStyle w:val="46"/>
        <w:tblW w:w="89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2143"/>
        <w:gridCol w:w="1834"/>
        <w:gridCol w:w="2181"/>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jc w:val="center"/>
        </w:trPr>
        <w:tc>
          <w:tcPr>
            <w:tcW w:w="852" w:type="dxa"/>
            <w:noWrap w:val="0"/>
            <w:vAlign w:val="center"/>
          </w:tcPr>
          <w:p>
            <w:pPr>
              <w:pStyle w:val="23"/>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项号</w:t>
            </w:r>
          </w:p>
        </w:tc>
        <w:tc>
          <w:tcPr>
            <w:tcW w:w="2143" w:type="dxa"/>
            <w:noWrap w:val="0"/>
            <w:vAlign w:val="center"/>
          </w:tcPr>
          <w:p>
            <w:pPr>
              <w:pStyle w:val="23"/>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标的的名称</w:t>
            </w:r>
          </w:p>
        </w:tc>
        <w:tc>
          <w:tcPr>
            <w:tcW w:w="1834" w:type="dxa"/>
            <w:noWrap w:val="0"/>
            <w:vAlign w:val="center"/>
          </w:tcPr>
          <w:p>
            <w:pPr>
              <w:pStyle w:val="23"/>
              <w:spacing w:line="400" w:lineRule="exact"/>
              <w:jc w:val="center"/>
              <w:rPr>
                <w:rFonts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技术要求</w:t>
            </w:r>
          </w:p>
        </w:tc>
        <w:tc>
          <w:tcPr>
            <w:tcW w:w="2181" w:type="dxa"/>
            <w:noWrap w:val="0"/>
            <w:vAlign w:val="center"/>
          </w:tcPr>
          <w:p>
            <w:pPr>
              <w:pStyle w:val="23"/>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投标响应</w:t>
            </w:r>
          </w:p>
        </w:tc>
        <w:tc>
          <w:tcPr>
            <w:tcW w:w="1934" w:type="dxa"/>
            <w:noWrap w:val="0"/>
            <w:vAlign w:val="center"/>
          </w:tcPr>
          <w:p>
            <w:pPr>
              <w:pStyle w:val="23"/>
              <w:spacing w:line="400" w:lineRule="exact"/>
              <w:jc w:val="center"/>
              <w:rPr>
                <w:rFonts w:hint="eastAsia" w:hAnsi="宋体" w:cs="Courier New"/>
                <w:color w:val="auto"/>
                <w:kern w:val="2"/>
                <w:sz w:val="24"/>
                <w:szCs w:val="24"/>
                <w:highlight w:val="none"/>
                <w:lang w:val="en-US" w:eastAsia="zh-CN"/>
              </w:rPr>
            </w:pPr>
            <w:r>
              <w:rPr>
                <w:rFonts w:hint="eastAsia" w:hAnsi="宋体" w:cs="Courier New"/>
                <w:color w:val="auto"/>
                <w:kern w:val="2"/>
                <w:sz w:val="24"/>
                <w:szCs w:val="24"/>
                <w:highlight w:val="none"/>
                <w:lang w:val="en-US" w:eastAsia="zh-CN"/>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jc w:val="center"/>
              <w:rPr>
                <w:rFonts w:hint="eastAsia" w:hAnsi="宋体" w:cs="Courier New"/>
                <w:color w:val="auto"/>
                <w:kern w:val="2"/>
                <w:sz w:val="24"/>
                <w:szCs w:val="24"/>
                <w:highlight w:val="none"/>
                <w:lang w:val="en-US" w:eastAsia="zh-CN"/>
              </w:rPr>
            </w:pPr>
          </w:p>
        </w:tc>
        <w:tc>
          <w:tcPr>
            <w:tcW w:w="2143" w:type="dxa"/>
            <w:noWrap w:val="0"/>
            <w:vAlign w:val="center"/>
          </w:tcPr>
          <w:p>
            <w:pPr>
              <w:pStyle w:val="23"/>
              <w:spacing w:line="600" w:lineRule="exact"/>
              <w:jc w:val="center"/>
              <w:rPr>
                <w:rFonts w:hint="eastAsia" w:hAnsi="宋体" w:cs="Courier New"/>
                <w:color w:val="auto"/>
                <w:kern w:val="2"/>
                <w:sz w:val="24"/>
                <w:szCs w:val="24"/>
                <w:highlight w:val="none"/>
                <w:lang w:val="en-US" w:eastAsia="zh-CN"/>
              </w:rPr>
            </w:pPr>
          </w:p>
        </w:tc>
        <w:tc>
          <w:tcPr>
            <w:tcW w:w="1834" w:type="dxa"/>
            <w:noWrap w:val="0"/>
            <w:vAlign w:val="center"/>
          </w:tcPr>
          <w:p>
            <w:pPr>
              <w:pStyle w:val="23"/>
              <w:spacing w:line="600" w:lineRule="exact"/>
              <w:jc w:val="center"/>
              <w:rPr>
                <w:rFonts w:hint="eastAsia" w:hAnsi="宋体" w:cs="Courier New"/>
                <w:color w:val="auto"/>
                <w:kern w:val="2"/>
                <w:sz w:val="24"/>
                <w:szCs w:val="24"/>
                <w:highlight w:val="none"/>
                <w:lang w:val="en-US" w:eastAsia="zh-CN"/>
              </w:rPr>
            </w:pPr>
          </w:p>
        </w:tc>
        <w:tc>
          <w:tcPr>
            <w:tcW w:w="2181" w:type="dxa"/>
            <w:noWrap w:val="0"/>
            <w:vAlign w:val="center"/>
          </w:tcPr>
          <w:p>
            <w:pPr>
              <w:pStyle w:val="23"/>
              <w:spacing w:line="600" w:lineRule="exact"/>
              <w:jc w:val="center"/>
              <w:rPr>
                <w:rFonts w:hint="eastAsia" w:hAnsi="宋体" w:cs="Courier New"/>
                <w:color w:val="auto"/>
                <w:kern w:val="2"/>
                <w:sz w:val="24"/>
                <w:szCs w:val="24"/>
                <w:highlight w:val="none"/>
                <w:lang w:val="en-US" w:eastAsia="zh-CN"/>
              </w:rPr>
            </w:pPr>
          </w:p>
        </w:tc>
        <w:tc>
          <w:tcPr>
            <w:tcW w:w="1934" w:type="dxa"/>
            <w:noWrap w:val="0"/>
            <w:vAlign w:val="center"/>
          </w:tcPr>
          <w:p>
            <w:pPr>
              <w:pStyle w:val="23"/>
              <w:spacing w:line="600" w:lineRule="exact"/>
              <w:jc w:val="center"/>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2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2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2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23"/>
              <w:spacing w:line="600" w:lineRule="exact"/>
              <w:rPr>
                <w:rFonts w:hint="eastAsia" w:hAnsi="宋体" w:cs="Courier New"/>
                <w:color w:val="auto"/>
                <w:kern w:val="2"/>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43"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834"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2181" w:type="dxa"/>
            <w:noWrap w:val="0"/>
            <w:vAlign w:val="top"/>
          </w:tcPr>
          <w:p>
            <w:pPr>
              <w:pStyle w:val="23"/>
              <w:spacing w:line="600" w:lineRule="exact"/>
              <w:rPr>
                <w:rFonts w:hint="eastAsia" w:hAnsi="宋体" w:cs="Courier New"/>
                <w:color w:val="auto"/>
                <w:kern w:val="2"/>
                <w:sz w:val="24"/>
                <w:szCs w:val="24"/>
                <w:highlight w:val="none"/>
                <w:lang w:val="en-US" w:eastAsia="zh-CN"/>
              </w:rPr>
            </w:pPr>
          </w:p>
        </w:tc>
        <w:tc>
          <w:tcPr>
            <w:tcW w:w="1934" w:type="dxa"/>
            <w:noWrap w:val="0"/>
            <w:vAlign w:val="top"/>
          </w:tcPr>
          <w:p>
            <w:pPr>
              <w:pStyle w:val="23"/>
              <w:spacing w:line="600" w:lineRule="exact"/>
              <w:rPr>
                <w:rFonts w:hint="eastAsia" w:hAnsi="宋体" w:cs="Courier New"/>
                <w:color w:val="auto"/>
                <w:kern w:val="2"/>
                <w:sz w:val="24"/>
                <w:szCs w:val="24"/>
                <w:highlight w:val="none"/>
                <w:lang w:val="en-US" w:eastAsia="zh-CN"/>
              </w:rPr>
            </w:pPr>
          </w:p>
        </w:tc>
      </w:tr>
    </w:tbl>
    <w:p>
      <w:pPr>
        <w:pStyle w:val="16"/>
        <w:rPr>
          <w:rFonts w:hint="eastAsia" w:ascii="宋体" w:hAnsi="宋体"/>
          <w:color w:val="auto"/>
          <w:highlight w:val="none"/>
        </w:rPr>
      </w:pPr>
      <w:r>
        <w:rPr>
          <w:rFonts w:hint="eastAsia" w:ascii="宋体" w:hAnsi="宋体"/>
          <w:color w:val="auto"/>
          <w:highlight w:val="none"/>
        </w:rPr>
        <w:t>注：</w:t>
      </w:r>
    </w:p>
    <w:p>
      <w:pPr>
        <w:pStyle w:val="18"/>
        <w:spacing w:line="360" w:lineRule="auto"/>
        <w:ind w:firstLine="0" w:firstLineChars="0"/>
        <w:rPr>
          <w:rFonts w:hint="eastAsia" w:hAnsi="仿宋_GB2312" w:cs="仿宋_GB2312"/>
          <w:color w:val="auto"/>
          <w:szCs w:val="32"/>
          <w:highlight w:val="none"/>
        </w:rPr>
      </w:pPr>
      <w:r>
        <w:rPr>
          <w:rFonts w:hint="eastAsia" w:ascii="宋体" w:hAnsi="宋体" w:eastAsia="宋体"/>
          <w:color w:val="auto"/>
          <w:sz w:val="24"/>
          <w:szCs w:val="24"/>
          <w:highlight w:val="none"/>
        </w:rPr>
        <w:t>1. 说明：应对照招标文件“第二章 采购需求”中的“技术要求”逐条作明确的投标响应，并作出偏离说明。</w:t>
      </w:r>
    </w:p>
    <w:p>
      <w:pPr>
        <w:pStyle w:val="16"/>
        <w:spacing w:line="360" w:lineRule="auto"/>
        <w:rPr>
          <w:rFonts w:hint="eastAsia" w:ascii="宋体" w:hAnsi="宋体"/>
          <w:b w:val="0"/>
          <w:bCs w:val="0"/>
          <w:color w:val="auto"/>
          <w:highlight w:val="none"/>
        </w:rPr>
      </w:pPr>
      <w:r>
        <w:rPr>
          <w:rFonts w:ascii="宋体" w:hAnsi="宋体"/>
          <w:b w:val="0"/>
          <w:bCs w:val="0"/>
          <w:color w:val="auto"/>
          <w:highlight w:val="none"/>
        </w:rPr>
        <w:t>2.</w:t>
      </w:r>
      <w:r>
        <w:rPr>
          <w:rFonts w:hint="eastAsia" w:ascii="宋体" w:hAnsi="宋体"/>
          <w:b w:val="0"/>
          <w:bCs w:val="0"/>
          <w:color w:val="auto"/>
          <w:highlight w:val="none"/>
        </w:rPr>
        <w:t>投标人根据投标货物的性能指标，对照招标文件技术要求，在“偏离说明”中注明“</w:t>
      </w:r>
      <w:r>
        <w:rPr>
          <w:rFonts w:hint="eastAsia" w:ascii="宋体" w:hAnsi="宋体"/>
          <w:color w:val="auto"/>
          <w:highlight w:val="none"/>
        </w:rPr>
        <w:t>正偏离</w:t>
      </w:r>
      <w:r>
        <w:rPr>
          <w:rFonts w:hint="eastAsia" w:ascii="宋体" w:hAnsi="宋体"/>
          <w:b w:val="0"/>
          <w:bCs w:val="0"/>
          <w:color w:val="auto"/>
          <w:highlight w:val="none"/>
        </w:rPr>
        <w:t>”、“</w:t>
      </w:r>
      <w:r>
        <w:rPr>
          <w:rFonts w:hint="eastAsia" w:ascii="宋体" w:hAnsi="宋体"/>
          <w:color w:val="auto"/>
          <w:highlight w:val="none"/>
        </w:rPr>
        <w:t>负偏离</w:t>
      </w:r>
      <w:r>
        <w:rPr>
          <w:rFonts w:hint="eastAsia" w:ascii="宋体" w:hAnsi="宋体"/>
          <w:b w:val="0"/>
          <w:bCs w:val="0"/>
          <w:color w:val="auto"/>
          <w:highlight w:val="none"/>
        </w:rPr>
        <w:t>”或者“</w:t>
      </w:r>
      <w:r>
        <w:rPr>
          <w:rFonts w:hint="eastAsia" w:ascii="宋体" w:hAnsi="宋体"/>
          <w:color w:val="auto"/>
          <w:highlight w:val="none"/>
        </w:rPr>
        <w:t>无偏离</w:t>
      </w:r>
      <w:r>
        <w:rPr>
          <w:rFonts w:hint="eastAsia" w:ascii="宋体" w:hAnsi="宋体"/>
          <w:b w:val="0"/>
          <w:bCs w:val="0"/>
          <w:color w:val="auto"/>
          <w:highlight w:val="none"/>
        </w:rPr>
        <w:t>”。既不属于“</w:t>
      </w:r>
      <w:r>
        <w:rPr>
          <w:rFonts w:hint="eastAsia" w:ascii="宋体" w:hAnsi="宋体"/>
          <w:color w:val="auto"/>
          <w:highlight w:val="none"/>
        </w:rPr>
        <w:t>正偏离</w:t>
      </w:r>
      <w:r>
        <w:rPr>
          <w:rFonts w:hint="eastAsia" w:ascii="宋体" w:hAnsi="宋体"/>
          <w:b w:val="0"/>
          <w:bCs w:val="0"/>
          <w:color w:val="auto"/>
          <w:highlight w:val="none"/>
        </w:rPr>
        <w:t>”也不属于“</w:t>
      </w:r>
      <w:r>
        <w:rPr>
          <w:rFonts w:hint="eastAsia" w:ascii="宋体" w:hAnsi="宋体"/>
          <w:color w:val="auto"/>
          <w:highlight w:val="none"/>
        </w:rPr>
        <w:t>负偏离</w:t>
      </w:r>
      <w:r>
        <w:rPr>
          <w:rFonts w:hint="eastAsia" w:ascii="宋体" w:hAnsi="宋体"/>
          <w:b w:val="0"/>
          <w:bCs w:val="0"/>
          <w:color w:val="auto"/>
          <w:highlight w:val="none"/>
        </w:rPr>
        <w:t>”即为“</w:t>
      </w:r>
      <w:r>
        <w:rPr>
          <w:rFonts w:hint="eastAsia" w:ascii="宋体" w:hAnsi="宋体"/>
          <w:color w:val="auto"/>
          <w:highlight w:val="none"/>
        </w:rPr>
        <w:t>无偏离</w:t>
      </w:r>
      <w:r>
        <w:rPr>
          <w:rFonts w:hint="eastAsia" w:ascii="宋体" w:hAnsi="宋体"/>
          <w:b w:val="0"/>
          <w:bCs w:val="0"/>
          <w:color w:val="auto"/>
          <w:highlight w:val="none"/>
        </w:rPr>
        <w:t>”。</w:t>
      </w:r>
    </w:p>
    <w:p>
      <w:pPr>
        <w:pStyle w:val="18"/>
        <w:spacing w:line="360" w:lineRule="auto"/>
        <w:ind w:firstLine="0" w:firstLineChars="0"/>
        <w:rPr>
          <w:rFonts w:hint="eastAsia" w:ascii="宋体" w:hAnsi="宋体" w:eastAsia="宋体"/>
          <w:color w:val="auto"/>
          <w:sz w:val="24"/>
          <w:szCs w:val="24"/>
          <w:highlight w:val="none"/>
        </w:rPr>
      </w:pPr>
      <w:r>
        <w:rPr>
          <w:rFonts w:hint="eastAsia" w:ascii="宋体" w:hAnsi="宋体" w:eastAsia="宋体"/>
          <w:color w:val="auto"/>
          <w:sz w:val="24"/>
          <w:szCs w:val="24"/>
          <w:highlight w:val="none"/>
          <w:lang w:eastAsia="zh-CN"/>
        </w:rPr>
        <w:t>3</w:t>
      </w:r>
      <w:r>
        <w:rPr>
          <w:rFonts w:ascii="宋体" w:hAnsi="宋体" w:eastAsia="宋体"/>
          <w:color w:val="auto"/>
          <w:sz w:val="24"/>
          <w:szCs w:val="24"/>
          <w:highlight w:val="none"/>
        </w:rPr>
        <w:t>.</w:t>
      </w:r>
      <w:r>
        <w:rPr>
          <w:rFonts w:hint="eastAsia" w:ascii="宋体" w:hAnsi="宋体" w:eastAsia="宋体"/>
          <w:color w:val="auto"/>
          <w:sz w:val="24"/>
          <w:szCs w:val="24"/>
          <w:highlight w:val="none"/>
        </w:rPr>
        <w:t xml:space="preserve"> 如技术要求偏离表中的投标响应与佐证材料不一致的，以佐证材料为准。</w:t>
      </w:r>
    </w:p>
    <w:p>
      <w:pPr>
        <w:spacing w:line="360" w:lineRule="auto"/>
        <w:jc w:val="left"/>
        <w:rPr>
          <w:rFonts w:hint="eastAsia" w:ascii="宋体" w:hAnsi="宋体" w:eastAsia="宋体" w:cs="宋体"/>
          <w:color w:val="auto"/>
          <w:sz w:val="24"/>
          <w:szCs w:val="24"/>
          <w:highlight w:val="none"/>
          <w:lang w:eastAsia="zh-CN"/>
        </w:rPr>
      </w:pPr>
      <w:r>
        <w:rPr>
          <w:rFonts w:hint="eastAsia" w:ascii="宋体" w:hAnsi="宋体" w:eastAsia="宋体" w:cs="宋体"/>
          <w:b/>
          <w:bCs/>
          <w:color w:val="auto"/>
          <w:sz w:val="24"/>
          <w:szCs w:val="24"/>
          <w:highlight w:val="none"/>
          <w:lang w:val="en-US" w:eastAsia="zh-CN"/>
        </w:rPr>
        <w:t>4.</w:t>
      </w:r>
      <w:r>
        <w:rPr>
          <w:rFonts w:hint="eastAsia" w:ascii="宋体" w:hAnsi="宋体" w:eastAsia="宋体" w:cs="宋体"/>
          <w:b/>
          <w:bCs/>
          <w:color w:val="auto"/>
          <w:sz w:val="24"/>
          <w:szCs w:val="24"/>
          <w:highlight w:val="none"/>
        </w:rPr>
        <w:t>采购需求中以范围值表述的技术要求，投标人须按照自身产品的实际技术参数如实响应招标文件</w:t>
      </w:r>
      <w:r>
        <w:rPr>
          <w:rFonts w:hint="eastAsia" w:ascii="宋体" w:hAnsi="宋体" w:eastAsia="宋体" w:cs="宋体"/>
          <w:color w:val="auto"/>
          <w:sz w:val="24"/>
          <w:szCs w:val="24"/>
          <w:highlight w:val="none"/>
        </w:rPr>
        <w:t>，</w:t>
      </w:r>
      <w:r>
        <w:rPr>
          <w:rFonts w:hint="eastAsia" w:ascii="宋体" w:hAnsi="宋体" w:eastAsia="宋体" w:cs="宋体"/>
          <w:b/>
          <w:bCs/>
          <w:color w:val="auto"/>
          <w:sz w:val="24"/>
          <w:szCs w:val="24"/>
          <w:highlight w:val="none"/>
        </w:rPr>
        <w:t>否则将作无效响应处理</w:t>
      </w:r>
      <w:r>
        <w:rPr>
          <w:rFonts w:hint="eastAsia" w:ascii="宋体" w:hAnsi="宋体" w:eastAsia="宋体" w:cs="宋体"/>
          <w:b/>
          <w:bCs/>
          <w:color w:val="auto"/>
          <w:sz w:val="24"/>
          <w:szCs w:val="24"/>
          <w:highlight w:val="none"/>
          <w:lang w:eastAsia="zh-CN"/>
        </w:rPr>
        <w:t>。</w:t>
      </w:r>
    </w:p>
    <w:p>
      <w:pPr>
        <w:snapToGrid w:val="0"/>
        <w:spacing w:before="50" w:after="50" w:line="360" w:lineRule="auto"/>
        <w:rPr>
          <w:rFonts w:ascii="宋体" w:hAnsi="宋体"/>
          <w:color w:val="auto"/>
          <w:sz w:val="24"/>
          <w:highlight w:val="none"/>
        </w:rPr>
      </w:pPr>
    </w:p>
    <w:p>
      <w:pPr>
        <w:snapToGrid w:val="0"/>
        <w:spacing w:before="50" w:after="50" w:line="360" w:lineRule="auto"/>
        <w:rPr>
          <w:rFonts w:hint="eastAsia" w:ascii="宋体" w:hAnsi="宋体"/>
          <w:color w:val="auto"/>
          <w:spacing w:val="20"/>
          <w:sz w:val="24"/>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（签字或者电子签名）：</w:t>
      </w:r>
      <w:r>
        <w:rPr>
          <w:rFonts w:hint="eastAsia" w:ascii="宋体" w:hAnsi="宋体"/>
          <w:color w:val="auto"/>
          <w:spacing w:val="20"/>
          <w:sz w:val="24"/>
          <w:highlight w:val="none"/>
          <w:u w:val="single"/>
        </w:rPr>
        <w:t xml:space="preserve">        </w:t>
      </w:r>
    </w:p>
    <w:p>
      <w:pPr>
        <w:snapToGrid w:val="0"/>
        <w:spacing w:before="50" w:after="50" w:line="360" w:lineRule="auto"/>
        <w:rPr>
          <w:rFonts w:hint="eastAsia" w:ascii="宋体" w:hAnsi="宋体"/>
          <w:color w:val="auto"/>
          <w:spacing w:val="20"/>
          <w:sz w:val="24"/>
          <w:highlight w:val="none"/>
        </w:rPr>
      </w:pPr>
      <w:r>
        <w:rPr>
          <w:rFonts w:hint="eastAsia" w:ascii="宋体" w:hAnsi="宋体"/>
          <w:color w:val="auto"/>
          <w:spacing w:val="20"/>
          <w:sz w:val="24"/>
          <w:highlight w:val="none"/>
        </w:rPr>
        <w:t>投标人名称（电子签章）：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napToGrid w:val="0"/>
        <w:spacing w:before="50" w:after="50" w:line="360" w:lineRule="auto"/>
        <w:rPr>
          <w:rFonts w:hint="eastAsia" w:ascii="宋体" w:hAnsi="宋体"/>
          <w:color w:val="auto"/>
          <w:spacing w:val="20"/>
          <w:sz w:val="24"/>
          <w:highlight w:val="none"/>
          <w:u w:val="singl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after="50"/>
        <w:ind w:left="142"/>
        <w:jc w:val="left"/>
        <w:rPr>
          <w:rFonts w:hint="eastAsia" w:ascii="宋体" w:hAnsi="宋体"/>
          <w:b/>
          <w:color w:val="auto"/>
          <w:sz w:val="24"/>
          <w:highlight w:val="none"/>
        </w:rPr>
      </w:pPr>
      <w:r>
        <w:rPr>
          <w:rFonts w:ascii="宋体" w:hAnsi="宋体"/>
          <w:color w:val="auto"/>
          <w:sz w:val="24"/>
          <w:szCs w:val="20"/>
          <w:highlight w:val="none"/>
        </w:rPr>
        <w:br w:type="page"/>
      </w:r>
      <w:r>
        <w:rPr>
          <w:rFonts w:hint="eastAsia" w:ascii="宋体" w:hAnsi="宋体"/>
          <w:b/>
          <w:color w:val="auto"/>
          <w:sz w:val="24"/>
          <w:highlight w:val="none"/>
        </w:rPr>
        <w:t>11. 项目实施人员一览表格式</w:t>
      </w:r>
    </w:p>
    <w:p>
      <w:pPr>
        <w:snapToGrid w:val="0"/>
        <w:spacing w:before="120" w:beforeLines="50" w:after="50"/>
        <w:ind w:left="142"/>
        <w:jc w:val="left"/>
        <w:rPr>
          <w:rFonts w:hint="eastAsia" w:ascii="宋体" w:hAnsi="宋体"/>
          <w:b/>
          <w:color w:val="auto"/>
          <w:sz w:val="24"/>
          <w:highlight w:val="none"/>
        </w:rPr>
      </w:pPr>
    </w:p>
    <w:p>
      <w:pPr>
        <w:snapToGrid w:val="0"/>
        <w:spacing w:before="120" w:beforeLines="50" w:after="50"/>
        <w:ind w:left="142"/>
        <w:jc w:val="center"/>
        <w:rPr>
          <w:rFonts w:hint="eastAsia" w:ascii="宋体" w:hAnsi="宋体"/>
          <w:b/>
          <w:color w:val="auto"/>
          <w:sz w:val="32"/>
          <w:szCs w:val="32"/>
          <w:highlight w:val="none"/>
        </w:rPr>
      </w:pPr>
      <w:r>
        <w:rPr>
          <w:rFonts w:hint="eastAsia" w:ascii="宋体" w:hAnsi="宋体"/>
          <w:b/>
          <w:color w:val="auto"/>
          <w:sz w:val="32"/>
          <w:szCs w:val="32"/>
          <w:highlight w:val="none"/>
        </w:rPr>
        <w:t>项目实施人员一览表</w:t>
      </w:r>
    </w:p>
    <w:p>
      <w:pPr>
        <w:pStyle w:val="23"/>
        <w:rPr>
          <w:rFonts w:hint="eastAsia"/>
          <w:color w:val="auto"/>
          <w:sz w:val="24"/>
          <w:szCs w:val="24"/>
          <w:highlight w:val="none"/>
        </w:rPr>
      </w:pPr>
      <w:r>
        <w:rPr>
          <w:rFonts w:hint="eastAsia"/>
          <w:color w:val="auto"/>
          <w:sz w:val="24"/>
          <w:szCs w:val="24"/>
          <w:highlight w:val="none"/>
        </w:rPr>
        <w:t>所投分标：</w:t>
      </w:r>
      <w:r>
        <w:rPr>
          <w:rFonts w:hint="eastAsia"/>
          <w:color w:val="auto"/>
          <w:sz w:val="24"/>
          <w:szCs w:val="24"/>
          <w:highlight w:val="none"/>
          <w:u w:val="single"/>
        </w:rPr>
        <w:t xml:space="preserve">     </w:t>
      </w:r>
      <w:r>
        <w:rPr>
          <w:rFonts w:hint="eastAsia"/>
          <w:color w:val="auto"/>
          <w:sz w:val="24"/>
          <w:szCs w:val="24"/>
          <w:highlight w:val="none"/>
        </w:rPr>
        <w:t>分标</w:t>
      </w:r>
    </w:p>
    <w:tbl>
      <w:tblPr>
        <w:tblStyle w:val="46"/>
        <w:tblW w:w="81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1701"/>
        <w:gridCol w:w="1420"/>
        <w:gridCol w:w="169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姓名</w:t>
            </w:r>
          </w:p>
        </w:tc>
        <w:tc>
          <w:tcPr>
            <w:tcW w:w="709"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职务</w:t>
            </w:r>
          </w:p>
        </w:tc>
        <w:tc>
          <w:tcPr>
            <w:tcW w:w="1701"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专业技术资格（职称）或者职业资格或者执业资格证或者其他证书</w:t>
            </w:r>
          </w:p>
        </w:tc>
        <w:tc>
          <w:tcPr>
            <w:tcW w:w="1420"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证书编号</w:t>
            </w:r>
          </w:p>
        </w:tc>
        <w:tc>
          <w:tcPr>
            <w:tcW w:w="1698"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参加本单位</w:t>
            </w:r>
          </w:p>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工作时间</w:t>
            </w:r>
          </w:p>
        </w:tc>
        <w:tc>
          <w:tcPr>
            <w:tcW w:w="1843" w:type="dxa"/>
            <w:noWrap w:val="0"/>
            <w:vAlign w:val="center"/>
          </w:tcPr>
          <w:p>
            <w:pPr>
              <w:snapToGrid w:val="0"/>
              <w:spacing w:before="50" w:after="120" w:afterLines="50"/>
              <w:jc w:val="center"/>
              <w:rPr>
                <w:rFonts w:hint="eastAsia" w:ascii="宋体" w:hAnsi="宋体"/>
                <w:color w:val="auto"/>
                <w:sz w:val="24"/>
                <w:szCs w:val="20"/>
                <w:highlight w:val="none"/>
              </w:rPr>
            </w:pPr>
            <w:r>
              <w:rPr>
                <w:rFonts w:hint="eastAsia" w:ascii="宋体" w:hAnsi="宋体"/>
                <w:color w:val="auto"/>
                <w:sz w:val="24"/>
                <w:szCs w:val="20"/>
                <w:highlight w:val="none"/>
              </w:rPr>
              <w:t>劳动合同编号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709"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701"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420"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698"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843" w:type="dxa"/>
            <w:noWrap w:val="0"/>
            <w:vAlign w:val="center"/>
          </w:tcPr>
          <w:p>
            <w:pPr>
              <w:snapToGrid w:val="0"/>
              <w:spacing w:before="50" w:after="120" w:afterLines="50"/>
              <w:jc w:val="center"/>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709"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701"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420"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698"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843" w:type="dxa"/>
            <w:noWrap w:val="0"/>
            <w:vAlign w:val="center"/>
          </w:tcPr>
          <w:p>
            <w:pPr>
              <w:snapToGrid w:val="0"/>
              <w:spacing w:before="50" w:after="120" w:afterLines="50"/>
              <w:jc w:val="center"/>
              <w:rPr>
                <w:rFonts w:hint="eastAsia" w:ascii="宋体" w:hAnsi="宋体"/>
                <w:color w:val="auto"/>
                <w:sz w:val="24"/>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709"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701"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420"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698" w:type="dxa"/>
            <w:noWrap w:val="0"/>
            <w:vAlign w:val="center"/>
          </w:tcPr>
          <w:p>
            <w:pPr>
              <w:snapToGrid w:val="0"/>
              <w:spacing w:before="50" w:after="120" w:afterLines="50"/>
              <w:jc w:val="center"/>
              <w:rPr>
                <w:rFonts w:hint="eastAsia" w:ascii="宋体" w:hAnsi="宋体"/>
                <w:color w:val="auto"/>
                <w:sz w:val="24"/>
                <w:szCs w:val="20"/>
                <w:highlight w:val="none"/>
              </w:rPr>
            </w:pPr>
          </w:p>
        </w:tc>
        <w:tc>
          <w:tcPr>
            <w:tcW w:w="1843" w:type="dxa"/>
            <w:noWrap w:val="0"/>
            <w:vAlign w:val="center"/>
          </w:tcPr>
          <w:p>
            <w:pPr>
              <w:snapToGrid w:val="0"/>
              <w:spacing w:before="50" w:after="120" w:afterLines="50"/>
              <w:jc w:val="center"/>
              <w:rPr>
                <w:rFonts w:hint="eastAsia" w:ascii="宋体" w:hAnsi="宋体"/>
                <w:color w:val="auto"/>
                <w:sz w:val="24"/>
                <w:szCs w:val="20"/>
                <w:highlight w:val="none"/>
              </w:rPr>
            </w:pPr>
          </w:p>
        </w:tc>
      </w:tr>
    </w:tbl>
    <w:p>
      <w:pPr>
        <w:snapToGrid w:val="0"/>
        <w:spacing w:before="50" w:after="120" w:afterLines="50"/>
        <w:jc w:val="left"/>
        <w:rPr>
          <w:rFonts w:hint="eastAsia" w:ascii="宋体" w:hAnsi="宋体"/>
          <w:color w:val="auto"/>
          <w:sz w:val="24"/>
          <w:szCs w:val="20"/>
          <w:highlight w:val="none"/>
        </w:rPr>
      </w:pP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注：</w:t>
      </w:r>
    </w:p>
    <w:p>
      <w:pPr>
        <w:spacing w:line="360" w:lineRule="auto"/>
        <w:contextualSpacing/>
        <w:jc w:val="left"/>
        <w:rPr>
          <w:rFonts w:ascii="宋体" w:hAnsi="宋体"/>
          <w:color w:val="auto"/>
          <w:sz w:val="24"/>
          <w:szCs w:val="20"/>
          <w:highlight w:val="none"/>
        </w:rPr>
      </w:pPr>
      <w:r>
        <w:rPr>
          <w:rFonts w:hint="eastAsia" w:ascii="宋体" w:hAnsi="宋体"/>
          <w:color w:val="auto"/>
          <w:sz w:val="24"/>
          <w:szCs w:val="20"/>
          <w:highlight w:val="none"/>
        </w:rPr>
        <w:t>1</w:t>
      </w:r>
      <w:r>
        <w:rPr>
          <w:rFonts w:ascii="宋体" w:hAnsi="宋体"/>
          <w:color w:val="auto"/>
          <w:sz w:val="24"/>
          <w:szCs w:val="20"/>
          <w:highlight w:val="none"/>
        </w:rPr>
        <w:t>.</w:t>
      </w:r>
      <w:r>
        <w:rPr>
          <w:rFonts w:hint="eastAsia" w:ascii="宋体" w:hAnsi="宋体"/>
          <w:color w:val="auto"/>
          <w:sz w:val="24"/>
          <w:szCs w:val="20"/>
          <w:highlight w:val="none"/>
        </w:rPr>
        <w:t>在填写时，如本表格不适合投标单位的实际情况，可根据本表格式自行制表填写。</w:t>
      </w:r>
    </w:p>
    <w:p>
      <w:pPr>
        <w:spacing w:line="360" w:lineRule="auto"/>
        <w:contextualSpacing/>
        <w:jc w:val="left"/>
        <w:rPr>
          <w:rFonts w:hint="eastAsia" w:ascii="宋体" w:hAnsi="宋体"/>
          <w:color w:val="auto"/>
          <w:sz w:val="24"/>
          <w:szCs w:val="20"/>
          <w:highlight w:val="none"/>
        </w:rPr>
      </w:pPr>
      <w:r>
        <w:rPr>
          <w:rFonts w:ascii="宋体" w:hAnsi="宋体"/>
          <w:color w:val="auto"/>
          <w:sz w:val="24"/>
          <w:szCs w:val="20"/>
          <w:highlight w:val="none"/>
        </w:rPr>
        <w:t>2.</w:t>
      </w:r>
      <w:r>
        <w:rPr>
          <w:rFonts w:hint="eastAsia" w:ascii="宋体" w:hAnsi="宋体"/>
          <w:color w:val="auto"/>
          <w:sz w:val="24"/>
          <w:szCs w:val="20"/>
          <w:highlight w:val="none"/>
        </w:rPr>
        <w:t>投标人应当附本表所列证书的复印件并加盖投标人电子签章。</w:t>
      </w:r>
    </w:p>
    <w:p>
      <w:pPr>
        <w:spacing w:line="360" w:lineRule="auto"/>
        <w:contextualSpacing/>
        <w:jc w:val="left"/>
        <w:rPr>
          <w:rFonts w:hint="eastAsia" w:ascii="宋体" w:hAnsi="宋体"/>
          <w:color w:val="auto"/>
          <w:sz w:val="24"/>
          <w:szCs w:val="20"/>
          <w:highlight w:val="none"/>
        </w:rPr>
      </w:pPr>
    </w:p>
    <w:p>
      <w:pPr>
        <w:spacing w:line="360" w:lineRule="auto"/>
        <w:contextualSpacing/>
        <w:jc w:val="left"/>
        <w:rPr>
          <w:rFonts w:hint="eastAsia" w:ascii="宋体" w:hAnsi="宋体"/>
          <w:color w:val="auto"/>
          <w:sz w:val="24"/>
          <w:szCs w:val="20"/>
          <w:highlight w:val="none"/>
        </w:rPr>
      </w:pPr>
    </w:p>
    <w:p>
      <w:pPr>
        <w:spacing w:line="360" w:lineRule="auto"/>
        <w:contextualSpacing/>
        <w:rPr>
          <w:rFonts w:hint="eastAsia" w:ascii="宋体" w:hAnsi="宋体"/>
          <w:color w:val="auto"/>
          <w:spacing w:val="20"/>
          <w:sz w:val="24"/>
          <w:szCs w:val="20"/>
          <w:highlight w:val="none"/>
          <w:u w:val="single"/>
        </w:rPr>
      </w:pPr>
      <w:r>
        <w:rPr>
          <w:rFonts w:hint="eastAsia" w:ascii="宋体" w:hAnsi="宋体"/>
          <w:color w:val="auto"/>
          <w:sz w:val="24"/>
          <w:highlight w:val="none"/>
        </w:rPr>
        <w:t>法定代表人或者委托代理人</w:t>
      </w:r>
      <w:r>
        <w:rPr>
          <w:rFonts w:hint="eastAsia" w:ascii="宋体" w:hAnsi="宋体"/>
          <w:color w:val="auto"/>
          <w:spacing w:val="20"/>
          <w:sz w:val="24"/>
          <w:highlight w:val="none"/>
        </w:rPr>
        <w:t>（签字或者电子签名）：</w:t>
      </w:r>
      <w:r>
        <w:rPr>
          <w:rFonts w:hint="eastAsia" w:ascii="宋体" w:hAnsi="宋体"/>
          <w:color w:val="auto"/>
          <w:spacing w:val="20"/>
          <w:sz w:val="24"/>
          <w:highlight w:val="none"/>
          <w:u w:val="single"/>
        </w:rPr>
        <w:t xml:space="preserve">        </w:t>
      </w:r>
    </w:p>
    <w:p>
      <w:pPr>
        <w:spacing w:line="360" w:lineRule="auto"/>
        <w:contextualSpacing/>
        <w:jc w:val="left"/>
        <w:rPr>
          <w:rFonts w:hint="eastAsia" w:ascii="宋体" w:hAnsi="宋体"/>
          <w:color w:val="auto"/>
          <w:spacing w:val="20"/>
          <w:sz w:val="24"/>
          <w:highlight w:val="none"/>
        </w:rPr>
      </w:pPr>
      <w:r>
        <w:rPr>
          <w:rFonts w:hint="eastAsia" w:ascii="宋体" w:hAnsi="宋体"/>
          <w:color w:val="auto"/>
          <w:spacing w:val="20"/>
          <w:sz w:val="24"/>
          <w:highlight w:val="none"/>
        </w:rPr>
        <w:t>投标人名称（电子签章）：</w:t>
      </w:r>
      <w:r>
        <w:rPr>
          <w:rFonts w:hint="eastAsia" w:ascii="宋体" w:hAnsi="宋体"/>
          <w:color w:val="auto"/>
          <w:spacing w:val="20"/>
          <w:sz w:val="24"/>
          <w:highlight w:val="none"/>
          <w:u w:val="single"/>
        </w:rPr>
        <w:t xml:space="preserve">            </w:t>
      </w:r>
      <w:r>
        <w:rPr>
          <w:rFonts w:hint="eastAsia" w:ascii="宋体" w:hAnsi="宋体"/>
          <w:color w:val="auto"/>
          <w:spacing w:val="20"/>
          <w:sz w:val="24"/>
          <w:highlight w:val="none"/>
        </w:rPr>
        <w:t xml:space="preserve">              </w:t>
      </w:r>
    </w:p>
    <w:p>
      <w:pPr>
        <w:spacing w:line="360" w:lineRule="auto"/>
        <w:contextualSpacing/>
        <w:jc w:val="left"/>
        <w:rPr>
          <w:rFonts w:hint="eastAsia" w:ascii="宋体" w:hAnsi="宋体"/>
          <w:color w:val="auto"/>
          <w:sz w:val="24"/>
          <w:szCs w:val="20"/>
          <w:highlight w:val="none"/>
        </w:rPr>
      </w:pPr>
      <w:r>
        <w:rPr>
          <w:rFonts w:hint="eastAsia" w:ascii="宋体" w:hAnsi="宋体"/>
          <w:color w:val="auto"/>
          <w:spacing w:val="20"/>
          <w:sz w:val="24"/>
          <w:highlight w:val="none"/>
        </w:rPr>
        <w:t>日 期：</w:t>
      </w:r>
      <w:r>
        <w:rPr>
          <w:rFonts w:hint="eastAsia" w:ascii="宋体" w:hAnsi="宋体"/>
          <w:color w:val="auto"/>
          <w:spacing w:val="20"/>
          <w:sz w:val="24"/>
          <w:highlight w:val="none"/>
          <w:u w:val="single"/>
        </w:rPr>
        <w:t xml:space="preserve">         </w:t>
      </w:r>
    </w:p>
    <w:p>
      <w:pPr>
        <w:snapToGrid w:val="0"/>
        <w:spacing w:before="120" w:beforeLines="50"/>
        <w:rPr>
          <w:rFonts w:ascii="宋体" w:hAnsi="宋体"/>
          <w:color w:val="auto"/>
          <w:sz w:val="24"/>
          <w:szCs w:val="20"/>
          <w:highlight w:val="none"/>
        </w:rPr>
        <w:sectPr>
          <w:pgSz w:w="11906" w:h="16838"/>
          <w:pgMar w:top="1440" w:right="1797" w:bottom="1440" w:left="1797" w:header="851" w:footer="992" w:gutter="0"/>
          <w:cols w:space="720" w:num="1"/>
          <w:docGrid w:linePitch="312" w:charSpace="0"/>
        </w:sectPr>
      </w:pPr>
    </w:p>
    <w:p>
      <w:pPr>
        <w:snapToGrid w:val="0"/>
        <w:spacing w:before="120" w:beforeLines="50" w:after="50"/>
        <w:ind w:left="142"/>
        <w:jc w:val="left"/>
        <w:rPr>
          <w:b/>
          <w:color w:val="auto"/>
          <w:sz w:val="28"/>
          <w:szCs w:val="28"/>
          <w:highlight w:val="none"/>
        </w:rPr>
      </w:pPr>
      <w:bookmarkStart w:id="146" w:name="_Toc19686840"/>
    </w:p>
    <w:p>
      <w:pPr>
        <w:rPr>
          <w:rFonts w:hint="eastAsia"/>
          <w:b/>
          <w:color w:val="auto"/>
          <w:sz w:val="28"/>
          <w:szCs w:val="28"/>
          <w:highlight w:val="none"/>
        </w:rPr>
      </w:pPr>
      <w:r>
        <w:rPr>
          <w:rFonts w:hint="eastAsia"/>
          <w:b/>
          <w:color w:val="auto"/>
          <w:sz w:val="28"/>
          <w:szCs w:val="28"/>
          <w:highlight w:val="none"/>
          <w:lang w:val="en-US" w:eastAsia="zh-CN"/>
        </w:rPr>
        <w:t>四</w:t>
      </w:r>
      <w:r>
        <w:rPr>
          <w:rFonts w:hint="eastAsia"/>
          <w:b/>
          <w:color w:val="auto"/>
          <w:sz w:val="28"/>
          <w:szCs w:val="28"/>
          <w:highlight w:val="none"/>
        </w:rPr>
        <w:t>、其他文书、文件格式</w:t>
      </w:r>
      <w:bookmarkEnd w:id="146"/>
    </w:p>
    <w:p>
      <w:pPr>
        <w:spacing w:before="120" w:beforeLines="50" w:after="120" w:afterLines="50" w:line="400" w:lineRule="exact"/>
        <w:rPr>
          <w:rFonts w:hint="eastAsia" w:ascii="宋体" w:hAnsi="宋体"/>
          <w:color w:val="auto"/>
          <w:sz w:val="24"/>
          <w:highlight w:val="none"/>
        </w:rPr>
      </w:pPr>
    </w:p>
    <w:p>
      <w:pPr>
        <w:pStyle w:val="8"/>
        <w:overflowPunct w:val="0"/>
        <w:spacing w:line="360" w:lineRule="auto"/>
        <w:ind w:firstLine="422" w:firstLineChars="175"/>
        <w:contextualSpacing/>
        <w:jc w:val="right"/>
        <w:rPr>
          <w:rFonts w:ascii="宋体" w:hAnsi="宋体"/>
          <w:b/>
          <w:color w:val="auto"/>
          <w:sz w:val="24"/>
          <w:highlight w:val="none"/>
        </w:rPr>
      </w:pPr>
    </w:p>
    <w:p>
      <w:pPr>
        <w:snapToGrid w:val="0"/>
        <w:spacing w:before="120" w:beforeLines="50" w:after="50"/>
        <w:jc w:val="left"/>
        <w:rPr>
          <w:rFonts w:hint="eastAsia"/>
          <w:color w:val="auto"/>
          <w:highlight w:val="none"/>
        </w:rPr>
      </w:pPr>
      <w:r>
        <w:rPr>
          <w:rFonts w:hint="eastAsia" w:ascii="宋体" w:hAnsi="宋体"/>
          <w:b/>
          <w:color w:val="auto"/>
          <w:sz w:val="24"/>
          <w:highlight w:val="none"/>
        </w:rPr>
        <w:t xml:space="preserve"> 1.中小企业声明函格式</w:t>
      </w:r>
    </w:p>
    <w:p>
      <w:pPr>
        <w:rPr>
          <w:rFonts w:hint="eastAsia"/>
          <w:color w:val="auto"/>
          <w:highlight w:val="none"/>
        </w:rPr>
      </w:pPr>
    </w:p>
    <w:p>
      <w:pPr>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中小企业声明函（货物）</w:t>
      </w:r>
    </w:p>
    <w:p>
      <w:pPr>
        <w:spacing w:before="2" w:line="500" w:lineRule="exact"/>
        <w:rPr>
          <w:rFonts w:ascii="宋体" w:hAnsi="宋体" w:cs="宋体"/>
          <w:b/>
          <w:bCs/>
          <w:color w:val="auto"/>
          <w:sz w:val="27"/>
          <w:szCs w:val="27"/>
          <w:highlight w:val="none"/>
        </w:rPr>
      </w:pPr>
    </w:p>
    <w:p>
      <w:pPr>
        <w:pStyle w:val="17"/>
        <w:spacing w:line="360" w:lineRule="auto"/>
        <w:ind w:left="-426" w:leftChars="-203" w:right="142" w:firstLine="480" w:firstLineChars="200"/>
        <w:contextualSpacing/>
        <w:rPr>
          <w:rFonts w:ascii="宋体" w:hAnsi="宋体"/>
          <w:color w:val="auto"/>
          <w:kern w:val="24"/>
          <w:highlight w:val="none"/>
        </w:rPr>
      </w:pPr>
      <w:r>
        <w:rPr>
          <w:rFonts w:ascii="宋体" w:hAnsi="宋体"/>
          <w:color w:val="auto"/>
          <w:kern w:val="24"/>
          <w:highlight w:val="none"/>
        </w:rPr>
        <w:t>本公司（联合体）郑重声明，根据《政府采购促进中小企业发展管理办法》（财库﹝2020﹞46号）的规定，本公司（联合体）参加</w:t>
      </w:r>
      <w:r>
        <w:rPr>
          <w:rFonts w:ascii="宋体" w:hAnsi="宋体"/>
          <w:color w:val="auto"/>
          <w:kern w:val="24"/>
          <w:highlight w:val="none"/>
          <w:u w:val="single"/>
        </w:rPr>
        <w:t>（单位名称）</w:t>
      </w:r>
      <w:r>
        <w:rPr>
          <w:rFonts w:ascii="宋体" w:hAnsi="宋体"/>
          <w:color w:val="auto"/>
          <w:kern w:val="24"/>
          <w:highlight w:val="none"/>
        </w:rPr>
        <w:t>的</w:t>
      </w:r>
      <w:r>
        <w:rPr>
          <w:rFonts w:ascii="宋体" w:hAnsi="宋体"/>
          <w:color w:val="auto"/>
          <w:kern w:val="24"/>
          <w:highlight w:val="none"/>
          <w:u w:val="single"/>
        </w:rPr>
        <w:t>（项目名称）</w:t>
      </w:r>
      <w:r>
        <w:rPr>
          <w:rFonts w:ascii="宋体" w:hAnsi="宋体"/>
          <w:color w:val="auto"/>
          <w:kern w:val="24"/>
          <w:highlight w:val="none"/>
        </w:rPr>
        <w:t>采购活动，提供的货物全部由符合政策要求的中小企业制造。相关企业（含联合体中的中小企业、签订分包意向协议的中小企业）的具体情况如下：</w:t>
      </w:r>
    </w:p>
    <w:p>
      <w:pPr>
        <w:tabs>
          <w:tab w:val="left" w:pos="1384"/>
          <w:tab w:val="left" w:pos="4562"/>
          <w:tab w:val="left" w:pos="6803"/>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1.</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tabs>
          <w:tab w:val="left" w:pos="1065"/>
          <w:tab w:val="left" w:pos="6477"/>
        </w:tabs>
        <w:spacing w:line="360" w:lineRule="auto"/>
        <w:ind w:left="-426" w:right="-58" w:firstLine="655"/>
        <w:contextualSpacing/>
        <w:rPr>
          <w:rFonts w:ascii="宋体" w:hAnsi="宋体"/>
          <w:color w:val="auto"/>
          <w:kern w:val="24"/>
          <w:sz w:val="24"/>
          <w:highlight w:val="none"/>
        </w:rPr>
      </w:pPr>
      <w:r>
        <w:rPr>
          <w:rFonts w:ascii="宋体" w:hAnsi="宋体"/>
          <w:color w:val="auto"/>
          <w:kern w:val="24"/>
          <w:sz w:val="24"/>
          <w:highlight w:val="none"/>
        </w:rPr>
        <w:t>2.</w:t>
      </w:r>
      <w:r>
        <w:rPr>
          <w:rFonts w:ascii="宋体" w:hAnsi="宋体"/>
          <w:color w:val="auto"/>
          <w:kern w:val="24"/>
          <w:sz w:val="24"/>
          <w:highlight w:val="none"/>
          <w:u w:val="single"/>
        </w:rPr>
        <w:t>（标的名称）</w:t>
      </w:r>
      <w:r>
        <w:rPr>
          <w:rFonts w:ascii="宋体" w:hAnsi="宋体"/>
          <w:color w:val="auto"/>
          <w:kern w:val="24"/>
          <w:sz w:val="24"/>
          <w:highlight w:val="none"/>
        </w:rPr>
        <w:t>，属于</w:t>
      </w:r>
      <w:r>
        <w:rPr>
          <w:rFonts w:ascii="宋体" w:hAnsi="宋体"/>
          <w:color w:val="auto"/>
          <w:kern w:val="24"/>
          <w:sz w:val="24"/>
          <w:highlight w:val="none"/>
          <w:u w:val="single"/>
        </w:rPr>
        <w:t>（采购文件中明确的所属行业）</w:t>
      </w:r>
      <w:r>
        <w:rPr>
          <w:rFonts w:ascii="宋体" w:hAnsi="宋体"/>
          <w:color w:val="auto"/>
          <w:kern w:val="24"/>
          <w:sz w:val="24"/>
          <w:highlight w:val="none"/>
        </w:rPr>
        <w:t>行业；制造商为</w:t>
      </w:r>
      <w:r>
        <w:rPr>
          <w:rFonts w:ascii="宋体" w:hAnsi="宋体"/>
          <w:color w:val="auto"/>
          <w:kern w:val="24"/>
          <w:sz w:val="24"/>
          <w:highlight w:val="none"/>
          <w:u w:val="single"/>
        </w:rPr>
        <w:t>（企业名称）</w:t>
      </w:r>
      <w:r>
        <w:rPr>
          <w:rFonts w:ascii="宋体" w:hAnsi="宋体"/>
          <w:color w:val="auto"/>
          <w:kern w:val="24"/>
          <w:sz w:val="24"/>
          <w:highlight w:val="none"/>
        </w:rPr>
        <w:t>，从业人员</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人，营业收入为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万元，资产总额为</w:t>
      </w:r>
      <w:r>
        <w:rPr>
          <w:rFonts w:hint="eastAsia" w:ascii="宋体" w:hAnsi="宋体"/>
          <w:color w:val="auto"/>
          <w:kern w:val="24"/>
          <w:sz w:val="24"/>
          <w:highlight w:val="none"/>
          <w:u w:val="single"/>
        </w:rPr>
        <w:t xml:space="preserve"> </w:t>
      </w:r>
      <w:r>
        <w:rPr>
          <w:rFonts w:ascii="宋体" w:hAnsi="宋体"/>
          <w:color w:val="auto"/>
          <w:kern w:val="24"/>
          <w:sz w:val="24"/>
          <w:highlight w:val="none"/>
          <w:u w:val="single"/>
        </w:rPr>
        <w:t xml:space="preserve">     </w:t>
      </w:r>
      <w:r>
        <w:rPr>
          <w:rFonts w:ascii="宋体" w:hAnsi="宋体"/>
          <w:color w:val="auto"/>
          <w:kern w:val="24"/>
          <w:sz w:val="24"/>
          <w:highlight w:val="none"/>
        </w:rPr>
        <w:t>万元，属于</w:t>
      </w:r>
      <w:r>
        <w:rPr>
          <w:rFonts w:ascii="宋体" w:hAnsi="宋体"/>
          <w:color w:val="auto"/>
          <w:kern w:val="24"/>
          <w:sz w:val="24"/>
          <w:highlight w:val="none"/>
          <w:u w:val="single"/>
        </w:rPr>
        <w:t>（中型企业、小型企业、微型企业）</w:t>
      </w:r>
      <w:r>
        <w:rPr>
          <w:rFonts w:ascii="宋体" w:hAnsi="宋体"/>
          <w:color w:val="auto"/>
          <w:kern w:val="24"/>
          <w:sz w:val="24"/>
          <w:highlight w:val="none"/>
        </w:rPr>
        <w:t>；</w:t>
      </w:r>
    </w:p>
    <w:p>
      <w:pPr>
        <w:pStyle w:val="17"/>
        <w:spacing w:line="360" w:lineRule="auto"/>
        <w:ind w:left="142" w:right="142"/>
        <w:contextualSpacing/>
        <w:rPr>
          <w:rFonts w:ascii="宋体" w:hAnsi="宋体"/>
          <w:color w:val="auto"/>
          <w:kern w:val="24"/>
          <w:highlight w:val="none"/>
        </w:rPr>
      </w:pPr>
      <w:r>
        <w:rPr>
          <w:rFonts w:ascii="宋体" w:hAnsi="宋体"/>
          <w:color w:val="auto"/>
          <w:kern w:val="24"/>
          <w:highlight w:val="none"/>
        </w:rPr>
        <w:t xml:space="preserve">…… </w:t>
      </w:r>
    </w:p>
    <w:p>
      <w:pPr>
        <w:pStyle w:val="17"/>
        <w:spacing w:line="360" w:lineRule="auto"/>
        <w:ind w:left="-405" w:leftChars="-193" w:right="142" w:firstLine="453" w:firstLineChars="189"/>
        <w:contextualSpacing/>
        <w:rPr>
          <w:rFonts w:ascii="宋体" w:hAnsi="宋体"/>
          <w:color w:val="auto"/>
          <w:kern w:val="24"/>
          <w:highlight w:val="none"/>
        </w:rPr>
      </w:pPr>
      <w:r>
        <w:rPr>
          <w:rFonts w:ascii="宋体" w:hAnsi="宋体"/>
          <w:color w:val="auto"/>
          <w:kern w:val="24"/>
          <w:highlight w:val="none"/>
        </w:rPr>
        <w:t>以上企业，不属于大企业的分支机构，不存在控股股东为大企业的情形，也不存在与大企业的负责人为同一人的情形。</w:t>
      </w:r>
    </w:p>
    <w:p>
      <w:pPr>
        <w:pStyle w:val="17"/>
        <w:spacing w:line="360" w:lineRule="auto"/>
        <w:ind w:left="-426" w:right="142" w:firstLine="567"/>
        <w:contextualSpacing/>
        <w:rPr>
          <w:rFonts w:ascii="宋体" w:hAnsi="宋体"/>
          <w:color w:val="auto"/>
          <w:kern w:val="24"/>
          <w:highlight w:val="none"/>
        </w:rPr>
      </w:pPr>
      <w:r>
        <w:rPr>
          <w:rFonts w:ascii="宋体" w:hAnsi="宋体"/>
          <w:color w:val="auto"/>
          <w:kern w:val="24"/>
          <w:highlight w:val="none"/>
        </w:rPr>
        <w:t>本企业对上述声明内容的真实性负责。如有虚假，将依法承担相应责任。</w:t>
      </w:r>
    </w:p>
    <w:p>
      <w:pPr>
        <w:pStyle w:val="17"/>
        <w:spacing w:line="360" w:lineRule="auto"/>
        <w:ind w:left="3960" w:right="1808"/>
        <w:contextualSpacing/>
        <w:rPr>
          <w:rFonts w:hint="eastAsia" w:ascii="宋体" w:hAnsi="宋体"/>
          <w:color w:val="auto"/>
          <w:kern w:val="24"/>
          <w:highlight w:val="none"/>
        </w:rPr>
      </w:pPr>
    </w:p>
    <w:p>
      <w:pPr>
        <w:pStyle w:val="17"/>
        <w:spacing w:line="360" w:lineRule="auto"/>
        <w:ind w:left="3960" w:right="1808"/>
        <w:contextualSpacing/>
        <w:rPr>
          <w:rFonts w:ascii="宋体" w:hAnsi="宋体"/>
          <w:color w:val="auto"/>
          <w:kern w:val="24"/>
          <w:highlight w:val="none"/>
        </w:rPr>
      </w:pPr>
      <w:r>
        <w:rPr>
          <w:rFonts w:ascii="宋体" w:hAnsi="宋体"/>
          <w:color w:val="auto"/>
          <w:kern w:val="24"/>
          <w:highlight w:val="none"/>
        </w:rPr>
        <w:t>企业名称（</w:t>
      </w:r>
      <w:r>
        <w:rPr>
          <w:rFonts w:hint="eastAsia" w:ascii="宋体" w:hAnsi="宋体"/>
          <w:color w:val="auto"/>
          <w:kern w:val="24"/>
          <w:highlight w:val="none"/>
        </w:rPr>
        <w:t>电子签章</w:t>
      </w:r>
      <w:r>
        <w:rPr>
          <w:rFonts w:ascii="宋体" w:hAnsi="宋体"/>
          <w:color w:val="auto"/>
          <w:kern w:val="24"/>
          <w:highlight w:val="none"/>
        </w:rPr>
        <w:t xml:space="preserve">）： </w:t>
      </w:r>
    </w:p>
    <w:p>
      <w:pPr>
        <w:pStyle w:val="17"/>
        <w:spacing w:line="360" w:lineRule="auto"/>
        <w:ind w:left="3960" w:right="1808"/>
        <w:contextualSpacing/>
        <w:rPr>
          <w:rFonts w:ascii="宋体" w:hAnsi="宋体"/>
          <w:color w:val="auto"/>
          <w:kern w:val="24"/>
          <w:highlight w:val="none"/>
        </w:rPr>
      </w:pPr>
      <w:r>
        <w:rPr>
          <w:rFonts w:ascii="宋体" w:hAnsi="宋体"/>
          <w:color w:val="auto"/>
          <w:kern w:val="24"/>
          <w:highlight w:val="none"/>
        </w:rPr>
        <w:t>日</w:t>
      </w:r>
      <w:r>
        <w:rPr>
          <w:rFonts w:hint="eastAsia" w:ascii="宋体" w:hAnsi="宋体"/>
          <w:color w:val="auto"/>
          <w:kern w:val="24"/>
          <w:highlight w:val="none"/>
        </w:rPr>
        <w:t xml:space="preserve"> </w:t>
      </w:r>
      <w:r>
        <w:rPr>
          <w:rFonts w:ascii="宋体" w:hAnsi="宋体"/>
          <w:color w:val="auto"/>
          <w:kern w:val="24"/>
          <w:highlight w:val="none"/>
        </w:rPr>
        <w:t>期：</w:t>
      </w:r>
    </w:p>
    <w:p>
      <w:pPr>
        <w:pStyle w:val="17"/>
        <w:spacing w:line="360" w:lineRule="auto"/>
        <w:ind w:left="3960" w:right="1808"/>
        <w:contextualSpacing/>
        <w:rPr>
          <w:rFonts w:ascii="宋体" w:hAnsi="宋体"/>
          <w:color w:val="auto"/>
          <w:kern w:val="24"/>
          <w:highlight w:val="none"/>
        </w:rPr>
      </w:pPr>
    </w:p>
    <w:p>
      <w:pPr>
        <w:pStyle w:val="17"/>
        <w:spacing w:line="360" w:lineRule="auto"/>
        <w:ind w:left="-426" w:right="142" w:firstLine="567"/>
        <w:contextualSpacing/>
        <w:rPr>
          <w:rFonts w:hint="eastAsia" w:ascii="宋体" w:hAnsi="宋体"/>
          <w:color w:val="auto"/>
          <w:kern w:val="24"/>
          <w:highlight w:val="none"/>
        </w:rPr>
      </w:pPr>
      <w:r>
        <w:rPr>
          <w:rFonts w:hint="eastAsia" w:ascii="宋体" w:hAnsi="宋体"/>
          <w:color w:val="auto"/>
          <w:kern w:val="24"/>
          <w:highlight w:val="none"/>
        </w:rPr>
        <w:t>注：享受《政府采购促进中小企业发展管理办法》（财库〔2020〕46号）规定的中小企业扶持政策的，采购人、采购代理机构应当随中标结果公开中标供应商的《中小企业声明函》。从业人员、营业收入、资产总额填报上一年度数据，无上一年度数据的新成立企业可不填报。</w:t>
      </w:r>
    </w:p>
    <w:p>
      <w:pPr>
        <w:rPr>
          <w:rFonts w:hint="eastAsia" w:ascii="宋体" w:hAnsi="宋体"/>
          <w:b/>
          <w:color w:val="auto"/>
          <w:sz w:val="24"/>
          <w:highlight w:val="none"/>
        </w:rPr>
      </w:pPr>
      <w:r>
        <w:rPr>
          <w:rFonts w:hint="eastAsia" w:ascii="宋体" w:hAnsi="宋体"/>
          <w:b/>
          <w:color w:val="auto"/>
          <w:sz w:val="24"/>
          <w:highlight w:val="none"/>
        </w:rPr>
        <w:t>2.残疾人福利性单位声明函格式</w:t>
      </w:r>
    </w:p>
    <w:p>
      <w:pPr>
        <w:spacing w:line="588" w:lineRule="exact"/>
        <w:jc w:val="center"/>
        <w:rPr>
          <w:rFonts w:hint="eastAsia" w:ascii="仿宋_GB2312" w:eastAsia="仿宋_GB2312"/>
          <w:b/>
          <w:color w:val="auto"/>
          <w:spacing w:val="6"/>
          <w:sz w:val="32"/>
          <w:szCs w:val="32"/>
          <w:highlight w:val="none"/>
        </w:rPr>
      </w:pPr>
      <w:bookmarkStart w:id="147" w:name="OLE_LINK14"/>
      <w:bookmarkStart w:id="148" w:name="OLE_LINK13"/>
    </w:p>
    <w:p>
      <w:pPr>
        <w:spacing w:line="588" w:lineRule="exact"/>
        <w:jc w:val="center"/>
        <w:rPr>
          <w:rFonts w:hint="eastAsia" w:ascii="方正小标宋简体" w:hAnsi="方正小标宋简体" w:eastAsia="方正小标宋简体" w:cs="方正小标宋简体"/>
          <w:bCs/>
          <w:color w:val="auto"/>
          <w:spacing w:val="6"/>
          <w:sz w:val="44"/>
          <w:szCs w:val="44"/>
          <w:highlight w:val="none"/>
        </w:rPr>
      </w:pPr>
      <w:r>
        <w:rPr>
          <w:rFonts w:hint="eastAsia" w:ascii="方正小标宋简体" w:hAnsi="方正小标宋简体" w:eastAsia="方正小标宋简体" w:cs="方正小标宋简体"/>
          <w:bCs/>
          <w:color w:val="auto"/>
          <w:spacing w:val="6"/>
          <w:sz w:val="44"/>
          <w:szCs w:val="44"/>
          <w:highlight w:val="none"/>
        </w:rPr>
        <w:t>残疾人福利性单位声明函</w:t>
      </w:r>
    </w:p>
    <w:bookmarkEnd w:id="147"/>
    <w:bookmarkEnd w:id="148"/>
    <w:p>
      <w:pPr>
        <w:spacing w:line="588" w:lineRule="exact"/>
        <w:rPr>
          <w:rFonts w:ascii="仿宋_GB2312" w:eastAsia="仿宋_GB2312"/>
          <w:b/>
          <w:color w:val="auto"/>
          <w:spacing w:val="6"/>
          <w:sz w:val="30"/>
          <w:szCs w:val="30"/>
          <w:highlight w:val="none"/>
        </w:rPr>
      </w:pP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本单位郑重声明，根据《财政部 民政部 中国残疾人联合会关于促进残疾人就业政府采购政策的通知》（财库</w:t>
      </w:r>
      <w:r>
        <w:rPr>
          <w:rFonts w:hint="eastAsia" w:ascii="宋体" w:hAnsi="宋体"/>
          <w:color w:val="auto"/>
          <w:sz w:val="24"/>
          <w:highlight w:val="none"/>
        </w:rPr>
        <w:t>〔2017〕 141</w:t>
      </w:r>
      <w:r>
        <w:rPr>
          <w:rFonts w:hint="eastAsia" w:ascii="宋体" w:hAnsi="宋体"/>
          <w:color w:val="auto"/>
          <w:spacing w:val="6"/>
          <w:sz w:val="24"/>
          <w:highlight w:val="none"/>
        </w:rPr>
        <w:t>号）的规定，本单位为符合条件的残疾人福利性单位，且本单位参加______单位的______项目采购活动提供本单位制造的货物（由本单位承担工程/提供服务），或者提供其他残</w:t>
      </w:r>
      <w:r>
        <w:rPr>
          <w:rFonts w:hint="eastAsia" w:ascii="宋体" w:hAnsi="宋体"/>
          <w:color w:val="auto"/>
          <w:spacing w:val="-6"/>
          <w:sz w:val="24"/>
          <w:highlight w:val="none"/>
        </w:rPr>
        <w:t>疾人福利性单位制造的货物（不包括使用非残疾人福利性单位注册商标的货物）。</w:t>
      </w:r>
    </w:p>
    <w:p>
      <w:pPr>
        <w:spacing w:line="360" w:lineRule="auto"/>
        <w:ind w:firstLine="504" w:firstLineChars="200"/>
        <w:contextualSpacing/>
        <w:rPr>
          <w:rFonts w:ascii="宋体" w:hAnsi="宋体"/>
          <w:color w:val="auto"/>
          <w:spacing w:val="6"/>
          <w:sz w:val="24"/>
          <w:highlight w:val="none"/>
        </w:rPr>
      </w:pPr>
      <w:r>
        <w:rPr>
          <w:rFonts w:hint="eastAsia" w:ascii="宋体" w:hAnsi="宋体"/>
          <w:color w:val="auto"/>
          <w:spacing w:val="6"/>
          <w:sz w:val="24"/>
          <w:highlight w:val="none"/>
        </w:rPr>
        <w:t>本单位对上述声明的真实性负责。如有虚假，将依法承担相应责任。</w:t>
      </w:r>
    </w:p>
    <w:p>
      <w:pPr>
        <w:spacing w:line="360" w:lineRule="auto"/>
        <w:ind w:firstLine="504" w:firstLineChars="200"/>
        <w:contextualSpacing/>
        <w:rPr>
          <w:rFonts w:ascii="宋体" w:hAnsi="宋体"/>
          <w:color w:val="auto"/>
          <w:spacing w:val="6"/>
          <w:sz w:val="24"/>
          <w:highlight w:val="none"/>
        </w:rPr>
      </w:pPr>
    </w:p>
    <w:p>
      <w:pPr>
        <w:spacing w:line="360" w:lineRule="auto"/>
        <w:ind w:firstLine="504" w:firstLineChars="200"/>
        <w:contextualSpacing/>
        <w:rPr>
          <w:rFonts w:ascii="宋体" w:hAnsi="宋体"/>
          <w:color w:val="auto"/>
          <w:spacing w:val="6"/>
          <w:sz w:val="24"/>
          <w:highlight w:val="none"/>
        </w:rPr>
      </w:pP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单位名称（电子签章）：</w:t>
      </w:r>
    </w:p>
    <w:p>
      <w:pPr>
        <w:tabs>
          <w:tab w:val="left" w:pos="4860"/>
        </w:tabs>
        <w:spacing w:line="360" w:lineRule="auto"/>
        <w:ind w:right="1560" w:firstLine="504" w:firstLineChars="200"/>
        <w:contextualSpacing/>
        <w:jc w:val="center"/>
        <w:rPr>
          <w:rFonts w:ascii="宋体" w:hAnsi="宋体"/>
          <w:color w:val="auto"/>
          <w:spacing w:val="6"/>
          <w:sz w:val="24"/>
          <w:highlight w:val="none"/>
        </w:rPr>
      </w:pPr>
      <w:r>
        <w:rPr>
          <w:rFonts w:hint="eastAsia" w:ascii="宋体" w:hAnsi="宋体"/>
          <w:color w:val="auto"/>
          <w:spacing w:val="6"/>
          <w:sz w:val="24"/>
          <w:highlight w:val="none"/>
        </w:rPr>
        <w:t>日  期：</w:t>
      </w:r>
    </w:p>
    <w:p>
      <w:pPr>
        <w:spacing w:line="360" w:lineRule="auto"/>
        <w:contextualSpacing/>
        <w:rPr>
          <w:rFonts w:ascii="宋体" w:hAnsi="宋体"/>
          <w:color w:val="auto"/>
          <w:sz w:val="24"/>
          <w:highlight w:val="none"/>
        </w:rPr>
      </w:pPr>
    </w:p>
    <w:p>
      <w:pPr>
        <w:spacing w:line="360" w:lineRule="auto"/>
        <w:contextualSpacing/>
        <w:rPr>
          <w:rFonts w:hint="eastAsia" w:ascii="宋体" w:hAnsi="宋体"/>
          <w:color w:val="auto"/>
          <w:sz w:val="24"/>
          <w:highlight w:val="none"/>
        </w:rPr>
      </w:pPr>
    </w:p>
    <w:p>
      <w:pPr>
        <w:spacing w:line="360" w:lineRule="auto"/>
        <w:contextualSpacing/>
        <w:rPr>
          <w:rFonts w:ascii="宋体" w:hAnsi="宋体"/>
          <w:color w:val="auto"/>
          <w:sz w:val="24"/>
          <w:highlight w:val="none"/>
        </w:rPr>
      </w:pPr>
    </w:p>
    <w:p>
      <w:pPr>
        <w:spacing w:line="360" w:lineRule="auto"/>
        <w:contextualSpacing/>
        <w:rPr>
          <w:rFonts w:ascii="宋体" w:hAnsi="宋体"/>
          <w:color w:val="auto"/>
          <w:sz w:val="24"/>
          <w:highlight w:val="none"/>
        </w:rPr>
      </w:pPr>
      <w:r>
        <w:rPr>
          <w:rFonts w:hint="eastAsia" w:ascii="宋体" w:hAnsi="宋体"/>
          <w:color w:val="auto"/>
          <w:sz w:val="24"/>
          <w:highlight w:val="none"/>
        </w:rPr>
        <w:t>注：请根据自己的真实情况出具《残疾人福利性单位声明函》。依法享受中小企业优惠政策的，采购人或者采购代理机构在公告中标结果时，同时公告其《残疾人福利性单位声明函》，接受社会监督。</w:t>
      </w:r>
    </w:p>
    <w:p>
      <w:pPr>
        <w:spacing w:line="360" w:lineRule="auto"/>
        <w:jc w:val="left"/>
        <w:rPr>
          <w:rFonts w:hint="eastAsia" w:ascii="宋体" w:hAnsi="宋体"/>
          <w:b/>
          <w:bCs/>
          <w:color w:val="auto"/>
          <w:sz w:val="32"/>
          <w:szCs w:val="32"/>
          <w:highlight w:val="none"/>
        </w:rPr>
      </w:pPr>
      <w:r>
        <w:rPr>
          <w:rFonts w:ascii="宋体" w:hAnsi="宋体"/>
          <w:color w:val="auto"/>
          <w:sz w:val="24"/>
          <w:highlight w:val="none"/>
        </w:rPr>
        <w:br w:type="page"/>
      </w:r>
      <w:r>
        <w:rPr>
          <w:rFonts w:hint="eastAsia" w:ascii="宋体" w:hAnsi="宋体"/>
          <w:b/>
          <w:color w:val="auto"/>
          <w:sz w:val="24"/>
          <w:highlight w:val="none"/>
        </w:rPr>
        <w:t>3.质疑函（格式）</w:t>
      </w:r>
    </w:p>
    <w:p>
      <w:pPr>
        <w:spacing w:line="360" w:lineRule="auto"/>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质疑函（格式）</w:t>
      </w:r>
    </w:p>
    <w:p>
      <w:pPr>
        <w:pStyle w:val="23"/>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一、质疑供应商基本信息：</w:t>
      </w:r>
    </w:p>
    <w:p>
      <w:pPr>
        <w:pStyle w:val="23"/>
        <w:snapToGrid w:val="0"/>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质疑供应商：</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3"/>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3"/>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联系人</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3"/>
        <w:snapToGrid w:val="0"/>
        <w:spacing w:line="360" w:lineRule="auto"/>
        <w:ind w:firstLine="480" w:firstLineChars="200"/>
        <w:rPr>
          <w:rFonts w:hint="eastAsia" w:hAnsi="宋体"/>
          <w:bCs/>
          <w:color w:val="auto"/>
          <w:sz w:val="24"/>
          <w:szCs w:val="24"/>
          <w:highlight w:val="non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p>
    <w:p>
      <w:pPr>
        <w:pStyle w:val="23"/>
        <w:snapToGrid w:val="0"/>
        <w:spacing w:line="360" w:lineRule="auto"/>
        <w:ind w:firstLine="480" w:firstLineChars="200"/>
        <w:rPr>
          <w:rFonts w:hint="eastAsia" w:hAnsi="宋体"/>
          <w:bCs/>
          <w:color w:val="auto"/>
          <w:sz w:val="24"/>
          <w:szCs w:val="24"/>
          <w:highlight w:val="none"/>
          <w:u w:val="single"/>
        </w:rPr>
      </w:pP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3"/>
        <w:snapToGrid w:val="0"/>
        <w:spacing w:line="360" w:lineRule="auto"/>
        <w:ind w:firstLine="480" w:firstLineChars="200"/>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3"/>
        <w:snapToGrid w:val="0"/>
        <w:spacing w:line="360" w:lineRule="auto"/>
        <w:ind w:firstLine="482" w:firstLineChars="200"/>
        <w:rPr>
          <w:rFonts w:hint="eastAsia" w:hAnsi="宋体"/>
          <w:b/>
          <w:bCs/>
          <w:color w:val="auto"/>
          <w:sz w:val="24"/>
          <w:szCs w:val="24"/>
          <w:highlight w:val="none"/>
        </w:rPr>
      </w:pPr>
      <w:r>
        <w:rPr>
          <w:rFonts w:hint="eastAsia" w:hAnsi="宋体"/>
          <w:b/>
          <w:bCs/>
          <w:color w:val="auto"/>
          <w:sz w:val="24"/>
          <w:szCs w:val="24"/>
          <w:highlight w:val="none"/>
        </w:rPr>
        <w:t>二、质疑项目基本情况：</w:t>
      </w:r>
    </w:p>
    <w:p>
      <w:pPr>
        <w:pStyle w:val="2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rPr>
        <w:t>质疑</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w:t>
      </w:r>
    </w:p>
    <w:p>
      <w:pPr>
        <w:pStyle w:val="23"/>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w:t>
      </w:r>
      <w:r>
        <w:rPr>
          <w:rFonts w:hint="eastAsia" w:hAnsi="宋体"/>
          <w:color w:val="auto"/>
          <w:sz w:val="24"/>
          <w:szCs w:val="24"/>
          <w:highlight w:val="none"/>
          <w:lang w:eastAsia="zh-CN"/>
        </w:rPr>
        <w:t>招标</w:t>
      </w:r>
      <w:r>
        <w:rPr>
          <w:rFonts w:hint="eastAsia" w:hAnsi="宋体"/>
          <w:color w:val="auto"/>
          <w:sz w:val="24"/>
          <w:szCs w:val="24"/>
          <w:highlight w:val="none"/>
        </w:rPr>
        <w:t xml:space="preserve">文件   </w:t>
      </w:r>
      <w:r>
        <w:rPr>
          <w:rFonts w:hint="eastAsia" w:hAnsi="宋体"/>
          <w:color w:val="auto"/>
          <w:sz w:val="24"/>
          <w:szCs w:val="24"/>
          <w:highlight w:val="none"/>
          <w:lang w:eastAsia="zh-CN"/>
        </w:rPr>
        <w:t>招标</w:t>
      </w:r>
      <w:r>
        <w:rPr>
          <w:rFonts w:hint="eastAsia" w:hAnsi="宋体"/>
          <w:color w:val="auto"/>
          <w:sz w:val="24"/>
          <w:szCs w:val="24"/>
          <w:highlight w:val="none"/>
        </w:rPr>
        <w:t>文件获取日期：</w:t>
      </w:r>
      <w:r>
        <w:rPr>
          <w:rFonts w:hint="eastAsia" w:hAnsi="宋体"/>
          <w:bCs/>
          <w:color w:val="auto"/>
          <w:sz w:val="24"/>
          <w:szCs w:val="24"/>
          <w:highlight w:val="none"/>
          <w:u w:val="single"/>
        </w:rPr>
        <w:t xml:space="preserve">                                   </w:t>
      </w:r>
    </w:p>
    <w:p>
      <w:pPr>
        <w:pStyle w:val="23"/>
        <w:spacing w:line="360" w:lineRule="auto"/>
        <w:ind w:left="25" w:leftChars="12" w:firstLine="352" w:firstLineChars="147"/>
        <w:rPr>
          <w:rFonts w:hint="eastAsia" w:hAnsi="宋体"/>
          <w:color w:val="auto"/>
          <w:sz w:val="24"/>
          <w:szCs w:val="24"/>
          <w:highlight w:val="none"/>
        </w:rPr>
      </w:pPr>
      <w:r>
        <w:rPr>
          <w:rFonts w:hint="eastAsia" w:hAnsi="宋体"/>
          <w:color w:val="auto"/>
          <w:sz w:val="24"/>
          <w:szCs w:val="24"/>
          <w:highlight w:val="none"/>
        </w:rPr>
        <w:t>□</w:t>
      </w:r>
      <w:r>
        <w:rPr>
          <w:rFonts w:hint="eastAsia" w:hAnsi="宋体"/>
          <w:color w:val="auto"/>
          <w:sz w:val="24"/>
          <w:szCs w:val="24"/>
          <w:highlight w:val="none"/>
          <w:lang w:eastAsia="zh-CN"/>
        </w:rPr>
        <w:t>招标</w:t>
      </w:r>
      <w:r>
        <w:rPr>
          <w:rFonts w:hint="eastAsia" w:hAnsi="宋体"/>
          <w:color w:val="auto"/>
          <w:sz w:val="24"/>
          <w:szCs w:val="24"/>
          <w:highlight w:val="none"/>
        </w:rPr>
        <w:t xml:space="preserve">过程   </w:t>
      </w:r>
    </w:p>
    <w:p>
      <w:pPr>
        <w:pStyle w:val="23"/>
        <w:spacing w:line="360" w:lineRule="auto"/>
        <w:ind w:left="25" w:leftChars="12" w:firstLine="352" w:firstLineChars="147"/>
        <w:rPr>
          <w:rFonts w:hint="eastAsia" w:hAnsi="宋体"/>
          <w:bCs/>
          <w:color w:val="auto"/>
          <w:sz w:val="24"/>
          <w:szCs w:val="24"/>
          <w:highlight w:val="none"/>
          <w:u w:val="single"/>
        </w:rPr>
      </w:pPr>
      <w:r>
        <w:rPr>
          <w:rFonts w:hint="eastAsia" w:hAnsi="宋体"/>
          <w:color w:val="auto"/>
          <w:sz w:val="24"/>
          <w:szCs w:val="24"/>
          <w:highlight w:val="none"/>
        </w:rPr>
        <w:t>□</w:t>
      </w:r>
      <w:r>
        <w:rPr>
          <w:rFonts w:hint="eastAsia" w:hAnsi="宋体"/>
          <w:color w:val="auto"/>
          <w:sz w:val="24"/>
          <w:szCs w:val="24"/>
          <w:highlight w:val="none"/>
          <w:lang w:eastAsia="zh-CN"/>
        </w:rPr>
        <w:t>招标</w:t>
      </w:r>
      <w:r>
        <w:rPr>
          <w:rFonts w:hint="eastAsia" w:hAnsi="宋体"/>
          <w:color w:val="auto"/>
          <w:sz w:val="24"/>
          <w:szCs w:val="24"/>
          <w:highlight w:val="none"/>
        </w:rPr>
        <w:t xml:space="preserve">结果   </w:t>
      </w:r>
    </w:p>
    <w:p>
      <w:pPr>
        <w:pStyle w:val="2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三、质疑事项具体内容</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质疑事项1：</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事实依据：</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法律依据：</w:t>
      </w:r>
      <w:r>
        <w:rPr>
          <w:rFonts w:hint="eastAsia" w:hAnsi="宋体"/>
          <w:color w:val="auto"/>
          <w:sz w:val="24"/>
          <w:szCs w:val="24"/>
          <w:highlight w:val="none"/>
          <w:u w:val="single"/>
        </w:rPr>
        <w:t xml:space="preserve">                                                        </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质疑事项2</w:t>
      </w:r>
    </w:p>
    <w:p>
      <w:pPr>
        <w:pStyle w:val="23"/>
        <w:spacing w:line="360" w:lineRule="auto"/>
        <w:ind w:left="25" w:leftChars="12" w:firstLine="472" w:firstLineChars="197"/>
        <w:rPr>
          <w:rFonts w:hint="eastAsia" w:hAnsi="宋体"/>
          <w:color w:val="auto"/>
          <w:sz w:val="24"/>
          <w:szCs w:val="24"/>
          <w:highlight w:val="none"/>
        </w:rPr>
      </w:pPr>
      <w:r>
        <w:rPr>
          <w:rFonts w:hAnsi="宋体"/>
          <w:color w:val="auto"/>
          <w:sz w:val="24"/>
          <w:szCs w:val="24"/>
          <w:highlight w:val="none"/>
        </w:rPr>
        <w:t>……</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四、与质疑事项相关的质疑请求：</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3"/>
        <w:spacing w:line="360" w:lineRule="auto"/>
        <w:ind w:left="25" w:leftChars="12" w:firstLine="352" w:firstLineChars="147"/>
        <w:rPr>
          <w:rFonts w:hint="eastAsia" w:hAnsi="宋体"/>
          <w:color w:val="auto"/>
          <w:sz w:val="24"/>
          <w:szCs w:val="24"/>
          <w:highlight w:val="none"/>
        </w:rPr>
      </w:pP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23"/>
        <w:spacing w:line="360" w:lineRule="auto"/>
        <w:ind w:left="25" w:leftChars="12" w:firstLine="352" w:firstLineChars="147"/>
        <w:rPr>
          <w:rFonts w:hint="eastAsia" w:hAnsi="宋体"/>
          <w:color w:val="auto"/>
          <w:sz w:val="24"/>
          <w:szCs w:val="24"/>
          <w:highlight w:val="none"/>
        </w:rPr>
      </w:pP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23"/>
        <w:snapToGrid w:val="0"/>
        <w:spacing w:line="360" w:lineRule="auto"/>
        <w:rPr>
          <w:rFonts w:hint="eastAsia" w:hAnsi="宋体"/>
          <w:b/>
          <w:color w:val="auto"/>
          <w:sz w:val="24"/>
          <w:szCs w:val="24"/>
          <w:highlight w:val="none"/>
        </w:rPr>
      </w:pPr>
    </w:p>
    <w:p>
      <w:pPr>
        <w:pStyle w:val="23"/>
        <w:snapToGrid w:val="0"/>
        <w:spacing w:line="360" w:lineRule="auto"/>
        <w:rPr>
          <w:rFonts w:hint="eastAsia" w:hAnsi="宋体"/>
          <w:b/>
          <w:color w:val="auto"/>
          <w:sz w:val="24"/>
          <w:szCs w:val="24"/>
          <w:highlight w:val="none"/>
        </w:rPr>
      </w:pPr>
      <w:r>
        <w:rPr>
          <w:rFonts w:hint="eastAsia" w:hAnsi="宋体"/>
          <w:b/>
          <w:color w:val="auto"/>
          <w:sz w:val="24"/>
          <w:szCs w:val="24"/>
          <w:highlight w:val="none"/>
        </w:rPr>
        <w:t>说明：</w:t>
      </w:r>
    </w:p>
    <w:p>
      <w:pPr>
        <w:pStyle w:val="23"/>
        <w:spacing w:line="360" w:lineRule="auto"/>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1.供应商提出质疑时，应提交质疑函和必要的证明材料</w:t>
      </w:r>
      <w:r>
        <w:rPr>
          <w:rFonts w:hint="eastAsia" w:hAnsi="宋体"/>
          <w:b/>
          <w:bCs/>
          <w:color w:val="auto"/>
          <w:sz w:val="24"/>
          <w:szCs w:val="24"/>
          <w:highlight w:val="none"/>
        </w:rPr>
        <w:t>。</w:t>
      </w:r>
    </w:p>
    <w:p>
      <w:pPr>
        <w:pStyle w:val="2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2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3.质疑函的质疑事项应具体、明确，并有必要的事实依据和法律依据。</w:t>
      </w:r>
    </w:p>
    <w:p>
      <w:pPr>
        <w:pStyle w:val="2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4.质疑函的质疑请求应与质疑事项相关。</w:t>
      </w:r>
    </w:p>
    <w:p>
      <w:pPr>
        <w:pStyle w:val="23"/>
        <w:spacing w:line="360" w:lineRule="auto"/>
        <w:ind w:left="25" w:leftChars="12" w:firstLine="354" w:firstLineChars="147"/>
        <w:rPr>
          <w:rFonts w:hint="eastAsia" w:hAnsi="宋体"/>
          <w:b/>
          <w:color w:val="auto"/>
          <w:highlight w:val="none"/>
        </w:rPr>
      </w:pPr>
      <w:r>
        <w:rPr>
          <w:rFonts w:hint="eastAsia" w:hAnsi="宋体"/>
          <w:b/>
          <w:color w:val="auto"/>
          <w:sz w:val="24"/>
          <w:szCs w:val="24"/>
          <w:highlight w:val="none"/>
        </w:rPr>
        <w:t>5.质疑供应商为法人或者其他组织的，质疑函应由法定代表人、主要负责人，或者其授权代表签字或者盖章，并加盖公章。</w:t>
      </w:r>
    </w:p>
    <w:p>
      <w:pPr>
        <w:spacing w:line="460" w:lineRule="exact"/>
        <w:rPr>
          <w:rFonts w:hint="eastAsia" w:eastAsia="隶书"/>
          <w:color w:val="auto"/>
          <w:sz w:val="44"/>
          <w:highlight w:val="none"/>
        </w:rPr>
      </w:pPr>
    </w:p>
    <w:p>
      <w:pPr>
        <w:spacing w:line="360" w:lineRule="auto"/>
        <w:jc w:val="left"/>
        <w:rPr>
          <w:rFonts w:hint="eastAsia" w:ascii="宋体" w:hAnsi="宋体"/>
          <w:b/>
          <w:color w:val="auto"/>
          <w:sz w:val="24"/>
          <w:highlight w:val="none"/>
        </w:rPr>
      </w:pPr>
      <w:r>
        <w:rPr>
          <w:rFonts w:ascii="宋体" w:hAnsi="宋体"/>
          <w:b/>
          <w:color w:val="auto"/>
          <w:sz w:val="24"/>
          <w:highlight w:val="none"/>
        </w:rPr>
        <w:br w:type="page"/>
      </w:r>
      <w:r>
        <w:rPr>
          <w:rFonts w:hint="eastAsia" w:ascii="宋体" w:hAnsi="宋体"/>
          <w:b/>
          <w:color w:val="auto"/>
          <w:sz w:val="24"/>
          <w:highlight w:val="none"/>
        </w:rPr>
        <w:t>4.投诉书（格式）</w:t>
      </w:r>
    </w:p>
    <w:p>
      <w:pPr>
        <w:spacing w:line="360" w:lineRule="auto"/>
        <w:jc w:val="center"/>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rPr>
        <w:t>投诉书（格式）</w:t>
      </w:r>
    </w:p>
    <w:p>
      <w:pPr>
        <w:pStyle w:val="23"/>
        <w:snapToGrid w:val="0"/>
        <w:spacing w:line="360" w:lineRule="auto"/>
        <w:ind w:firstLine="482" w:firstLineChars="200"/>
        <w:rPr>
          <w:rFonts w:hAnsi="宋体"/>
          <w:b/>
          <w:bCs/>
          <w:color w:val="auto"/>
          <w:sz w:val="24"/>
          <w:szCs w:val="24"/>
          <w:highlight w:val="none"/>
        </w:rPr>
      </w:pPr>
      <w:r>
        <w:rPr>
          <w:rFonts w:hint="eastAsia" w:hAnsi="宋体"/>
          <w:b/>
          <w:bCs/>
          <w:color w:val="auto"/>
          <w:sz w:val="24"/>
          <w:szCs w:val="24"/>
          <w:highlight w:val="none"/>
        </w:rPr>
        <w:t>一、投诉相关主体基本情况：</w:t>
      </w:r>
    </w:p>
    <w:p>
      <w:pPr>
        <w:pStyle w:val="2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投标人：</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法定代表人/主要负责人：</w:t>
      </w:r>
      <w:r>
        <w:rPr>
          <w:rFonts w:hint="eastAsia" w:hAnsi="宋体"/>
          <w:bCs/>
          <w:color w:val="auto"/>
          <w:sz w:val="24"/>
          <w:szCs w:val="24"/>
          <w:highlight w:val="none"/>
          <w:u w:val="single"/>
        </w:rPr>
        <w:t xml:space="preserve">                                                         </w:t>
      </w:r>
    </w:p>
    <w:p>
      <w:pPr>
        <w:pStyle w:val="2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联系电话</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授权代表：</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3"/>
        <w:snapToGrid w:val="0"/>
        <w:spacing w:line="360" w:lineRule="auto"/>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3"/>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被投诉人1：</w:t>
      </w:r>
    </w:p>
    <w:p>
      <w:pPr>
        <w:pStyle w:val="2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地址：</w:t>
      </w:r>
      <w:r>
        <w:rPr>
          <w:rFonts w:hint="eastAsia" w:hAnsi="宋体"/>
          <w:bCs/>
          <w:color w:val="auto"/>
          <w:sz w:val="24"/>
          <w:szCs w:val="24"/>
          <w:highlight w:val="none"/>
          <w:u w:val="single"/>
        </w:rPr>
        <w:t xml:space="preserve">                                                            </w:t>
      </w:r>
    </w:p>
    <w:p>
      <w:pPr>
        <w:pStyle w:val="2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p>
    <w:p>
      <w:pPr>
        <w:pStyle w:val="23"/>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被投诉人2：</w:t>
      </w:r>
    </w:p>
    <w:p>
      <w:pPr>
        <w:pStyle w:val="23"/>
        <w:snapToGrid w:val="0"/>
        <w:spacing w:line="360" w:lineRule="auto"/>
        <w:ind w:firstLine="480" w:firstLineChars="200"/>
        <w:jc w:val="left"/>
        <w:rPr>
          <w:rFonts w:hint="eastAsia" w:hAnsi="宋体"/>
          <w:bCs/>
          <w:color w:val="auto"/>
          <w:sz w:val="24"/>
          <w:szCs w:val="24"/>
          <w:highlight w:val="none"/>
        </w:rPr>
      </w:pPr>
      <w:r>
        <w:rPr>
          <w:rFonts w:hAnsi="宋体"/>
          <w:bCs/>
          <w:color w:val="auto"/>
          <w:sz w:val="24"/>
          <w:szCs w:val="24"/>
          <w:highlight w:val="none"/>
        </w:rPr>
        <w:t>……</w:t>
      </w:r>
    </w:p>
    <w:p>
      <w:pPr>
        <w:pStyle w:val="23"/>
        <w:snapToGrid w:val="0"/>
        <w:spacing w:line="360" w:lineRule="auto"/>
        <w:ind w:firstLine="480" w:firstLineChars="200"/>
        <w:jc w:val="left"/>
        <w:rPr>
          <w:rFonts w:hint="eastAsia" w:hAnsi="宋体"/>
          <w:bCs/>
          <w:color w:val="auto"/>
          <w:sz w:val="24"/>
          <w:szCs w:val="24"/>
          <w:highlight w:val="none"/>
          <w:u w:val="single"/>
        </w:rPr>
      </w:pPr>
      <w:r>
        <w:rPr>
          <w:rFonts w:hint="eastAsia" w:hAnsi="宋体"/>
          <w:bCs/>
          <w:color w:val="auto"/>
          <w:sz w:val="24"/>
          <w:szCs w:val="24"/>
          <w:highlight w:val="none"/>
        </w:rPr>
        <w:t>相关供应商：</w:t>
      </w:r>
      <w:r>
        <w:rPr>
          <w:rFonts w:hint="eastAsia" w:hAnsi="宋体"/>
          <w:bCs/>
          <w:color w:val="auto"/>
          <w:sz w:val="24"/>
          <w:szCs w:val="24"/>
          <w:highlight w:val="none"/>
          <w:u w:val="single"/>
        </w:rPr>
        <w:t xml:space="preserve">                                                                       </w:t>
      </w:r>
    </w:p>
    <w:p>
      <w:pPr>
        <w:pStyle w:val="23"/>
        <w:snapToGrid w:val="0"/>
        <w:spacing w:line="360" w:lineRule="auto"/>
        <w:ind w:firstLine="480" w:firstLineChars="200"/>
        <w:jc w:val="left"/>
        <w:rPr>
          <w:rFonts w:hint="eastAsia" w:hAnsi="宋体"/>
          <w:bCs/>
          <w:color w:val="auto"/>
          <w:sz w:val="24"/>
          <w:szCs w:val="24"/>
          <w:highlight w:val="none"/>
          <w:u w:val="single"/>
        </w:rPr>
      </w:pPr>
      <w:r>
        <w:rPr>
          <w:rFonts w:hAnsi="宋体"/>
          <w:bCs/>
          <w:color w:val="auto"/>
          <w:sz w:val="24"/>
          <w:szCs w:val="24"/>
          <w:highlight w:val="none"/>
        </w:rPr>
        <w:t>地址</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r>
        <w:rPr>
          <w:rFonts w:hAnsi="宋体"/>
          <w:bCs/>
          <w:color w:val="auto"/>
          <w:sz w:val="24"/>
          <w:szCs w:val="24"/>
          <w:highlight w:val="none"/>
        </w:rPr>
        <w:t>邮编</w:t>
      </w:r>
      <w:r>
        <w:rPr>
          <w:rFonts w:hint="eastAsia" w:hAnsi="宋体"/>
          <w:bCs/>
          <w:color w:val="auto"/>
          <w:sz w:val="24"/>
          <w:szCs w:val="24"/>
          <w:highlight w:val="none"/>
        </w:rPr>
        <w:t>：</w:t>
      </w:r>
      <w:r>
        <w:rPr>
          <w:rFonts w:hint="eastAsia" w:hAnsi="宋体"/>
          <w:bCs/>
          <w:color w:val="auto"/>
          <w:sz w:val="24"/>
          <w:szCs w:val="24"/>
          <w:highlight w:val="none"/>
          <w:u w:val="single"/>
        </w:rPr>
        <w:t xml:space="preserve">                         </w:t>
      </w:r>
    </w:p>
    <w:p>
      <w:pPr>
        <w:pStyle w:val="23"/>
        <w:snapToGrid w:val="0"/>
        <w:spacing w:line="360" w:lineRule="auto"/>
        <w:ind w:firstLine="480" w:firstLineChars="200"/>
        <w:jc w:val="left"/>
        <w:rPr>
          <w:rFonts w:hint="eastAsia" w:hAnsi="宋体"/>
          <w:bCs/>
          <w:color w:val="auto"/>
          <w:sz w:val="24"/>
          <w:szCs w:val="24"/>
          <w:highlight w:val="none"/>
        </w:rPr>
      </w:pPr>
      <w:r>
        <w:rPr>
          <w:rFonts w:hint="eastAsia" w:hAnsi="宋体"/>
          <w:bCs/>
          <w:color w:val="auto"/>
          <w:sz w:val="24"/>
          <w:szCs w:val="24"/>
          <w:highlight w:val="none"/>
        </w:rPr>
        <w:t>联系人：</w:t>
      </w:r>
      <w:r>
        <w:rPr>
          <w:rFonts w:hint="eastAsia" w:hAnsi="宋体"/>
          <w:bCs/>
          <w:color w:val="auto"/>
          <w:sz w:val="24"/>
          <w:szCs w:val="24"/>
          <w:highlight w:val="none"/>
          <w:u w:val="single"/>
        </w:rPr>
        <w:t xml:space="preserve">                                            </w:t>
      </w:r>
      <w:r>
        <w:rPr>
          <w:rFonts w:hAnsi="宋体"/>
          <w:bCs/>
          <w:color w:val="auto"/>
          <w:sz w:val="24"/>
          <w:szCs w:val="24"/>
          <w:highlight w:val="none"/>
        </w:rPr>
        <w:t>联系</w:t>
      </w:r>
      <w:r>
        <w:rPr>
          <w:rFonts w:hint="eastAsia" w:hAnsi="宋体"/>
          <w:bCs/>
          <w:color w:val="auto"/>
          <w:sz w:val="24"/>
          <w:szCs w:val="24"/>
          <w:highlight w:val="none"/>
        </w:rPr>
        <w:t>电话：</w:t>
      </w:r>
      <w:r>
        <w:rPr>
          <w:rFonts w:hint="eastAsia" w:hAnsi="宋体"/>
          <w:bCs/>
          <w:color w:val="auto"/>
          <w:sz w:val="24"/>
          <w:szCs w:val="24"/>
          <w:highlight w:val="none"/>
          <w:u w:val="single"/>
        </w:rPr>
        <w:t xml:space="preserve">                     </w:t>
      </w:r>
      <w:r>
        <w:rPr>
          <w:rFonts w:hint="eastAsia" w:hAnsi="宋体"/>
          <w:bCs/>
          <w:color w:val="auto"/>
          <w:sz w:val="24"/>
          <w:szCs w:val="24"/>
          <w:highlight w:val="none"/>
        </w:rPr>
        <w:t xml:space="preserve">                </w:t>
      </w:r>
    </w:p>
    <w:p>
      <w:pPr>
        <w:pStyle w:val="23"/>
        <w:snapToGrid w:val="0"/>
        <w:spacing w:line="360" w:lineRule="auto"/>
        <w:ind w:firstLine="482" w:firstLineChars="200"/>
        <w:rPr>
          <w:rFonts w:hint="eastAsia" w:hAnsi="宋体"/>
          <w:b/>
          <w:bCs/>
          <w:color w:val="auto"/>
          <w:sz w:val="24"/>
          <w:szCs w:val="24"/>
          <w:highlight w:val="none"/>
        </w:rPr>
      </w:pPr>
      <w:r>
        <w:rPr>
          <w:rFonts w:hint="eastAsia" w:hAnsi="宋体"/>
          <w:b/>
          <w:bCs/>
          <w:color w:val="auto"/>
          <w:sz w:val="24"/>
          <w:szCs w:val="24"/>
          <w:highlight w:val="none"/>
        </w:rPr>
        <w:t>二、投诉项目基本情况：</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lang w:eastAsia="zh-CN"/>
        </w:rPr>
        <w:t>招标</w:t>
      </w:r>
      <w:r>
        <w:rPr>
          <w:rFonts w:hint="eastAsia" w:hAnsi="宋体"/>
          <w:color w:val="auto"/>
          <w:sz w:val="24"/>
          <w:szCs w:val="24"/>
          <w:highlight w:val="none"/>
        </w:rPr>
        <w:t>项目的名称：</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lang w:eastAsia="zh-CN"/>
        </w:rPr>
        <w:t>招标</w:t>
      </w:r>
      <w:r>
        <w:rPr>
          <w:rFonts w:hint="eastAsia" w:hAnsi="宋体"/>
          <w:color w:val="auto"/>
          <w:sz w:val="24"/>
          <w:szCs w:val="24"/>
          <w:highlight w:val="none"/>
        </w:rPr>
        <w:t>项目的编号：</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采购人名称：</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代理机构名称：</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lang w:eastAsia="zh-CN"/>
        </w:rPr>
        <w:t>招标</w:t>
      </w:r>
      <w:r>
        <w:rPr>
          <w:rFonts w:hint="eastAsia" w:hAnsi="宋体"/>
          <w:bCs/>
          <w:color w:val="auto"/>
          <w:sz w:val="24"/>
          <w:szCs w:val="24"/>
          <w:highlight w:val="none"/>
        </w:rPr>
        <w:t>文件公告：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b/>
          <w:color w:val="auto"/>
          <w:sz w:val="24"/>
          <w:szCs w:val="24"/>
          <w:highlight w:val="none"/>
        </w:rPr>
      </w:pPr>
      <w:r>
        <w:rPr>
          <w:rFonts w:hint="eastAsia" w:hAnsi="宋体"/>
          <w:color w:val="auto"/>
          <w:sz w:val="24"/>
          <w:szCs w:val="24"/>
          <w:highlight w:val="none"/>
          <w:lang w:eastAsia="zh-CN"/>
        </w:rPr>
        <w:t>招标</w:t>
      </w:r>
      <w:r>
        <w:rPr>
          <w:rFonts w:hint="eastAsia" w:hAnsi="宋体"/>
          <w:bCs/>
          <w:color w:val="auto"/>
          <w:sz w:val="24"/>
          <w:szCs w:val="24"/>
          <w:highlight w:val="none"/>
        </w:rPr>
        <w:t>结果公告：</w:t>
      </w:r>
      <w:r>
        <w:rPr>
          <w:rFonts w:hint="eastAsia" w:hAnsi="宋体"/>
          <w:bCs/>
          <w:color w:val="auto"/>
          <w:sz w:val="24"/>
          <w:szCs w:val="24"/>
          <w:highlight w:val="none"/>
          <w:u w:val="single"/>
        </w:rPr>
        <w:t>是/否</w:t>
      </w:r>
      <w:r>
        <w:rPr>
          <w:rFonts w:hint="eastAsia" w:hAnsi="宋体"/>
          <w:bCs/>
          <w:color w:val="auto"/>
          <w:sz w:val="24"/>
          <w:szCs w:val="24"/>
          <w:highlight w:val="none"/>
        </w:rPr>
        <w:t>公告期限：</w:t>
      </w:r>
      <w:r>
        <w:rPr>
          <w:rFonts w:hint="eastAsia" w:hAnsi="宋体"/>
          <w:bCs/>
          <w:color w:val="auto"/>
          <w:sz w:val="24"/>
          <w:szCs w:val="24"/>
          <w:highlight w:val="none"/>
          <w:u w:val="single"/>
        </w:rPr>
        <w:t xml:space="preserve">                                                   </w:t>
      </w:r>
    </w:p>
    <w:p>
      <w:pPr>
        <w:pStyle w:val="2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三、质疑基本情况</w:t>
      </w:r>
    </w:p>
    <w:p>
      <w:pPr>
        <w:pStyle w:val="23"/>
        <w:spacing w:line="360" w:lineRule="auto"/>
        <w:ind w:left="25" w:leftChars="12" w:firstLine="480" w:firstLineChars="200"/>
        <w:rPr>
          <w:rFonts w:hint="eastAsia" w:hAnsi="宋体"/>
          <w:color w:val="auto"/>
          <w:sz w:val="24"/>
          <w:szCs w:val="24"/>
          <w:highlight w:val="none"/>
        </w:rPr>
      </w:pPr>
      <w:r>
        <w:rPr>
          <w:rFonts w:hint="eastAsia" w:hAnsi="宋体"/>
          <w:color w:val="auto"/>
          <w:sz w:val="24"/>
          <w:szCs w:val="24"/>
          <w:highlight w:val="none"/>
        </w:rPr>
        <w:t>投诉人于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日，向</w:t>
      </w:r>
      <w:r>
        <w:rPr>
          <w:rFonts w:hint="eastAsia" w:hAnsi="宋体"/>
          <w:color w:val="auto"/>
          <w:sz w:val="24"/>
          <w:szCs w:val="24"/>
          <w:highlight w:val="none"/>
          <w:u w:val="single"/>
        </w:rPr>
        <w:t xml:space="preserve">                                </w:t>
      </w:r>
      <w:r>
        <w:rPr>
          <w:rFonts w:hint="eastAsia" w:hAnsi="宋体"/>
          <w:color w:val="auto"/>
          <w:sz w:val="24"/>
          <w:szCs w:val="24"/>
          <w:highlight w:val="none"/>
        </w:rPr>
        <w:t>提出质疑，质疑事项为：</w:t>
      </w:r>
    </w:p>
    <w:p>
      <w:pPr>
        <w:pStyle w:val="23"/>
        <w:spacing w:line="360" w:lineRule="auto"/>
        <w:ind w:firstLine="241"/>
        <w:rPr>
          <w:rFonts w:hint="eastAsia" w:hAnsi="宋体"/>
          <w:bCs/>
          <w:color w:val="auto"/>
          <w:sz w:val="24"/>
          <w:szCs w:val="24"/>
          <w:highlight w:val="none"/>
          <w:u w:val="single"/>
        </w:rPr>
      </w:pP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3"/>
        <w:spacing w:line="360" w:lineRule="auto"/>
        <w:ind w:firstLine="241"/>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3"/>
        <w:spacing w:line="360" w:lineRule="auto"/>
        <w:ind w:firstLine="480" w:firstLineChars="200"/>
        <w:rPr>
          <w:rFonts w:hint="eastAsia" w:hAnsi="宋体"/>
          <w:color w:val="auto"/>
          <w:sz w:val="24"/>
          <w:szCs w:val="24"/>
          <w:highlight w:val="none"/>
        </w:rPr>
      </w:pPr>
      <w:r>
        <w:rPr>
          <w:rFonts w:hint="eastAsia" w:hAnsi="宋体"/>
          <w:bCs/>
          <w:color w:val="auto"/>
          <w:sz w:val="24"/>
          <w:szCs w:val="24"/>
          <w:highlight w:val="none"/>
          <w:u w:val="single"/>
        </w:rPr>
        <w:t>采购人/代理机构</w:t>
      </w:r>
      <w:r>
        <w:rPr>
          <w:rFonts w:hint="eastAsia" w:hAnsi="宋体"/>
          <w:bCs/>
          <w:color w:val="auto"/>
          <w:sz w:val="24"/>
          <w:szCs w:val="24"/>
          <w:highlight w:val="none"/>
        </w:rPr>
        <w:t>于</w:t>
      </w:r>
      <w:r>
        <w:rPr>
          <w:rFonts w:hint="eastAsia" w:hAnsi="宋体"/>
          <w:color w:val="auto"/>
          <w:sz w:val="24"/>
          <w:szCs w:val="24"/>
          <w:highlight w:val="none"/>
          <w:u w:val="single"/>
        </w:rPr>
        <w:t xml:space="preserve">      </w:t>
      </w:r>
      <w:r>
        <w:rPr>
          <w:rFonts w:hint="eastAsia" w:hAnsi="宋体"/>
          <w:color w:val="auto"/>
          <w:sz w:val="24"/>
          <w:szCs w:val="24"/>
          <w:highlight w:val="none"/>
        </w:rPr>
        <w:t>年</w:t>
      </w:r>
      <w:r>
        <w:rPr>
          <w:rFonts w:hint="eastAsia" w:hAnsi="宋体"/>
          <w:color w:val="auto"/>
          <w:sz w:val="24"/>
          <w:szCs w:val="24"/>
          <w:highlight w:val="none"/>
          <w:u w:val="single"/>
        </w:rPr>
        <w:t xml:space="preserve">   </w:t>
      </w:r>
      <w:r>
        <w:rPr>
          <w:rFonts w:hint="eastAsia" w:hAnsi="宋体"/>
          <w:color w:val="auto"/>
          <w:sz w:val="24"/>
          <w:szCs w:val="24"/>
          <w:highlight w:val="none"/>
        </w:rPr>
        <w:t>月</w:t>
      </w:r>
      <w:r>
        <w:rPr>
          <w:rFonts w:hint="eastAsia" w:hAnsi="宋体"/>
          <w:color w:val="auto"/>
          <w:sz w:val="24"/>
          <w:szCs w:val="24"/>
          <w:highlight w:val="none"/>
          <w:u w:val="single"/>
        </w:rPr>
        <w:t xml:space="preserve">   </w:t>
      </w:r>
      <w:r>
        <w:rPr>
          <w:rFonts w:hint="eastAsia" w:hAnsi="宋体"/>
          <w:color w:val="auto"/>
          <w:sz w:val="24"/>
          <w:szCs w:val="24"/>
          <w:highlight w:val="none"/>
        </w:rPr>
        <w:t>日，</w:t>
      </w:r>
      <w:r>
        <w:rPr>
          <w:rFonts w:hint="eastAsia" w:hAnsi="宋体"/>
          <w:bCs/>
          <w:color w:val="auto"/>
          <w:sz w:val="24"/>
          <w:szCs w:val="24"/>
          <w:highlight w:val="none"/>
        </w:rPr>
        <w:t xml:space="preserve">就质疑事项作出了答复/没有在法定期限内作出答复。                                                                                             </w:t>
      </w:r>
    </w:p>
    <w:p>
      <w:pPr>
        <w:pStyle w:val="2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四、投诉事项具体内容</w:t>
      </w:r>
    </w:p>
    <w:p>
      <w:pPr>
        <w:pStyle w:val="23"/>
        <w:spacing w:line="360" w:lineRule="auto"/>
        <w:ind w:left="25" w:leftChars="12" w:firstLine="472" w:firstLineChars="197"/>
        <w:rPr>
          <w:rFonts w:hint="eastAsia" w:hAnsi="宋体"/>
          <w:bCs/>
          <w:color w:val="auto"/>
          <w:sz w:val="24"/>
          <w:szCs w:val="24"/>
          <w:highlight w:val="none"/>
          <w:u w:val="single"/>
        </w:rPr>
      </w:pPr>
      <w:r>
        <w:rPr>
          <w:rFonts w:hint="eastAsia" w:hAnsi="宋体"/>
          <w:color w:val="auto"/>
          <w:sz w:val="24"/>
          <w:szCs w:val="24"/>
          <w:highlight w:val="none"/>
        </w:rPr>
        <w:t>投诉事项1：</w:t>
      </w:r>
      <w:r>
        <w:rPr>
          <w:rFonts w:hint="eastAsia" w:hAnsi="宋体"/>
          <w:bCs/>
          <w:color w:val="auto"/>
          <w:sz w:val="24"/>
          <w:szCs w:val="24"/>
          <w:highlight w:val="none"/>
          <w:u w:val="single"/>
        </w:rPr>
        <w:t xml:space="preserve">                                                                           </w:t>
      </w:r>
    </w:p>
    <w:p>
      <w:pPr>
        <w:pStyle w:val="23"/>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事实依据：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color w:val="auto"/>
          <w:sz w:val="24"/>
          <w:szCs w:val="24"/>
          <w:highlight w:val="none"/>
        </w:rPr>
      </w:pPr>
      <w:r>
        <w:rPr>
          <w:rFonts w:hint="eastAsia" w:hAnsi="宋体"/>
          <w:bCs/>
          <w:color w:val="auto"/>
          <w:sz w:val="24"/>
          <w:szCs w:val="24"/>
          <w:highlight w:val="none"/>
          <w:u w:val="single"/>
        </w:rPr>
        <w:t xml:space="preserve">                                                                                        </w:t>
      </w:r>
    </w:p>
    <w:p>
      <w:pPr>
        <w:pStyle w:val="23"/>
        <w:spacing w:line="360" w:lineRule="auto"/>
        <w:ind w:firstLine="480" w:firstLineChars="200"/>
        <w:rPr>
          <w:rFonts w:hint="eastAsia" w:hAnsi="宋体"/>
          <w:bCs/>
          <w:color w:val="auto"/>
          <w:sz w:val="24"/>
          <w:szCs w:val="24"/>
          <w:highlight w:val="none"/>
          <w:u w:val="single"/>
        </w:rPr>
      </w:pPr>
      <w:r>
        <w:rPr>
          <w:rFonts w:hint="eastAsia" w:hAnsi="宋体"/>
          <w:bCs/>
          <w:color w:val="auto"/>
          <w:sz w:val="24"/>
          <w:szCs w:val="24"/>
          <w:highlight w:val="none"/>
        </w:rPr>
        <w:t>法律依据：</w:t>
      </w:r>
      <w:r>
        <w:rPr>
          <w:rFonts w:hint="eastAsia" w:hAnsi="宋体"/>
          <w:color w:val="auto"/>
          <w:sz w:val="24"/>
          <w:szCs w:val="24"/>
          <w:highlight w:val="none"/>
        </w:rPr>
        <w:t xml:space="preserve"> </w:t>
      </w:r>
      <w:r>
        <w:rPr>
          <w:rFonts w:hint="eastAsia" w:hAnsi="宋体"/>
          <w:bCs/>
          <w:color w:val="auto"/>
          <w:sz w:val="24"/>
          <w:szCs w:val="24"/>
          <w:highlight w:val="none"/>
          <w:u w:val="single"/>
        </w:rPr>
        <w:t xml:space="preserve">                                                                                      </w:t>
      </w:r>
    </w:p>
    <w:p>
      <w:pPr>
        <w:pStyle w:val="23"/>
        <w:spacing w:line="360" w:lineRule="auto"/>
        <w:ind w:left="25" w:leftChars="12" w:firstLine="352" w:firstLineChars="147"/>
        <w:rPr>
          <w:rFonts w:hint="eastAsia" w:hAnsi="宋体"/>
          <w:bCs/>
          <w:color w:val="auto"/>
          <w:sz w:val="24"/>
          <w:szCs w:val="24"/>
          <w:highlight w:val="none"/>
          <w:u w:val="single"/>
        </w:rPr>
      </w:pPr>
      <w:r>
        <w:rPr>
          <w:rFonts w:hint="eastAsia" w:hAnsi="宋体"/>
          <w:bCs/>
          <w:color w:val="auto"/>
          <w:sz w:val="24"/>
          <w:szCs w:val="24"/>
          <w:highlight w:val="none"/>
        </w:rPr>
        <w:t xml:space="preserve"> </w:t>
      </w:r>
      <w:r>
        <w:rPr>
          <w:rFonts w:hint="eastAsia" w:hAnsi="宋体"/>
          <w:bCs/>
          <w:color w:val="auto"/>
          <w:sz w:val="24"/>
          <w:szCs w:val="24"/>
          <w:highlight w:val="none"/>
          <w:u w:val="single"/>
        </w:rPr>
        <w:t xml:space="preserve">                                                                                        </w:t>
      </w:r>
    </w:p>
    <w:p>
      <w:pPr>
        <w:pStyle w:val="23"/>
        <w:spacing w:line="360" w:lineRule="auto"/>
        <w:ind w:left="25" w:leftChars="12" w:firstLine="472" w:firstLineChars="197"/>
        <w:rPr>
          <w:rFonts w:hint="eastAsia" w:hAnsi="宋体"/>
          <w:bCs/>
          <w:color w:val="auto"/>
          <w:sz w:val="24"/>
          <w:szCs w:val="24"/>
          <w:highlight w:val="none"/>
        </w:rPr>
      </w:pPr>
      <w:r>
        <w:rPr>
          <w:rFonts w:hint="eastAsia" w:hAnsi="宋体"/>
          <w:color w:val="auto"/>
          <w:sz w:val="24"/>
          <w:szCs w:val="24"/>
          <w:highlight w:val="none"/>
        </w:rPr>
        <w:t xml:space="preserve">投诉事项2  </w:t>
      </w:r>
      <w:r>
        <w:rPr>
          <w:rFonts w:hint="eastAsia" w:hAnsi="宋体"/>
          <w:bCs/>
          <w:color w:val="auto"/>
          <w:sz w:val="24"/>
          <w:szCs w:val="24"/>
          <w:highlight w:val="none"/>
        </w:rPr>
        <w:t xml:space="preserve">   </w:t>
      </w:r>
    </w:p>
    <w:p>
      <w:pPr>
        <w:pStyle w:val="23"/>
        <w:spacing w:line="360" w:lineRule="auto"/>
        <w:ind w:left="25" w:leftChars="12" w:firstLine="472" w:firstLineChars="197"/>
        <w:rPr>
          <w:rFonts w:hint="eastAsia" w:hAnsi="宋体"/>
          <w:bCs/>
          <w:color w:val="auto"/>
          <w:sz w:val="24"/>
          <w:szCs w:val="24"/>
          <w:highlight w:val="none"/>
        </w:rPr>
      </w:pPr>
      <w:r>
        <w:rPr>
          <w:rFonts w:hAnsi="宋体"/>
          <w:bCs/>
          <w:color w:val="auto"/>
          <w:sz w:val="24"/>
          <w:szCs w:val="24"/>
          <w:highlight w:val="none"/>
        </w:rPr>
        <w:t>……</w:t>
      </w:r>
    </w:p>
    <w:p>
      <w:pPr>
        <w:pStyle w:val="23"/>
        <w:spacing w:line="360" w:lineRule="auto"/>
        <w:ind w:left="25" w:leftChars="12" w:firstLine="472" w:firstLineChars="196"/>
        <w:rPr>
          <w:rFonts w:hint="eastAsia" w:hAnsi="宋体"/>
          <w:b/>
          <w:color w:val="auto"/>
          <w:sz w:val="24"/>
          <w:szCs w:val="24"/>
          <w:highlight w:val="none"/>
        </w:rPr>
      </w:pPr>
      <w:r>
        <w:rPr>
          <w:rFonts w:hint="eastAsia" w:hAnsi="宋体"/>
          <w:b/>
          <w:color w:val="auto"/>
          <w:sz w:val="24"/>
          <w:szCs w:val="24"/>
          <w:highlight w:val="none"/>
        </w:rPr>
        <w:t>五、与投诉事项相关的投诉请求：</w:t>
      </w: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请求：</w:t>
      </w:r>
      <w:r>
        <w:rPr>
          <w:rFonts w:hint="eastAsia" w:hAnsi="宋体"/>
          <w:bCs/>
          <w:color w:val="auto"/>
          <w:sz w:val="24"/>
          <w:szCs w:val="24"/>
          <w:highlight w:val="none"/>
          <w:u w:val="single"/>
        </w:rPr>
        <w:t xml:space="preserve">                                                                                 </w:t>
      </w:r>
    </w:p>
    <w:p>
      <w:pPr>
        <w:pStyle w:val="23"/>
        <w:spacing w:line="360" w:lineRule="auto"/>
        <w:ind w:left="25" w:leftChars="12" w:firstLine="352" w:firstLineChars="147"/>
        <w:rPr>
          <w:rFonts w:hint="eastAsia" w:hAnsi="宋体"/>
          <w:color w:val="auto"/>
          <w:sz w:val="24"/>
          <w:szCs w:val="24"/>
          <w:highlight w:val="none"/>
        </w:rPr>
      </w:pP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签字（签章）：                                       公章：</w:t>
      </w:r>
    </w:p>
    <w:p>
      <w:pPr>
        <w:pStyle w:val="23"/>
        <w:spacing w:line="360" w:lineRule="auto"/>
        <w:ind w:left="25" w:leftChars="12" w:firstLine="352" w:firstLineChars="147"/>
        <w:rPr>
          <w:rFonts w:hint="eastAsia" w:hAnsi="宋体"/>
          <w:color w:val="auto"/>
          <w:sz w:val="24"/>
          <w:szCs w:val="24"/>
          <w:highlight w:val="none"/>
        </w:rPr>
      </w:pPr>
    </w:p>
    <w:p>
      <w:pPr>
        <w:pStyle w:val="23"/>
        <w:spacing w:line="360" w:lineRule="auto"/>
        <w:ind w:left="25" w:leftChars="12" w:firstLine="472" w:firstLineChars="197"/>
        <w:rPr>
          <w:rFonts w:hint="eastAsia" w:hAnsi="宋体"/>
          <w:color w:val="auto"/>
          <w:sz w:val="24"/>
          <w:szCs w:val="24"/>
          <w:highlight w:val="none"/>
        </w:rPr>
      </w:pPr>
      <w:r>
        <w:rPr>
          <w:rFonts w:hint="eastAsia" w:hAnsi="宋体"/>
          <w:color w:val="auto"/>
          <w:sz w:val="24"/>
          <w:szCs w:val="24"/>
          <w:highlight w:val="none"/>
        </w:rPr>
        <w:t>日期：</w:t>
      </w:r>
    </w:p>
    <w:p>
      <w:pPr>
        <w:pStyle w:val="23"/>
        <w:spacing w:line="360" w:lineRule="auto"/>
        <w:ind w:left="25" w:leftChars="12" w:firstLine="472" w:firstLineChars="197"/>
        <w:rPr>
          <w:rFonts w:hint="eastAsia" w:hAnsi="宋体"/>
          <w:b/>
          <w:color w:val="auto"/>
          <w:sz w:val="24"/>
          <w:szCs w:val="24"/>
          <w:highlight w:val="none"/>
        </w:rPr>
      </w:pPr>
      <w:r>
        <w:rPr>
          <w:rFonts w:hint="eastAsia" w:hAnsi="宋体"/>
          <w:bCs/>
          <w:color w:val="auto"/>
          <w:sz w:val="24"/>
          <w:szCs w:val="24"/>
          <w:highlight w:val="none"/>
        </w:rPr>
        <w:t xml:space="preserve">                                                                                </w:t>
      </w:r>
      <w:r>
        <w:rPr>
          <w:rFonts w:hint="eastAsia" w:hAnsi="宋体"/>
          <w:b/>
          <w:color w:val="auto"/>
          <w:sz w:val="24"/>
          <w:szCs w:val="24"/>
          <w:highlight w:val="none"/>
        </w:rPr>
        <w:t>说明：</w:t>
      </w:r>
    </w:p>
    <w:p>
      <w:pPr>
        <w:pStyle w:val="23"/>
        <w:spacing w:line="360" w:lineRule="auto"/>
        <w:ind w:left="25" w:leftChars="12" w:firstLine="354" w:firstLineChars="147"/>
        <w:rPr>
          <w:rFonts w:hint="eastAsia" w:hAnsi="宋体"/>
          <w:b/>
          <w:bCs/>
          <w:color w:val="auto"/>
          <w:sz w:val="24"/>
          <w:szCs w:val="24"/>
          <w:highlight w:val="none"/>
        </w:rPr>
      </w:pPr>
      <w:r>
        <w:rPr>
          <w:rFonts w:hint="eastAsia" w:hAnsi="宋体"/>
          <w:b/>
          <w:color w:val="auto"/>
          <w:sz w:val="24"/>
          <w:szCs w:val="24"/>
          <w:highlight w:val="none"/>
        </w:rPr>
        <w:t>1.投诉人提起投诉时，应当提交投诉书和必要的证明材料，并按照被投诉人和与投诉事项有关的供应商数量提供投诉书副本</w:t>
      </w:r>
      <w:r>
        <w:rPr>
          <w:rFonts w:hint="eastAsia" w:hAnsi="宋体"/>
          <w:b/>
          <w:bCs/>
          <w:color w:val="auto"/>
          <w:sz w:val="24"/>
          <w:szCs w:val="24"/>
          <w:highlight w:val="none"/>
        </w:rPr>
        <w:t>。</w:t>
      </w:r>
    </w:p>
    <w:p>
      <w:pPr>
        <w:pStyle w:val="2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2.投诉人若委托代理人进行投诉的，投诉书应按要求列明“授权代表”的有关内容，并在附件中提交由投诉人签署的授权委托书。授权委托书应当载明代理人的姓名或者名称、代理事项、具体权限、期限和相关事项。</w:t>
      </w:r>
    </w:p>
    <w:p>
      <w:pPr>
        <w:pStyle w:val="2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3.投诉书应简要列明质疑事项，质疑函、质疑答复等作为附件材料提供。</w:t>
      </w:r>
    </w:p>
    <w:p>
      <w:pPr>
        <w:pStyle w:val="2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4.投诉书的投诉事项应具体、明确，并有必要的事实依据和法律依据。</w:t>
      </w:r>
    </w:p>
    <w:p>
      <w:pPr>
        <w:pStyle w:val="23"/>
        <w:spacing w:line="360" w:lineRule="auto"/>
        <w:ind w:left="25" w:leftChars="12" w:firstLine="354" w:firstLineChars="147"/>
        <w:rPr>
          <w:rFonts w:hint="eastAsia" w:hAnsi="宋体"/>
          <w:b/>
          <w:color w:val="auto"/>
          <w:sz w:val="24"/>
          <w:szCs w:val="24"/>
          <w:highlight w:val="none"/>
        </w:rPr>
      </w:pPr>
      <w:r>
        <w:rPr>
          <w:rFonts w:hint="eastAsia" w:hAnsi="宋体"/>
          <w:b/>
          <w:color w:val="auto"/>
          <w:sz w:val="24"/>
          <w:szCs w:val="24"/>
          <w:highlight w:val="none"/>
        </w:rPr>
        <w:t>5.投诉书的投诉请求应与投诉事项相关。</w:t>
      </w:r>
    </w:p>
    <w:p>
      <w:pPr>
        <w:pStyle w:val="23"/>
        <w:spacing w:line="360" w:lineRule="auto"/>
        <w:ind w:left="25" w:leftChars="12" w:firstLine="354" w:firstLineChars="147"/>
        <w:rPr>
          <w:rFonts w:hint="eastAsia" w:hAnsi="宋体"/>
          <w:b/>
          <w:color w:val="auto"/>
          <w:highlight w:val="none"/>
        </w:rPr>
      </w:pPr>
      <w:r>
        <w:rPr>
          <w:rFonts w:hint="eastAsia" w:hAnsi="宋体"/>
          <w:b/>
          <w:color w:val="auto"/>
          <w:sz w:val="24"/>
          <w:szCs w:val="24"/>
          <w:highlight w:val="none"/>
        </w:rPr>
        <w:t>6.投诉人为法人或者其他组织的，投诉书应由法定代表人、主要负责人，或者其授权代表签字或者盖章，并加盖公章。</w:t>
      </w:r>
    </w:p>
    <w:sectPr>
      <w:footerReference r:id="rId10" w:type="first"/>
      <w:headerReference r:id="rId7" w:type="default"/>
      <w:footerReference r:id="rId8" w:type="default"/>
      <w:footerReference r:id="rId9" w:type="even"/>
      <w:pgSz w:w="11906" w:h="16838"/>
      <w:pgMar w:top="1134" w:right="1503" w:bottom="1559" w:left="167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2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49543B30-CDF1-4519-817E-16079D77547B}"/>
  </w:font>
  <w:font w:name="黑体">
    <w:panose1 w:val="02010600030101010101"/>
    <w:charset w:val="86"/>
    <w:family w:val="auto"/>
    <w:pitch w:val="default"/>
    <w:sig w:usb0="800002BF" w:usb1="38CF7CFA" w:usb2="00000016" w:usb3="00000000" w:csb0="00040001" w:csb1="00000000"/>
    <w:embedRegular r:id="rId2" w:fontKey="{14BF5762-8646-4EA0-8842-0322A4E7FBA9}"/>
  </w:font>
  <w:font w:name="Courier New">
    <w:panose1 w:val="02070309020205020404"/>
    <w:charset w:val="01"/>
    <w:family w:val="modern"/>
    <w:pitch w:val="default"/>
    <w:sig w:usb0="E0002AFF" w:usb1="C0007843" w:usb2="00000009" w:usb3="00000000" w:csb0="400001FF" w:csb1="FFFF0000"/>
    <w:embedRegular r:id="rId3" w:fontKey="{267AA1A0-144B-4EBF-8463-CE32B7E44FFC}"/>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4" w:fontKey="{99407B36-4162-443C-9FA6-0B67492B518B}"/>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5" w:fontKey="{5CAB0721-A988-4296-AFE2-6CC152C5B566}"/>
  </w:font>
  <w:font w:name="monospace">
    <w:altName w:val="微软雅黑"/>
    <w:panose1 w:val="00000000000000000000"/>
    <w:charset w:val="00"/>
    <w:family w:val="auto"/>
    <w:pitch w:val="default"/>
    <w:sig w:usb0="00000000" w:usb1="00000000" w:usb2="00000000"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roman"/>
    <w:pitch w:val="default"/>
    <w:sig w:usb0="FFFFFFFF" w:usb1="E9FFFFFF" w:usb2="0000003F" w:usb3="00000000" w:csb0="603F01FF" w:csb1="FFFF0000"/>
    <w:embedRegular r:id="rId6" w:fontKey="{C7C43D94-6A78-408A-B7E3-00EAE80A43FD}"/>
  </w:font>
  <w:font w:name="Century">
    <w:panose1 w:val="02040604050505020304"/>
    <w:charset w:val="00"/>
    <w:family w:val="roman"/>
    <w:pitch w:val="default"/>
    <w:sig w:usb0="00000287"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embedRegular r:id="rId7" w:fontKey="{0F8383B5-17C7-46AF-B88F-B8CC7F9D0AED}"/>
  </w:font>
  <w:font w:name="Helvetica">
    <w:altName w:val="Arial"/>
    <w:panose1 w:val="020B0604020202020204"/>
    <w:charset w:val="00"/>
    <w:family w:val="swiss"/>
    <w:pitch w:val="default"/>
    <w:sig w:usb0="00000000" w:usb1="00000000" w:usb2="00000009" w:usb3="00000000" w:csb0="000001FF" w:csb1="00000000"/>
    <w:embedRegular r:id="rId8" w:fontKey="{DAEFED95-FD10-4796-9B8F-D479ABD34474}"/>
  </w:font>
  <w:font w:name="Wingdings 2">
    <w:panose1 w:val="05020102010507070707"/>
    <w:charset w:val="02"/>
    <w:family w:val="roman"/>
    <w:pitch w:val="default"/>
    <w:sig w:usb0="00000000" w:usb1="00000000" w:usb2="00000000" w:usb3="00000000" w:csb0="80000000" w:csb1="00000000"/>
    <w:embedRegular r:id="rId9" w:fontKey="{1F7DAB34-684E-4135-B43C-2B2E02FE20B1}"/>
  </w:font>
  <w:font w:name="微软雅黑">
    <w:panose1 w:val="020B0503020204020204"/>
    <w:charset w:val="86"/>
    <w:family w:val="swiss"/>
    <w:pitch w:val="default"/>
    <w:sig w:usb0="80000287" w:usb1="280F3C52" w:usb2="00000016" w:usb3="00000000" w:csb0="0004001F" w:csb1="00000000"/>
    <w:embedRegular r:id="rId10" w:fontKey="{F8403E73-3C07-4D3E-9F4A-18BE01E2C12B}"/>
  </w:font>
  <w:font w:name="隶书">
    <w:panose1 w:val="02010509060101010101"/>
    <w:charset w:val="86"/>
    <w:family w:val="modern"/>
    <w:pitch w:val="default"/>
    <w:sig w:usb0="00000001" w:usb1="080E0000" w:usb2="00000000" w:usb3="00000000" w:csb0="00040000" w:csb1="00000000"/>
    <w:embedRegular r:id="rId11" w:fontKey="{91A18FEB-C8C0-4020-89EF-33F5279AE0A9}"/>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53</w:t>
                          </w:r>
                          <w:r>
                            <w:fldChar w:fldCharType="end"/>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zyjeMBAADPAwAADgAAAGRycy9lMm9Eb2MueG1srVPNjtMwEL4j8Q6W&#10;7zRpD6iKmq6AahESAqSFB3Adp7HkP824TcoDwBtw4sKd5+pzMHaS7rJc9sAlmT9/M9/n8eZmsIad&#10;FKD2rubLRcmZctI32h1q/uXz7Ys1ZxiFa4TxTtX8rJDfbJ8/2/ShUivfedMoYATisOpDzbsYQ1UU&#10;KDtlBS58UI6SrQcrIrlwKBoQPaFbU6zK8mXRe2gCeKkQKbobk3xChKcA+rbVUu28PFrl4ogKyohI&#10;lLDTAfk2T9u2SsaPbYsqMlNzYhrzl5qQvU/fYrsR1QFE6LScRhBPGeERJyu0o6ZXqJ2Igh1B/wNl&#10;tQSPvo0L6W0xEsmKEItl+Uibu04ElbmQ1BiuouP/g5UfTp+A6YY2gTMnLF345cf3y8/fl1/f2LJc&#10;rZNCfcCKCu8ClcbhtR9S9RRHCibiQws2/YkSozzpe77qq4bIZDq0Xq3XJaUk5WaHcIr74wEwvlXe&#10;smTUHOgCs67i9B7jWDqXpG7O32pjKC4q4/4KEOYYUXkLptOJyThxsuKwHyYae9+ciR29C+raefjK&#10;WU9bUXNHj4Az886R6GmBZgNmYz8bwkk6WPPI2Wi+ieOiHQPoQ5dXL42I4dUx0tyZThpj7E0yJIfu&#10;OQsy7WRapId+rrp/h9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P3c8o3jAQAAzwMAAA4A&#10;AAAAAAAAAQAgAAAAHgEAAGRycy9lMm9Eb2MueG1sUEsFBgAAAAAGAAYAWQEAAHM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53</w:t>
                    </w:r>
                    <w:r>
                      <w:fldChar w:fldCharType="end"/>
                    </w:r>
                  </w:p>
                </w:txbxContent>
              </v:textbox>
            </v:shape>
          </w:pict>
        </mc:Fallback>
      </mc:AlternateContent>
    </w:r>
  </w:p>
  <w:p>
    <w:pPr>
      <w:pStyle w:val="2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end"/>
    </w:r>
  </w:p>
  <w:p>
    <w:pPr>
      <w:pStyle w:val="2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51"/>
      </w:rPr>
    </w:pPr>
    <w:r>
      <w:fldChar w:fldCharType="begin"/>
    </w:r>
    <w:r>
      <w:rPr>
        <w:rStyle w:val="51"/>
      </w:rPr>
      <w:instrText xml:space="preserve">PAGE  </w:instrText>
    </w:r>
    <w:r>
      <w:fldChar w:fldCharType="separate"/>
    </w:r>
    <w:r>
      <w:rPr>
        <w:rStyle w:val="51"/>
      </w:rPr>
      <w:t>122</w:t>
    </w:r>
    <w:r>
      <w:fldChar w:fldCharType="end"/>
    </w:r>
  </w:p>
  <w:p>
    <w:pPr>
      <w:pStyle w:val="29"/>
      <w:ind w:right="360"/>
      <w:jc w:val="both"/>
      <w:rPr>
        <w:rFonts w:hint="eastAsia"/>
      </w:rPr>
    </w:pPr>
    <w:r>
      <w:rPr>
        <w:rFonts w:hint="eastAsia"/>
      </w:rPr>
      <w:t>121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123</w:t>
                          </w:r>
                          <w:r>
                            <w:fldChar w:fldCharType="end"/>
                          </w:r>
                        </w:p>
                      </w:txbxContent>
                    </wps:txbx>
                    <wps:bodyPr vert="horz" wrap="none" lIns="0" tIns="0" rIns="0" bIns="0" anchor="t" anchorCtr="0" upright="0">
                      <a:spAutoFit/>
                    </wps:bodyPr>
                  </wps:wsp>
                </a:graphicData>
              </a:graphic>
            </wp:anchor>
          </w:drawing>
        </mc:Choice>
        <mc:Fallback>
          <w:pict>
            <v:shape id="文本框 1029"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O8pOMBAADPAwAADgAAAGRycy9lMm9Eb2MueG1srVNNrtMwEN4jcQfL&#10;e5o0C1Sqpk9A9RASAqQHB3Adp7HkP3mmTcoB4Aas2LDnXD0HYyfpg8fmLdgk8+dv5vs83twM1rCT&#10;iqC9q/lyUXKmnPSNdoeaf/50+2zFGaBwjTDeqZqfFfCb7dMnmz6sVeU7bxoVGYE4WPeh5h1iWBcF&#10;yE5ZAQsflKNk66MVSG48FE0UPaFbU1Rl+bzofWxC9FIBUHQ3JvmEGB8D6NtWS7Xz8miVwxE1KiOQ&#10;KEGnA/BtnrZtlcQPbQsKmak5McX8pSZk79O32G7E+hBF6LScRhCPGeEBJyu0o6ZXqJ1AwY5R/wNl&#10;tYwefIsL6W0xEsmKEItl+UCbu04ElbmQ1BCuosP/g5XvTx8j003NK86csHThl+/fLj9+XX5+Zcuy&#10;epEU6gOsqfAuUCkOr/xAezPHgYKJ+NBGm/5EiVGe9D1f9VUDMpkOrarVqqSUpNzsEH5xfzxEwDfK&#10;W5aMmke6wKyrOL0DHEvnktTN+VttTL5E4/4KEOYYUXkLptOJyThxsnDYDxO9vW/OxI7eBXXtfPzC&#10;WU9bUXNHj4Az89aR6GmBZiPOxn42hJN0sObI2Wi+xnHRjiHqQ5dXL40I4eURae5MJ40x9iYZkkP3&#10;nAWZdjIt0p9+rrp/h9v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FmjvKTjAQAAzwMAAA4A&#10;AAAAAAAAAQAgAAAAHgEAAGRycy9lMm9Eb2MueG1sUEsFBgAAAAAGAAYAWQEAAHMFA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123</w:t>
                    </w:r>
                    <w:r>
                      <w:fldChar w:fldCharType="end"/>
                    </w:r>
                  </w:p>
                </w:txbxContent>
              </v:textbox>
            </v:shape>
          </w:pict>
        </mc:Fallback>
      </mc:AlternateContent>
    </w:r>
  </w:p>
  <w:p>
    <w:pPr>
      <w:pStyle w:val="2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center" w:y="1"/>
      <w:rPr>
        <w:rStyle w:val="51"/>
      </w:rPr>
    </w:pPr>
    <w:r>
      <w:fldChar w:fldCharType="begin"/>
    </w:r>
    <w:r>
      <w:rPr>
        <w:rStyle w:val="51"/>
      </w:rPr>
      <w:instrText xml:space="preserve">PAGE  </w:instrText>
    </w:r>
    <w:r>
      <w:fldChar w:fldCharType="end"/>
    </w:r>
  </w:p>
  <w:p>
    <w:pPr>
      <w:pStyle w:val="2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right="360"/>
      <w:jc w:val="both"/>
      <w:rPr>
        <w:rFonts w:hint="eastAsia"/>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9"/>
                          </w:pPr>
                          <w:r>
                            <w:fldChar w:fldCharType="begin"/>
                          </w:r>
                          <w:r>
                            <w:instrText xml:space="preserve"> PAGE  \* MERGEFORMAT </w:instrText>
                          </w:r>
                          <w:r>
                            <w:fldChar w:fldCharType="separate"/>
                          </w:r>
                          <w:r>
                            <w:t>115</w:t>
                          </w:r>
                          <w:r>
                            <w:fldChar w:fldCharType="end"/>
                          </w:r>
                        </w:p>
                      </w:txbxContent>
                    </wps:txbx>
                    <wps:bodyPr vert="horz" wrap="none" lIns="0" tIns="0" rIns="0" bIns="0" anchor="t" anchorCtr="0" upright="0">
                      <a:spAutoFit/>
                    </wps:bodyPr>
                  </wps:wsp>
                </a:graphicData>
              </a:graphic>
            </wp:anchor>
          </w:drawing>
        </mc:Choice>
        <mc:Fallback>
          <w:pict>
            <v:shape id="文本框 1030"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XyjluQBAADPAwAADgAAAGRycy9lMm9Eb2MueG1srVPNjtMwEL4j8Q6W&#10;7zRpV0JV1HQFVIuQECAt+wCu4zSWbI81dpuUB4A34MSFO8/V52DspC0slz1wSebP38z3eby6Haxh&#10;B4VBg6v5fFZyppyERrtdzR8+371YchaicI0w4FTNjyrw2/XzZ6veV2oBHZhGISMQF6re17yL0VdF&#10;EWSnrAgz8MpRsgW0IpKLu6JB0RO6NcWiLF8WPWDjEaQKgaKbMcknRHwKILStlmoDcm+ViyMqKiMi&#10;UQqd9oGv87Rtq2T82LZBRWZqTkxj/lITsrfpW6xXotqh8J2W0wjiKSM84mSFdtT0ArURUbA96n+g&#10;rJYIAdo4k2CLkUhWhFjMy0fa3HfCq8yFpA7+Inr4f7Dyw+ETMt3U/IYzJyxd+On7t9OPX6efX9m8&#10;vMkK9T5UVHjvqTQOr2GgvUnKpXigYCI+tGjTnygxypO+x4u+aohMpkPLxXJZUkpS7uwQTnE97jHE&#10;twosS0bNkS4w6yoO70McS88lqZuDO21MvkTj/goQ5hhReQum09eJkxWH7TDR2EJzJHb0LqhrB/iF&#10;s562ouaOHgFn5p0j0dMCnQ08G9uzIZykgzWPnI3mmzgu2t6j3nV59dKIwb/aR5o700ljjL1JhuTQ&#10;PWdBpp1Mi/Snn6uu73D9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6pebnPAAAABQEAAA8AAAAA&#10;AAAAAQAgAAAAIgAAAGRycy9kb3ducmV2LnhtbFBLAQIUABQAAAAIAIdO4kCZfKOW5AEAAM8DAAAO&#10;AAAAAAAAAAEAIAAAAB4BAABkcnMvZTJvRG9jLnhtbFBLBQYAAAAABgAGAFkBAAB0BQAAAAA=&#10;">
              <v:fill on="f" focussize="0,0"/>
              <v:stroke on="f"/>
              <v:imagedata o:title=""/>
              <o:lock v:ext="edit" aspectratio="f"/>
              <v:textbox inset="0mm,0mm,0mm,0mm" style="mso-fit-shape-to-text:t;">
                <w:txbxContent>
                  <w:p>
                    <w:pPr>
                      <w:pStyle w:val="29"/>
                    </w:pPr>
                    <w:r>
                      <w:fldChar w:fldCharType="begin"/>
                    </w:r>
                    <w:r>
                      <w:instrText xml:space="preserve"> PAGE  \* MERGEFORMAT </w:instrText>
                    </w:r>
                    <w:r>
                      <w:fldChar w:fldCharType="separate"/>
                    </w:r>
                    <w:r>
                      <w:t>115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19"/>
      <w:lvlText w:val="%1."/>
      <w:lvlJc w:val="left"/>
      <w:pPr>
        <w:tabs>
          <w:tab w:val="left" w:pos="1200"/>
        </w:tabs>
        <w:ind w:left="1200" w:hanging="360"/>
      </w:pPr>
    </w:lvl>
  </w:abstractNum>
  <w:abstractNum w:abstractNumId="1">
    <w:nsid w:val="32714F5E"/>
    <w:multiLevelType w:val="multilevel"/>
    <w:tmpl w:val="32714F5E"/>
    <w:lvl w:ilvl="0" w:tentative="0">
      <w:start w:val="1"/>
      <w:numFmt w:val="chineseCountingThousand"/>
      <w:suff w:val="nothing"/>
      <w:lvlText w:val="第%1章"/>
      <w:lvlJc w:val="left"/>
      <w:pPr>
        <w:ind w:left="0" w:firstLine="0"/>
      </w:pPr>
      <w:rPr>
        <w:rFonts w:hint="eastAsia" w:ascii="仿宋_GB2312" w:eastAsia="仿宋_GB2312"/>
        <w:sz w:val="44"/>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pStyle w:val="6"/>
      <w:suff w:val="nothing"/>
      <w:lvlText w:val=""/>
      <w:lvlJc w:val="left"/>
      <w:pPr>
        <w:ind w:left="0" w:firstLine="0"/>
      </w:pPr>
      <w:rPr>
        <w:rFonts w:hint="eastAsia"/>
      </w:rPr>
    </w:lvl>
    <w:lvl w:ilvl="5" w:tentative="0">
      <w:start w:val="1"/>
      <w:numFmt w:val="none"/>
      <w:pStyle w:val="7"/>
      <w:suff w:val="nothing"/>
      <w:lvlText w:val=""/>
      <w:lvlJc w:val="left"/>
      <w:pPr>
        <w:ind w:left="0" w:firstLine="0"/>
      </w:pPr>
      <w:rPr>
        <w:rFonts w:hint="eastAsia"/>
      </w:rPr>
    </w:lvl>
    <w:lvl w:ilvl="6" w:tentative="0">
      <w:start w:val="1"/>
      <w:numFmt w:val="none"/>
      <w:pStyle w:val="9"/>
      <w:suff w:val="nothing"/>
      <w:lvlText w:val=""/>
      <w:lvlJc w:val="left"/>
      <w:pPr>
        <w:ind w:left="0" w:firstLine="0"/>
      </w:pPr>
      <w:rPr>
        <w:rFonts w:hint="eastAsia"/>
      </w:rPr>
    </w:lvl>
    <w:lvl w:ilvl="7" w:tentative="0">
      <w:start w:val="1"/>
      <w:numFmt w:val="none"/>
      <w:pStyle w:val="10"/>
      <w:suff w:val="nothing"/>
      <w:lvlText w:val=""/>
      <w:lvlJc w:val="left"/>
      <w:pPr>
        <w:ind w:left="0" w:firstLine="0"/>
      </w:pPr>
      <w:rPr>
        <w:rFonts w:hint="eastAsia"/>
      </w:rPr>
    </w:lvl>
    <w:lvl w:ilvl="8" w:tentative="0">
      <w:start w:val="1"/>
      <w:numFmt w:val="none"/>
      <w:pStyle w:val="11"/>
      <w:suff w:val="nothing"/>
      <w:lvlText w:val=""/>
      <w:lvlJc w:val="left"/>
      <w:pPr>
        <w:ind w:left="0" w:firstLine="0"/>
      </w:pPr>
      <w:rPr>
        <w:rFonts w:hint="eastAsia"/>
      </w:rPr>
    </w:lvl>
  </w:abstractNum>
  <w:abstractNum w:abstractNumId="2">
    <w:nsid w:val="4C601917"/>
    <w:multiLevelType w:val="singleLevel"/>
    <w:tmpl w:val="4C601917"/>
    <w:lvl w:ilvl="0" w:tentative="0">
      <w:start w:val="1"/>
      <w:numFmt w:val="decimal"/>
      <w:suff w:val="nothing"/>
      <w:lvlText w:val="（%1）"/>
      <w:lvlJc w:val="left"/>
    </w:lvl>
  </w:abstractNum>
  <w:abstractNum w:abstractNumId="3">
    <w:nsid w:val="5FABD14B"/>
    <w:multiLevelType w:val="singleLevel"/>
    <w:tmpl w:val="5FABD14B"/>
    <w:lvl w:ilvl="0" w:tentative="0">
      <w:start w:val="1"/>
      <w:numFmt w:val="decimal"/>
      <w:suff w:val="nothing"/>
      <w:lvlText w:val="（%1）"/>
      <w:lvlJc w:val="left"/>
    </w:lvl>
  </w:abstractNum>
  <w:abstractNum w:abstractNumId="4">
    <w:nsid w:val="763060DB"/>
    <w:multiLevelType w:val="multilevel"/>
    <w:tmpl w:val="763060DB"/>
    <w:lvl w:ilvl="0" w:tentative="0">
      <w:start w:val="1"/>
      <w:numFmt w:val="japaneseCounting"/>
      <w:lvlText w:val="第%1章"/>
      <w:lvlJc w:val="left"/>
      <w:pPr>
        <w:tabs>
          <w:tab w:val="left" w:pos="1815"/>
        </w:tabs>
        <w:ind w:left="1815" w:hanging="1275"/>
      </w:pPr>
      <w:rPr>
        <w:rFonts w:hint="eastAsia"/>
        <w:lang w:val="en-US"/>
      </w:rPr>
    </w:lvl>
    <w:lvl w:ilvl="1" w:tentative="0">
      <w:start w:val="1"/>
      <w:numFmt w:val="japaneseCounting"/>
      <w:lvlText w:val="%2、"/>
      <w:lvlJc w:val="left"/>
      <w:pPr>
        <w:tabs>
          <w:tab w:val="left" w:pos="1680"/>
        </w:tabs>
        <w:ind w:left="1680" w:hanging="720"/>
      </w:pPr>
      <w:rPr>
        <w:rFonts w:hint="eastAsia"/>
      </w:rPr>
    </w:lvl>
    <w:lvl w:ilvl="2" w:tentative="0">
      <w:start w:val="1"/>
      <w:numFmt w:val="decimal"/>
      <w:lvlText w:val="%3."/>
      <w:lvlJc w:val="left"/>
      <w:pPr>
        <w:ind w:left="502" w:hanging="360"/>
      </w:pPr>
      <w:rPr>
        <w:rFonts w:hint="default"/>
        <w:sz w:val="24"/>
        <w:szCs w:val="24"/>
      </w:r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1"/>
  </w:num>
  <w:num w:numId="2">
    <w:abstractNumId w:val="0"/>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D01" w:allStyles="1" w:customStyles="0" w:latentStyles="0" w:stylesInUse="0" w:headingStyles="0" w:numberingStyles="0" w:tableStyles="0" w:directFormattingOnRuns="1" w:directFormattingOnParagraphs="0" w:directFormattingOnNumbering="1" w:directFormattingOnTables="1" w:clearFormatting="1" w:top3HeadingStyles="1" w:visibleStyles="0" w:alternateStyleNames="0"/>
  <w:attachedTemplate r:id="rId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jMGYxNWUzNDlkNzA4ZTU2YzZjODNkMzk3NjZlYzcifQ=="/>
  </w:docVars>
  <w:rsids>
    <w:rsidRoot w:val="2ABB68A8"/>
    <w:rsid w:val="0000010C"/>
    <w:rsid w:val="00000D21"/>
    <w:rsid w:val="00000FE0"/>
    <w:rsid w:val="00001068"/>
    <w:rsid w:val="0000114A"/>
    <w:rsid w:val="00001731"/>
    <w:rsid w:val="00001C2D"/>
    <w:rsid w:val="00001C55"/>
    <w:rsid w:val="00001CA8"/>
    <w:rsid w:val="00001FAE"/>
    <w:rsid w:val="00002291"/>
    <w:rsid w:val="00002644"/>
    <w:rsid w:val="0000276E"/>
    <w:rsid w:val="00002DBF"/>
    <w:rsid w:val="00002EC0"/>
    <w:rsid w:val="00003224"/>
    <w:rsid w:val="000033F5"/>
    <w:rsid w:val="000034EA"/>
    <w:rsid w:val="0000358C"/>
    <w:rsid w:val="00003BEF"/>
    <w:rsid w:val="00004130"/>
    <w:rsid w:val="0000431F"/>
    <w:rsid w:val="00004634"/>
    <w:rsid w:val="00004D8B"/>
    <w:rsid w:val="000059E2"/>
    <w:rsid w:val="00006AE7"/>
    <w:rsid w:val="00006B9B"/>
    <w:rsid w:val="00006C35"/>
    <w:rsid w:val="000072B1"/>
    <w:rsid w:val="00007329"/>
    <w:rsid w:val="00007E28"/>
    <w:rsid w:val="00007E84"/>
    <w:rsid w:val="00010401"/>
    <w:rsid w:val="000105A1"/>
    <w:rsid w:val="000107AD"/>
    <w:rsid w:val="00010835"/>
    <w:rsid w:val="00011842"/>
    <w:rsid w:val="00012137"/>
    <w:rsid w:val="000121EE"/>
    <w:rsid w:val="000121FF"/>
    <w:rsid w:val="000125B8"/>
    <w:rsid w:val="00012692"/>
    <w:rsid w:val="00013446"/>
    <w:rsid w:val="00013509"/>
    <w:rsid w:val="000135BC"/>
    <w:rsid w:val="000135DC"/>
    <w:rsid w:val="000136D6"/>
    <w:rsid w:val="00013979"/>
    <w:rsid w:val="00014085"/>
    <w:rsid w:val="000145C1"/>
    <w:rsid w:val="00014B4C"/>
    <w:rsid w:val="00014DD9"/>
    <w:rsid w:val="000151E4"/>
    <w:rsid w:val="000153D8"/>
    <w:rsid w:val="00015577"/>
    <w:rsid w:val="000156E4"/>
    <w:rsid w:val="000159A7"/>
    <w:rsid w:val="00015FB8"/>
    <w:rsid w:val="0001609F"/>
    <w:rsid w:val="0001635B"/>
    <w:rsid w:val="00016549"/>
    <w:rsid w:val="00016BF7"/>
    <w:rsid w:val="00016D20"/>
    <w:rsid w:val="0001767E"/>
    <w:rsid w:val="0001776D"/>
    <w:rsid w:val="00017C00"/>
    <w:rsid w:val="00017F31"/>
    <w:rsid w:val="00020607"/>
    <w:rsid w:val="0002103A"/>
    <w:rsid w:val="000217E4"/>
    <w:rsid w:val="00021852"/>
    <w:rsid w:val="00021A12"/>
    <w:rsid w:val="00022622"/>
    <w:rsid w:val="00023363"/>
    <w:rsid w:val="000235F3"/>
    <w:rsid w:val="00023644"/>
    <w:rsid w:val="00023712"/>
    <w:rsid w:val="0002476C"/>
    <w:rsid w:val="00024E3C"/>
    <w:rsid w:val="00024EB0"/>
    <w:rsid w:val="00025A93"/>
    <w:rsid w:val="0002646A"/>
    <w:rsid w:val="0002651D"/>
    <w:rsid w:val="00026CFD"/>
    <w:rsid w:val="000279F9"/>
    <w:rsid w:val="00027A11"/>
    <w:rsid w:val="00027C8B"/>
    <w:rsid w:val="00027CD9"/>
    <w:rsid w:val="00030242"/>
    <w:rsid w:val="00030B06"/>
    <w:rsid w:val="0003183A"/>
    <w:rsid w:val="00031CDC"/>
    <w:rsid w:val="00031DC8"/>
    <w:rsid w:val="0003263B"/>
    <w:rsid w:val="0003282C"/>
    <w:rsid w:val="0003304A"/>
    <w:rsid w:val="0003317E"/>
    <w:rsid w:val="00033413"/>
    <w:rsid w:val="000337F3"/>
    <w:rsid w:val="00034C27"/>
    <w:rsid w:val="00034E2A"/>
    <w:rsid w:val="0003577F"/>
    <w:rsid w:val="000361E7"/>
    <w:rsid w:val="00036466"/>
    <w:rsid w:val="0003675E"/>
    <w:rsid w:val="00037633"/>
    <w:rsid w:val="00037E9E"/>
    <w:rsid w:val="00037F87"/>
    <w:rsid w:val="00037FA2"/>
    <w:rsid w:val="000400D0"/>
    <w:rsid w:val="0004044E"/>
    <w:rsid w:val="000425AC"/>
    <w:rsid w:val="00042F4A"/>
    <w:rsid w:val="00043BE5"/>
    <w:rsid w:val="00044003"/>
    <w:rsid w:val="00044527"/>
    <w:rsid w:val="0004469E"/>
    <w:rsid w:val="00044897"/>
    <w:rsid w:val="00044ACF"/>
    <w:rsid w:val="00044D83"/>
    <w:rsid w:val="00044E06"/>
    <w:rsid w:val="000454F4"/>
    <w:rsid w:val="00045670"/>
    <w:rsid w:val="00045D1E"/>
    <w:rsid w:val="00045E69"/>
    <w:rsid w:val="00045EF4"/>
    <w:rsid w:val="00046547"/>
    <w:rsid w:val="000466D7"/>
    <w:rsid w:val="00046753"/>
    <w:rsid w:val="00047254"/>
    <w:rsid w:val="000472FD"/>
    <w:rsid w:val="0005022B"/>
    <w:rsid w:val="00050771"/>
    <w:rsid w:val="000513F3"/>
    <w:rsid w:val="00052287"/>
    <w:rsid w:val="000522E0"/>
    <w:rsid w:val="00052609"/>
    <w:rsid w:val="000532F4"/>
    <w:rsid w:val="000536AE"/>
    <w:rsid w:val="00054CD5"/>
    <w:rsid w:val="00054D03"/>
    <w:rsid w:val="000550AC"/>
    <w:rsid w:val="0005580E"/>
    <w:rsid w:val="0005584D"/>
    <w:rsid w:val="00055CC3"/>
    <w:rsid w:val="00055CEE"/>
    <w:rsid w:val="000566FA"/>
    <w:rsid w:val="00056A2B"/>
    <w:rsid w:val="00056E37"/>
    <w:rsid w:val="00056EE2"/>
    <w:rsid w:val="00056FE2"/>
    <w:rsid w:val="000570FB"/>
    <w:rsid w:val="000575B8"/>
    <w:rsid w:val="00060131"/>
    <w:rsid w:val="0006026B"/>
    <w:rsid w:val="00060293"/>
    <w:rsid w:val="00061BDA"/>
    <w:rsid w:val="000621FE"/>
    <w:rsid w:val="00062B90"/>
    <w:rsid w:val="00062C70"/>
    <w:rsid w:val="00062DD0"/>
    <w:rsid w:val="00062E6F"/>
    <w:rsid w:val="000630C7"/>
    <w:rsid w:val="0006400F"/>
    <w:rsid w:val="000643DA"/>
    <w:rsid w:val="000645DD"/>
    <w:rsid w:val="00064D7E"/>
    <w:rsid w:val="00064F65"/>
    <w:rsid w:val="00064FD0"/>
    <w:rsid w:val="0006534A"/>
    <w:rsid w:val="00065A5D"/>
    <w:rsid w:val="00065BA2"/>
    <w:rsid w:val="000661CA"/>
    <w:rsid w:val="0006668D"/>
    <w:rsid w:val="00066F2B"/>
    <w:rsid w:val="00067002"/>
    <w:rsid w:val="0006710A"/>
    <w:rsid w:val="00067993"/>
    <w:rsid w:val="00067B1C"/>
    <w:rsid w:val="00067CED"/>
    <w:rsid w:val="00067D39"/>
    <w:rsid w:val="00067F66"/>
    <w:rsid w:val="0007041A"/>
    <w:rsid w:val="00070634"/>
    <w:rsid w:val="00070883"/>
    <w:rsid w:val="00070C3F"/>
    <w:rsid w:val="00070FB7"/>
    <w:rsid w:val="0007102C"/>
    <w:rsid w:val="00071D68"/>
    <w:rsid w:val="00071FCE"/>
    <w:rsid w:val="00072661"/>
    <w:rsid w:val="00072CCC"/>
    <w:rsid w:val="00073549"/>
    <w:rsid w:val="00073A58"/>
    <w:rsid w:val="0007483E"/>
    <w:rsid w:val="000751DB"/>
    <w:rsid w:val="0007578F"/>
    <w:rsid w:val="000759A3"/>
    <w:rsid w:val="00075E43"/>
    <w:rsid w:val="00077706"/>
    <w:rsid w:val="00077878"/>
    <w:rsid w:val="00077DE2"/>
    <w:rsid w:val="000804EF"/>
    <w:rsid w:val="00080558"/>
    <w:rsid w:val="00081230"/>
    <w:rsid w:val="000814E2"/>
    <w:rsid w:val="000818C9"/>
    <w:rsid w:val="00081CBB"/>
    <w:rsid w:val="00081D42"/>
    <w:rsid w:val="000822EF"/>
    <w:rsid w:val="0008241E"/>
    <w:rsid w:val="000826F5"/>
    <w:rsid w:val="000829B1"/>
    <w:rsid w:val="00082AAB"/>
    <w:rsid w:val="0008307D"/>
    <w:rsid w:val="000831E9"/>
    <w:rsid w:val="00083288"/>
    <w:rsid w:val="000833BB"/>
    <w:rsid w:val="0008452D"/>
    <w:rsid w:val="0008467B"/>
    <w:rsid w:val="000846E2"/>
    <w:rsid w:val="000850FA"/>
    <w:rsid w:val="00085C12"/>
    <w:rsid w:val="00085DA0"/>
    <w:rsid w:val="00085F82"/>
    <w:rsid w:val="00086506"/>
    <w:rsid w:val="00086B6E"/>
    <w:rsid w:val="00086C64"/>
    <w:rsid w:val="0008781A"/>
    <w:rsid w:val="00090951"/>
    <w:rsid w:val="00090A61"/>
    <w:rsid w:val="000918F5"/>
    <w:rsid w:val="000919B5"/>
    <w:rsid w:val="00091C1D"/>
    <w:rsid w:val="00091E08"/>
    <w:rsid w:val="00091E29"/>
    <w:rsid w:val="000922D8"/>
    <w:rsid w:val="000932E7"/>
    <w:rsid w:val="0009333A"/>
    <w:rsid w:val="00093459"/>
    <w:rsid w:val="00093B8B"/>
    <w:rsid w:val="000951E7"/>
    <w:rsid w:val="00095B82"/>
    <w:rsid w:val="00096098"/>
    <w:rsid w:val="000961C5"/>
    <w:rsid w:val="000968AF"/>
    <w:rsid w:val="000969D9"/>
    <w:rsid w:val="00096F37"/>
    <w:rsid w:val="000970C1"/>
    <w:rsid w:val="00097FE5"/>
    <w:rsid w:val="000A0354"/>
    <w:rsid w:val="000A091F"/>
    <w:rsid w:val="000A0958"/>
    <w:rsid w:val="000A0FCC"/>
    <w:rsid w:val="000A1033"/>
    <w:rsid w:val="000A2712"/>
    <w:rsid w:val="000A2877"/>
    <w:rsid w:val="000A2D31"/>
    <w:rsid w:val="000A355D"/>
    <w:rsid w:val="000A35DA"/>
    <w:rsid w:val="000A371E"/>
    <w:rsid w:val="000A3DE5"/>
    <w:rsid w:val="000A4011"/>
    <w:rsid w:val="000A4397"/>
    <w:rsid w:val="000A45D5"/>
    <w:rsid w:val="000A490E"/>
    <w:rsid w:val="000A5B49"/>
    <w:rsid w:val="000A5FE5"/>
    <w:rsid w:val="000A688F"/>
    <w:rsid w:val="000A7218"/>
    <w:rsid w:val="000A740A"/>
    <w:rsid w:val="000A7446"/>
    <w:rsid w:val="000A7A56"/>
    <w:rsid w:val="000A7E7F"/>
    <w:rsid w:val="000A7ECD"/>
    <w:rsid w:val="000B04DD"/>
    <w:rsid w:val="000B0F01"/>
    <w:rsid w:val="000B1346"/>
    <w:rsid w:val="000B1795"/>
    <w:rsid w:val="000B1914"/>
    <w:rsid w:val="000B19DC"/>
    <w:rsid w:val="000B1CA2"/>
    <w:rsid w:val="000B202E"/>
    <w:rsid w:val="000B2293"/>
    <w:rsid w:val="000B24A4"/>
    <w:rsid w:val="000B255A"/>
    <w:rsid w:val="000B255C"/>
    <w:rsid w:val="000B292B"/>
    <w:rsid w:val="000B395E"/>
    <w:rsid w:val="000B39C3"/>
    <w:rsid w:val="000B3A00"/>
    <w:rsid w:val="000B3BFD"/>
    <w:rsid w:val="000B4840"/>
    <w:rsid w:val="000B4D79"/>
    <w:rsid w:val="000B5627"/>
    <w:rsid w:val="000B5671"/>
    <w:rsid w:val="000B6BF0"/>
    <w:rsid w:val="000B6CE8"/>
    <w:rsid w:val="000B7DAF"/>
    <w:rsid w:val="000C01A9"/>
    <w:rsid w:val="000C071C"/>
    <w:rsid w:val="000C0BB4"/>
    <w:rsid w:val="000C0BEE"/>
    <w:rsid w:val="000C1CB9"/>
    <w:rsid w:val="000C2159"/>
    <w:rsid w:val="000C21BB"/>
    <w:rsid w:val="000C289B"/>
    <w:rsid w:val="000C34B8"/>
    <w:rsid w:val="000C3F01"/>
    <w:rsid w:val="000C420D"/>
    <w:rsid w:val="000C4773"/>
    <w:rsid w:val="000C4944"/>
    <w:rsid w:val="000C4E24"/>
    <w:rsid w:val="000C5C4A"/>
    <w:rsid w:val="000C5F01"/>
    <w:rsid w:val="000C63C4"/>
    <w:rsid w:val="000C66C1"/>
    <w:rsid w:val="000C6F0B"/>
    <w:rsid w:val="000C6F32"/>
    <w:rsid w:val="000C708E"/>
    <w:rsid w:val="000C778C"/>
    <w:rsid w:val="000C7833"/>
    <w:rsid w:val="000C7DFB"/>
    <w:rsid w:val="000C7E1B"/>
    <w:rsid w:val="000C7E73"/>
    <w:rsid w:val="000D001B"/>
    <w:rsid w:val="000D0A45"/>
    <w:rsid w:val="000D136E"/>
    <w:rsid w:val="000D14AC"/>
    <w:rsid w:val="000D15BA"/>
    <w:rsid w:val="000D2C9B"/>
    <w:rsid w:val="000D35FD"/>
    <w:rsid w:val="000D3D2D"/>
    <w:rsid w:val="000D3D99"/>
    <w:rsid w:val="000D4653"/>
    <w:rsid w:val="000D4696"/>
    <w:rsid w:val="000D4817"/>
    <w:rsid w:val="000D4FB9"/>
    <w:rsid w:val="000D54B4"/>
    <w:rsid w:val="000D54F8"/>
    <w:rsid w:val="000D584B"/>
    <w:rsid w:val="000D5F55"/>
    <w:rsid w:val="000D6372"/>
    <w:rsid w:val="000D6979"/>
    <w:rsid w:val="000D6CE7"/>
    <w:rsid w:val="000D6E38"/>
    <w:rsid w:val="000D6E63"/>
    <w:rsid w:val="000D711C"/>
    <w:rsid w:val="000D7B6E"/>
    <w:rsid w:val="000E042A"/>
    <w:rsid w:val="000E0644"/>
    <w:rsid w:val="000E076D"/>
    <w:rsid w:val="000E0CD2"/>
    <w:rsid w:val="000E187C"/>
    <w:rsid w:val="000E1B28"/>
    <w:rsid w:val="000E1E8D"/>
    <w:rsid w:val="000E1EBC"/>
    <w:rsid w:val="000E2173"/>
    <w:rsid w:val="000E220B"/>
    <w:rsid w:val="000E2A50"/>
    <w:rsid w:val="000E30F2"/>
    <w:rsid w:val="000E316B"/>
    <w:rsid w:val="000E3667"/>
    <w:rsid w:val="000E3D08"/>
    <w:rsid w:val="000E4728"/>
    <w:rsid w:val="000E4D1F"/>
    <w:rsid w:val="000E5658"/>
    <w:rsid w:val="000E5698"/>
    <w:rsid w:val="000E5723"/>
    <w:rsid w:val="000E581B"/>
    <w:rsid w:val="000E58B4"/>
    <w:rsid w:val="000E65D2"/>
    <w:rsid w:val="000E6919"/>
    <w:rsid w:val="000E6B1B"/>
    <w:rsid w:val="000E6F0C"/>
    <w:rsid w:val="000E732D"/>
    <w:rsid w:val="000F07ED"/>
    <w:rsid w:val="000F0CF2"/>
    <w:rsid w:val="000F14F6"/>
    <w:rsid w:val="000F1A32"/>
    <w:rsid w:val="000F1CC2"/>
    <w:rsid w:val="000F1D15"/>
    <w:rsid w:val="000F270A"/>
    <w:rsid w:val="000F34C8"/>
    <w:rsid w:val="000F38BC"/>
    <w:rsid w:val="000F3E2A"/>
    <w:rsid w:val="000F4D26"/>
    <w:rsid w:val="000F5639"/>
    <w:rsid w:val="000F58A4"/>
    <w:rsid w:val="000F6833"/>
    <w:rsid w:val="000F6A24"/>
    <w:rsid w:val="000F7616"/>
    <w:rsid w:val="000F7DE9"/>
    <w:rsid w:val="000F7F7A"/>
    <w:rsid w:val="0010004B"/>
    <w:rsid w:val="001002F4"/>
    <w:rsid w:val="001011FC"/>
    <w:rsid w:val="0010165F"/>
    <w:rsid w:val="001018C1"/>
    <w:rsid w:val="00101E7C"/>
    <w:rsid w:val="00102260"/>
    <w:rsid w:val="001023DC"/>
    <w:rsid w:val="0010256D"/>
    <w:rsid w:val="00102572"/>
    <w:rsid w:val="00102946"/>
    <w:rsid w:val="00102FBF"/>
    <w:rsid w:val="0010333D"/>
    <w:rsid w:val="0010372A"/>
    <w:rsid w:val="00103F41"/>
    <w:rsid w:val="00104E77"/>
    <w:rsid w:val="00104F34"/>
    <w:rsid w:val="00104F3E"/>
    <w:rsid w:val="001053C5"/>
    <w:rsid w:val="001055AD"/>
    <w:rsid w:val="00105C14"/>
    <w:rsid w:val="001065A3"/>
    <w:rsid w:val="0010691D"/>
    <w:rsid w:val="00106B33"/>
    <w:rsid w:val="00106E69"/>
    <w:rsid w:val="00110AC5"/>
    <w:rsid w:val="00110F0B"/>
    <w:rsid w:val="0011108B"/>
    <w:rsid w:val="00111136"/>
    <w:rsid w:val="00111164"/>
    <w:rsid w:val="00111761"/>
    <w:rsid w:val="00112164"/>
    <w:rsid w:val="0011241F"/>
    <w:rsid w:val="001128BF"/>
    <w:rsid w:val="00112D09"/>
    <w:rsid w:val="00112F03"/>
    <w:rsid w:val="00112F38"/>
    <w:rsid w:val="00113821"/>
    <w:rsid w:val="0011394B"/>
    <w:rsid w:val="00113CEE"/>
    <w:rsid w:val="00114058"/>
    <w:rsid w:val="00114342"/>
    <w:rsid w:val="0011449E"/>
    <w:rsid w:val="001153EF"/>
    <w:rsid w:val="00115D55"/>
    <w:rsid w:val="00115E45"/>
    <w:rsid w:val="00115F85"/>
    <w:rsid w:val="00115FD1"/>
    <w:rsid w:val="001165CC"/>
    <w:rsid w:val="0011688E"/>
    <w:rsid w:val="00116ACD"/>
    <w:rsid w:val="00117B7D"/>
    <w:rsid w:val="001205A8"/>
    <w:rsid w:val="00120948"/>
    <w:rsid w:val="0012180B"/>
    <w:rsid w:val="00122A64"/>
    <w:rsid w:val="00123641"/>
    <w:rsid w:val="0012388A"/>
    <w:rsid w:val="0012388C"/>
    <w:rsid w:val="00123AFA"/>
    <w:rsid w:val="00123C8C"/>
    <w:rsid w:val="00123D68"/>
    <w:rsid w:val="00123E8B"/>
    <w:rsid w:val="00124B43"/>
    <w:rsid w:val="00124DF8"/>
    <w:rsid w:val="001253EA"/>
    <w:rsid w:val="00125B99"/>
    <w:rsid w:val="00126160"/>
    <w:rsid w:val="00126DB5"/>
    <w:rsid w:val="00127178"/>
    <w:rsid w:val="00127D2B"/>
    <w:rsid w:val="00127F09"/>
    <w:rsid w:val="0013002A"/>
    <w:rsid w:val="0013085D"/>
    <w:rsid w:val="0013089C"/>
    <w:rsid w:val="00130A2D"/>
    <w:rsid w:val="00130F54"/>
    <w:rsid w:val="00131888"/>
    <w:rsid w:val="00131F17"/>
    <w:rsid w:val="001323F9"/>
    <w:rsid w:val="0013251F"/>
    <w:rsid w:val="00132FA3"/>
    <w:rsid w:val="00133088"/>
    <w:rsid w:val="00133346"/>
    <w:rsid w:val="001335B1"/>
    <w:rsid w:val="0013372D"/>
    <w:rsid w:val="00133733"/>
    <w:rsid w:val="00133B4E"/>
    <w:rsid w:val="00133D47"/>
    <w:rsid w:val="001346AF"/>
    <w:rsid w:val="00134990"/>
    <w:rsid w:val="00134AD9"/>
    <w:rsid w:val="00135416"/>
    <w:rsid w:val="001354D1"/>
    <w:rsid w:val="001355E7"/>
    <w:rsid w:val="00135A0A"/>
    <w:rsid w:val="00135BB9"/>
    <w:rsid w:val="0013621D"/>
    <w:rsid w:val="00136354"/>
    <w:rsid w:val="00136674"/>
    <w:rsid w:val="00136B0E"/>
    <w:rsid w:val="00136C3B"/>
    <w:rsid w:val="00137103"/>
    <w:rsid w:val="001376AB"/>
    <w:rsid w:val="0013777C"/>
    <w:rsid w:val="00137D5F"/>
    <w:rsid w:val="00140082"/>
    <w:rsid w:val="00140175"/>
    <w:rsid w:val="00140757"/>
    <w:rsid w:val="00140B62"/>
    <w:rsid w:val="00140D07"/>
    <w:rsid w:val="00141A3A"/>
    <w:rsid w:val="001422F4"/>
    <w:rsid w:val="001423FA"/>
    <w:rsid w:val="001427B5"/>
    <w:rsid w:val="001428CF"/>
    <w:rsid w:val="00142D0C"/>
    <w:rsid w:val="00142E3C"/>
    <w:rsid w:val="00144013"/>
    <w:rsid w:val="001454B8"/>
    <w:rsid w:val="00145A17"/>
    <w:rsid w:val="00145BBE"/>
    <w:rsid w:val="00145D7F"/>
    <w:rsid w:val="001460B5"/>
    <w:rsid w:val="0014641F"/>
    <w:rsid w:val="001464A8"/>
    <w:rsid w:val="00146618"/>
    <w:rsid w:val="001467BB"/>
    <w:rsid w:val="00146AB3"/>
    <w:rsid w:val="00146CA8"/>
    <w:rsid w:val="001472A5"/>
    <w:rsid w:val="00147884"/>
    <w:rsid w:val="00150669"/>
    <w:rsid w:val="00150827"/>
    <w:rsid w:val="00150B0D"/>
    <w:rsid w:val="00151E31"/>
    <w:rsid w:val="00151F9B"/>
    <w:rsid w:val="00152095"/>
    <w:rsid w:val="00152289"/>
    <w:rsid w:val="00152425"/>
    <w:rsid w:val="00152BAD"/>
    <w:rsid w:val="00152CE3"/>
    <w:rsid w:val="00153652"/>
    <w:rsid w:val="00153697"/>
    <w:rsid w:val="00153956"/>
    <w:rsid w:val="00153B95"/>
    <w:rsid w:val="00154146"/>
    <w:rsid w:val="00154190"/>
    <w:rsid w:val="001545EA"/>
    <w:rsid w:val="001549BA"/>
    <w:rsid w:val="00154FFC"/>
    <w:rsid w:val="00155099"/>
    <w:rsid w:val="001553F5"/>
    <w:rsid w:val="00155C85"/>
    <w:rsid w:val="00156A6C"/>
    <w:rsid w:val="00156B10"/>
    <w:rsid w:val="00157823"/>
    <w:rsid w:val="0015790D"/>
    <w:rsid w:val="00157C5E"/>
    <w:rsid w:val="0016015A"/>
    <w:rsid w:val="0016020E"/>
    <w:rsid w:val="00160503"/>
    <w:rsid w:val="00160701"/>
    <w:rsid w:val="00160D7C"/>
    <w:rsid w:val="00160E30"/>
    <w:rsid w:val="0016106D"/>
    <w:rsid w:val="001612E1"/>
    <w:rsid w:val="001614DB"/>
    <w:rsid w:val="0016194E"/>
    <w:rsid w:val="0016236C"/>
    <w:rsid w:val="00162625"/>
    <w:rsid w:val="001630A8"/>
    <w:rsid w:val="001634C7"/>
    <w:rsid w:val="00163826"/>
    <w:rsid w:val="00163943"/>
    <w:rsid w:val="00163BA1"/>
    <w:rsid w:val="00163F22"/>
    <w:rsid w:val="0016417B"/>
    <w:rsid w:val="0016470E"/>
    <w:rsid w:val="00164E0A"/>
    <w:rsid w:val="0016520F"/>
    <w:rsid w:val="001652D7"/>
    <w:rsid w:val="0016596E"/>
    <w:rsid w:val="00165A5F"/>
    <w:rsid w:val="00166223"/>
    <w:rsid w:val="00166492"/>
    <w:rsid w:val="001670D8"/>
    <w:rsid w:val="0016793E"/>
    <w:rsid w:val="00167D4D"/>
    <w:rsid w:val="00170635"/>
    <w:rsid w:val="0017070D"/>
    <w:rsid w:val="00170837"/>
    <w:rsid w:val="00171035"/>
    <w:rsid w:val="001713B7"/>
    <w:rsid w:val="00171ADB"/>
    <w:rsid w:val="00172029"/>
    <w:rsid w:val="001733A4"/>
    <w:rsid w:val="001738E0"/>
    <w:rsid w:val="00173AB9"/>
    <w:rsid w:val="00173EED"/>
    <w:rsid w:val="00174368"/>
    <w:rsid w:val="001744EA"/>
    <w:rsid w:val="00174D82"/>
    <w:rsid w:val="00174E44"/>
    <w:rsid w:val="00175053"/>
    <w:rsid w:val="001753B7"/>
    <w:rsid w:val="001757E7"/>
    <w:rsid w:val="00175873"/>
    <w:rsid w:val="0017592E"/>
    <w:rsid w:val="00175C59"/>
    <w:rsid w:val="001760BC"/>
    <w:rsid w:val="00176674"/>
    <w:rsid w:val="00176818"/>
    <w:rsid w:val="00176B82"/>
    <w:rsid w:val="00176E3B"/>
    <w:rsid w:val="00176ECB"/>
    <w:rsid w:val="0017716E"/>
    <w:rsid w:val="0017752D"/>
    <w:rsid w:val="0017759F"/>
    <w:rsid w:val="00177832"/>
    <w:rsid w:val="00177D48"/>
    <w:rsid w:val="00181178"/>
    <w:rsid w:val="0018119E"/>
    <w:rsid w:val="00181EEF"/>
    <w:rsid w:val="00181F3E"/>
    <w:rsid w:val="00182FE0"/>
    <w:rsid w:val="00183911"/>
    <w:rsid w:val="00183DF5"/>
    <w:rsid w:val="001845FB"/>
    <w:rsid w:val="00184CDD"/>
    <w:rsid w:val="00184DAB"/>
    <w:rsid w:val="00185490"/>
    <w:rsid w:val="00185DA6"/>
    <w:rsid w:val="00185F64"/>
    <w:rsid w:val="00186096"/>
    <w:rsid w:val="00186F7C"/>
    <w:rsid w:val="0018772E"/>
    <w:rsid w:val="00187A94"/>
    <w:rsid w:val="0019029E"/>
    <w:rsid w:val="00190329"/>
    <w:rsid w:val="00190804"/>
    <w:rsid w:val="0019088F"/>
    <w:rsid w:val="00190C51"/>
    <w:rsid w:val="00192FA5"/>
    <w:rsid w:val="0019336B"/>
    <w:rsid w:val="001939A6"/>
    <w:rsid w:val="00193ACC"/>
    <w:rsid w:val="00193BFE"/>
    <w:rsid w:val="00194E7E"/>
    <w:rsid w:val="00195322"/>
    <w:rsid w:val="0019560E"/>
    <w:rsid w:val="00195702"/>
    <w:rsid w:val="001958E3"/>
    <w:rsid w:val="0019601B"/>
    <w:rsid w:val="00196048"/>
    <w:rsid w:val="00196A82"/>
    <w:rsid w:val="0019769B"/>
    <w:rsid w:val="00197FFE"/>
    <w:rsid w:val="001A0D25"/>
    <w:rsid w:val="001A1570"/>
    <w:rsid w:val="001A1917"/>
    <w:rsid w:val="001A1C64"/>
    <w:rsid w:val="001A1E7F"/>
    <w:rsid w:val="001A228D"/>
    <w:rsid w:val="001A2918"/>
    <w:rsid w:val="001A2D02"/>
    <w:rsid w:val="001A2DFE"/>
    <w:rsid w:val="001A3076"/>
    <w:rsid w:val="001A3120"/>
    <w:rsid w:val="001A31A5"/>
    <w:rsid w:val="001A389C"/>
    <w:rsid w:val="001A3B75"/>
    <w:rsid w:val="001A46FB"/>
    <w:rsid w:val="001A5944"/>
    <w:rsid w:val="001A5FB1"/>
    <w:rsid w:val="001A698A"/>
    <w:rsid w:val="001A6CCC"/>
    <w:rsid w:val="001A70C8"/>
    <w:rsid w:val="001A71C9"/>
    <w:rsid w:val="001A7429"/>
    <w:rsid w:val="001A760C"/>
    <w:rsid w:val="001A799B"/>
    <w:rsid w:val="001A7AC7"/>
    <w:rsid w:val="001A7C38"/>
    <w:rsid w:val="001B02F8"/>
    <w:rsid w:val="001B2104"/>
    <w:rsid w:val="001B2279"/>
    <w:rsid w:val="001B2729"/>
    <w:rsid w:val="001B2866"/>
    <w:rsid w:val="001B2881"/>
    <w:rsid w:val="001B34A3"/>
    <w:rsid w:val="001B3675"/>
    <w:rsid w:val="001B37C8"/>
    <w:rsid w:val="001B4B2C"/>
    <w:rsid w:val="001B4F10"/>
    <w:rsid w:val="001B5026"/>
    <w:rsid w:val="001B5154"/>
    <w:rsid w:val="001B5B75"/>
    <w:rsid w:val="001B6E30"/>
    <w:rsid w:val="001B7C83"/>
    <w:rsid w:val="001B7F9E"/>
    <w:rsid w:val="001C0206"/>
    <w:rsid w:val="001C0246"/>
    <w:rsid w:val="001C04D4"/>
    <w:rsid w:val="001C0B34"/>
    <w:rsid w:val="001C12A3"/>
    <w:rsid w:val="001C17BB"/>
    <w:rsid w:val="001C187E"/>
    <w:rsid w:val="001C1A37"/>
    <w:rsid w:val="001C1C49"/>
    <w:rsid w:val="001C286F"/>
    <w:rsid w:val="001C2B86"/>
    <w:rsid w:val="001C2F54"/>
    <w:rsid w:val="001C2FBE"/>
    <w:rsid w:val="001C3308"/>
    <w:rsid w:val="001C3BBB"/>
    <w:rsid w:val="001C40D1"/>
    <w:rsid w:val="001C468A"/>
    <w:rsid w:val="001C4A38"/>
    <w:rsid w:val="001C4A9E"/>
    <w:rsid w:val="001C5001"/>
    <w:rsid w:val="001C5103"/>
    <w:rsid w:val="001C52A8"/>
    <w:rsid w:val="001C5ADF"/>
    <w:rsid w:val="001C5E8E"/>
    <w:rsid w:val="001C6120"/>
    <w:rsid w:val="001C6516"/>
    <w:rsid w:val="001C6B5C"/>
    <w:rsid w:val="001C7155"/>
    <w:rsid w:val="001C71D9"/>
    <w:rsid w:val="001C7E48"/>
    <w:rsid w:val="001D039B"/>
    <w:rsid w:val="001D1258"/>
    <w:rsid w:val="001D14AB"/>
    <w:rsid w:val="001D1AB8"/>
    <w:rsid w:val="001D286F"/>
    <w:rsid w:val="001D2C94"/>
    <w:rsid w:val="001D33D9"/>
    <w:rsid w:val="001D36F6"/>
    <w:rsid w:val="001D3D5F"/>
    <w:rsid w:val="001D4303"/>
    <w:rsid w:val="001D45E5"/>
    <w:rsid w:val="001D461A"/>
    <w:rsid w:val="001D4A9D"/>
    <w:rsid w:val="001D4AAD"/>
    <w:rsid w:val="001D5AFA"/>
    <w:rsid w:val="001D7177"/>
    <w:rsid w:val="001D756E"/>
    <w:rsid w:val="001D784A"/>
    <w:rsid w:val="001E04A4"/>
    <w:rsid w:val="001E04EE"/>
    <w:rsid w:val="001E07C5"/>
    <w:rsid w:val="001E176D"/>
    <w:rsid w:val="001E1BCE"/>
    <w:rsid w:val="001E1E05"/>
    <w:rsid w:val="001E2086"/>
    <w:rsid w:val="001E339F"/>
    <w:rsid w:val="001E3629"/>
    <w:rsid w:val="001E3B2C"/>
    <w:rsid w:val="001E40F0"/>
    <w:rsid w:val="001E4172"/>
    <w:rsid w:val="001E4AC7"/>
    <w:rsid w:val="001E5490"/>
    <w:rsid w:val="001E5513"/>
    <w:rsid w:val="001E5730"/>
    <w:rsid w:val="001E5E2E"/>
    <w:rsid w:val="001E6352"/>
    <w:rsid w:val="001E70AD"/>
    <w:rsid w:val="001E7237"/>
    <w:rsid w:val="001E7AF6"/>
    <w:rsid w:val="001E7FBF"/>
    <w:rsid w:val="001F01B8"/>
    <w:rsid w:val="001F0FC3"/>
    <w:rsid w:val="001F1188"/>
    <w:rsid w:val="001F1B8D"/>
    <w:rsid w:val="001F274F"/>
    <w:rsid w:val="001F286C"/>
    <w:rsid w:val="001F289C"/>
    <w:rsid w:val="001F2BF9"/>
    <w:rsid w:val="001F3AEB"/>
    <w:rsid w:val="001F3AF2"/>
    <w:rsid w:val="001F6008"/>
    <w:rsid w:val="001F641B"/>
    <w:rsid w:val="001F6C19"/>
    <w:rsid w:val="001F6D4D"/>
    <w:rsid w:val="001F7C00"/>
    <w:rsid w:val="0020042C"/>
    <w:rsid w:val="002009A3"/>
    <w:rsid w:val="00200F1A"/>
    <w:rsid w:val="0020130D"/>
    <w:rsid w:val="00201D06"/>
    <w:rsid w:val="00201E9F"/>
    <w:rsid w:val="00202F25"/>
    <w:rsid w:val="002035B3"/>
    <w:rsid w:val="00203929"/>
    <w:rsid w:val="00203CD6"/>
    <w:rsid w:val="00203F0A"/>
    <w:rsid w:val="00204460"/>
    <w:rsid w:val="002051EA"/>
    <w:rsid w:val="00205CBC"/>
    <w:rsid w:val="00205E9E"/>
    <w:rsid w:val="00206259"/>
    <w:rsid w:val="00206CE5"/>
    <w:rsid w:val="002074B7"/>
    <w:rsid w:val="0020758D"/>
    <w:rsid w:val="00207C7B"/>
    <w:rsid w:val="00211470"/>
    <w:rsid w:val="00211922"/>
    <w:rsid w:val="0021213A"/>
    <w:rsid w:val="0021265F"/>
    <w:rsid w:val="00213817"/>
    <w:rsid w:val="00214428"/>
    <w:rsid w:val="002145EB"/>
    <w:rsid w:val="00215834"/>
    <w:rsid w:val="00215CC2"/>
    <w:rsid w:val="00215ED8"/>
    <w:rsid w:val="00217700"/>
    <w:rsid w:val="002177E2"/>
    <w:rsid w:val="002205F3"/>
    <w:rsid w:val="0022085B"/>
    <w:rsid w:val="00220E53"/>
    <w:rsid w:val="0022176C"/>
    <w:rsid w:val="002225D1"/>
    <w:rsid w:val="002230FA"/>
    <w:rsid w:val="002235D9"/>
    <w:rsid w:val="00223AB9"/>
    <w:rsid w:val="00223DF2"/>
    <w:rsid w:val="00224737"/>
    <w:rsid w:val="00224C0C"/>
    <w:rsid w:val="00225323"/>
    <w:rsid w:val="002256C2"/>
    <w:rsid w:val="002256D0"/>
    <w:rsid w:val="00225C8E"/>
    <w:rsid w:val="00226428"/>
    <w:rsid w:val="002265A9"/>
    <w:rsid w:val="002266CB"/>
    <w:rsid w:val="00226777"/>
    <w:rsid w:val="0022701E"/>
    <w:rsid w:val="00227052"/>
    <w:rsid w:val="002272D5"/>
    <w:rsid w:val="0022738E"/>
    <w:rsid w:val="00227906"/>
    <w:rsid w:val="00227934"/>
    <w:rsid w:val="00227E21"/>
    <w:rsid w:val="00230178"/>
    <w:rsid w:val="00231D05"/>
    <w:rsid w:val="002336E2"/>
    <w:rsid w:val="00233AC2"/>
    <w:rsid w:val="00233BAF"/>
    <w:rsid w:val="00235420"/>
    <w:rsid w:val="002356A5"/>
    <w:rsid w:val="00235DAA"/>
    <w:rsid w:val="0024065B"/>
    <w:rsid w:val="002409A6"/>
    <w:rsid w:val="00240EA5"/>
    <w:rsid w:val="00241132"/>
    <w:rsid w:val="00241205"/>
    <w:rsid w:val="002418C5"/>
    <w:rsid w:val="002419ED"/>
    <w:rsid w:val="0024261D"/>
    <w:rsid w:val="00242DFB"/>
    <w:rsid w:val="00243807"/>
    <w:rsid w:val="002440AC"/>
    <w:rsid w:val="00244365"/>
    <w:rsid w:val="0024459A"/>
    <w:rsid w:val="00244771"/>
    <w:rsid w:val="00244903"/>
    <w:rsid w:val="00244AFB"/>
    <w:rsid w:val="00245353"/>
    <w:rsid w:val="002453DF"/>
    <w:rsid w:val="00245A81"/>
    <w:rsid w:val="00246B86"/>
    <w:rsid w:val="00247335"/>
    <w:rsid w:val="002473EF"/>
    <w:rsid w:val="002477B9"/>
    <w:rsid w:val="00247CBE"/>
    <w:rsid w:val="00250100"/>
    <w:rsid w:val="00250A1F"/>
    <w:rsid w:val="00250ADA"/>
    <w:rsid w:val="00250F1D"/>
    <w:rsid w:val="0025194E"/>
    <w:rsid w:val="00251FF1"/>
    <w:rsid w:val="002520BA"/>
    <w:rsid w:val="00252234"/>
    <w:rsid w:val="002527AF"/>
    <w:rsid w:val="002528E3"/>
    <w:rsid w:val="00252944"/>
    <w:rsid w:val="00252D55"/>
    <w:rsid w:val="00252D82"/>
    <w:rsid w:val="00253006"/>
    <w:rsid w:val="002533F5"/>
    <w:rsid w:val="002538CE"/>
    <w:rsid w:val="00253C60"/>
    <w:rsid w:val="00253F21"/>
    <w:rsid w:val="0025429D"/>
    <w:rsid w:val="002549E9"/>
    <w:rsid w:val="00254FF6"/>
    <w:rsid w:val="00255099"/>
    <w:rsid w:val="002555C6"/>
    <w:rsid w:val="00255CEE"/>
    <w:rsid w:val="00255E14"/>
    <w:rsid w:val="0025615C"/>
    <w:rsid w:val="002561A3"/>
    <w:rsid w:val="00257059"/>
    <w:rsid w:val="0025712F"/>
    <w:rsid w:val="00257395"/>
    <w:rsid w:val="00257857"/>
    <w:rsid w:val="002578DA"/>
    <w:rsid w:val="00257CBC"/>
    <w:rsid w:val="002602C2"/>
    <w:rsid w:val="002602DA"/>
    <w:rsid w:val="0026040B"/>
    <w:rsid w:val="00260802"/>
    <w:rsid w:val="002609E3"/>
    <w:rsid w:val="00261223"/>
    <w:rsid w:val="002617AB"/>
    <w:rsid w:val="00261D08"/>
    <w:rsid w:val="00261DCC"/>
    <w:rsid w:val="002624D0"/>
    <w:rsid w:val="00263AE7"/>
    <w:rsid w:val="00263EC7"/>
    <w:rsid w:val="00264441"/>
    <w:rsid w:val="0026491B"/>
    <w:rsid w:val="00264A36"/>
    <w:rsid w:val="00264B06"/>
    <w:rsid w:val="00264C1B"/>
    <w:rsid w:val="00265E2E"/>
    <w:rsid w:val="002661AB"/>
    <w:rsid w:val="002668DB"/>
    <w:rsid w:val="0026742B"/>
    <w:rsid w:val="002674FE"/>
    <w:rsid w:val="00270748"/>
    <w:rsid w:val="0027105A"/>
    <w:rsid w:val="0027117F"/>
    <w:rsid w:val="00271283"/>
    <w:rsid w:val="002712DC"/>
    <w:rsid w:val="00271875"/>
    <w:rsid w:val="002718FF"/>
    <w:rsid w:val="00271955"/>
    <w:rsid w:val="00272278"/>
    <w:rsid w:val="00272432"/>
    <w:rsid w:val="00272633"/>
    <w:rsid w:val="00272923"/>
    <w:rsid w:val="00272CAB"/>
    <w:rsid w:val="00272FBF"/>
    <w:rsid w:val="00273A10"/>
    <w:rsid w:val="00273A58"/>
    <w:rsid w:val="00273FBB"/>
    <w:rsid w:val="00274CAB"/>
    <w:rsid w:val="00274E8A"/>
    <w:rsid w:val="0027507D"/>
    <w:rsid w:val="00275D43"/>
    <w:rsid w:val="00275FCE"/>
    <w:rsid w:val="002766B8"/>
    <w:rsid w:val="0027680F"/>
    <w:rsid w:val="00280CD9"/>
    <w:rsid w:val="00281006"/>
    <w:rsid w:val="002815B1"/>
    <w:rsid w:val="00281A3D"/>
    <w:rsid w:val="00281C1F"/>
    <w:rsid w:val="00281EEA"/>
    <w:rsid w:val="00281F88"/>
    <w:rsid w:val="0028288D"/>
    <w:rsid w:val="002829B7"/>
    <w:rsid w:val="00282B82"/>
    <w:rsid w:val="00282C74"/>
    <w:rsid w:val="00282E5B"/>
    <w:rsid w:val="00282F51"/>
    <w:rsid w:val="00283995"/>
    <w:rsid w:val="00283B11"/>
    <w:rsid w:val="002841A9"/>
    <w:rsid w:val="00284313"/>
    <w:rsid w:val="002848AD"/>
    <w:rsid w:val="00284A5E"/>
    <w:rsid w:val="00285154"/>
    <w:rsid w:val="00285BF2"/>
    <w:rsid w:val="00285C78"/>
    <w:rsid w:val="002863CE"/>
    <w:rsid w:val="002868CF"/>
    <w:rsid w:val="0028702A"/>
    <w:rsid w:val="0028732A"/>
    <w:rsid w:val="00290F01"/>
    <w:rsid w:val="00291035"/>
    <w:rsid w:val="00291492"/>
    <w:rsid w:val="00291527"/>
    <w:rsid w:val="0029199A"/>
    <w:rsid w:val="00291BBE"/>
    <w:rsid w:val="00291FEB"/>
    <w:rsid w:val="002920B3"/>
    <w:rsid w:val="00293146"/>
    <w:rsid w:val="0029361E"/>
    <w:rsid w:val="00293D68"/>
    <w:rsid w:val="0029431E"/>
    <w:rsid w:val="00294352"/>
    <w:rsid w:val="002944A0"/>
    <w:rsid w:val="002946E4"/>
    <w:rsid w:val="0029495C"/>
    <w:rsid w:val="00294CEE"/>
    <w:rsid w:val="002957D9"/>
    <w:rsid w:val="00295B52"/>
    <w:rsid w:val="00296024"/>
    <w:rsid w:val="00296293"/>
    <w:rsid w:val="0029686F"/>
    <w:rsid w:val="00296AF7"/>
    <w:rsid w:val="002972F9"/>
    <w:rsid w:val="002977CA"/>
    <w:rsid w:val="00297DC9"/>
    <w:rsid w:val="00297ED7"/>
    <w:rsid w:val="002A0007"/>
    <w:rsid w:val="002A03AA"/>
    <w:rsid w:val="002A056D"/>
    <w:rsid w:val="002A0649"/>
    <w:rsid w:val="002A07FE"/>
    <w:rsid w:val="002A094D"/>
    <w:rsid w:val="002A0CAF"/>
    <w:rsid w:val="002A1565"/>
    <w:rsid w:val="002A16A9"/>
    <w:rsid w:val="002A2941"/>
    <w:rsid w:val="002A2DC4"/>
    <w:rsid w:val="002A3E69"/>
    <w:rsid w:val="002A41F7"/>
    <w:rsid w:val="002A44F9"/>
    <w:rsid w:val="002A46D1"/>
    <w:rsid w:val="002A49EF"/>
    <w:rsid w:val="002A4B8B"/>
    <w:rsid w:val="002A4C3D"/>
    <w:rsid w:val="002A5107"/>
    <w:rsid w:val="002A535E"/>
    <w:rsid w:val="002A6406"/>
    <w:rsid w:val="002A6AD0"/>
    <w:rsid w:val="002A6CF0"/>
    <w:rsid w:val="002A6FFC"/>
    <w:rsid w:val="002A7010"/>
    <w:rsid w:val="002A70BA"/>
    <w:rsid w:val="002A7A57"/>
    <w:rsid w:val="002A7BB2"/>
    <w:rsid w:val="002A7DCB"/>
    <w:rsid w:val="002B0B53"/>
    <w:rsid w:val="002B1617"/>
    <w:rsid w:val="002B194B"/>
    <w:rsid w:val="002B1D11"/>
    <w:rsid w:val="002B273B"/>
    <w:rsid w:val="002B29AA"/>
    <w:rsid w:val="002B2A7E"/>
    <w:rsid w:val="002B2F1B"/>
    <w:rsid w:val="002B4A32"/>
    <w:rsid w:val="002B4C6B"/>
    <w:rsid w:val="002B5AFB"/>
    <w:rsid w:val="002B6320"/>
    <w:rsid w:val="002B66AC"/>
    <w:rsid w:val="002B6852"/>
    <w:rsid w:val="002B77E1"/>
    <w:rsid w:val="002C0714"/>
    <w:rsid w:val="002C0A96"/>
    <w:rsid w:val="002C10A8"/>
    <w:rsid w:val="002C1BF4"/>
    <w:rsid w:val="002C1E0D"/>
    <w:rsid w:val="002C2266"/>
    <w:rsid w:val="002C2309"/>
    <w:rsid w:val="002C24D1"/>
    <w:rsid w:val="002C28EB"/>
    <w:rsid w:val="002C3265"/>
    <w:rsid w:val="002C3666"/>
    <w:rsid w:val="002C3AED"/>
    <w:rsid w:val="002C3E56"/>
    <w:rsid w:val="002C414C"/>
    <w:rsid w:val="002C4C2F"/>
    <w:rsid w:val="002C5776"/>
    <w:rsid w:val="002C5CD6"/>
    <w:rsid w:val="002C5EED"/>
    <w:rsid w:val="002C66DE"/>
    <w:rsid w:val="002C680F"/>
    <w:rsid w:val="002C7193"/>
    <w:rsid w:val="002C7699"/>
    <w:rsid w:val="002C7A49"/>
    <w:rsid w:val="002C7B1A"/>
    <w:rsid w:val="002D0128"/>
    <w:rsid w:val="002D0E85"/>
    <w:rsid w:val="002D0FA7"/>
    <w:rsid w:val="002D12FB"/>
    <w:rsid w:val="002D1306"/>
    <w:rsid w:val="002D19D1"/>
    <w:rsid w:val="002D1F35"/>
    <w:rsid w:val="002D1FA3"/>
    <w:rsid w:val="002D20CD"/>
    <w:rsid w:val="002D23C6"/>
    <w:rsid w:val="002D24F0"/>
    <w:rsid w:val="002D25EB"/>
    <w:rsid w:val="002D29F3"/>
    <w:rsid w:val="002D3126"/>
    <w:rsid w:val="002D3529"/>
    <w:rsid w:val="002D3D0A"/>
    <w:rsid w:val="002D478E"/>
    <w:rsid w:val="002D47AE"/>
    <w:rsid w:val="002D4A94"/>
    <w:rsid w:val="002D5CBF"/>
    <w:rsid w:val="002D65FF"/>
    <w:rsid w:val="002D6D10"/>
    <w:rsid w:val="002D71E2"/>
    <w:rsid w:val="002D7367"/>
    <w:rsid w:val="002D7961"/>
    <w:rsid w:val="002D7B6A"/>
    <w:rsid w:val="002D7E36"/>
    <w:rsid w:val="002E0026"/>
    <w:rsid w:val="002E08E8"/>
    <w:rsid w:val="002E0918"/>
    <w:rsid w:val="002E0BAA"/>
    <w:rsid w:val="002E0D96"/>
    <w:rsid w:val="002E0EA5"/>
    <w:rsid w:val="002E1E19"/>
    <w:rsid w:val="002E283F"/>
    <w:rsid w:val="002E2854"/>
    <w:rsid w:val="002E2E74"/>
    <w:rsid w:val="002E32D2"/>
    <w:rsid w:val="002E361B"/>
    <w:rsid w:val="002E37AB"/>
    <w:rsid w:val="002E3A80"/>
    <w:rsid w:val="002E41C7"/>
    <w:rsid w:val="002E51DF"/>
    <w:rsid w:val="002E555B"/>
    <w:rsid w:val="002E57B9"/>
    <w:rsid w:val="002E6127"/>
    <w:rsid w:val="002E6885"/>
    <w:rsid w:val="002E6E81"/>
    <w:rsid w:val="002E72E4"/>
    <w:rsid w:val="002E739D"/>
    <w:rsid w:val="002F0F36"/>
    <w:rsid w:val="002F0FE4"/>
    <w:rsid w:val="002F1276"/>
    <w:rsid w:val="002F1986"/>
    <w:rsid w:val="002F1E5F"/>
    <w:rsid w:val="002F2A49"/>
    <w:rsid w:val="002F3550"/>
    <w:rsid w:val="002F3B63"/>
    <w:rsid w:val="002F3C56"/>
    <w:rsid w:val="002F46B0"/>
    <w:rsid w:val="002F4B17"/>
    <w:rsid w:val="002F5150"/>
    <w:rsid w:val="002F5463"/>
    <w:rsid w:val="002F58C2"/>
    <w:rsid w:val="002F5932"/>
    <w:rsid w:val="002F5C85"/>
    <w:rsid w:val="002F603B"/>
    <w:rsid w:val="002F6201"/>
    <w:rsid w:val="002F6884"/>
    <w:rsid w:val="002F6A2B"/>
    <w:rsid w:val="002F6CB1"/>
    <w:rsid w:val="002F724B"/>
    <w:rsid w:val="002F72BA"/>
    <w:rsid w:val="00300267"/>
    <w:rsid w:val="003004D2"/>
    <w:rsid w:val="00300674"/>
    <w:rsid w:val="00300C88"/>
    <w:rsid w:val="00300D6B"/>
    <w:rsid w:val="00301380"/>
    <w:rsid w:val="00301E89"/>
    <w:rsid w:val="00302052"/>
    <w:rsid w:val="00302142"/>
    <w:rsid w:val="00302169"/>
    <w:rsid w:val="00302612"/>
    <w:rsid w:val="00303254"/>
    <w:rsid w:val="00303B08"/>
    <w:rsid w:val="0030408D"/>
    <w:rsid w:val="003044D9"/>
    <w:rsid w:val="00304D8A"/>
    <w:rsid w:val="00305216"/>
    <w:rsid w:val="0030555B"/>
    <w:rsid w:val="00305BFD"/>
    <w:rsid w:val="003061F5"/>
    <w:rsid w:val="00306D27"/>
    <w:rsid w:val="0030739C"/>
    <w:rsid w:val="00310D51"/>
    <w:rsid w:val="00311B36"/>
    <w:rsid w:val="00311C92"/>
    <w:rsid w:val="003133AE"/>
    <w:rsid w:val="00313414"/>
    <w:rsid w:val="0031371B"/>
    <w:rsid w:val="00313F2D"/>
    <w:rsid w:val="00314156"/>
    <w:rsid w:val="00315081"/>
    <w:rsid w:val="0031535B"/>
    <w:rsid w:val="003170F4"/>
    <w:rsid w:val="0031750F"/>
    <w:rsid w:val="0032035D"/>
    <w:rsid w:val="003205E9"/>
    <w:rsid w:val="00320B28"/>
    <w:rsid w:val="0032123E"/>
    <w:rsid w:val="003216D5"/>
    <w:rsid w:val="003216FF"/>
    <w:rsid w:val="00321866"/>
    <w:rsid w:val="00321A83"/>
    <w:rsid w:val="00321C1A"/>
    <w:rsid w:val="00321F6B"/>
    <w:rsid w:val="00322389"/>
    <w:rsid w:val="00322BE5"/>
    <w:rsid w:val="00322E87"/>
    <w:rsid w:val="0032312D"/>
    <w:rsid w:val="00323AA5"/>
    <w:rsid w:val="003242E4"/>
    <w:rsid w:val="0032468D"/>
    <w:rsid w:val="00324926"/>
    <w:rsid w:val="00324B25"/>
    <w:rsid w:val="0032522F"/>
    <w:rsid w:val="003253C4"/>
    <w:rsid w:val="0032550F"/>
    <w:rsid w:val="00325992"/>
    <w:rsid w:val="00325B74"/>
    <w:rsid w:val="0032638F"/>
    <w:rsid w:val="00326B59"/>
    <w:rsid w:val="003272C6"/>
    <w:rsid w:val="0032746C"/>
    <w:rsid w:val="00327752"/>
    <w:rsid w:val="00327C7C"/>
    <w:rsid w:val="00330009"/>
    <w:rsid w:val="003301E6"/>
    <w:rsid w:val="003310AB"/>
    <w:rsid w:val="003314D2"/>
    <w:rsid w:val="00331712"/>
    <w:rsid w:val="00331A3F"/>
    <w:rsid w:val="00332191"/>
    <w:rsid w:val="00332720"/>
    <w:rsid w:val="00332EED"/>
    <w:rsid w:val="003334A7"/>
    <w:rsid w:val="003337E8"/>
    <w:rsid w:val="00333A14"/>
    <w:rsid w:val="00333B2A"/>
    <w:rsid w:val="00333FD5"/>
    <w:rsid w:val="003350E9"/>
    <w:rsid w:val="003351BA"/>
    <w:rsid w:val="0033520F"/>
    <w:rsid w:val="00335519"/>
    <w:rsid w:val="0033596B"/>
    <w:rsid w:val="00335A93"/>
    <w:rsid w:val="0033650E"/>
    <w:rsid w:val="003366EF"/>
    <w:rsid w:val="00336907"/>
    <w:rsid w:val="003369DF"/>
    <w:rsid w:val="00336C71"/>
    <w:rsid w:val="00336D96"/>
    <w:rsid w:val="00336DFC"/>
    <w:rsid w:val="00337230"/>
    <w:rsid w:val="00337588"/>
    <w:rsid w:val="003377D0"/>
    <w:rsid w:val="00337D75"/>
    <w:rsid w:val="00340020"/>
    <w:rsid w:val="0034081A"/>
    <w:rsid w:val="00341162"/>
    <w:rsid w:val="00341866"/>
    <w:rsid w:val="00341DAF"/>
    <w:rsid w:val="00342181"/>
    <w:rsid w:val="003423FE"/>
    <w:rsid w:val="0034339B"/>
    <w:rsid w:val="00343560"/>
    <w:rsid w:val="00343A20"/>
    <w:rsid w:val="0034402B"/>
    <w:rsid w:val="0034449E"/>
    <w:rsid w:val="00344D46"/>
    <w:rsid w:val="0034621B"/>
    <w:rsid w:val="003465A5"/>
    <w:rsid w:val="00346817"/>
    <w:rsid w:val="00347440"/>
    <w:rsid w:val="003475EA"/>
    <w:rsid w:val="0034792D"/>
    <w:rsid w:val="00347A27"/>
    <w:rsid w:val="00347CD4"/>
    <w:rsid w:val="00350A55"/>
    <w:rsid w:val="00350DF8"/>
    <w:rsid w:val="00351A8A"/>
    <w:rsid w:val="00352541"/>
    <w:rsid w:val="0035266A"/>
    <w:rsid w:val="0035279C"/>
    <w:rsid w:val="00352B23"/>
    <w:rsid w:val="00352C49"/>
    <w:rsid w:val="003534D3"/>
    <w:rsid w:val="003535D2"/>
    <w:rsid w:val="0035384D"/>
    <w:rsid w:val="003538DE"/>
    <w:rsid w:val="00353BF0"/>
    <w:rsid w:val="00353C0B"/>
    <w:rsid w:val="00354AE4"/>
    <w:rsid w:val="00354B0A"/>
    <w:rsid w:val="0035551B"/>
    <w:rsid w:val="003555ED"/>
    <w:rsid w:val="00355911"/>
    <w:rsid w:val="0035636B"/>
    <w:rsid w:val="00356714"/>
    <w:rsid w:val="00357424"/>
    <w:rsid w:val="00361789"/>
    <w:rsid w:val="0036196D"/>
    <w:rsid w:val="00361EEC"/>
    <w:rsid w:val="0036208F"/>
    <w:rsid w:val="003627BD"/>
    <w:rsid w:val="00362997"/>
    <w:rsid w:val="003629B5"/>
    <w:rsid w:val="00362C59"/>
    <w:rsid w:val="00363040"/>
    <w:rsid w:val="003630B7"/>
    <w:rsid w:val="00363275"/>
    <w:rsid w:val="0036344B"/>
    <w:rsid w:val="00363786"/>
    <w:rsid w:val="003638A4"/>
    <w:rsid w:val="003639BF"/>
    <w:rsid w:val="00363DDC"/>
    <w:rsid w:val="00363E41"/>
    <w:rsid w:val="00363ED8"/>
    <w:rsid w:val="00363FD2"/>
    <w:rsid w:val="003644D0"/>
    <w:rsid w:val="003651F5"/>
    <w:rsid w:val="0036572E"/>
    <w:rsid w:val="003658D4"/>
    <w:rsid w:val="003663D9"/>
    <w:rsid w:val="003666BF"/>
    <w:rsid w:val="00366707"/>
    <w:rsid w:val="00366FA9"/>
    <w:rsid w:val="00367E49"/>
    <w:rsid w:val="003700E6"/>
    <w:rsid w:val="00371C86"/>
    <w:rsid w:val="0037236C"/>
    <w:rsid w:val="003729DE"/>
    <w:rsid w:val="003735D3"/>
    <w:rsid w:val="0037386D"/>
    <w:rsid w:val="00373956"/>
    <w:rsid w:val="00374153"/>
    <w:rsid w:val="003750E0"/>
    <w:rsid w:val="00375AF1"/>
    <w:rsid w:val="00375C2F"/>
    <w:rsid w:val="00375FC5"/>
    <w:rsid w:val="003769BA"/>
    <w:rsid w:val="00377871"/>
    <w:rsid w:val="003778B2"/>
    <w:rsid w:val="00377E58"/>
    <w:rsid w:val="003805E3"/>
    <w:rsid w:val="00380618"/>
    <w:rsid w:val="0038062E"/>
    <w:rsid w:val="003807F7"/>
    <w:rsid w:val="00381610"/>
    <w:rsid w:val="00382106"/>
    <w:rsid w:val="00382657"/>
    <w:rsid w:val="00382B82"/>
    <w:rsid w:val="00383E73"/>
    <w:rsid w:val="003844BF"/>
    <w:rsid w:val="003852BA"/>
    <w:rsid w:val="003854D5"/>
    <w:rsid w:val="0038552A"/>
    <w:rsid w:val="003859EA"/>
    <w:rsid w:val="0038709E"/>
    <w:rsid w:val="00387D30"/>
    <w:rsid w:val="00390A4D"/>
    <w:rsid w:val="00391753"/>
    <w:rsid w:val="00391C7F"/>
    <w:rsid w:val="00392454"/>
    <w:rsid w:val="00392A6C"/>
    <w:rsid w:val="00392C85"/>
    <w:rsid w:val="00392FD8"/>
    <w:rsid w:val="00393B22"/>
    <w:rsid w:val="00393E11"/>
    <w:rsid w:val="00394475"/>
    <w:rsid w:val="00394956"/>
    <w:rsid w:val="00394C48"/>
    <w:rsid w:val="0039517A"/>
    <w:rsid w:val="00395B51"/>
    <w:rsid w:val="00396548"/>
    <w:rsid w:val="00396796"/>
    <w:rsid w:val="00396EC6"/>
    <w:rsid w:val="00396F3C"/>
    <w:rsid w:val="003970BA"/>
    <w:rsid w:val="0039746C"/>
    <w:rsid w:val="00397DC6"/>
    <w:rsid w:val="003A0E82"/>
    <w:rsid w:val="003A0FAC"/>
    <w:rsid w:val="003A184D"/>
    <w:rsid w:val="003A1C35"/>
    <w:rsid w:val="003A1FB7"/>
    <w:rsid w:val="003A2962"/>
    <w:rsid w:val="003A371E"/>
    <w:rsid w:val="003A462A"/>
    <w:rsid w:val="003A4CE8"/>
    <w:rsid w:val="003A595F"/>
    <w:rsid w:val="003A5EEC"/>
    <w:rsid w:val="003A6B93"/>
    <w:rsid w:val="003A79AE"/>
    <w:rsid w:val="003A7CA3"/>
    <w:rsid w:val="003B00B6"/>
    <w:rsid w:val="003B01C4"/>
    <w:rsid w:val="003B0BB0"/>
    <w:rsid w:val="003B11EE"/>
    <w:rsid w:val="003B1332"/>
    <w:rsid w:val="003B15F8"/>
    <w:rsid w:val="003B18EB"/>
    <w:rsid w:val="003B230B"/>
    <w:rsid w:val="003B23BC"/>
    <w:rsid w:val="003B2DB5"/>
    <w:rsid w:val="003B2F05"/>
    <w:rsid w:val="003B3966"/>
    <w:rsid w:val="003B39B7"/>
    <w:rsid w:val="003B4EB0"/>
    <w:rsid w:val="003B5F6A"/>
    <w:rsid w:val="003B6B7F"/>
    <w:rsid w:val="003B7820"/>
    <w:rsid w:val="003C01A4"/>
    <w:rsid w:val="003C0219"/>
    <w:rsid w:val="003C07FE"/>
    <w:rsid w:val="003C0C12"/>
    <w:rsid w:val="003C16EE"/>
    <w:rsid w:val="003C1C87"/>
    <w:rsid w:val="003C2C85"/>
    <w:rsid w:val="003C2F61"/>
    <w:rsid w:val="003C345E"/>
    <w:rsid w:val="003C4409"/>
    <w:rsid w:val="003C4997"/>
    <w:rsid w:val="003C4DA5"/>
    <w:rsid w:val="003C5666"/>
    <w:rsid w:val="003C6304"/>
    <w:rsid w:val="003C64F4"/>
    <w:rsid w:val="003C6DE1"/>
    <w:rsid w:val="003C724B"/>
    <w:rsid w:val="003C73DB"/>
    <w:rsid w:val="003D0185"/>
    <w:rsid w:val="003D02CB"/>
    <w:rsid w:val="003D0382"/>
    <w:rsid w:val="003D057A"/>
    <w:rsid w:val="003D069C"/>
    <w:rsid w:val="003D0BC2"/>
    <w:rsid w:val="003D191E"/>
    <w:rsid w:val="003D22A5"/>
    <w:rsid w:val="003D22C7"/>
    <w:rsid w:val="003D23A4"/>
    <w:rsid w:val="003D3414"/>
    <w:rsid w:val="003D3426"/>
    <w:rsid w:val="003D3721"/>
    <w:rsid w:val="003D46BA"/>
    <w:rsid w:val="003D590A"/>
    <w:rsid w:val="003D6722"/>
    <w:rsid w:val="003D7428"/>
    <w:rsid w:val="003D77F2"/>
    <w:rsid w:val="003D78CC"/>
    <w:rsid w:val="003D7901"/>
    <w:rsid w:val="003D7D01"/>
    <w:rsid w:val="003D7ED8"/>
    <w:rsid w:val="003E0003"/>
    <w:rsid w:val="003E0099"/>
    <w:rsid w:val="003E08C7"/>
    <w:rsid w:val="003E0992"/>
    <w:rsid w:val="003E1A72"/>
    <w:rsid w:val="003E2880"/>
    <w:rsid w:val="003E28FB"/>
    <w:rsid w:val="003E2A00"/>
    <w:rsid w:val="003E382C"/>
    <w:rsid w:val="003E3D00"/>
    <w:rsid w:val="003E3FD6"/>
    <w:rsid w:val="003E4531"/>
    <w:rsid w:val="003E4771"/>
    <w:rsid w:val="003E54A8"/>
    <w:rsid w:val="003E5833"/>
    <w:rsid w:val="003E5DA8"/>
    <w:rsid w:val="003E7109"/>
    <w:rsid w:val="003E77DC"/>
    <w:rsid w:val="003E7BC1"/>
    <w:rsid w:val="003F0453"/>
    <w:rsid w:val="003F097D"/>
    <w:rsid w:val="003F0C9F"/>
    <w:rsid w:val="003F144A"/>
    <w:rsid w:val="003F1B02"/>
    <w:rsid w:val="003F1EFE"/>
    <w:rsid w:val="003F2212"/>
    <w:rsid w:val="003F2240"/>
    <w:rsid w:val="003F2460"/>
    <w:rsid w:val="003F2BD1"/>
    <w:rsid w:val="003F2E7B"/>
    <w:rsid w:val="003F3932"/>
    <w:rsid w:val="003F39C7"/>
    <w:rsid w:val="003F3CD5"/>
    <w:rsid w:val="003F4473"/>
    <w:rsid w:val="003F4CF5"/>
    <w:rsid w:val="003F4E31"/>
    <w:rsid w:val="003F51EE"/>
    <w:rsid w:val="003F574E"/>
    <w:rsid w:val="003F60D6"/>
    <w:rsid w:val="003F68E9"/>
    <w:rsid w:val="003F73EA"/>
    <w:rsid w:val="003F7E15"/>
    <w:rsid w:val="003F7FDA"/>
    <w:rsid w:val="00400DE4"/>
    <w:rsid w:val="004013AD"/>
    <w:rsid w:val="004021C0"/>
    <w:rsid w:val="004028CE"/>
    <w:rsid w:val="0040313D"/>
    <w:rsid w:val="004043FA"/>
    <w:rsid w:val="00404970"/>
    <w:rsid w:val="00405181"/>
    <w:rsid w:val="0040567F"/>
    <w:rsid w:val="00405873"/>
    <w:rsid w:val="00405F09"/>
    <w:rsid w:val="004066F4"/>
    <w:rsid w:val="00406A32"/>
    <w:rsid w:val="0040760B"/>
    <w:rsid w:val="00410117"/>
    <w:rsid w:val="00410C32"/>
    <w:rsid w:val="004111FB"/>
    <w:rsid w:val="00411237"/>
    <w:rsid w:val="00411557"/>
    <w:rsid w:val="00411994"/>
    <w:rsid w:val="00411D74"/>
    <w:rsid w:val="00411DDE"/>
    <w:rsid w:val="00411F84"/>
    <w:rsid w:val="00412069"/>
    <w:rsid w:val="004121A1"/>
    <w:rsid w:val="00412477"/>
    <w:rsid w:val="00412570"/>
    <w:rsid w:val="004127A2"/>
    <w:rsid w:val="0041280A"/>
    <w:rsid w:val="00412A9D"/>
    <w:rsid w:val="00412CB1"/>
    <w:rsid w:val="004133A5"/>
    <w:rsid w:val="00413B02"/>
    <w:rsid w:val="00413D45"/>
    <w:rsid w:val="00414197"/>
    <w:rsid w:val="00414D68"/>
    <w:rsid w:val="00414FD9"/>
    <w:rsid w:val="00415773"/>
    <w:rsid w:val="00415CAE"/>
    <w:rsid w:val="00415EE7"/>
    <w:rsid w:val="004160FA"/>
    <w:rsid w:val="004164AE"/>
    <w:rsid w:val="0041669E"/>
    <w:rsid w:val="00416ACA"/>
    <w:rsid w:val="00416C56"/>
    <w:rsid w:val="00417294"/>
    <w:rsid w:val="004176B8"/>
    <w:rsid w:val="00417B99"/>
    <w:rsid w:val="00417CE0"/>
    <w:rsid w:val="004209D5"/>
    <w:rsid w:val="00420FAF"/>
    <w:rsid w:val="00421184"/>
    <w:rsid w:val="004212C1"/>
    <w:rsid w:val="004214B7"/>
    <w:rsid w:val="00421988"/>
    <w:rsid w:val="00421FB5"/>
    <w:rsid w:val="0042219F"/>
    <w:rsid w:val="004226ED"/>
    <w:rsid w:val="00422AF4"/>
    <w:rsid w:val="004235F4"/>
    <w:rsid w:val="004236C9"/>
    <w:rsid w:val="00423CF3"/>
    <w:rsid w:val="00423E18"/>
    <w:rsid w:val="00424B7C"/>
    <w:rsid w:val="0042500C"/>
    <w:rsid w:val="00425514"/>
    <w:rsid w:val="004256BD"/>
    <w:rsid w:val="00425863"/>
    <w:rsid w:val="00425D02"/>
    <w:rsid w:val="00425EDC"/>
    <w:rsid w:val="00426C3E"/>
    <w:rsid w:val="004275CD"/>
    <w:rsid w:val="00427FEB"/>
    <w:rsid w:val="00427FF2"/>
    <w:rsid w:val="004305C0"/>
    <w:rsid w:val="00430B20"/>
    <w:rsid w:val="00430B6C"/>
    <w:rsid w:val="0043135D"/>
    <w:rsid w:val="0043227C"/>
    <w:rsid w:val="004335C0"/>
    <w:rsid w:val="00433AFC"/>
    <w:rsid w:val="00434193"/>
    <w:rsid w:val="00435068"/>
    <w:rsid w:val="00435715"/>
    <w:rsid w:val="0043571B"/>
    <w:rsid w:val="00435EE0"/>
    <w:rsid w:val="00435F29"/>
    <w:rsid w:val="0043610C"/>
    <w:rsid w:val="004366FF"/>
    <w:rsid w:val="004376D3"/>
    <w:rsid w:val="0043777D"/>
    <w:rsid w:val="00437D83"/>
    <w:rsid w:val="004401DD"/>
    <w:rsid w:val="00440344"/>
    <w:rsid w:val="00441264"/>
    <w:rsid w:val="00441B0F"/>
    <w:rsid w:val="004425C6"/>
    <w:rsid w:val="00443512"/>
    <w:rsid w:val="00443A55"/>
    <w:rsid w:val="00443CA6"/>
    <w:rsid w:val="00443D5D"/>
    <w:rsid w:val="00445CBA"/>
    <w:rsid w:val="004463CB"/>
    <w:rsid w:val="004466F7"/>
    <w:rsid w:val="00446858"/>
    <w:rsid w:val="00447304"/>
    <w:rsid w:val="00450127"/>
    <w:rsid w:val="0045075F"/>
    <w:rsid w:val="004516AD"/>
    <w:rsid w:val="00451E84"/>
    <w:rsid w:val="00451EA3"/>
    <w:rsid w:val="00451F01"/>
    <w:rsid w:val="00453349"/>
    <w:rsid w:val="004546A7"/>
    <w:rsid w:val="00454831"/>
    <w:rsid w:val="004548DF"/>
    <w:rsid w:val="00455B98"/>
    <w:rsid w:val="00455E25"/>
    <w:rsid w:val="00456CC0"/>
    <w:rsid w:val="0045755C"/>
    <w:rsid w:val="00457933"/>
    <w:rsid w:val="00457C78"/>
    <w:rsid w:val="00460136"/>
    <w:rsid w:val="00460735"/>
    <w:rsid w:val="00460AD5"/>
    <w:rsid w:val="00460EB8"/>
    <w:rsid w:val="00461090"/>
    <w:rsid w:val="004611D5"/>
    <w:rsid w:val="004617D8"/>
    <w:rsid w:val="00461991"/>
    <w:rsid w:val="00461A6B"/>
    <w:rsid w:val="00461C43"/>
    <w:rsid w:val="00462125"/>
    <w:rsid w:val="00463216"/>
    <w:rsid w:val="0046334D"/>
    <w:rsid w:val="00463848"/>
    <w:rsid w:val="00463BBF"/>
    <w:rsid w:val="00463C95"/>
    <w:rsid w:val="00463E1C"/>
    <w:rsid w:val="00464052"/>
    <w:rsid w:val="00464A0E"/>
    <w:rsid w:val="00464C9C"/>
    <w:rsid w:val="00465153"/>
    <w:rsid w:val="00465602"/>
    <w:rsid w:val="004669A6"/>
    <w:rsid w:val="00466AFD"/>
    <w:rsid w:val="00466E99"/>
    <w:rsid w:val="00470563"/>
    <w:rsid w:val="00470696"/>
    <w:rsid w:val="004724C9"/>
    <w:rsid w:val="00472585"/>
    <w:rsid w:val="00473045"/>
    <w:rsid w:val="00474130"/>
    <w:rsid w:val="004754EE"/>
    <w:rsid w:val="00475A6C"/>
    <w:rsid w:val="004764AF"/>
    <w:rsid w:val="00476D04"/>
    <w:rsid w:val="0047775E"/>
    <w:rsid w:val="00477AAE"/>
    <w:rsid w:val="00477AF6"/>
    <w:rsid w:val="00477B3B"/>
    <w:rsid w:val="00477BCB"/>
    <w:rsid w:val="004801A7"/>
    <w:rsid w:val="00480E47"/>
    <w:rsid w:val="00481666"/>
    <w:rsid w:val="0048181B"/>
    <w:rsid w:val="00481F2B"/>
    <w:rsid w:val="004820C5"/>
    <w:rsid w:val="00482198"/>
    <w:rsid w:val="004823D8"/>
    <w:rsid w:val="0048285B"/>
    <w:rsid w:val="00482F20"/>
    <w:rsid w:val="00483196"/>
    <w:rsid w:val="0048340F"/>
    <w:rsid w:val="0048384A"/>
    <w:rsid w:val="0048423C"/>
    <w:rsid w:val="00484449"/>
    <w:rsid w:val="004845A6"/>
    <w:rsid w:val="00484C71"/>
    <w:rsid w:val="004852CE"/>
    <w:rsid w:val="0048540C"/>
    <w:rsid w:val="0048561D"/>
    <w:rsid w:val="00485EDD"/>
    <w:rsid w:val="00485F92"/>
    <w:rsid w:val="004860BD"/>
    <w:rsid w:val="004866E1"/>
    <w:rsid w:val="00486C72"/>
    <w:rsid w:val="0049030D"/>
    <w:rsid w:val="00490954"/>
    <w:rsid w:val="004921DC"/>
    <w:rsid w:val="0049277A"/>
    <w:rsid w:val="00492B38"/>
    <w:rsid w:val="00492FE4"/>
    <w:rsid w:val="00493035"/>
    <w:rsid w:val="00493321"/>
    <w:rsid w:val="004936DE"/>
    <w:rsid w:val="0049544E"/>
    <w:rsid w:val="00495670"/>
    <w:rsid w:val="0049604B"/>
    <w:rsid w:val="00496AC9"/>
    <w:rsid w:val="004A040E"/>
    <w:rsid w:val="004A042D"/>
    <w:rsid w:val="004A11E0"/>
    <w:rsid w:val="004A1FC5"/>
    <w:rsid w:val="004A2158"/>
    <w:rsid w:val="004A29A5"/>
    <w:rsid w:val="004A3225"/>
    <w:rsid w:val="004A374A"/>
    <w:rsid w:val="004A395B"/>
    <w:rsid w:val="004A39D9"/>
    <w:rsid w:val="004A3C59"/>
    <w:rsid w:val="004A3FE2"/>
    <w:rsid w:val="004A480D"/>
    <w:rsid w:val="004A4D76"/>
    <w:rsid w:val="004A522F"/>
    <w:rsid w:val="004A5851"/>
    <w:rsid w:val="004A5A91"/>
    <w:rsid w:val="004A5B0F"/>
    <w:rsid w:val="004A5CF1"/>
    <w:rsid w:val="004A66E0"/>
    <w:rsid w:val="004A7AAE"/>
    <w:rsid w:val="004A7D49"/>
    <w:rsid w:val="004A7F21"/>
    <w:rsid w:val="004B08DB"/>
    <w:rsid w:val="004B1422"/>
    <w:rsid w:val="004B24EB"/>
    <w:rsid w:val="004B29AC"/>
    <w:rsid w:val="004B3C8B"/>
    <w:rsid w:val="004B44A9"/>
    <w:rsid w:val="004B4509"/>
    <w:rsid w:val="004B452A"/>
    <w:rsid w:val="004B4871"/>
    <w:rsid w:val="004B4ADF"/>
    <w:rsid w:val="004B4C00"/>
    <w:rsid w:val="004B4E06"/>
    <w:rsid w:val="004B5493"/>
    <w:rsid w:val="004B5914"/>
    <w:rsid w:val="004B6C77"/>
    <w:rsid w:val="004B6D0A"/>
    <w:rsid w:val="004B7995"/>
    <w:rsid w:val="004C02B3"/>
    <w:rsid w:val="004C098E"/>
    <w:rsid w:val="004C0BBE"/>
    <w:rsid w:val="004C0E2F"/>
    <w:rsid w:val="004C1194"/>
    <w:rsid w:val="004C222E"/>
    <w:rsid w:val="004C2561"/>
    <w:rsid w:val="004C2806"/>
    <w:rsid w:val="004C3ADD"/>
    <w:rsid w:val="004C428E"/>
    <w:rsid w:val="004C4775"/>
    <w:rsid w:val="004C483D"/>
    <w:rsid w:val="004C48A9"/>
    <w:rsid w:val="004C590B"/>
    <w:rsid w:val="004C6326"/>
    <w:rsid w:val="004C63C7"/>
    <w:rsid w:val="004C6D39"/>
    <w:rsid w:val="004C6D98"/>
    <w:rsid w:val="004C7217"/>
    <w:rsid w:val="004C75B5"/>
    <w:rsid w:val="004C7743"/>
    <w:rsid w:val="004C77A7"/>
    <w:rsid w:val="004C7DBE"/>
    <w:rsid w:val="004C7F57"/>
    <w:rsid w:val="004D032B"/>
    <w:rsid w:val="004D039E"/>
    <w:rsid w:val="004D04A3"/>
    <w:rsid w:val="004D0C9F"/>
    <w:rsid w:val="004D15FD"/>
    <w:rsid w:val="004D2369"/>
    <w:rsid w:val="004D2485"/>
    <w:rsid w:val="004D3A57"/>
    <w:rsid w:val="004D3B2A"/>
    <w:rsid w:val="004D47FF"/>
    <w:rsid w:val="004D4D35"/>
    <w:rsid w:val="004D518F"/>
    <w:rsid w:val="004D54D7"/>
    <w:rsid w:val="004D5BB7"/>
    <w:rsid w:val="004D6053"/>
    <w:rsid w:val="004D61EF"/>
    <w:rsid w:val="004D6FA4"/>
    <w:rsid w:val="004D7C23"/>
    <w:rsid w:val="004D7EBE"/>
    <w:rsid w:val="004E01C6"/>
    <w:rsid w:val="004E0212"/>
    <w:rsid w:val="004E0ADC"/>
    <w:rsid w:val="004E0FB1"/>
    <w:rsid w:val="004E1043"/>
    <w:rsid w:val="004E1DCA"/>
    <w:rsid w:val="004E1F76"/>
    <w:rsid w:val="004E21B4"/>
    <w:rsid w:val="004E252B"/>
    <w:rsid w:val="004E2861"/>
    <w:rsid w:val="004E2A85"/>
    <w:rsid w:val="004E2C09"/>
    <w:rsid w:val="004E3F72"/>
    <w:rsid w:val="004E4A78"/>
    <w:rsid w:val="004E551E"/>
    <w:rsid w:val="004E58F6"/>
    <w:rsid w:val="004E5E37"/>
    <w:rsid w:val="004E5E4C"/>
    <w:rsid w:val="004E623E"/>
    <w:rsid w:val="004E6CF9"/>
    <w:rsid w:val="004E734E"/>
    <w:rsid w:val="004E7EC0"/>
    <w:rsid w:val="004E7F48"/>
    <w:rsid w:val="004F014E"/>
    <w:rsid w:val="004F0BC6"/>
    <w:rsid w:val="004F1123"/>
    <w:rsid w:val="004F1715"/>
    <w:rsid w:val="004F17DA"/>
    <w:rsid w:val="004F184C"/>
    <w:rsid w:val="004F2927"/>
    <w:rsid w:val="004F3BD2"/>
    <w:rsid w:val="004F4372"/>
    <w:rsid w:val="004F43E0"/>
    <w:rsid w:val="004F45EB"/>
    <w:rsid w:val="004F521B"/>
    <w:rsid w:val="004F52BB"/>
    <w:rsid w:val="004F53BF"/>
    <w:rsid w:val="004F5582"/>
    <w:rsid w:val="004F59B8"/>
    <w:rsid w:val="004F5BD9"/>
    <w:rsid w:val="004F62A7"/>
    <w:rsid w:val="004F62F9"/>
    <w:rsid w:val="004F66B3"/>
    <w:rsid w:val="004F674C"/>
    <w:rsid w:val="004F7352"/>
    <w:rsid w:val="004F7EE2"/>
    <w:rsid w:val="0050015C"/>
    <w:rsid w:val="00500418"/>
    <w:rsid w:val="00500CCF"/>
    <w:rsid w:val="00500E62"/>
    <w:rsid w:val="005010DE"/>
    <w:rsid w:val="005011FD"/>
    <w:rsid w:val="0050164B"/>
    <w:rsid w:val="00502958"/>
    <w:rsid w:val="00502BD2"/>
    <w:rsid w:val="00502DA4"/>
    <w:rsid w:val="00503F83"/>
    <w:rsid w:val="0050421C"/>
    <w:rsid w:val="00504A9B"/>
    <w:rsid w:val="00504E9A"/>
    <w:rsid w:val="00504F83"/>
    <w:rsid w:val="005059B9"/>
    <w:rsid w:val="00505F64"/>
    <w:rsid w:val="00506DCD"/>
    <w:rsid w:val="00507325"/>
    <w:rsid w:val="00507C56"/>
    <w:rsid w:val="00507F13"/>
    <w:rsid w:val="00510809"/>
    <w:rsid w:val="005109D4"/>
    <w:rsid w:val="00510CF4"/>
    <w:rsid w:val="0051160A"/>
    <w:rsid w:val="005118BA"/>
    <w:rsid w:val="00512D87"/>
    <w:rsid w:val="005130DA"/>
    <w:rsid w:val="00513998"/>
    <w:rsid w:val="00513DDA"/>
    <w:rsid w:val="00513E19"/>
    <w:rsid w:val="005148B4"/>
    <w:rsid w:val="00514B29"/>
    <w:rsid w:val="00514C19"/>
    <w:rsid w:val="005152B1"/>
    <w:rsid w:val="005152F0"/>
    <w:rsid w:val="00515856"/>
    <w:rsid w:val="005163E6"/>
    <w:rsid w:val="005167B6"/>
    <w:rsid w:val="005172EC"/>
    <w:rsid w:val="0051740D"/>
    <w:rsid w:val="00517888"/>
    <w:rsid w:val="005178CE"/>
    <w:rsid w:val="00521CAB"/>
    <w:rsid w:val="005224EF"/>
    <w:rsid w:val="00522654"/>
    <w:rsid w:val="00522835"/>
    <w:rsid w:val="0052293D"/>
    <w:rsid w:val="00522AF4"/>
    <w:rsid w:val="00522B93"/>
    <w:rsid w:val="00523499"/>
    <w:rsid w:val="00523BC7"/>
    <w:rsid w:val="00523C08"/>
    <w:rsid w:val="00523C10"/>
    <w:rsid w:val="005245D5"/>
    <w:rsid w:val="00524889"/>
    <w:rsid w:val="0052575D"/>
    <w:rsid w:val="00525A53"/>
    <w:rsid w:val="00525C1F"/>
    <w:rsid w:val="00526569"/>
    <w:rsid w:val="00526726"/>
    <w:rsid w:val="00526C14"/>
    <w:rsid w:val="00527256"/>
    <w:rsid w:val="00527B57"/>
    <w:rsid w:val="00527C8D"/>
    <w:rsid w:val="0053021B"/>
    <w:rsid w:val="00530AC4"/>
    <w:rsid w:val="00532115"/>
    <w:rsid w:val="0053265B"/>
    <w:rsid w:val="00532958"/>
    <w:rsid w:val="00533169"/>
    <w:rsid w:val="00533194"/>
    <w:rsid w:val="005332C8"/>
    <w:rsid w:val="0053464E"/>
    <w:rsid w:val="005346C8"/>
    <w:rsid w:val="005352C8"/>
    <w:rsid w:val="005354C1"/>
    <w:rsid w:val="00535F99"/>
    <w:rsid w:val="00536356"/>
    <w:rsid w:val="00536CBB"/>
    <w:rsid w:val="00536DDD"/>
    <w:rsid w:val="00537033"/>
    <w:rsid w:val="00537085"/>
    <w:rsid w:val="00540A37"/>
    <w:rsid w:val="00540B49"/>
    <w:rsid w:val="005418DB"/>
    <w:rsid w:val="005434EA"/>
    <w:rsid w:val="00545D55"/>
    <w:rsid w:val="005461AB"/>
    <w:rsid w:val="00546C6A"/>
    <w:rsid w:val="00546FBA"/>
    <w:rsid w:val="0054782D"/>
    <w:rsid w:val="00547F04"/>
    <w:rsid w:val="00550924"/>
    <w:rsid w:val="00550D63"/>
    <w:rsid w:val="00550EF1"/>
    <w:rsid w:val="00551075"/>
    <w:rsid w:val="005513C8"/>
    <w:rsid w:val="0055248E"/>
    <w:rsid w:val="0055352C"/>
    <w:rsid w:val="00553672"/>
    <w:rsid w:val="005538A6"/>
    <w:rsid w:val="00554F94"/>
    <w:rsid w:val="00555161"/>
    <w:rsid w:val="00555DE6"/>
    <w:rsid w:val="00555EB3"/>
    <w:rsid w:val="005567F6"/>
    <w:rsid w:val="00556E29"/>
    <w:rsid w:val="00557474"/>
    <w:rsid w:val="005575C9"/>
    <w:rsid w:val="00557DAA"/>
    <w:rsid w:val="00557DAD"/>
    <w:rsid w:val="00561138"/>
    <w:rsid w:val="00561699"/>
    <w:rsid w:val="0056194F"/>
    <w:rsid w:val="005619E1"/>
    <w:rsid w:val="00562629"/>
    <w:rsid w:val="005628FE"/>
    <w:rsid w:val="0056330E"/>
    <w:rsid w:val="0056364B"/>
    <w:rsid w:val="00564191"/>
    <w:rsid w:val="00564557"/>
    <w:rsid w:val="0056458C"/>
    <w:rsid w:val="00564628"/>
    <w:rsid w:val="005648B9"/>
    <w:rsid w:val="00564A3C"/>
    <w:rsid w:val="00564F82"/>
    <w:rsid w:val="005653AF"/>
    <w:rsid w:val="00565501"/>
    <w:rsid w:val="00565755"/>
    <w:rsid w:val="0056601E"/>
    <w:rsid w:val="00566406"/>
    <w:rsid w:val="00566538"/>
    <w:rsid w:val="0056725A"/>
    <w:rsid w:val="0056741F"/>
    <w:rsid w:val="00567647"/>
    <w:rsid w:val="0056781B"/>
    <w:rsid w:val="00567BE2"/>
    <w:rsid w:val="00570102"/>
    <w:rsid w:val="00570505"/>
    <w:rsid w:val="005712E6"/>
    <w:rsid w:val="00571C10"/>
    <w:rsid w:val="00572942"/>
    <w:rsid w:val="005730DB"/>
    <w:rsid w:val="00573251"/>
    <w:rsid w:val="005733A8"/>
    <w:rsid w:val="00573B5B"/>
    <w:rsid w:val="00573F55"/>
    <w:rsid w:val="0057540E"/>
    <w:rsid w:val="005757B6"/>
    <w:rsid w:val="00576EB8"/>
    <w:rsid w:val="0058000F"/>
    <w:rsid w:val="00580557"/>
    <w:rsid w:val="0058074F"/>
    <w:rsid w:val="005808F3"/>
    <w:rsid w:val="00580A76"/>
    <w:rsid w:val="00581042"/>
    <w:rsid w:val="00581703"/>
    <w:rsid w:val="00581B15"/>
    <w:rsid w:val="005821DD"/>
    <w:rsid w:val="00582E42"/>
    <w:rsid w:val="00583908"/>
    <w:rsid w:val="005842FB"/>
    <w:rsid w:val="00584757"/>
    <w:rsid w:val="00584E21"/>
    <w:rsid w:val="005856D5"/>
    <w:rsid w:val="0058608B"/>
    <w:rsid w:val="005863C1"/>
    <w:rsid w:val="0058654D"/>
    <w:rsid w:val="00586786"/>
    <w:rsid w:val="00587729"/>
    <w:rsid w:val="00587886"/>
    <w:rsid w:val="00587A66"/>
    <w:rsid w:val="00590147"/>
    <w:rsid w:val="00590BD1"/>
    <w:rsid w:val="00590D26"/>
    <w:rsid w:val="00591276"/>
    <w:rsid w:val="00591490"/>
    <w:rsid w:val="0059151A"/>
    <w:rsid w:val="005916C9"/>
    <w:rsid w:val="00591C7E"/>
    <w:rsid w:val="00591DCF"/>
    <w:rsid w:val="005929B4"/>
    <w:rsid w:val="00592A3C"/>
    <w:rsid w:val="0059367F"/>
    <w:rsid w:val="00593720"/>
    <w:rsid w:val="00593909"/>
    <w:rsid w:val="00593A71"/>
    <w:rsid w:val="005941E1"/>
    <w:rsid w:val="005943E2"/>
    <w:rsid w:val="005946A0"/>
    <w:rsid w:val="00594B8A"/>
    <w:rsid w:val="00595009"/>
    <w:rsid w:val="005954B7"/>
    <w:rsid w:val="00595A05"/>
    <w:rsid w:val="00595F17"/>
    <w:rsid w:val="00595F3D"/>
    <w:rsid w:val="00595F89"/>
    <w:rsid w:val="00596873"/>
    <w:rsid w:val="00596BB3"/>
    <w:rsid w:val="00596BD4"/>
    <w:rsid w:val="00596FA8"/>
    <w:rsid w:val="005971A7"/>
    <w:rsid w:val="00597310"/>
    <w:rsid w:val="005977AB"/>
    <w:rsid w:val="005A01C5"/>
    <w:rsid w:val="005A0201"/>
    <w:rsid w:val="005A0532"/>
    <w:rsid w:val="005A07E7"/>
    <w:rsid w:val="005A0A57"/>
    <w:rsid w:val="005A0B9F"/>
    <w:rsid w:val="005A0DBB"/>
    <w:rsid w:val="005A0EBD"/>
    <w:rsid w:val="005A1270"/>
    <w:rsid w:val="005A1295"/>
    <w:rsid w:val="005A1FBF"/>
    <w:rsid w:val="005A2081"/>
    <w:rsid w:val="005A29B1"/>
    <w:rsid w:val="005A2EBF"/>
    <w:rsid w:val="005A380B"/>
    <w:rsid w:val="005A4890"/>
    <w:rsid w:val="005A49D4"/>
    <w:rsid w:val="005A4D7C"/>
    <w:rsid w:val="005A51C9"/>
    <w:rsid w:val="005A5DC0"/>
    <w:rsid w:val="005A6B6D"/>
    <w:rsid w:val="005A6F0E"/>
    <w:rsid w:val="005A6F57"/>
    <w:rsid w:val="005A7018"/>
    <w:rsid w:val="005A7079"/>
    <w:rsid w:val="005A7235"/>
    <w:rsid w:val="005A795B"/>
    <w:rsid w:val="005A7A1A"/>
    <w:rsid w:val="005A7BAF"/>
    <w:rsid w:val="005B0652"/>
    <w:rsid w:val="005B1213"/>
    <w:rsid w:val="005B1329"/>
    <w:rsid w:val="005B1512"/>
    <w:rsid w:val="005B1B55"/>
    <w:rsid w:val="005B1DBD"/>
    <w:rsid w:val="005B2769"/>
    <w:rsid w:val="005B3EBD"/>
    <w:rsid w:val="005B48E8"/>
    <w:rsid w:val="005B56D9"/>
    <w:rsid w:val="005B581D"/>
    <w:rsid w:val="005B5BA3"/>
    <w:rsid w:val="005B5E62"/>
    <w:rsid w:val="005B727B"/>
    <w:rsid w:val="005B7341"/>
    <w:rsid w:val="005B778C"/>
    <w:rsid w:val="005B7E97"/>
    <w:rsid w:val="005B7F46"/>
    <w:rsid w:val="005C09A7"/>
    <w:rsid w:val="005C102D"/>
    <w:rsid w:val="005C132C"/>
    <w:rsid w:val="005C17FB"/>
    <w:rsid w:val="005C1833"/>
    <w:rsid w:val="005C1838"/>
    <w:rsid w:val="005C18C2"/>
    <w:rsid w:val="005C1D93"/>
    <w:rsid w:val="005C2063"/>
    <w:rsid w:val="005C244F"/>
    <w:rsid w:val="005C2767"/>
    <w:rsid w:val="005C2922"/>
    <w:rsid w:val="005C2F60"/>
    <w:rsid w:val="005C323D"/>
    <w:rsid w:val="005C3772"/>
    <w:rsid w:val="005C39C3"/>
    <w:rsid w:val="005C4229"/>
    <w:rsid w:val="005C4580"/>
    <w:rsid w:val="005C5065"/>
    <w:rsid w:val="005C52F3"/>
    <w:rsid w:val="005C564C"/>
    <w:rsid w:val="005C6234"/>
    <w:rsid w:val="005C6605"/>
    <w:rsid w:val="005C71A0"/>
    <w:rsid w:val="005C751C"/>
    <w:rsid w:val="005C7802"/>
    <w:rsid w:val="005C7B50"/>
    <w:rsid w:val="005C7E73"/>
    <w:rsid w:val="005D029E"/>
    <w:rsid w:val="005D0427"/>
    <w:rsid w:val="005D0776"/>
    <w:rsid w:val="005D07AE"/>
    <w:rsid w:val="005D0B55"/>
    <w:rsid w:val="005D0C83"/>
    <w:rsid w:val="005D113B"/>
    <w:rsid w:val="005D1732"/>
    <w:rsid w:val="005D1BAC"/>
    <w:rsid w:val="005D2D9A"/>
    <w:rsid w:val="005D3A6E"/>
    <w:rsid w:val="005D3B21"/>
    <w:rsid w:val="005D4019"/>
    <w:rsid w:val="005D41DC"/>
    <w:rsid w:val="005D43C3"/>
    <w:rsid w:val="005D460F"/>
    <w:rsid w:val="005D4638"/>
    <w:rsid w:val="005D4D7D"/>
    <w:rsid w:val="005D4DC5"/>
    <w:rsid w:val="005D5C22"/>
    <w:rsid w:val="005D5E6C"/>
    <w:rsid w:val="005D63A9"/>
    <w:rsid w:val="005D65D5"/>
    <w:rsid w:val="005D6C56"/>
    <w:rsid w:val="005D6F49"/>
    <w:rsid w:val="005D7E8A"/>
    <w:rsid w:val="005E06FA"/>
    <w:rsid w:val="005E11A5"/>
    <w:rsid w:val="005E13D4"/>
    <w:rsid w:val="005E1435"/>
    <w:rsid w:val="005E21F3"/>
    <w:rsid w:val="005E235C"/>
    <w:rsid w:val="005E3078"/>
    <w:rsid w:val="005E34C0"/>
    <w:rsid w:val="005E3D71"/>
    <w:rsid w:val="005E44F1"/>
    <w:rsid w:val="005E49CA"/>
    <w:rsid w:val="005E5427"/>
    <w:rsid w:val="005E5428"/>
    <w:rsid w:val="005E5A7C"/>
    <w:rsid w:val="005E5C33"/>
    <w:rsid w:val="005E5F53"/>
    <w:rsid w:val="005E6976"/>
    <w:rsid w:val="005E6E12"/>
    <w:rsid w:val="005E70CD"/>
    <w:rsid w:val="005E74B3"/>
    <w:rsid w:val="005E74EC"/>
    <w:rsid w:val="005E7AB6"/>
    <w:rsid w:val="005E7B1E"/>
    <w:rsid w:val="005E7CBC"/>
    <w:rsid w:val="005F0A62"/>
    <w:rsid w:val="005F0FA8"/>
    <w:rsid w:val="005F1C5D"/>
    <w:rsid w:val="005F222B"/>
    <w:rsid w:val="005F2317"/>
    <w:rsid w:val="005F2550"/>
    <w:rsid w:val="005F297E"/>
    <w:rsid w:val="005F2B2D"/>
    <w:rsid w:val="005F2D9C"/>
    <w:rsid w:val="005F2FD5"/>
    <w:rsid w:val="005F340A"/>
    <w:rsid w:val="005F3AE8"/>
    <w:rsid w:val="005F3B09"/>
    <w:rsid w:val="005F3B47"/>
    <w:rsid w:val="005F47C1"/>
    <w:rsid w:val="005F4926"/>
    <w:rsid w:val="005F4B6F"/>
    <w:rsid w:val="005F4FEE"/>
    <w:rsid w:val="005F5009"/>
    <w:rsid w:val="005F5054"/>
    <w:rsid w:val="005F530F"/>
    <w:rsid w:val="005F65D9"/>
    <w:rsid w:val="005F6768"/>
    <w:rsid w:val="005F69CF"/>
    <w:rsid w:val="005F6E39"/>
    <w:rsid w:val="005F6E58"/>
    <w:rsid w:val="005F704C"/>
    <w:rsid w:val="005F7A22"/>
    <w:rsid w:val="005F7B9D"/>
    <w:rsid w:val="00600501"/>
    <w:rsid w:val="006006CD"/>
    <w:rsid w:val="00600B0C"/>
    <w:rsid w:val="00601078"/>
    <w:rsid w:val="00602543"/>
    <w:rsid w:val="0060254C"/>
    <w:rsid w:val="00602DFA"/>
    <w:rsid w:val="006031D1"/>
    <w:rsid w:val="006033BF"/>
    <w:rsid w:val="00603702"/>
    <w:rsid w:val="00603B4B"/>
    <w:rsid w:val="00603F20"/>
    <w:rsid w:val="006042BD"/>
    <w:rsid w:val="00604A11"/>
    <w:rsid w:val="00604F37"/>
    <w:rsid w:val="0060508A"/>
    <w:rsid w:val="006055AF"/>
    <w:rsid w:val="00605942"/>
    <w:rsid w:val="00605C9F"/>
    <w:rsid w:val="00606814"/>
    <w:rsid w:val="006068E8"/>
    <w:rsid w:val="00606ADB"/>
    <w:rsid w:val="006072DE"/>
    <w:rsid w:val="006075F4"/>
    <w:rsid w:val="006078A8"/>
    <w:rsid w:val="00607BAD"/>
    <w:rsid w:val="00607EC7"/>
    <w:rsid w:val="0061048A"/>
    <w:rsid w:val="006104F8"/>
    <w:rsid w:val="00610AE7"/>
    <w:rsid w:val="00610BEE"/>
    <w:rsid w:val="00611178"/>
    <w:rsid w:val="0061148D"/>
    <w:rsid w:val="00611D01"/>
    <w:rsid w:val="006124B3"/>
    <w:rsid w:val="00612611"/>
    <w:rsid w:val="0061279A"/>
    <w:rsid w:val="00613009"/>
    <w:rsid w:val="006132EA"/>
    <w:rsid w:val="0061401C"/>
    <w:rsid w:val="0061420B"/>
    <w:rsid w:val="00614931"/>
    <w:rsid w:val="00614D33"/>
    <w:rsid w:val="0061537D"/>
    <w:rsid w:val="0061537F"/>
    <w:rsid w:val="00615DEA"/>
    <w:rsid w:val="00616A60"/>
    <w:rsid w:val="00616EE6"/>
    <w:rsid w:val="006171FB"/>
    <w:rsid w:val="00617A2A"/>
    <w:rsid w:val="006207F4"/>
    <w:rsid w:val="00620C67"/>
    <w:rsid w:val="00621646"/>
    <w:rsid w:val="00621803"/>
    <w:rsid w:val="006220F1"/>
    <w:rsid w:val="00623C68"/>
    <w:rsid w:val="00623E46"/>
    <w:rsid w:val="00624604"/>
    <w:rsid w:val="00624D2C"/>
    <w:rsid w:val="00624EF1"/>
    <w:rsid w:val="00625145"/>
    <w:rsid w:val="006262CD"/>
    <w:rsid w:val="00627402"/>
    <w:rsid w:val="00630480"/>
    <w:rsid w:val="0063058E"/>
    <w:rsid w:val="006305F8"/>
    <w:rsid w:val="00631DA7"/>
    <w:rsid w:val="00632B9C"/>
    <w:rsid w:val="00632F18"/>
    <w:rsid w:val="006332D7"/>
    <w:rsid w:val="0063333D"/>
    <w:rsid w:val="00634225"/>
    <w:rsid w:val="00635003"/>
    <w:rsid w:val="006351CE"/>
    <w:rsid w:val="006352FD"/>
    <w:rsid w:val="00635B15"/>
    <w:rsid w:val="006362E1"/>
    <w:rsid w:val="006367DA"/>
    <w:rsid w:val="00636FAD"/>
    <w:rsid w:val="006370E1"/>
    <w:rsid w:val="006375B2"/>
    <w:rsid w:val="006375BB"/>
    <w:rsid w:val="006379DE"/>
    <w:rsid w:val="006407FE"/>
    <w:rsid w:val="006409EE"/>
    <w:rsid w:val="00640BF7"/>
    <w:rsid w:val="00640C7D"/>
    <w:rsid w:val="00640E7E"/>
    <w:rsid w:val="00640FFF"/>
    <w:rsid w:val="00641761"/>
    <w:rsid w:val="006421D9"/>
    <w:rsid w:val="006424FE"/>
    <w:rsid w:val="006425FC"/>
    <w:rsid w:val="00642631"/>
    <w:rsid w:val="00642C3C"/>
    <w:rsid w:val="00642DF5"/>
    <w:rsid w:val="0064304A"/>
    <w:rsid w:val="0064329C"/>
    <w:rsid w:val="0064380B"/>
    <w:rsid w:val="00643A4F"/>
    <w:rsid w:val="00643FF5"/>
    <w:rsid w:val="006441FD"/>
    <w:rsid w:val="00644E5A"/>
    <w:rsid w:val="00644F2C"/>
    <w:rsid w:val="00645141"/>
    <w:rsid w:val="00645AEE"/>
    <w:rsid w:val="00646428"/>
    <w:rsid w:val="0064707F"/>
    <w:rsid w:val="006471E8"/>
    <w:rsid w:val="00647E90"/>
    <w:rsid w:val="00647FA3"/>
    <w:rsid w:val="006500F7"/>
    <w:rsid w:val="00650769"/>
    <w:rsid w:val="00650DF8"/>
    <w:rsid w:val="006516B7"/>
    <w:rsid w:val="006518E4"/>
    <w:rsid w:val="00651FB8"/>
    <w:rsid w:val="00652BA0"/>
    <w:rsid w:val="00652DF6"/>
    <w:rsid w:val="00652FCA"/>
    <w:rsid w:val="00653045"/>
    <w:rsid w:val="00653A25"/>
    <w:rsid w:val="00653D93"/>
    <w:rsid w:val="00653FDA"/>
    <w:rsid w:val="006541A0"/>
    <w:rsid w:val="00654E99"/>
    <w:rsid w:val="00655104"/>
    <w:rsid w:val="0065548F"/>
    <w:rsid w:val="0065558B"/>
    <w:rsid w:val="00655633"/>
    <w:rsid w:val="006559BB"/>
    <w:rsid w:val="00655A93"/>
    <w:rsid w:val="00655D93"/>
    <w:rsid w:val="00655E86"/>
    <w:rsid w:val="00656614"/>
    <w:rsid w:val="00656C4D"/>
    <w:rsid w:val="006577CD"/>
    <w:rsid w:val="006578A6"/>
    <w:rsid w:val="00657CCC"/>
    <w:rsid w:val="00660162"/>
    <w:rsid w:val="0066036D"/>
    <w:rsid w:val="006604FA"/>
    <w:rsid w:val="00660879"/>
    <w:rsid w:val="00661639"/>
    <w:rsid w:val="0066174D"/>
    <w:rsid w:val="00661E36"/>
    <w:rsid w:val="00661F03"/>
    <w:rsid w:val="006631D3"/>
    <w:rsid w:val="00663D0F"/>
    <w:rsid w:val="00664525"/>
    <w:rsid w:val="0066465B"/>
    <w:rsid w:val="00664C81"/>
    <w:rsid w:val="0066521A"/>
    <w:rsid w:val="0066540C"/>
    <w:rsid w:val="00665EAE"/>
    <w:rsid w:val="006661EA"/>
    <w:rsid w:val="00666909"/>
    <w:rsid w:val="00666EBC"/>
    <w:rsid w:val="00667189"/>
    <w:rsid w:val="0066749E"/>
    <w:rsid w:val="00667CCB"/>
    <w:rsid w:val="00667EFD"/>
    <w:rsid w:val="00670303"/>
    <w:rsid w:val="00670475"/>
    <w:rsid w:val="00670B8C"/>
    <w:rsid w:val="00670C4A"/>
    <w:rsid w:val="00671F3E"/>
    <w:rsid w:val="00672482"/>
    <w:rsid w:val="00672A18"/>
    <w:rsid w:val="006735D0"/>
    <w:rsid w:val="006739E9"/>
    <w:rsid w:val="00674AF5"/>
    <w:rsid w:val="00674D52"/>
    <w:rsid w:val="00674F93"/>
    <w:rsid w:val="0067546F"/>
    <w:rsid w:val="00675A94"/>
    <w:rsid w:val="00676CE4"/>
    <w:rsid w:val="00676EC2"/>
    <w:rsid w:val="00676FA5"/>
    <w:rsid w:val="006771A4"/>
    <w:rsid w:val="006771AD"/>
    <w:rsid w:val="006774A8"/>
    <w:rsid w:val="00677572"/>
    <w:rsid w:val="00680BF6"/>
    <w:rsid w:val="00681229"/>
    <w:rsid w:val="0068185E"/>
    <w:rsid w:val="00681BE5"/>
    <w:rsid w:val="00681E30"/>
    <w:rsid w:val="0068379B"/>
    <w:rsid w:val="00683D98"/>
    <w:rsid w:val="00683D99"/>
    <w:rsid w:val="00684079"/>
    <w:rsid w:val="0068629B"/>
    <w:rsid w:val="00686770"/>
    <w:rsid w:val="00686C12"/>
    <w:rsid w:val="00686D75"/>
    <w:rsid w:val="0068736A"/>
    <w:rsid w:val="00687D17"/>
    <w:rsid w:val="00690024"/>
    <w:rsid w:val="0069017D"/>
    <w:rsid w:val="006903A4"/>
    <w:rsid w:val="00690883"/>
    <w:rsid w:val="00690CAA"/>
    <w:rsid w:val="00690E5A"/>
    <w:rsid w:val="00690EFB"/>
    <w:rsid w:val="006911F9"/>
    <w:rsid w:val="006912CB"/>
    <w:rsid w:val="0069137B"/>
    <w:rsid w:val="006913EC"/>
    <w:rsid w:val="006914B7"/>
    <w:rsid w:val="00691742"/>
    <w:rsid w:val="00691DEE"/>
    <w:rsid w:val="00692147"/>
    <w:rsid w:val="00692242"/>
    <w:rsid w:val="0069236E"/>
    <w:rsid w:val="00692704"/>
    <w:rsid w:val="00692E67"/>
    <w:rsid w:val="00693ACF"/>
    <w:rsid w:val="00693EE5"/>
    <w:rsid w:val="00693FBC"/>
    <w:rsid w:val="006944C5"/>
    <w:rsid w:val="00694A7E"/>
    <w:rsid w:val="00694B8D"/>
    <w:rsid w:val="0069561C"/>
    <w:rsid w:val="00695634"/>
    <w:rsid w:val="0069600D"/>
    <w:rsid w:val="00696143"/>
    <w:rsid w:val="006963AE"/>
    <w:rsid w:val="00696B07"/>
    <w:rsid w:val="00697053"/>
    <w:rsid w:val="006A066A"/>
    <w:rsid w:val="006A06CA"/>
    <w:rsid w:val="006A083E"/>
    <w:rsid w:val="006A0FFD"/>
    <w:rsid w:val="006A1170"/>
    <w:rsid w:val="006A14A3"/>
    <w:rsid w:val="006A159D"/>
    <w:rsid w:val="006A18BF"/>
    <w:rsid w:val="006A1F58"/>
    <w:rsid w:val="006A242E"/>
    <w:rsid w:val="006A26AB"/>
    <w:rsid w:val="006A298D"/>
    <w:rsid w:val="006A2F80"/>
    <w:rsid w:val="006A3FD6"/>
    <w:rsid w:val="006A4076"/>
    <w:rsid w:val="006A436F"/>
    <w:rsid w:val="006A4E5B"/>
    <w:rsid w:val="006A59D8"/>
    <w:rsid w:val="006A5A45"/>
    <w:rsid w:val="006A5C13"/>
    <w:rsid w:val="006A608E"/>
    <w:rsid w:val="006A6B7B"/>
    <w:rsid w:val="006A73D2"/>
    <w:rsid w:val="006A78F8"/>
    <w:rsid w:val="006A7991"/>
    <w:rsid w:val="006A7C26"/>
    <w:rsid w:val="006A7E27"/>
    <w:rsid w:val="006B010E"/>
    <w:rsid w:val="006B091F"/>
    <w:rsid w:val="006B0CAF"/>
    <w:rsid w:val="006B0ED0"/>
    <w:rsid w:val="006B0EED"/>
    <w:rsid w:val="006B147E"/>
    <w:rsid w:val="006B1DF6"/>
    <w:rsid w:val="006B233F"/>
    <w:rsid w:val="006B275E"/>
    <w:rsid w:val="006B28EA"/>
    <w:rsid w:val="006B2DA3"/>
    <w:rsid w:val="006B2FBB"/>
    <w:rsid w:val="006B378A"/>
    <w:rsid w:val="006B3BD5"/>
    <w:rsid w:val="006B4185"/>
    <w:rsid w:val="006B4224"/>
    <w:rsid w:val="006B4493"/>
    <w:rsid w:val="006B4B62"/>
    <w:rsid w:val="006B53DC"/>
    <w:rsid w:val="006B5423"/>
    <w:rsid w:val="006B5855"/>
    <w:rsid w:val="006B5AB2"/>
    <w:rsid w:val="006B5C67"/>
    <w:rsid w:val="006B6B5D"/>
    <w:rsid w:val="006B6C0D"/>
    <w:rsid w:val="006B7825"/>
    <w:rsid w:val="006B7D68"/>
    <w:rsid w:val="006C033F"/>
    <w:rsid w:val="006C1818"/>
    <w:rsid w:val="006C1F8B"/>
    <w:rsid w:val="006C2721"/>
    <w:rsid w:val="006C323A"/>
    <w:rsid w:val="006C3868"/>
    <w:rsid w:val="006C38FF"/>
    <w:rsid w:val="006C39EC"/>
    <w:rsid w:val="006C3E6E"/>
    <w:rsid w:val="006C3EEA"/>
    <w:rsid w:val="006C43A6"/>
    <w:rsid w:val="006C4A4A"/>
    <w:rsid w:val="006C53EB"/>
    <w:rsid w:val="006C5D29"/>
    <w:rsid w:val="006C650D"/>
    <w:rsid w:val="006C69A5"/>
    <w:rsid w:val="006C6A4D"/>
    <w:rsid w:val="006C6CF3"/>
    <w:rsid w:val="006C7740"/>
    <w:rsid w:val="006D0389"/>
    <w:rsid w:val="006D0848"/>
    <w:rsid w:val="006D0BA5"/>
    <w:rsid w:val="006D0C15"/>
    <w:rsid w:val="006D0D8B"/>
    <w:rsid w:val="006D0FBF"/>
    <w:rsid w:val="006D10DC"/>
    <w:rsid w:val="006D1586"/>
    <w:rsid w:val="006D19C1"/>
    <w:rsid w:val="006D2827"/>
    <w:rsid w:val="006D2848"/>
    <w:rsid w:val="006D2B19"/>
    <w:rsid w:val="006D2EC9"/>
    <w:rsid w:val="006D3A05"/>
    <w:rsid w:val="006D3B62"/>
    <w:rsid w:val="006D3FDF"/>
    <w:rsid w:val="006D4527"/>
    <w:rsid w:val="006D4B05"/>
    <w:rsid w:val="006D4EE5"/>
    <w:rsid w:val="006D4F86"/>
    <w:rsid w:val="006D5F98"/>
    <w:rsid w:val="006D6665"/>
    <w:rsid w:val="006D7098"/>
    <w:rsid w:val="006D740E"/>
    <w:rsid w:val="006D7C8A"/>
    <w:rsid w:val="006D7F72"/>
    <w:rsid w:val="006E00B7"/>
    <w:rsid w:val="006E0CB5"/>
    <w:rsid w:val="006E0E5B"/>
    <w:rsid w:val="006E132F"/>
    <w:rsid w:val="006E2701"/>
    <w:rsid w:val="006E3023"/>
    <w:rsid w:val="006E3369"/>
    <w:rsid w:val="006E3D12"/>
    <w:rsid w:val="006E449C"/>
    <w:rsid w:val="006E4726"/>
    <w:rsid w:val="006E4E72"/>
    <w:rsid w:val="006E4FCD"/>
    <w:rsid w:val="006E50D0"/>
    <w:rsid w:val="006E5B0B"/>
    <w:rsid w:val="006E663E"/>
    <w:rsid w:val="006E6655"/>
    <w:rsid w:val="006E6EDF"/>
    <w:rsid w:val="006E7BA5"/>
    <w:rsid w:val="006F01E8"/>
    <w:rsid w:val="006F02D7"/>
    <w:rsid w:val="006F07FA"/>
    <w:rsid w:val="006F0EBB"/>
    <w:rsid w:val="006F1E96"/>
    <w:rsid w:val="006F2D24"/>
    <w:rsid w:val="006F37F7"/>
    <w:rsid w:val="006F38C3"/>
    <w:rsid w:val="006F3909"/>
    <w:rsid w:val="006F4036"/>
    <w:rsid w:val="006F428E"/>
    <w:rsid w:val="006F48E1"/>
    <w:rsid w:val="006F5160"/>
    <w:rsid w:val="006F5374"/>
    <w:rsid w:val="006F60DF"/>
    <w:rsid w:val="006F68C1"/>
    <w:rsid w:val="006F6B60"/>
    <w:rsid w:val="006F6CE2"/>
    <w:rsid w:val="006F6E10"/>
    <w:rsid w:val="006F7800"/>
    <w:rsid w:val="007014F8"/>
    <w:rsid w:val="0070150D"/>
    <w:rsid w:val="007016D2"/>
    <w:rsid w:val="007018D8"/>
    <w:rsid w:val="007029E8"/>
    <w:rsid w:val="00703107"/>
    <w:rsid w:val="00703138"/>
    <w:rsid w:val="00703277"/>
    <w:rsid w:val="0070356D"/>
    <w:rsid w:val="00703981"/>
    <w:rsid w:val="00703D7E"/>
    <w:rsid w:val="00703DE6"/>
    <w:rsid w:val="007041A7"/>
    <w:rsid w:val="0070495F"/>
    <w:rsid w:val="00704B6E"/>
    <w:rsid w:val="00704F73"/>
    <w:rsid w:val="0070508D"/>
    <w:rsid w:val="0070542E"/>
    <w:rsid w:val="00706096"/>
    <w:rsid w:val="007060D4"/>
    <w:rsid w:val="0070624C"/>
    <w:rsid w:val="00706451"/>
    <w:rsid w:val="00707E0F"/>
    <w:rsid w:val="007100F9"/>
    <w:rsid w:val="0071068A"/>
    <w:rsid w:val="00710E19"/>
    <w:rsid w:val="00710E52"/>
    <w:rsid w:val="0071154B"/>
    <w:rsid w:val="007116B6"/>
    <w:rsid w:val="0071174F"/>
    <w:rsid w:val="0071196A"/>
    <w:rsid w:val="00711A1A"/>
    <w:rsid w:val="0071227C"/>
    <w:rsid w:val="007131CF"/>
    <w:rsid w:val="007132CD"/>
    <w:rsid w:val="007133C0"/>
    <w:rsid w:val="00713613"/>
    <w:rsid w:val="007137C6"/>
    <w:rsid w:val="007138FC"/>
    <w:rsid w:val="0071393D"/>
    <w:rsid w:val="00713E79"/>
    <w:rsid w:val="00714245"/>
    <w:rsid w:val="00714C20"/>
    <w:rsid w:val="00715441"/>
    <w:rsid w:val="00715739"/>
    <w:rsid w:val="0071576C"/>
    <w:rsid w:val="00715C94"/>
    <w:rsid w:val="00715EA7"/>
    <w:rsid w:val="00716A09"/>
    <w:rsid w:val="007170DB"/>
    <w:rsid w:val="00717880"/>
    <w:rsid w:val="00717CA8"/>
    <w:rsid w:val="007205E7"/>
    <w:rsid w:val="007209C4"/>
    <w:rsid w:val="00720A59"/>
    <w:rsid w:val="00721ACB"/>
    <w:rsid w:val="00721E9E"/>
    <w:rsid w:val="007227FE"/>
    <w:rsid w:val="0072290A"/>
    <w:rsid w:val="007233C3"/>
    <w:rsid w:val="00723C95"/>
    <w:rsid w:val="007244E7"/>
    <w:rsid w:val="0072505F"/>
    <w:rsid w:val="00725B00"/>
    <w:rsid w:val="00725E54"/>
    <w:rsid w:val="0072680C"/>
    <w:rsid w:val="0072698B"/>
    <w:rsid w:val="00726A25"/>
    <w:rsid w:val="00726B3D"/>
    <w:rsid w:val="00726C64"/>
    <w:rsid w:val="007310B7"/>
    <w:rsid w:val="00731237"/>
    <w:rsid w:val="0073207E"/>
    <w:rsid w:val="00732664"/>
    <w:rsid w:val="00732BA7"/>
    <w:rsid w:val="007333EA"/>
    <w:rsid w:val="00733535"/>
    <w:rsid w:val="00733601"/>
    <w:rsid w:val="00733A57"/>
    <w:rsid w:val="00733F36"/>
    <w:rsid w:val="007340CE"/>
    <w:rsid w:val="00734781"/>
    <w:rsid w:val="007349FC"/>
    <w:rsid w:val="00734B6F"/>
    <w:rsid w:val="00735293"/>
    <w:rsid w:val="00735376"/>
    <w:rsid w:val="007363EA"/>
    <w:rsid w:val="00736E06"/>
    <w:rsid w:val="00736E37"/>
    <w:rsid w:val="00737286"/>
    <w:rsid w:val="007373DB"/>
    <w:rsid w:val="00737F27"/>
    <w:rsid w:val="00737FD3"/>
    <w:rsid w:val="007407DB"/>
    <w:rsid w:val="0074085F"/>
    <w:rsid w:val="00740BFC"/>
    <w:rsid w:val="00740F76"/>
    <w:rsid w:val="00741037"/>
    <w:rsid w:val="0074198F"/>
    <w:rsid w:val="007422B3"/>
    <w:rsid w:val="007424BF"/>
    <w:rsid w:val="007434BD"/>
    <w:rsid w:val="007435F1"/>
    <w:rsid w:val="00743DDD"/>
    <w:rsid w:val="00744625"/>
    <w:rsid w:val="007446BB"/>
    <w:rsid w:val="00745882"/>
    <w:rsid w:val="00745A04"/>
    <w:rsid w:val="00745A0F"/>
    <w:rsid w:val="00745DFD"/>
    <w:rsid w:val="00746197"/>
    <w:rsid w:val="0074689C"/>
    <w:rsid w:val="00746B3F"/>
    <w:rsid w:val="00747117"/>
    <w:rsid w:val="007479C2"/>
    <w:rsid w:val="00747B0D"/>
    <w:rsid w:val="00750712"/>
    <w:rsid w:val="007511BA"/>
    <w:rsid w:val="00751452"/>
    <w:rsid w:val="00751D06"/>
    <w:rsid w:val="00751D74"/>
    <w:rsid w:val="007521A5"/>
    <w:rsid w:val="00752243"/>
    <w:rsid w:val="007531BA"/>
    <w:rsid w:val="00753959"/>
    <w:rsid w:val="00753DD6"/>
    <w:rsid w:val="00754A4A"/>
    <w:rsid w:val="007567A8"/>
    <w:rsid w:val="00760D1E"/>
    <w:rsid w:val="00760F66"/>
    <w:rsid w:val="00761103"/>
    <w:rsid w:val="007611F8"/>
    <w:rsid w:val="00761200"/>
    <w:rsid w:val="007615F6"/>
    <w:rsid w:val="007618E2"/>
    <w:rsid w:val="00761931"/>
    <w:rsid w:val="00761BD1"/>
    <w:rsid w:val="007627BA"/>
    <w:rsid w:val="0076291E"/>
    <w:rsid w:val="00762D81"/>
    <w:rsid w:val="0076317B"/>
    <w:rsid w:val="007634C7"/>
    <w:rsid w:val="00763CB9"/>
    <w:rsid w:val="007643D5"/>
    <w:rsid w:val="00765366"/>
    <w:rsid w:val="00765614"/>
    <w:rsid w:val="00765914"/>
    <w:rsid w:val="0076614D"/>
    <w:rsid w:val="0076624C"/>
    <w:rsid w:val="0076627D"/>
    <w:rsid w:val="00766304"/>
    <w:rsid w:val="00767A28"/>
    <w:rsid w:val="00767DD2"/>
    <w:rsid w:val="0077082B"/>
    <w:rsid w:val="00770B12"/>
    <w:rsid w:val="00770E60"/>
    <w:rsid w:val="00771C8F"/>
    <w:rsid w:val="00772019"/>
    <w:rsid w:val="0077266E"/>
    <w:rsid w:val="0077292E"/>
    <w:rsid w:val="007737D8"/>
    <w:rsid w:val="0077391C"/>
    <w:rsid w:val="00773D24"/>
    <w:rsid w:val="00774576"/>
    <w:rsid w:val="0077508A"/>
    <w:rsid w:val="00775567"/>
    <w:rsid w:val="00775E0D"/>
    <w:rsid w:val="00776343"/>
    <w:rsid w:val="00776416"/>
    <w:rsid w:val="00776C7B"/>
    <w:rsid w:val="00776CEF"/>
    <w:rsid w:val="0077790B"/>
    <w:rsid w:val="00777E7E"/>
    <w:rsid w:val="007804DD"/>
    <w:rsid w:val="0078095A"/>
    <w:rsid w:val="00780F3B"/>
    <w:rsid w:val="007816EE"/>
    <w:rsid w:val="00782071"/>
    <w:rsid w:val="00782946"/>
    <w:rsid w:val="00782AB1"/>
    <w:rsid w:val="00782ECD"/>
    <w:rsid w:val="0078363B"/>
    <w:rsid w:val="00783CCF"/>
    <w:rsid w:val="00783F5B"/>
    <w:rsid w:val="00784609"/>
    <w:rsid w:val="00784720"/>
    <w:rsid w:val="0078481D"/>
    <w:rsid w:val="007859FC"/>
    <w:rsid w:val="00785F4C"/>
    <w:rsid w:val="0078609C"/>
    <w:rsid w:val="00786355"/>
    <w:rsid w:val="00787370"/>
    <w:rsid w:val="007874AE"/>
    <w:rsid w:val="0078750B"/>
    <w:rsid w:val="00787F5E"/>
    <w:rsid w:val="0079024D"/>
    <w:rsid w:val="007911B8"/>
    <w:rsid w:val="00791DAE"/>
    <w:rsid w:val="007930E8"/>
    <w:rsid w:val="007935F5"/>
    <w:rsid w:val="00793D04"/>
    <w:rsid w:val="00793F28"/>
    <w:rsid w:val="00793FDB"/>
    <w:rsid w:val="00794252"/>
    <w:rsid w:val="007944D2"/>
    <w:rsid w:val="00794B19"/>
    <w:rsid w:val="00795B8D"/>
    <w:rsid w:val="00795EB9"/>
    <w:rsid w:val="00795F0E"/>
    <w:rsid w:val="007960A9"/>
    <w:rsid w:val="00797D8F"/>
    <w:rsid w:val="007A0C00"/>
    <w:rsid w:val="007A0E15"/>
    <w:rsid w:val="007A176E"/>
    <w:rsid w:val="007A19BF"/>
    <w:rsid w:val="007A2A69"/>
    <w:rsid w:val="007A2CF1"/>
    <w:rsid w:val="007A41B5"/>
    <w:rsid w:val="007A4486"/>
    <w:rsid w:val="007A4682"/>
    <w:rsid w:val="007A5879"/>
    <w:rsid w:val="007A58A8"/>
    <w:rsid w:val="007A5BDC"/>
    <w:rsid w:val="007A629D"/>
    <w:rsid w:val="007A6610"/>
    <w:rsid w:val="007A6DD3"/>
    <w:rsid w:val="007A6FF3"/>
    <w:rsid w:val="007A71DC"/>
    <w:rsid w:val="007A7A04"/>
    <w:rsid w:val="007B04FF"/>
    <w:rsid w:val="007B0976"/>
    <w:rsid w:val="007B0CAC"/>
    <w:rsid w:val="007B15F3"/>
    <w:rsid w:val="007B1701"/>
    <w:rsid w:val="007B17C0"/>
    <w:rsid w:val="007B1C32"/>
    <w:rsid w:val="007B1DBB"/>
    <w:rsid w:val="007B2319"/>
    <w:rsid w:val="007B2FBF"/>
    <w:rsid w:val="007B3E13"/>
    <w:rsid w:val="007B4046"/>
    <w:rsid w:val="007B4300"/>
    <w:rsid w:val="007B44CE"/>
    <w:rsid w:val="007B44F9"/>
    <w:rsid w:val="007B565C"/>
    <w:rsid w:val="007B595F"/>
    <w:rsid w:val="007B5D75"/>
    <w:rsid w:val="007B6388"/>
    <w:rsid w:val="007B6D5E"/>
    <w:rsid w:val="007B7115"/>
    <w:rsid w:val="007B736B"/>
    <w:rsid w:val="007C0090"/>
    <w:rsid w:val="007C0853"/>
    <w:rsid w:val="007C08D0"/>
    <w:rsid w:val="007C08FD"/>
    <w:rsid w:val="007C0C90"/>
    <w:rsid w:val="007C0E07"/>
    <w:rsid w:val="007C0E86"/>
    <w:rsid w:val="007C249E"/>
    <w:rsid w:val="007C26CF"/>
    <w:rsid w:val="007C271B"/>
    <w:rsid w:val="007C2C14"/>
    <w:rsid w:val="007C2D50"/>
    <w:rsid w:val="007C357D"/>
    <w:rsid w:val="007C3A55"/>
    <w:rsid w:val="007C4166"/>
    <w:rsid w:val="007C44E1"/>
    <w:rsid w:val="007C48DD"/>
    <w:rsid w:val="007C4A05"/>
    <w:rsid w:val="007C4D79"/>
    <w:rsid w:val="007C5711"/>
    <w:rsid w:val="007C57B9"/>
    <w:rsid w:val="007C6325"/>
    <w:rsid w:val="007C6C53"/>
    <w:rsid w:val="007C71FB"/>
    <w:rsid w:val="007C73A3"/>
    <w:rsid w:val="007C7975"/>
    <w:rsid w:val="007C7EF5"/>
    <w:rsid w:val="007D0180"/>
    <w:rsid w:val="007D06AC"/>
    <w:rsid w:val="007D0741"/>
    <w:rsid w:val="007D0A53"/>
    <w:rsid w:val="007D0C62"/>
    <w:rsid w:val="007D0FFC"/>
    <w:rsid w:val="007D1013"/>
    <w:rsid w:val="007D19EC"/>
    <w:rsid w:val="007D2180"/>
    <w:rsid w:val="007D2608"/>
    <w:rsid w:val="007D30C3"/>
    <w:rsid w:val="007D35AC"/>
    <w:rsid w:val="007D36B1"/>
    <w:rsid w:val="007D36D7"/>
    <w:rsid w:val="007D3BA1"/>
    <w:rsid w:val="007D3EC8"/>
    <w:rsid w:val="007D40AC"/>
    <w:rsid w:val="007D4317"/>
    <w:rsid w:val="007D4C12"/>
    <w:rsid w:val="007D57E0"/>
    <w:rsid w:val="007D5962"/>
    <w:rsid w:val="007D63B2"/>
    <w:rsid w:val="007D651D"/>
    <w:rsid w:val="007D71B7"/>
    <w:rsid w:val="007D7C66"/>
    <w:rsid w:val="007D7CF3"/>
    <w:rsid w:val="007E0274"/>
    <w:rsid w:val="007E02A7"/>
    <w:rsid w:val="007E0415"/>
    <w:rsid w:val="007E042B"/>
    <w:rsid w:val="007E0547"/>
    <w:rsid w:val="007E0991"/>
    <w:rsid w:val="007E0B2C"/>
    <w:rsid w:val="007E107F"/>
    <w:rsid w:val="007E1C84"/>
    <w:rsid w:val="007E25ED"/>
    <w:rsid w:val="007E2FD7"/>
    <w:rsid w:val="007E310B"/>
    <w:rsid w:val="007E38DA"/>
    <w:rsid w:val="007E3D65"/>
    <w:rsid w:val="007E3EE2"/>
    <w:rsid w:val="007E47E7"/>
    <w:rsid w:val="007E4A98"/>
    <w:rsid w:val="007E4EB6"/>
    <w:rsid w:val="007E5DD7"/>
    <w:rsid w:val="007E7139"/>
    <w:rsid w:val="007E7366"/>
    <w:rsid w:val="007E7EA1"/>
    <w:rsid w:val="007E7EA4"/>
    <w:rsid w:val="007F03CE"/>
    <w:rsid w:val="007F04D3"/>
    <w:rsid w:val="007F0DB7"/>
    <w:rsid w:val="007F0E95"/>
    <w:rsid w:val="007F137D"/>
    <w:rsid w:val="007F2D8D"/>
    <w:rsid w:val="007F2EBF"/>
    <w:rsid w:val="007F3044"/>
    <w:rsid w:val="007F3249"/>
    <w:rsid w:val="007F4657"/>
    <w:rsid w:val="007F49E6"/>
    <w:rsid w:val="007F5609"/>
    <w:rsid w:val="007F5625"/>
    <w:rsid w:val="007F568A"/>
    <w:rsid w:val="007F59F7"/>
    <w:rsid w:val="007F5D13"/>
    <w:rsid w:val="007F5E21"/>
    <w:rsid w:val="007F619D"/>
    <w:rsid w:val="007F6413"/>
    <w:rsid w:val="007F676E"/>
    <w:rsid w:val="007F6B11"/>
    <w:rsid w:val="007F6C91"/>
    <w:rsid w:val="007F6E2B"/>
    <w:rsid w:val="007F6F3C"/>
    <w:rsid w:val="007F7D12"/>
    <w:rsid w:val="007F7F02"/>
    <w:rsid w:val="00800258"/>
    <w:rsid w:val="00800562"/>
    <w:rsid w:val="00800C97"/>
    <w:rsid w:val="00800E69"/>
    <w:rsid w:val="008015BF"/>
    <w:rsid w:val="0080220F"/>
    <w:rsid w:val="00802735"/>
    <w:rsid w:val="008028C2"/>
    <w:rsid w:val="00802DDB"/>
    <w:rsid w:val="00803165"/>
    <w:rsid w:val="008037D8"/>
    <w:rsid w:val="00803B7E"/>
    <w:rsid w:val="00803DA6"/>
    <w:rsid w:val="008040D9"/>
    <w:rsid w:val="0080436E"/>
    <w:rsid w:val="00804937"/>
    <w:rsid w:val="00804E1E"/>
    <w:rsid w:val="00804E43"/>
    <w:rsid w:val="008050F5"/>
    <w:rsid w:val="00805112"/>
    <w:rsid w:val="0080512F"/>
    <w:rsid w:val="0080519C"/>
    <w:rsid w:val="00810BC2"/>
    <w:rsid w:val="00811683"/>
    <w:rsid w:val="00811AFF"/>
    <w:rsid w:val="00812102"/>
    <w:rsid w:val="00812373"/>
    <w:rsid w:val="00813F3A"/>
    <w:rsid w:val="008140E8"/>
    <w:rsid w:val="00814271"/>
    <w:rsid w:val="00814941"/>
    <w:rsid w:val="00814955"/>
    <w:rsid w:val="00814A65"/>
    <w:rsid w:val="00814BD9"/>
    <w:rsid w:val="008158AC"/>
    <w:rsid w:val="00816805"/>
    <w:rsid w:val="00816BE8"/>
    <w:rsid w:val="00816CD5"/>
    <w:rsid w:val="00816DBD"/>
    <w:rsid w:val="00816FE2"/>
    <w:rsid w:val="00817062"/>
    <w:rsid w:val="00817991"/>
    <w:rsid w:val="00817F58"/>
    <w:rsid w:val="008203C5"/>
    <w:rsid w:val="00820B84"/>
    <w:rsid w:val="0082199B"/>
    <w:rsid w:val="00821C2A"/>
    <w:rsid w:val="008227B7"/>
    <w:rsid w:val="008243A8"/>
    <w:rsid w:val="00824925"/>
    <w:rsid w:val="00824C8B"/>
    <w:rsid w:val="008252E8"/>
    <w:rsid w:val="00825BA8"/>
    <w:rsid w:val="00825C14"/>
    <w:rsid w:val="00825FD5"/>
    <w:rsid w:val="0082641D"/>
    <w:rsid w:val="008267CA"/>
    <w:rsid w:val="0082722B"/>
    <w:rsid w:val="00827C1B"/>
    <w:rsid w:val="0083016B"/>
    <w:rsid w:val="008301F1"/>
    <w:rsid w:val="00830C0E"/>
    <w:rsid w:val="008313E0"/>
    <w:rsid w:val="00831742"/>
    <w:rsid w:val="0083175E"/>
    <w:rsid w:val="008317EC"/>
    <w:rsid w:val="0083195D"/>
    <w:rsid w:val="00831B7B"/>
    <w:rsid w:val="00831D90"/>
    <w:rsid w:val="008324F3"/>
    <w:rsid w:val="00832691"/>
    <w:rsid w:val="0083296B"/>
    <w:rsid w:val="00833547"/>
    <w:rsid w:val="00833852"/>
    <w:rsid w:val="00833AB9"/>
    <w:rsid w:val="008344EC"/>
    <w:rsid w:val="00834820"/>
    <w:rsid w:val="00834C82"/>
    <w:rsid w:val="00834DB6"/>
    <w:rsid w:val="00834F93"/>
    <w:rsid w:val="008354DB"/>
    <w:rsid w:val="00840C4A"/>
    <w:rsid w:val="008411B9"/>
    <w:rsid w:val="0084122F"/>
    <w:rsid w:val="00841573"/>
    <w:rsid w:val="00841D08"/>
    <w:rsid w:val="00842319"/>
    <w:rsid w:val="00842D43"/>
    <w:rsid w:val="0084323E"/>
    <w:rsid w:val="0084375D"/>
    <w:rsid w:val="00843D50"/>
    <w:rsid w:val="0084464E"/>
    <w:rsid w:val="008458BF"/>
    <w:rsid w:val="00846262"/>
    <w:rsid w:val="00846370"/>
    <w:rsid w:val="00846DCD"/>
    <w:rsid w:val="00847665"/>
    <w:rsid w:val="00847BC5"/>
    <w:rsid w:val="00847F11"/>
    <w:rsid w:val="00850010"/>
    <w:rsid w:val="008503F4"/>
    <w:rsid w:val="008504A0"/>
    <w:rsid w:val="00850AC1"/>
    <w:rsid w:val="00850C2A"/>
    <w:rsid w:val="00850DFA"/>
    <w:rsid w:val="00851331"/>
    <w:rsid w:val="008516D1"/>
    <w:rsid w:val="00852003"/>
    <w:rsid w:val="0085212C"/>
    <w:rsid w:val="00852F9E"/>
    <w:rsid w:val="00854053"/>
    <w:rsid w:val="008543AC"/>
    <w:rsid w:val="008548B8"/>
    <w:rsid w:val="00854965"/>
    <w:rsid w:val="008554D1"/>
    <w:rsid w:val="008558E0"/>
    <w:rsid w:val="00857AF7"/>
    <w:rsid w:val="00860109"/>
    <w:rsid w:val="008601BD"/>
    <w:rsid w:val="00860359"/>
    <w:rsid w:val="00860700"/>
    <w:rsid w:val="00860E43"/>
    <w:rsid w:val="00860EE9"/>
    <w:rsid w:val="00861075"/>
    <w:rsid w:val="00861252"/>
    <w:rsid w:val="0086171A"/>
    <w:rsid w:val="00861B89"/>
    <w:rsid w:val="0086226C"/>
    <w:rsid w:val="00862C76"/>
    <w:rsid w:val="00863968"/>
    <w:rsid w:val="008644A4"/>
    <w:rsid w:val="00864A6C"/>
    <w:rsid w:val="00864BB1"/>
    <w:rsid w:val="00864DF7"/>
    <w:rsid w:val="00864FDB"/>
    <w:rsid w:val="00865278"/>
    <w:rsid w:val="008654F9"/>
    <w:rsid w:val="008657DA"/>
    <w:rsid w:val="008658C0"/>
    <w:rsid w:val="00866388"/>
    <w:rsid w:val="00866FE3"/>
    <w:rsid w:val="0086722D"/>
    <w:rsid w:val="00867D56"/>
    <w:rsid w:val="0087028A"/>
    <w:rsid w:val="00870BAA"/>
    <w:rsid w:val="00870D91"/>
    <w:rsid w:val="008716D1"/>
    <w:rsid w:val="008716ED"/>
    <w:rsid w:val="0087193F"/>
    <w:rsid w:val="008724E6"/>
    <w:rsid w:val="00872767"/>
    <w:rsid w:val="008728C8"/>
    <w:rsid w:val="00873205"/>
    <w:rsid w:val="008735E8"/>
    <w:rsid w:val="0087377E"/>
    <w:rsid w:val="008739AB"/>
    <w:rsid w:val="00874043"/>
    <w:rsid w:val="00874594"/>
    <w:rsid w:val="00874776"/>
    <w:rsid w:val="0087487C"/>
    <w:rsid w:val="00874A07"/>
    <w:rsid w:val="00874B75"/>
    <w:rsid w:val="00875007"/>
    <w:rsid w:val="008750DB"/>
    <w:rsid w:val="00875144"/>
    <w:rsid w:val="008751B4"/>
    <w:rsid w:val="0087527F"/>
    <w:rsid w:val="0087543F"/>
    <w:rsid w:val="008754B5"/>
    <w:rsid w:val="008758A8"/>
    <w:rsid w:val="00875AF3"/>
    <w:rsid w:val="008765E9"/>
    <w:rsid w:val="00876605"/>
    <w:rsid w:val="00876B13"/>
    <w:rsid w:val="00880017"/>
    <w:rsid w:val="00880305"/>
    <w:rsid w:val="00880315"/>
    <w:rsid w:val="0088031C"/>
    <w:rsid w:val="0088088A"/>
    <w:rsid w:val="00880A3F"/>
    <w:rsid w:val="00880EE2"/>
    <w:rsid w:val="00881318"/>
    <w:rsid w:val="00881732"/>
    <w:rsid w:val="008818A2"/>
    <w:rsid w:val="008820FB"/>
    <w:rsid w:val="0088213D"/>
    <w:rsid w:val="008821C6"/>
    <w:rsid w:val="0088243C"/>
    <w:rsid w:val="0088243D"/>
    <w:rsid w:val="0088251A"/>
    <w:rsid w:val="00882D28"/>
    <w:rsid w:val="00883A67"/>
    <w:rsid w:val="0088400F"/>
    <w:rsid w:val="008848E9"/>
    <w:rsid w:val="00884FD8"/>
    <w:rsid w:val="00885244"/>
    <w:rsid w:val="008857C7"/>
    <w:rsid w:val="008858B3"/>
    <w:rsid w:val="008866CF"/>
    <w:rsid w:val="00886782"/>
    <w:rsid w:val="008869A1"/>
    <w:rsid w:val="00886B3F"/>
    <w:rsid w:val="0089015D"/>
    <w:rsid w:val="0089021A"/>
    <w:rsid w:val="0089022E"/>
    <w:rsid w:val="00890475"/>
    <w:rsid w:val="00890A7C"/>
    <w:rsid w:val="00890D11"/>
    <w:rsid w:val="008910EE"/>
    <w:rsid w:val="00891A26"/>
    <w:rsid w:val="008923F8"/>
    <w:rsid w:val="0089253F"/>
    <w:rsid w:val="008928F1"/>
    <w:rsid w:val="00892BBF"/>
    <w:rsid w:val="00892DB5"/>
    <w:rsid w:val="00892F62"/>
    <w:rsid w:val="0089389C"/>
    <w:rsid w:val="0089414C"/>
    <w:rsid w:val="008942BD"/>
    <w:rsid w:val="0089478A"/>
    <w:rsid w:val="0089480A"/>
    <w:rsid w:val="00894BEE"/>
    <w:rsid w:val="00894FE5"/>
    <w:rsid w:val="008954D2"/>
    <w:rsid w:val="00895658"/>
    <w:rsid w:val="008956DA"/>
    <w:rsid w:val="008959E5"/>
    <w:rsid w:val="00895BA9"/>
    <w:rsid w:val="00895D79"/>
    <w:rsid w:val="0089601B"/>
    <w:rsid w:val="0089655D"/>
    <w:rsid w:val="00896784"/>
    <w:rsid w:val="00897824"/>
    <w:rsid w:val="008979DB"/>
    <w:rsid w:val="00897BCB"/>
    <w:rsid w:val="00897C07"/>
    <w:rsid w:val="00897DBA"/>
    <w:rsid w:val="008A02FA"/>
    <w:rsid w:val="008A06A8"/>
    <w:rsid w:val="008A1AAC"/>
    <w:rsid w:val="008A1D3C"/>
    <w:rsid w:val="008A20CA"/>
    <w:rsid w:val="008A239B"/>
    <w:rsid w:val="008A2956"/>
    <w:rsid w:val="008A2EA1"/>
    <w:rsid w:val="008A2EF6"/>
    <w:rsid w:val="008A3480"/>
    <w:rsid w:val="008A425D"/>
    <w:rsid w:val="008A4B88"/>
    <w:rsid w:val="008A4F3C"/>
    <w:rsid w:val="008A51AD"/>
    <w:rsid w:val="008A53BA"/>
    <w:rsid w:val="008A551D"/>
    <w:rsid w:val="008A56BA"/>
    <w:rsid w:val="008A570A"/>
    <w:rsid w:val="008A58E4"/>
    <w:rsid w:val="008A58E7"/>
    <w:rsid w:val="008A5C1D"/>
    <w:rsid w:val="008A615A"/>
    <w:rsid w:val="008A650C"/>
    <w:rsid w:val="008A6A36"/>
    <w:rsid w:val="008A6CB9"/>
    <w:rsid w:val="008A6DC1"/>
    <w:rsid w:val="008A7100"/>
    <w:rsid w:val="008A7139"/>
    <w:rsid w:val="008A776D"/>
    <w:rsid w:val="008A7C74"/>
    <w:rsid w:val="008B0107"/>
    <w:rsid w:val="008B04C0"/>
    <w:rsid w:val="008B0A83"/>
    <w:rsid w:val="008B0E93"/>
    <w:rsid w:val="008B198D"/>
    <w:rsid w:val="008B29A4"/>
    <w:rsid w:val="008B2BB4"/>
    <w:rsid w:val="008B2C30"/>
    <w:rsid w:val="008B2D73"/>
    <w:rsid w:val="008B3AB6"/>
    <w:rsid w:val="008B3C2B"/>
    <w:rsid w:val="008B4679"/>
    <w:rsid w:val="008B4D00"/>
    <w:rsid w:val="008B4D13"/>
    <w:rsid w:val="008B4E78"/>
    <w:rsid w:val="008B4FE2"/>
    <w:rsid w:val="008B61A1"/>
    <w:rsid w:val="008B66EE"/>
    <w:rsid w:val="008B6793"/>
    <w:rsid w:val="008B6E62"/>
    <w:rsid w:val="008B6E87"/>
    <w:rsid w:val="008B728A"/>
    <w:rsid w:val="008B7342"/>
    <w:rsid w:val="008B75C2"/>
    <w:rsid w:val="008B770F"/>
    <w:rsid w:val="008B787A"/>
    <w:rsid w:val="008C0773"/>
    <w:rsid w:val="008C0A89"/>
    <w:rsid w:val="008C0E71"/>
    <w:rsid w:val="008C1852"/>
    <w:rsid w:val="008C27B4"/>
    <w:rsid w:val="008C2CFF"/>
    <w:rsid w:val="008C2E1E"/>
    <w:rsid w:val="008C2E22"/>
    <w:rsid w:val="008C2ED2"/>
    <w:rsid w:val="008C3D4D"/>
    <w:rsid w:val="008C4026"/>
    <w:rsid w:val="008C417E"/>
    <w:rsid w:val="008C5B51"/>
    <w:rsid w:val="008C5F0A"/>
    <w:rsid w:val="008C6105"/>
    <w:rsid w:val="008C6124"/>
    <w:rsid w:val="008C6334"/>
    <w:rsid w:val="008C66BD"/>
    <w:rsid w:val="008C6968"/>
    <w:rsid w:val="008C742A"/>
    <w:rsid w:val="008C74C7"/>
    <w:rsid w:val="008C7714"/>
    <w:rsid w:val="008C7F4F"/>
    <w:rsid w:val="008D00F3"/>
    <w:rsid w:val="008D0F27"/>
    <w:rsid w:val="008D15A2"/>
    <w:rsid w:val="008D18CD"/>
    <w:rsid w:val="008D1F86"/>
    <w:rsid w:val="008D20E0"/>
    <w:rsid w:val="008D2796"/>
    <w:rsid w:val="008D2B6E"/>
    <w:rsid w:val="008D335C"/>
    <w:rsid w:val="008D35B7"/>
    <w:rsid w:val="008D39DB"/>
    <w:rsid w:val="008D4007"/>
    <w:rsid w:val="008D436A"/>
    <w:rsid w:val="008D4C72"/>
    <w:rsid w:val="008D50BA"/>
    <w:rsid w:val="008D561B"/>
    <w:rsid w:val="008D582B"/>
    <w:rsid w:val="008D5CF9"/>
    <w:rsid w:val="008D5D0A"/>
    <w:rsid w:val="008D6794"/>
    <w:rsid w:val="008D7F65"/>
    <w:rsid w:val="008E0178"/>
    <w:rsid w:val="008E02F8"/>
    <w:rsid w:val="008E1189"/>
    <w:rsid w:val="008E12AF"/>
    <w:rsid w:val="008E1592"/>
    <w:rsid w:val="008E211C"/>
    <w:rsid w:val="008E2BB3"/>
    <w:rsid w:val="008E2BC5"/>
    <w:rsid w:val="008E2C79"/>
    <w:rsid w:val="008E3176"/>
    <w:rsid w:val="008E3564"/>
    <w:rsid w:val="008E3A0B"/>
    <w:rsid w:val="008E3A90"/>
    <w:rsid w:val="008E3AAB"/>
    <w:rsid w:val="008E4043"/>
    <w:rsid w:val="008E41E2"/>
    <w:rsid w:val="008E4520"/>
    <w:rsid w:val="008E54E8"/>
    <w:rsid w:val="008E5740"/>
    <w:rsid w:val="008E5868"/>
    <w:rsid w:val="008E5DC8"/>
    <w:rsid w:val="008E6465"/>
    <w:rsid w:val="008E6C57"/>
    <w:rsid w:val="008E6E66"/>
    <w:rsid w:val="008E7082"/>
    <w:rsid w:val="008E72AF"/>
    <w:rsid w:val="008F0952"/>
    <w:rsid w:val="008F1154"/>
    <w:rsid w:val="008F17D5"/>
    <w:rsid w:val="008F1B84"/>
    <w:rsid w:val="008F1B9D"/>
    <w:rsid w:val="008F1DB6"/>
    <w:rsid w:val="008F1DDC"/>
    <w:rsid w:val="008F39C0"/>
    <w:rsid w:val="008F57CD"/>
    <w:rsid w:val="008F5960"/>
    <w:rsid w:val="008F5CD0"/>
    <w:rsid w:val="008F6100"/>
    <w:rsid w:val="008F629A"/>
    <w:rsid w:val="008F6A9B"/>
    <w:rsid w:val="008F6F03"/>
    <w:rsid w:val="008F6F9D"/>
    <w:rsid w:val="008F7603"/>
    <w:rsid w:val="008F769D"/>
    <w:rsid w:val="008F76DC"/>
    <w:rsid w:val="008F7A06"/>
    <w:rsid w:val="008F7D2F"/>
    <w:rsid w:val="009013C5"/>
    <w:rsid w:val="0090147B"/>
    <w:rsid w:val="00901649"/>
    <w:rsid w:val="00901CBA"/>
    <w:rsid w:val="00901DC6"/>
    <w:rsid w:val="009021DC"/>
    <w:rsid w:val="00903026"/>
    <w:rsid w:val="0090357B"/>
    <w:rsid w:val="00903832"/>
    <w:rsid w:val="009044BE"/>
    <w:rsid w:val="009048EB"/>
    <w:rsid w:val="00904913"/>
    <w:rsid w:val="00904D4B"/>
    <w:rsid w:val="009050B3"/>
    <w:rsid w:val="00905945"/>
    <w:rsid w:val="00905FEB"/>
    <w:rsid w:val="00906252"/>
    <w:rsid w:val="0090672E"/>
    <w:rsid w:val="00906A4F"/>
    <w:rsid w:val="00906BD6"/>
    <w:rsid w:val="00907074"/>
    <w:rsid w:val="009073C7"/>
    <w:rsid w:val="009078BA"/>
    <w:rsid w:val="009079C7"/>
    <w:rsid w:val="009079F7"/>
    <w:rsid w:val="00907B44"/>
    <w:rsid w:val="00907C33"/>
    <w:rsid w:val="009108D2"/>
    <w:rsid w:val="00910C20"/>
    <w:rsid w:val="00910FE1"/>
    <w:rsid w:val="0091106A"/>
    <w:rsid w:val="009117D0"/>
    <w:rsid w:val="00911C77"/>
    <w:rsid w:val="00911D1C"/>
    <w:rsid w:val="00912F38"/>
    <w:rsid w:val="00913C58"/>
    <w:rsid w:val="00913FCD"/>
    <w:rsid w:val="009140B4"/>
    <w:rsid w:val="00914174"/>
    <w:rsid w:val="0091428A"/>
    <w:rsid w:val="00914733"/>
    <w:rsid w:val="00914AA5"/>
    <w:rsid w:val="009162DD"/>
    <w:rsid w:val="009163E7"/>
    <w:rsid w:val="0091671A"/>
    <w:rsid w:val="009169F6"/>
    <w:rsid w:val="00916D5B"/>
    <w:rsid w:val="0091715C"/>
    <w:rsid w:val="0091719D"/>
    <w:rsid w:val="00917903"/>
    <w:rsid w:val="009200D3"/>
    <w:rsid w:val="00920997"/>
    <w:rsid w:val="00920B1E"/>
    <w:rsid w:val="00920DD5"/>
    <w:rsid w:val="00921161"/>
    <w:rsid w:val="0092158B"/>
    <w:rsid w:val="00921E0A"/>
    <w:rsid w:val="00922492"/>
    <w:rsid w:val="009224EB"/>
    <w:rsid w:val="0092272F"/>
    <w:rsid w:val="00922910"/>
    <w:rsid w:val="00922BE2"/>
    <w:rsid w:val="00922EDE"/>
    <w:rsid w:val="0092337C"/>
    <w:rsid w:val="009237D9"/>
    <w:rsid w:val="009239D2"/>
    <w:rsid w:val="0092406C"/>
    <w:rsid w:val="00924096"/>
    <w:rsid w:val="009243BC"/>
    <w:rsid w:val="009244D5"/>
    <w:rsid w:val="009252F1"/>
    <w:rsid w:val="00925588"/>
    <w:rsid w:val="00925AF5"/>
    <w:rsid w:val="00925C76"/>
    <w:rsid w:val="00926268"/>
    <w:rsid w:val="009264A2"/>
    <w:rsid w:val="00926F3D"/>
    <w:rsid w:val="0092715D"/>
    <w:rsid w:val="00927206"/>
    <w:rsid w:val="00930057"/>
    <w:rsid w:val="00930632"/>
    <w:rsid w:val="009310BC"/>
    <w:rsid w:val="00931D3F"/>
    <w:rsid w:val="009324C4"/>
    <w:rsid w:val="00932671"/>
    <w:rsid w:val="00932A7A"/>
    <w:rsid w:val="009330BF"/>
    <w:rsid w:val="00933817"/>
    <w:rsid w:val="00933C07"/>
    <w:rsid w:val="00934510"/>
    <w:rsid w:val="0093476C"/>
    <w:rsid w:val="00935A1E"/>
    <w:rsid w:val="00935B7C"/>
    <w:rsid w:val="00935E3A"/>
    <w:rsid w:val="00936005"/>
    <w:rsid w:val="0093607C"/>
    <w:rsid w:val="00937A83"/>
    <w:rsid w:val="00937B51"/>
    <w:rsid w:val="00940008"/>
    <w:rsid w:val="00940FFA"/>
    <w:rsid w:val="00941503"/>
    <w:rsid w:val="00941543"/>
    <w:rsid w:val="0094187D"/>
    <w:rsid w:val="00942C90"/>
    <w:rsid w:val="00942F29"/>
    <w:rsid w:val="00942FB6"/>
    <w:rsid w:val="009434EB"/>
    <w:rsid w:val="00943EA6"/>
    <w:rsid w:val="00944400"/>
    <w:rsid w:val="009448F2"/>
    <w:rsid w:val="009448F3"/>
    <w:rsid w:val="0094524B"/>
    <w:rsid w:val="009456E3"/>
    <w:rsid w:val="00945759"/>
    <w:rsid w:val="009466E9"/>
    <w:rsid w:val="00946CB3"/>
    <w:rsid w:val="00946D20"/>
    <w:rsid w:val="00946E51"/>
    <w:rsid w:val="009473F4"/>
    <w:rsid w:val="0094767D"/>
    <w:rsid w:val="00950231"/>
    <w:rsid w:val="00950794"/>
    <w:rsid w:val="009507AA"/>
    <w:rsid w:val="009509EF"/>
    <w:rsid w:val="009515CA"/>
    <w:rsid w:val="00951691"/>
    <w:rsid w:val="00951A1F"/>
    <w:rsid w:val="00951FCE"/>
    <w:rsid w:val="009521CC"/>
    <w:rsid w:val="0095226C"/>
    <w:rsid w:val="00952C05"/>
    <w:rsid w:val="00952D52"/>
    <w:rsid w:val="009540B7"/>
    <w:rsid w:val="009543D0"/>
    <w:rsid w:val="00954DAE"/>
    <w:rsid w:val="00955410"/>
    <w:rsid w:val="0095555D"/>
    <w:rsid w:val="009558EE"/>
    <w:rsid w:val="009559D5"/>
    <w:rsid w:val="00955C17"/>
    <w:rsid w:val="00955D04"/>
    <w:rsid w:val="00955FFA"/>
    <w:rsid w:val="00956170"/>
    <w:rsid w:val="00956BA1"/>
    <w:rsid w:val="00956D42"/>
    <w:rsid w:val="00956F0F"/>
    <w:rsid w:val="0095727F"/>
    <w:rsid w:val="009572AF"/>
    <w:rsid w:val="00957E41"/>
    <w:rsid w:val="0096023A"/>
    <w:rsid w:val="009602DE"/>
    <w:rsid w:val="009607AB"/>
    <w:rsid w:val="00960A9A"/>
    <w:rsid w:val="009615DB"/>
    <w:rsid w:val="00962683"/>
    <w:rsid w:val="00962E23"/>
    <w:rsid w:val="00963149"/>
    <w:rsid w:val="0096456D"/>
    <w:rsid w:val="0096487C"/>
    <w:rsid w:val="00964BC2"/>
    <w:rsid w:val="00964D4A"/>
    <w:rsid w:val="00964EAE"/>
    <w:rsid w:val="00965023"/>
    <w:rsid w:val="009650B7"/>
    <w:rsid w:val="0096515D"/>
    <w:rsid w:val="00965841"/>
    <w:rsid w:val="00965EE1"/>
    <w:rsid w:val="00966623"/>
    <w:rsid w:val="009668D5"/>
    <w:rsid w:val="00966D23"/>
    <w:rsid w:val="009678DB"/>
    <w:rsid w:val="00970728"/>
    <w:rsid w:val="009707C9"/>
    <w:rsid w:val="0097082A"/>
    <w:rsid w:val="00971E0B"/>
    <w:rsid w:val="00972101"/>
    <w:rsid w:val="00972D22"/>
    <w:rsid w:val="00972FB5"/>
    <w:rsid w:val="00973510"/>
    <w:rsid w:val="009736FE"/>
    <w:rsid w:val="00973B96"/>
    <w:rsid w:val="00973BAA"/>
    <w:rsid w:val="00973E3C"/>
    <w:rsid w:val="00974763"/>
    <w:rsid w:val="009757CA"/>
    <w:rsid w:val="00975C9D"/>
    <w:rsid w:val="00976E76"/>
    <w:rsid w:val="00977A14"/>
    <w:rsid w:val="00977E9B"/>
    <w:rsid w:val="0098004A"/>
    <w:rsid w:val="009807BF"/>
    <w:rsid w:val="009809CE"/>
    <w:rsid w:val="00980D42"/>
    <w:rsid w:val="0098131F"/>
    <w:rsid w:val="00981479"/>
    <w:rsid w:val="00981CF9"/>
    <w:rsid w:val="00982295"/>
    <w:rsid w:val="009829B3"/>
    <w:rsid w:val="00982C31"/>
    <w:rsid w:val="00982D45"/>
    <w:rsid w:val="00982FE4"/>
    <w:rsid w:val="00983165"/>
    <w:rsid w:val="00983343"/>
    <w:rsid w:val="009833C4"/>
    <w:rsid w:val="009834E0"/>
    <w:rsid w:val="009838FF"/>
    <w:rsid w:val="00984149"/>
    <w:rsid w:val="00984788"/>
    <w:rsid w:val="00984909"/>
    <w:rsid w:val="00984D7E"/>
    <w:rsid w:val="00984FF3"/>
    <w:rsid w:val="00984FF9"/>
    <w:rsid w:val="009850C5"/>
    <w:rsid w:val="00986326"/>
    <w:rsid w:val="00986849"/>
    <w:rsid w:val="00986BB7"/>
    <w:rsid w:val="00986D4B"/>
    <w:rsid w:val="00986E1E"/>
    <w:rsid w:val="00986F6D"/>
    <w:rsid w:val="0098727C"/>
    <w:rsid w:val="00987708"/>
    <w:rsid w:val="00987DDD"/>
    <w:rsid w:val="00987DF0"/>
    <w:rsid w:val="00987DF4"/>
    <w:rsid w:val="00987E2E"/>
    <w:rsid w:val="0099008B"/>
    <w:rsid w:val="00991202"/>
    <w:rsid w:val="0099177B"/>
    <w:rsid w:val="009917E0"/>
    <w:rsid w:val="0099367E"/>
    <w:rsid w:val="00993FE4"/>
    <w:rsid w:val="0099425E"/>
    <w:rsid w:val="0099482F"/>
    <w:rsid w:val="00994CDC"/>
    <w:rsid w:val="009969CD"/>
    <w:rsid w:val="00996CFC"/>
    <w:rsid w:val="0099770A"/>
    <w:rsid w:val="00997769"/>
    <w:rsid w:val="00997A2E"/>
    <w:rsid w:val="009A048E"/>
    <w:rsid w:val="009A119F"/>
    <w:rsid w:val="009A1609"/>
    <w:rsid w:val="009A1A7E"/>
    <w:rsid w:val="009A3480"/>
    <w:rsid w:val="009A3DB8"/>
    <w:rsid w:val="009A4356"/>
    <w:rsid w:val="009A43B3"/>
    <w:rsid w:val="009A464D"/>
    <w:rsid w:val="009A496F"/>
    <w:rsid w:val="009A4B78"/>
    <w:rsid w:val="009A4D73"/>
    <w:rsid w:val="009A4E41"/>
    <w:rsid w:val="009A5297"/>
    <w:rsid w:val="009A5326"/>
    <w:rsid w:val="009A5D40"/>
    <w:rsid w:val="009A5E10"/>
    <w:rsid w:val="009A5E9E"/>
    <w:rsid w:val="009A6665"/>
    <w:rsid w:val="009A6785"/>
    <w:rsid w:val="009A743F"/>
    <w:rsid w:val="009A74F7"/>
    <w:rsid w:val="009A76B0"/>
    <w:rsid w:val="009A7FD7"/>
    <w:rsid w:val="009B00F2"/>
    <w:rsid w:val="009B0FB2"/>
    <w:rsid w:val="009B1113"/>
    <w:rsid w:val="009B1C34"/>
    <w:rsid w:val="009B1D22"/>
    <w:rsid w:val="009B1E86"/>
    <w:rsid w:val="009B27C4"/>
    <w:rsid w:val="009B2D92"/>
    <w:rsid w:val="009B3250"/>
    <w:rsid w:val="009B3344"/>
    <w:rsid w:val="009B42D2"/>
    <w:rsid w:val="009B4A06"/>
    <w:rsid w:val="009B5E9C"/>
    <w:rsid w:val="009B609E"/>
    <w:rsid w:val="009B70C8"/>
    <w:rsid w:val="009B722F"/>
    <w:rsid w:val="009B737C"/>
    <w:rsid w:val="009B742E"/>
    <w:rsid w:val="009B7E33"/>
    <w:rsid w:val="009C0AC6"/>
    <w:rsid w:val="009C0E66"/>
    <w:rsid w:val="009C11B2"/>
    <w:rsid w:val="009C1456"/>
    <w:rsid w:val="009C164F"/>
    <w:rsid w:val="009C1C30"/>
    <w:rsid w:val="009C22DD"/>
    <w:rsid w:val="009C29D5"/>
    <w:rsid w:val="009C30A0"/>
    <w:rsid w:val="009C359E"/>
    <w:rsid w:val="009C37FE"/>
    <w:rsid w:val="009C4082"/>
    <w:rsid w:val="009C4806"/>
    <w:rsid w:val="009C4A38"/>
    <w:rsid w:val="009C4AD8"/>
    <w:rsid w:val="009C4D3D"/>
    <w:rsid w:val="009C55E2"/>
    <w:rsid w:val="009C5A4E"/>
    <w:rsid w:val="009C5EE5"/>
    <w:rsid w:val="009C61E3"/>
    <w:rsid w:val="009C6B56"/>
    <w:rsid w:val="009C6C93"/>
    <w:rsid w:val="009C76F9"/>
    <w:rsid w:val="009C7785"/>
    <w:rsid w:val="009C7DB8"/>
    <w:rsid w:val="009C7FF0"/>
    <w:rsid w:val="009D010D"/>
    <w:rsid w:val="009D0244"/>
    <w:rsid w:val="009D050F"/>
    <w:rsid w:val="009D0F71"/>
    <w:rsid w:val="009D111C"/>
    <w:rsid w:val="009D141A"/>
    <w:rsid w:val="009D17A0"/>
    <w:rsid w:val="009D1A08"/>
    <w:rsid w:val="009D1F7A"/>
    <w:rsid w:val="009D2165"/>
    <w:rsid w:val="009D2873"/>
    <w:rsid w:val="009D2942"/>
    <w:rsid w:val="009D3827"/>
    <w:rsid w:val="009D3A1A"/>
    <w:rsid w:val="009D426A"/>
    <w:rsid w:val="009D5BDB"/>
    <w:rsid w:val="009D5CCA"/>
    <w:rsid w:val="009D6B03"/>
    <w:rsid w:val="009D6B3D"/>
    <w:rsid w:val="009D7422"/>
    <w:rsid w:val="009D77A4"/>
    <w:rsid w:val="009D78E7"/>
    <w:rsid w:val="009E0505"/>
    <w:rsid w:val="009E0742"/>
    <w:rsid w:val="009E1291"/>
    <w:rsid w:val="009E12BC"/>
    <w:rsid w:val="009E224D"/>
    <w:rsid w:val="009E26D5"/>
    <w:rsid w:val="009E276C"/>
    <w:rsid w:val="009E2A07"/>
    <w:rsid w:val="009E3398"/>
    <w:rsid w:val="009E3577"/>
    <w:rsid w:val="009E3D2B"/>
    <w:rsid w:val="009E3E84"/>
    <w:rsid w:val="009E4097"/>
    <w:rsid w:val="009E4664"/>
    <w:rsid w:val="009E4D8E"/>
    <w:rsid w:val="009E4E90"/>
    <w:rsid w:val="009E4EB7"/>
    <w:rsid w:val="009E56C7"/>
    <w:rsid w:val="009E57C1"/>
    <w:rsid w:val="009E624A"/>
    <w:rsid w:val="009E6B32"/>
    <w:rsid w:val="009E70F3"/>
    <w:rsid w:val="009E7E98"/>
    <w:rsid w:val="009F00EE"/>
    <w:rsid w:val="009F0827"/>
    <w:rsid w:val="009F0BED"/>
    <w:rsid w:val="009F1673"/>
    <w:rsid w:val="009F1EA5"/>
    <w:rsid w:val="009F3255"/>
    <w:rsid w:val="009F34AA"/>
    <w:rsid w:val="009F3DCE"/>
    <w:rsid w:val="009F44FF"/>
    <w:rsid w:val="009F46E8"/>
    <w:rsid w:val="009F472D"/>
    <w:rsid w:val="009F4CF0"/>
    <w:rsid w:val="009F4E88"/>
    <w:rsid w:val="009F50D1"/>
    <w:rsid w:val="009F568A"/>
    <w:rsid w:val="009F573B"/>
    <w:rsid w:val="009F5918"/>
    <w:rsid w:val="009F596D"/>
    <w:rsid w:val="009F6A91"/>
    <w:rsid w:val="009F71A6"/>
    <w:rsid w:val="009F71AA"/>
    <w:rsid w:val="009F7326"/>
    <w:rsid w:val="009F754A"/>
    <w:rsid w:val="009F791F"/>
    <w:rsid w:val="009F7F86"/>
    <w:rsid w:val="00A0034D"/>
    <w:rsid w:val="00A00BFB"/>
    <w:rsid w:val="00A00DCF"/>
    <w:rsid w:val="00A0126C"/>
    <w:rsid w:val="00A012DA"/>
    <w:rsid w:val="00A0187E"/>
    <w:rsid w:val="00A02450"/>
    <w:rsid w:val="00A026F0"/>
    <w:rsid w:val="00A02F2D"/>
    <w:rsid w:val="00A02F61"/>
    <w:rsid w:val="00A03E0E"/>
    <w:rsid w:val="00A040D1"/>
    <w:rsid w:val="00A04424"/>
    <w:rsid w:val="00A04A0A"/>
    <w:rsid w:val="00A050A8"/>
    <w:rsid w:val="00A056A3"/>
    <w:rsid w:val="00A056AA"/>
    <w:rsid w:val="00A05B51"/>
    <w:rsid w:val="00A06286"/>
    <w:rsid w:val="00A06318"/>
    <w:rsid w:val="00A063BC"/>
    <w:rsid w:val="00A068E1"/>
    <w:rsid w:val="00A06A80"/>
    <w:rsid w:val="00A06D8A"/>
    <w:rsid w:val="00A0711F"/>
    <w:rsid w:val="00A07B0B"/>
    <w:rsid w:val="00A102A0"/>
    <w:rsid w:val="00A108C2"/>
    <w:rsid w:val="00A114FA"/>
    <w:rsid w:val="00A11AF3"/>
    <w:rsid w:val="00A12C09"/>
    <w:rsid w:val="00A13084"/>
    <w:rsid w:val="00A1327F"/>
    <w:rsid w:val="00A13817"/>
    <w:rsid w:val="00A138D3"/>
    <w:rsid w:val="00A13C73"/>
    <w:rsid w:val="00A13E0F"/>
    <w:rsid w:val="00A144B7"/>
    <w:rsid w:val="00A149B4"/>
    <w:rsid w:val="00A15F4F"/>
    <w:rsid w:val="00A160AB"/>
    <w:rsid w:val="00A160F0"/>
    <w:rsid w:val="00A16745"/>
    <w:rsid w:val="00A16747"/>
    <w:rsid w:val="00A17C1D"/>
    <w:rsid w:val="00A20013"/>
    <w:rsid w:val="00A20582"/>
    <w:rsid w:val="00A20C65"/>
    <w:rsid w:val="00A214B2"/>
    <w:rsid w:val="00A21767"/>
    <w:rsid w:val="00A21FD5"/>
    <w:rsid w:val="00A22751"/>
    <w:rsid w:val="00A22940"/>
    <w:rsid w:val="00A23102"/>
    <w:rsid w:val="00A23284"/>
    <w:rsid w:val="00A2343F"/>
    <w:rsid w:val="00A23505"/>
    <w:rsid w:val="00A23598"/>
    <w:rsid w:val="00A2428B"/>
    <w:rsid w:val="00A2476B"/>
    <w:rsid w:val="00A247E5"/>
    <w:rsid w:val="00A24D81"/>
    <w:rsid w:val="00A24EA5"/>
    <w:rsid w:val="00A25173"/>
    <w:rsid w:val="00A252F0"/>
    <w:rsid w:val="00A259F2"/>
    <w:rsid w:val="00A25FDB"/>
    <w:rsid w:val="00A26463"/>
    <w:rsid w:val="00A26608"/>
    <w:rsid w:val="00A2660E"/>
    <w:rsid w:val="00A26916"/>
    <w:rsid w:val="00A26B47"/>
    <w:rsid w:val="00A26FF1"/>
    <w:rsid w:val="00A27806"/>
    <w:rsid w:val="00A3068C"/>
    <w:rsid w:val="00A3127F"/>
    <w:rsid w:val="00A31922"/>
    <w:rsid w:val="00A31BCC"/>
    <w:rsid w:val="00A31C70"/>
    <w:rsid w:val="00A32382"/>
    <w:rsid w:val="00A325BB"/>
    <w:rsid w:val="00A3297A"/>
    <w:rsid w:val="00A32A58"/>
    <w:rsid w:val="00A32EEC"/>
    <w:rsid w:val="00A336C5"/>
    <w:rsid w:val="00A3510A"/>
    <w:rsid w:val="00A3515F"/>
    <w:rsid w:val="00A3544E"/>
    <w:rsid w:val="00A35751"/>
    <w:rsid w:val="00A35762"/>
    <w:rsid w:val="00A3577F"/>
    <w:rsid w:val="00A35BBC"/>
    <w:rsid w:val="00A35DAB"/>
    <w:rsid w:val="00A36724"/>
    <w:rsid w:val="00A367AF"/>
    <w:rsid w:val="00A36AA0"/>
    <w:rsid w:val="00A36C13"/>
    <w:rsid w:val="00A377C2"/>
    <w:rsid w:val="00A37A31"/>
    <w:rsid w:val="00A40B1F"/>
    <w:rsid w:val="00A40B4D"/>
    <w:rsid w:val="00A411E2"/>
    <w:rsid w:val="00A41373"/>
    <w:rsid w:val="00A41638"/>
    <w:rsid w:val="00A41B15"/>
    <w:rsid w:val="00A4224E"/>
    <w:rsid w:val="00A4229F"/>
    <w:rsid w:val="00A428A9"/>
    <w:rsid w:val="00A42ACA"/>
    <w:rsid w:val="00A43AAB"/>
    <w:rsid w:val="00A43AFE"/>
    <w:rsid w:val="00A44AAD"/>
    <w:rsid w:val="00A44E8A"/>
    <w:rsid w:val="00A45280"/>
    <w:rsid w:val="00A45BF7"/>
    <w:rsid w:val="00A463B5"/>
    <w:rsid w:val="00A463BA"/>
    <w:rsid w:val="00A46675"/>
    <w:rsid w:val="00A471A3"/>
    <w:rsid w:val="00A47597"/>
    <w:rsid w:val="00A47E08"/>
    <w:rsid w:val="00A47E44"/>
    <w:rsid w:val="00A47F91"/>
    <w:rsid w:val="00A507A9"/>
    <w:rsid w:val="00A507D7"/>
    <w:rsid w:val="00A50A5C"/>
    <w:rsid w:val="00A50BE2"/>
    <w:rsid w:val="00A50CC6"/>
    <w:rsid w:val="00A50E40"/>
    <w:rsid w:val="00A51462"/>
    <w:rsid w:val="00A51946"/>
    <w:rsid w:val="00A51C1F"/>
    <w:rsid w:val="00A51FF7"/>
    <w:rsid w:val="00A52079"/>
    <w:rsid w:val="00A52143"/>
    <w:rsid w:val="00A521E9"/>
    <w:rsid w:val="00A5298E"/>
    <w:rsid w:val="00A52B3E"/>
    <w:rsid w:val="00A5313B"/>
    <w:rsid w:val="00A5320E"/>
    <w:rsid w:val="00A53F7B"/>
    <w:rsid w:val="00A54090"/>
    <w:rsid w:val="00A54282"/>
    <w:rsid w:val="00A549D3"/>
    <w:rsid w:val="00A54DF0"/>
    <w:rsid w:val="00A56E99"/>
    <w:rsid w:val="00A57212"/>
    <w:rsid w:val="00A57E98"/>
    <w:rsid w:val="00A60189"/>
    <w:rsid w:val="00A60849"/>
    <w:rsid w:val="00A6105B"/>
    <w:rsid w:val="00A61355"/>
    <w:rsid w:val="00A61668"/>
    <w:rsid w:val="00A621D3"/>
    <w:rsid w:val="00A628F8"/>
    <w:rsid w:val="00A62B7A"/>
    <w:rsid w:val="00A632EA"/>
    <w:rsid w:val="00A634BE"/>
    <w:rsid w:val="00A63AD7"/>
    <w:rsid w:val="00A63BFD"/>
    <w:rsid w:val="00A6444A"/>
    <w:rsid w:val="00A6491F"/>
    <w:rsid w:val="00A64C72"/>
    <w:rsid w:val="00A64D1A"/>
    <w:rsid w:val="00A65320"/>
    <w:rsid w:val="00A65BA5"/>
    <w:rsid w:val="00A66288"/>
    <w:rsid w:val="00A66354"/>
    <w:rsid w:val="00A66E37"/>
    <w:rsid w:val="00A66ECF"/>
    <w:rsid w:val="00A67E38"/>
    <w:rsid w:val="00A703E4"/>
    <w:rsid w:val="00A70DC6"/>
    <w:rsid w:val="00A71080"/>
    <w:rsid w:val="00A713B3"/>
    <w:rsid w:val="00A71986"/>
    <w:rsid w:val="00A71E73"/>
    <w:rsid w:val="00A72740"/>
    <w:rsid w:val="00A73A64"/>
    <w:rsid w:val="00A742AD"/>
    <w:rsid w:val="00A746D7"/>
    <w:rsid w:val="00A74AB2"/>
    <w:rsid w:val="00A75A46"/>
    <w:rsid w:val="00A75B36"/>
    <w:rsid w:val="00A762F1"/>
    <w:rsid w:val="00A7663A"/>
    <w:rsid w:val="00A7696B"/>
    <w:rsid w:val="00A769D4"/>
    <w:rsid w:val="00A80268"/>
    <w:rsid w:val="00A804C7"/>
    <w:rsid w:val="00A80857"/>
    <w:rsid w:val="00A80A39"/>
    <w:rsid w:val="00A80DF0"/>
    <w:rsid w:val="00A80E64"/>
    <w:rsid w:val="00A81A16"/>
    <w:rsid w:val="00A823A7"/>
    <w:rsid w:val="00A825C8"/>
    <w:rsid w:val="00A82742"/>
    <w:rsid w:val="00A83984"/>
    <w:rsid w:val="00A83A1E"/>
    <w:rsid w:val="00A84198"/>
    <w:rsid w:val="00A841AB"/>
    <w:rsid w:val="00A84FFD"/>
    <w:rsid w:val="00A86104"/>
    <w:rsid w:val="00A8655A"/>
    <w:rsid w:val="00A87203"/>
    <w:rsid w:val="00A87744"/>
    <w:rsid w:val="00A87AE6"/>
    <w:rsid w:val="00A87B09"/>
    <w:rsid w:val="00A87C22"/>
    <w:rsid w:val="00A90590"/>
    <w:rsid w:val="00A90A97"/>
    <w:rsid w:val="00A90CB4"/>
    <w:rsid w:val="00A910DA"/>
    <w:rsid w:val="00A920E1"/>
    <w:rsid w:val="00A923D6"/>
    <w:rsid w:val="00A92B42"/>
    <w:rsid w:val="00A933AE"/>
    <w:rsid w:val="00A93863"/>
    <w:rsid w:val="00A9415E"/>
    <w:rsid w:val="00A9423F"/>
    <w:rsid w:val="00A94EBD"/>
    <w:rsid w:val="00A9510D"/>
    <w:rsid w:val="00A956AC"/>
    <w:rsid w:val="00A95D2A"/>
    <w:rsid w:val="00A96214"/>
    <w:rsid w:val="00A967E8"/>
    <w:rsid w:val="00A97AF8"/>
    <w:rsid w:val="00A97D38"/>
    <w:rsid w:val="00A97F4B"/>
    <w:rsid w:val="00AA04C5"/>
    <w:rsid w:val="00AA1044"/>
    <w:rsid w:val="00AA10B1"/>
    <w:rsid w:val="00AA239B"/>
    <w:rsid w:val="00AA2803"/>
    <w:rsid w:val="00AA2BF2"/>
    <w:rsid w:val="00AA2D65"/>
    <w:rsid w:val="00AA2D68"/>
    <w:rsid w:val="00AA2D6F"/>
    <w:rsid w:val="00AA3987"/>
    <w:rsid w:val="00AA3B68"/>
    <w:rsid w:val="00AA3E79"/>
    <w:rsid w:val="00AA447C"/>
    <w:rsid w:val="00AA4FB4"/>
    <w:rsid w:val="00AA5C0B"/>
    <w:rsid w:val="00AA5E3B"/>
    <w:rsid w:val="00AA63AD"/>
    <w:rsid w:val="00AA65B4"/>
    <w:rsid w:val="00AA745E"/>
    <w:rsid w:val="00AA7E43"/>
    <w:rsid w:val="00AB0352"/>
    <w:rsid w:val="00AB047A"/>
    <w:rsid w:val="00AB04AB"/>
    <w:rsid w:val="00AB0733"/>
    <w:rsid w:val="00AB09D2"/>
    <w:rsid w:val="00AB0B64"/>
    <w:rsid w:val="00AB0C30"/>
    <w:rsid w:val="00AB161B"/>
    <w:rsid w:val="00AB176B"/>
    <w:rsid w:val="00AB37E6"/>
    <w:rsid w:val="00AB3DBA"/>
    <w:rsid w:val="00AB431C"/>
    <w:rsid w:val="00AB470E"/>
    <w:rsid w:val="00AB5A7E"/>
    <w:rsid w:val="00AB7538"/>
    <w:rsid w:val="00AB75A7"/>
    <w:rsid w:val="00AB77F3"/>
    <w:rsid w:val="00AB7BE7"/>
    <w:rsid w:val="00AC0AAD"/>
    <w:rsid w:val="00AC0C2A"/>
    <w:rsid w:val="00AC1231"/>
    <w:rsid w:val="00AC15D4"/>
    <w:rsid w:val="00AC1992"/>
    <w:rsid w:val="00AC1E14"/>
    <w:rsid w:val="00AC2CFA"/>
    <w:rsid w:val="00AC3263"/>
    <w:rsid w:val="00AC3E12"/>
    <w:rsid w:val="00AC406E"/>
    <w:rsid w:val="00AC430C"/>
    <w:rsid w:val="00AC4A6B"/>
    <w:rsid w:val="00AC5C19"/>
    <w:rsid w:val="00AC60F0"/>
    <w:rsid w:val="00AC6657"/>
    <w:rsid w:val="00AC6A24"/>
    <w:rsid w:val="00AC6D7A"/>
    <w:rsid w:val="00AC72B0"/>
    <w:rsid w:val="00AC7363"/>
    <w:rsid w:val="00AC7401"/>
    <w:rsid w:val="00AC7901"/>
    <w:rsid w:val="00AC79F3"/>
    <w:rsid w:val="00AC7FDD"/>
    <w:rsid w:val="00AD0949"/>
    <w:rsid w:val="00AD0F1D"/>
    <w:rsid w:val="00AD1179"/>
    <w:rsid w:val="00AD1359"/>
    <w:rsid w:val="00AD194B"/>
    <w:rsid w:val="00AD19F0"/>
    <w:rsid w:val="00AD1FCE"/>
    <w:rsid w:val="00AD26E1"/>
    <w:rsid w:val="00AD29CC"/>
    <w:rsid w:val="00AD3268"/>
    <w:rsid w:val="00AD3DE2"/>
    <w:rsid w:val="00AD4261"/>
    <w:rsid w:val="00AD4473"/>
    <w:rsid w:val="00AD46F5"/>
    <w:rsid w:val="00AD51A3"/>
    <w:rsid w:val="00AD598B"/>
    <w:rsid w:val="00AD7154"/>
    <w:rsid w:val="00AD7844"/>
    <w:rsid w:val="00AD797D"/>
    <w:rsid w:val="00AD7C94"/>
    <w:rsid w:val="00AD7E02"/>
    <w:rsid w:val="00AE0483"/>
    <w:rsid w:val="00AE08DD"/>
    <w:rsid w:val="00AE13BD"/>
    <w:rsid w:val="00AE1681"/>
    <w:rsid w:val="00AE189E"/>
    <w:rsid w:val="00AE1AF9"/>
    <w:rsid w:val="00AE1E60"/>
    <w:rsid w:val="00AE2068"/>
    <w:rsid w:val="00AE2258"/>
    <w:rsid w:val="00AE277E"/>
    <w:rsid w:val="00AE2A36"/>
    <w:rsid w:val="00AE2BC6"/>
    <w:rsid w:val="00AE3251"/>
    <w:rsid w:val="00AE3FE0"/>
    <w:rsid w:val="00AE44A2"/>
    <w:rsid w:val="00AE4A71"/>
    <w:rsid w:val="00AE5058"/>
    <w:rsid w:val="00AE5170"/>
    <w:rsid w:val="00AE51CD"/>
    <w:rsid w:val="00AE5471"/>
    <w:rsid w:val="00AE54AA"/>
    <w:rsid w:val="00AE60E4"/>
    <w:rsid w:val="00AE6872"/>
    <w:rsid w:val="00AE6C58"/>
    <w:rsid w:val="00AE72C4"/>
    <w:rsid w:val="00AE7F05"/>
    <w:rsid w:val="00AE7F38"/>
    <w:rsid w:val="00AF054D"/>
    <w:rsid w:val="00AF0939"/>
    <w:rsid w:val="00AF0A7C"/>
    <w:rsid w:val="00AF1813"/>
    <w:rsid w:val="00AF24E7"/>
    <w:rsid w:val="00AF272B"/>
    <w:rsid w:val="00AF291B"/>
    <w:rsid w:val="00AF2DAA"/>
    <w:rsid w:val="00AF2EBD"/>
    <w:rsid w:val="00AF33AE"/>
    <w:rsid w:val="00AF409A"/>
    <w:rsid w:val="00AF44B1"/>
    <w:rsid w:val="00AF5800"/>
    <w:rsid w:val="00AF6986"/>
    <w:rsid w:val="00AF6D1B"/>
    <w:rsid w:val="00AF73ED"/>
    <w:rsid w:val="00AF7D69"/>
    <w:rsid w:val="00AF7ED2"/>
    <w:rsid w:val="00B004D8"/>
    <w:rsid w:val="00B00830"/>
    <w:rsid w:val="00B00CC5"/>
    <w:rsid w:val="00B016D2"/>
    <w:rsid w:val="00B01E41"/>
    <w:rsid w:val="00B02091"/>
    <w:rsid w:val="00B02B3F"/>
    <w:rsid w:val="00B02B43"/>
    <w:rsid w:val="00B02BCB"/>
    <w:rsid w:val="00B03D36"/>
    <w:rsid w:val="00B03F3D"/>
    <w:rsid w:val="00B04384"/>
    <w:rsid w:val="00B04540"/>
    <w:rsid w:val="00B05116"/>
    <w:rsid w:val="00B051A7"/>
    <w:rsid w:val="00B05574"/>
    <w:rsid w:val="00B05F1A"/>
    <w:rsid w:val="00B07B33"/>
    <w:rsid w:val="00B07FA2"/>
    <w:rsid w:val="00B100CF"/>
    <w:rsid w:val="00B10E82"/>
    <w:rsid w:val="00B111A6"/>
    <w:rsid w:val="00B115E5"/>
    <w:rsid w:val="00B118EE"/>
    <w:rsid w:val="00B11B03"/>
    <w:rsid w:val="00B11C5B"/>
    <w:rsid w:val="00B121CD"/>
    <w:rsid w:val="00B12343"/>
    <w:rsid w:val="00B12529"/>
    <w:rsid w:val="00B128C5"/>
    <w:rsid w:val="00B12B11"/>
    <w:rsid w:val="00B12C94"/>
    <w:rsid w:val="00B135AB"/>
    <w:rsid w:val="00B137BF"/>
    <w:rsid w:val="00B13A1B"/>
    <w:rsid w:val="00B13A59"/>
    <w:rsid w:val="00B142D9"/>
    <w:rsid w:val="00B14BC4"/>
    <w:rsid w:val="00B156C8"/>
    <w:rsid w:val="00B158A3"/>
    <w:rsid w:val="00B15B25"/>
    <w:rsid w:val="00B15EA0"/>
    <w:rsid w:val="00B17A4E"/>
    <w:rsid w:val="00B17B30"/>
    <w:rsid w:val="00B17C2F"/>
    <w:rsid w:val="00B21175"/>
    <w:rsid w:val="00B2153E"/>
    <w:rsid w:val="00B21FA7"/>
    <w:rsid w:val="00B22022"/>
    <w:rsid w:val="00B225E4"/>
    <w:rsid w:val="00B23F7A"/>
    <w:rsid w:val="00B240B1"/>
    <w:rsid w:val="00B24208"/>
    <w:rsid w:val="00B24728"/>
    <w:rsid w:val="00B248A9"/>
    <w:rsid w:val="00B24D28"/>
    <w:rsid w:val="00B24F1C"/>
    <w:rsid w:val="00B25890"/>
    <w:rsid w:val="00B25D76"/>
    <w:rsid w:val="00B27032"/>
    <w:rsid w:val="00B30003"/>
    <w:rsid w:val="00B31201"/>
    <w:rsid w:val="00B3167E"/>
    <w:rsid w:val="00B319F7"/>
    <w:rsid w:val="00B31B4B"/>
    <w:rsid w:val="00B31CD5"/>
    <w:rsid w:val="00B31E36"/>
    <w:rsid w:val="00B32E26"/>
    <w:rsid w:val="00B338B7"/>
    <w:rsid w:val="00B34061"/>
    <w:rsid w:val="00B3440A"/>
    <w:rsid w:val="00B34441"/>
    <w:rsid w:val="00B35312"/>
    <w:rsid w:val="00B35534"/>
    <w:rsid w:val="00B35A87"/>
    <w:rsid w:val="00B35AB6"/>
    <w:rsid w:val="00B35AFD"/>
    <w:rsid w:val="00B35F9A"/>
    <w:rsid w:val="00B36236"/>
    <w:rsid w:val="00B3662E"/>
    <w:rsid w:val="00B366D2"/>
    <w:rsid w:val="00B366FA"/>
    <w:rsid w:val="00B36E86"/>
    <w:rsid w:val="00B37122"/>
    <w:rsid w:val="00B379BA"/>
    <w:rsid w:val="00B40139"/>
    <w:rsid w:val="00B410E1"/>
    <w:rsid w:val="00B412FD"/>
    <w:rsid w:val="00B422BE"/>
    <w:rsid w:val="00B4241D"/>
    <w:rsid w:val="00B426BB"/>
    <w:rsid w:val="00B42EB9"/>
    <w:rsid w:val="00B434E9"/>
    <w:rsid w:val="00B441FE"/>
    <w:rsid w:val="00B44821"/>
    <w:rsid w:val="00B44AD3"/>
    <w:rsid w:val="00B44BDC"/>
    <w:rsid w:val="00B45152"/>
    <w:rsid w:val="00B45E54"/>
    <w:rsid w:val="00B461E5"/>
    <w:rsid w:val="00B464E4"/>
    <w:rsid w:val="00B4689A"/>
    <w:rsid w:val="00B46D5F"/>
    <w:rsid w:val="00B46E7B"/>
    <w:rsid w:val="00B47DC5"/>
    <w:rsid w:val="00B505B3"/>
    <w:rsid w:val="00B50A74"/>
    <w:rsid w:val="00B520A0"/>
    <w:rsid w:val="00B5257E"/>
    <w:rsid w:val="00B525CE"/>
    <w:rsid w:val="00B52CFD"/>
    <w:rsid w:val="00B545A8"/>
    <w:rsid w:val="00B548E8"/>
    <w:rsid w:val="00B56527"/>
    <w:rsid w:val="00B56918"/>
    <w:rsid w:val="00B576DA"/>
    <w:rsid w:val="00B57710"/>
    <w:rsid w:val="00B60011"/>
    <w:rsid w:val="00B601C9"/>
    <w:rsid w:val="00B60D04"/>
    <w:rsid w:val="00B61EE8"/>
    <w:rsid w:val="00B62D9B"/>
    <w:rsid w:val="00B633A3"/>
    <w:rsid w:val="00B63533"/>
    <w:rsid w:val="00B63BDB"/>
    <w:rsid w:val="00B64A0E"/>
    <w:rsid w:val="00B64CC6"/>
    <w:rsid w:val="00B64DDF"/>
    <w:rsid w:val="00B65728"/>
    <w:rsid w:val="00B6601E"/>
    <w:rsid w:val="00B663AA"/>
    <w:rsid w:val="00B66DD5"/>
    <w:rsid w:val="00B6715C"/>
    <w:rsid w:val="00B67B97"/>
    <w:rsid w:val="00B67F01"/>
    <w:rsid w:val="00B711AB"/>
    <w:rsid w:val="00B714E9"/>
    <w:rsid w:val="00B714F0"/>
    <w:rsid w:val="00B71A40"/>
    <w:rsid w:val="00B71BFA"/>
    <w:rsid w:val="00B71C8C"/>
    <w:rsid w:val="00B71CB4"/>
    <w:rsid w:val="00B71FD7"/>
    <w:rsid w:val="00B72003"/>
    <w:rsid w:val="00B7210F"/>
    <w:rsid w:val="00B725E7"/>
    <w:rsid w:val="00B72C07"/>
    <w:rsid w:val="00B72DF7"/>
    <w:rsid w:val="00B72F42"/>
    <w:rsid w:val="00B73E44"/>
    <w:rsid w:val="00B74290"/>
    <w:rsid w:val="00B74510"/>
    <w:rsid w:val="00B74822"/>
    <w:rsid w:val="00B74BD4"/>
    <w:rsid w:val="00B74BF7"/>
    <w:rsid w:val="00B76185"/>
    <w:rsid w:val="00B7676C"/>
    <w:rsid w:val="00B76BCD"/>
    <w:rsid w:val="00B76FBC"/>
    <w:rsid w:val="00B7782B"/>
    <w:rsid w:val="00B779E6"/>
    <w:rsid w:val="00B804E2"/>
    <w:rsid w:val="00B811B2"/>
    <w:rsid w:val="00B82024"/>
    <w:rsid w:val="00B8276E"/>
    <w:rsid w:val="00B82805"/>
    <w:rsid w:val="00B83997"/>
    <w:rsid w:val="00B83A62"/>
    <w:rsid w:val="00B83B59"/>
    <w:rsid w:val="00B84252"/>
    <w:rsid w:val="00B84677"/>
    <w:rsid w:val="00B8468F"/>
    <w:rsid w:val="00B84FC6"/>
    <w:rsid w:val="00B857F5"/>
    <w:rsid w:val="00B85A56"/>
    <w:rsid w:val="00B85B2C"/>
    <w:rsid w:val="00B86D6C"/>
    <w:rsid w:val="00B86F47"/>
    <w:rsid w:val="00B874B4"/>
    <w:rsid w:val="00B875E9"/>
    <w:rsid w:val="00B8787A"/>
    <w:rsid w:val="00B87887"/>
    <w:rsid w:val="00B90123"/>
    <w:rsid w:val="00B90196"/>
    <w:rsid w:val="00B90FBE"/>
    <w:rsid w:val="00B911C1"/>
    <w:rsid w:val="00B92008"/>
    <w:rsid w:val="00B922C3"/>
    <w:rsid w:val="00B9272E"/>
    <w:rsid w:val="00B927A7"/>
    <w:rsid w:val="00B92B9E"/>
    <w:rsid w:val="00B93315"/>
    <w:rsid w:val="00B93519"/>
    <w:rsid w:val="00B9372A"/>
    <w:rsid w:val="00B93FD0"/>
    <w:rsid w:val="00B9425C"/>
    <w:rsid w:val="00B94AAF"/>
    <w:rsid w:val="00B94DB1"/>
    <w:rsid w:val="00B953FF"/>
    <w:rsid w:val="00B9622D"/>
    <w:rsid w:val="00B96263"/>
    <w:rsid w:val="00B968A5"/>
    <w:rsid w:val="00B972CD"/>
    <w:rsid w:val="00B9769B"/>
    <w:rsid w:val="00B97D02"/>
    <w:rsid w:val="00B97E60"/>
    <w:rsid w:val="00BA0304"/>
    <w:rsid w:val="00BA0557"/>
    <w:rsid w:val="00BA2A34"/>
    <w:rsid w:val="00BA3038"/>
    <w:rsid w:val="00BA3319"/>
    <w:rsid w:val="00BA370A"/>
    <w:rsid w:val="00BA3826"/>
    <w:rsid w:val="00BA48BC"/>
    <w:rsid w:val="00BA4A29"/>
    <w:rsid w:val="00BA4BE7"/>
    <w:rsid w:val="00BA5F20"/>
    <w:rsid w:val="00BA68D9"/>
    <w:rsid w:val="00BA7172"/>
    <w:rsid w:val="00BA7B01"/>
    <w:rsid w:val="00BB02D7"/>
    <w:rsid w:val="00BB0D9F"/>
    <w:rsid w:val="00BB0DEE"/>
    <w:rsid w:val="00BB1031"/>
    <w:rsid w:val="00BB1B33"/>
    <w:rsid w:val="00BB2480"/>
    <w:rsid w:val="00BB2C4E"/>
    <w:rsid w:val="00BB2E29"/>
    <w:rsid w:val="00BB2F74"/>
    <w:rsid w:val="00BB3206"/>
    <w:rsid w:val="00BB32C2"/>
    <w:rsid w:val="00BB3B0D"/>
    <w:rsid w:val="00BB498E"/>
    <w:rsid w:val="00BB524C"/>
    <w:rsid w:val="00BB5DAB"/>
    <w:rsid w:val="00BB6195"/>
    <w:rsid w:val="00BB61A3"/>
    <w:rsid w:val="00BB707E"/>
    <w:rsid w:val="00BB7568"/>
    <w:rsid w:val="00BB7F82"/>
    <w:rsid w:val="00BC007C"/>
    <w:rsid w:val="00BC0AB2"/>
    <w:rsid w:val="00BC1308"/>
    <w:rsid w:val="00BC1BF4"/>
    <w:rsid w:val="00BC2600"/>
    <w:rsid w:val="00BC2F24"/>
    <w:rsid w:val="00BC33BE"/>
    <w:rsid w:val="00BC3A47"/>
    <w:rsid w:val="00BC3EEB"/>
    <w:rsid w:val="00BC4780"/>
    <w:rsid w:val="00BC4DD7"/>
    <w:rsid w:val="00BC4F46"/>
    <w:rsid w:val="00BC52C8"/>
    <w:rsid w:val="00BC5485"/>
    <w:rsid w:val="00BC549C"/>
    <w:rsid w:val="00BC570E"/>
    <w:rsid w:val="00BC5A6C"/>
    <w:rsid w:val="00BC5AF6"/>
    <w:rsid w:val="00BC5B4B"/>
    <w:rsid w:val="00BC5EDB"/>
    <w:rsid w:val="00BC69A2"/>
    <w:rsid w:val="00BC6ED6"/>
    <w:rsid w:val="00BC6F03"/>
    <w:rsid w:val="00BC6FA1"/>
    <w:rsid w:val="00BD024F"/>
    <w:rsid w:val="00BD0441"/>
    <w:rsid w:val="00BD0570"/>
    <w:rsid w:val="00BD0853"/>
    <w:rsid w:val="00BD112D"/>
    <w:rsid w:val="00BD214E"/>
    <w:rsid w:val="00BD22F7"/>
    <w:rsid w:val="00BD2395"/>
    <w:rsid w:val="00BD25B8"/>
    <w:rsid w:val="00BD2842"/>
    <w:rsid w:val="00BD2892"/>
    <w:rsid w:val="00BD3120"/>
    <w:rsid w:val="00BD3354"/>
    <w:rsid w:val="00BD368C"/>
    <w:rsid w:val="00BD384E"/>
    <w:rsid w:val="00BD3E76"/>
    <w:rsid w:val="00BD3EE2"/>
    <w:rsid w:val="00BD3FCF"/>
    <w:rsid w:val="00BD42D2"/>
    <w:rsid w:val="00BD47D7"/>
    <w:rsid w:val="00BD4EFB"/>
    <w:rsid w:val="00BD5076"/>
    <w:rsid w:val="00BD5551"/>
    <w:rsid w:val="00BD5AF1"/>
    <w:rsid w:val="00BD6D43"/>
    <w:rsid w:val="00BD7090"/>
    <w:rsid w:val="00BD7490"/>
    <w:rsid w:val="00BD767F"/>
    <w:rsid w:val="00BE09C3"/>
    <w:rsid w:val="00BE0C27"/>
    <w:rsid w:val="00BE15BB"/>
    <w:rsid w:val="00BE198F"/>
    <w:rsid w:val="00BE1A78"/>
    <w:rsid w:val="00BE473E"/>
    <w:rsid w:val="00BE5135"/>
    <w:rsid w:val="00BE5964"/>
    <w:rsid w:val="00BE5F2B"/>
    <w:rsid w:val="00BE660B"/>
    <w:rsid w:val="00BE6AFE"/>
    <w:rsid w:val="00BE6BBE"/>
    <w:rsid w:val="00BE6FDA"/>
    <w:rsid w:val="00BE7021"/>
    <w:rsid w:val="00BE7300"/>
    <w:rsid w:val="00BE784F"/>
    <w:rsid w:val="00BF0238"/>
    <w:rsid w:val="00BF0717"/>
    <w:rsid w:val="00BF071D"/>
    <w:rsid w:val="00BF1750"/>
    <w:rsid w:val="00BF178E"/>
    <w:rsid w:val="00BF189F"/>
    <w:rsid w:val="00BF1B44"/>
    <w:rsid w:val="00BF1F01"/>
    <w:rsid w:val="00BF21FF"/>
    <w:rsid w:val="00BF23CC"/>
    <w:rsid w:val="00BF243F"/>
    <w:rsid w:val="00BF284E"/>
    <w:rsid w:val="00BF2F93"/>
    <w:rsid w:val="00BF3ACF"/>
    <w:rsid w:val="00BF3C2A"/>
    <w:rsid w:val="00BF4C2B"/>
    <w:rsid w:val="00BF507A"/>
    <w:rsid w:val="00BF53F1"/>
    <w:rsid w:val="00BF5717"/>
    <w:rsid w:val="00BF5B9D"/>
    <w:rsid w:val="00BF5CD8"/>
    <w:rsid w:val="00BF5FA3"/>
    <w:rsid w:val="00BF62F2"/>
    <w:rsid w:val="00BF63A5"/>
    <w:rsid w:val="00BF72A7"/>
    <w:rsid w:val="00BF7558"/>
    <w:rsid w:val="00C0111E"/>
    <w:rsid w:val="00C02676"/>
    <w:rsid w:val="00C029AB"/>
    <w:rsid w:val="00C03BD5"/>
    <w:rsid w:val="00C03C8B"/>
    <w:rsid w:val="00C03F3C"/>
    <w:rsid w:val="00C049BE"/>
    <w:rsid w:val="00C04A71"/>
    <w:rsid w:val="00C04DF0"/>
    <w:rsid w:val="00C05A4C"/>
    <w:rsid w:val="00C05A67"/>
    <w:rsid w:val="00C073E0"/>
    <w:rsid w:val="00C1001D"/>
    <w:rsid w:val="00C10B5A"/>
    <w:rsid w:val="00C11113"/>
    <w:rsid w:val="00C11687"/>
    <w:rsid w:val="00C11E28"/>
    <w:rsid w:val="00C1225B"/>
    <w:rsid w:val="00C122F9"/>
    <w:rsid w:val="00C12459"/>
    <w:rsid w:val="00C1253A"/>
    <w:rsid w:val="00C128C9"/>
    <w:rsid w:val="00C12CF3"/>
    <w:rsid w:val="00C12F88"/>
    <w:rsid w:val="00C131A8"/>
    <w:rsid w:val="00C1322D"/>
    <w:rsid w:val="00C135A3"/>
    <w:rsid w:val="00C1477A"/>
    <w:rsid w:val="00C14A62"/>
    <w:rsid w:val="00C158EB"/>
    <w:rsid w:val="00C159B1"/>
    <w:rsid w:val="00C161F5"/>
    <w:rsid w:val="00C16C92"/>
    <w:rsid w:val="00C1706B"/>
    <w:rsid w:val="00C17648"/>
    <w:rsid w:val="00C17DB7"/>
    <w:rsid w:val="00C17E48"/>
    <w:rsid w:val="00C17E81"/>
    <w:rsid w:val="00C17FF5"/>
    <w:rsid w:val="00C201E7"/>
    <w:rsid w:val="00C20AA2"/>
    <w:rsid w:val="00C20B91"/>
    <w:rsid w:val="00C21155"/>
    <w:rsid w:val="00C21180"/>
    <w:rsid w:val="00C2146C"/>
    <w:rsid w:val="00C214D7"/>
    <w:rsid w:val="00C21561"/>
    <w:rsid w:val="00C217EE"/>
    <w:rsid w:val="00C21C10"/>
    <w:rsid w:val="00C21CBF"/>
    <w:rsid w:val="00C22784"/>
    <w:rsid w:val="00C227D6"/>
    <w:rsid w:val="00C2395D"/>
    <w:rsid w:val="00C23A4C"/>
    <w:rsid w:val="00C2419D"/>
    <w:rsid w:val="00C243A4"/>
    <w:rsid w:val="00C24416"/>
    <w:rsid w:val="00C248DB"/>
    <w:rsid w:val="00C249FF"/>
    <w:rsid w:val="00C26170"/>
    <w:rsid w:val="00C26B5A"/>
    <w:rsid w:val="00C26D52"/>
    <w:rsid w:val="00C26F21"/>
    <w:rsid w:val="00C277DA"/>
    <w:rsid w:val="00C303E4"/>
    <w:rsid w:val="00C30775"/>
    <w:rsid w:val="00C30B8D"/>
    <w:rsid w:val="00C310BA"/>
    <w:rsid w:val="00C3134E"/>
    <w:rsid w:val="00C315D8"/>
    <w:rsid w:val="00C31C4A"/>
    <w:rsid w:val="00C31D2D"/>
    <w:rsid w:val="00C32639"/>
    <w:rsid w:val="00C32AD2"/>
    <w:rsid w:val="00C34193"/>
    <w:rsid w:val="00C347FD"/>
    <w:rsid w:val="00C34DAE"/>
    <w:rsid w:val="00C34E1E"/>
    <w:rsid w:val="00C34E5A"/>
    <w:rsid w:val="00C35A84"/>
    <w:rsid w:val="00C36219"/>
    <w:rsid w:val="00C3698E"/>
    <w:rsid w:val="00C36CCA"/>
    <w:rsid w:val="00C36E1C"/>
    <w:rsid w:val="00C36F42"/>
    <w:rsid w:val="00C3718A"/>
    <w:rsid w:val="00C377B1"/>
    <w:rsid w:val="00C379C5"/>
    <w:rsid w:val="00C37E84"/>
    <w:rsid w:val="00C37EEE"/>
    <w:rsid w:val="00C40453"/>
    <w:rsid w:val="00C40E71"/>
    <w:rsid w:val="00C41879"/>
    <w:rsid w:val="00C41A7C"/>
    <w:rsid w:val="00C42651"/>
    <w:rsid w:val="00C42CEF"/>
    <w:rsid w:val="00C42D55"/>
    <w:rsid w:val="00C43080"/>
    <w:rsid w:val="00C4370E"/>
    <w:rsid w:val="00C43823"/>
    <w:rsid w:val="00C4384B"/>
    <w:rsid w:val="00C4393C"/>
    <w:rsid w:val="00C44068"/>
    <w:rsid w:val="00C442AE"/>
    <w:rsid w:val="00C4518B"/>
    <w:rsid w:val="00C45780"/>
    <w:rsid w:val="00C458D6"/>
    <w:rsid w:val="00C46268"/>
    <w:rsid w:val="00C4655A"/>
    <w:rsid w:val="00C466BF"/>
    <w:rsid w:val="00C47385"/>
    <w:rsid w:val="00C47555"/>
    <w:rsid w:val="00C476AC"/>
    <w:rsid w:val="00C47E67"/>
    <w:rsid w:val="00C47FD9"/>
    <w:rsid w:val="00C50387"/>
    <w:rsid w:val="00C50C1A"/>
    <w:rsid w:val="00C51508"/>
    <w:rsid w:val="00C51D73"/>
    <w:rsid w:val="00C51DEB"/>
    <w:rsid w:val="00C52A05"/>
    <w:rsid w:val="00C52E97"/>
    <w:rsid w:val="00C52EAF"/>
    <w:rsid w:val="00C53189"/>
    <w:rsid w:val="00C534E5"/>
    <w:rsid w:val="00C534F4"/>
    <w:rsid w:val="00C5375B"/>
    <w:rsid w:val="00C53B15"/>
    <w:rsid w:val="00C53DA9"/>
    <w:rsid w:val="00C53EF7"/>
    <w:rsid w:val="00C54280"/>
    <w:rsid w:val="00C54929"/>
    <w:rsid w:val="00C556B1"/>
    <w:rsid w:val="00C55A05"/>
    <w:rsid w:val="00C55A12"/>
    <w:rsid w:val="00C56101"/>
    <w:rsid w:val="00C565F2"/>
    <w:rsid w:val="00C56C45"/>
    <w:rsid w:val="00C573CC"/>
    <w:rsid w:val="00C57B81"/>
    <w:rsid w:val="00C57FB9"/>
    <w:rsid w:val="00C60145"/>
    <w:rsid w:val="00C6077B"/>
    <w:rsid w:val="00C60950"/>
    <w:rsid w:val="00C609FD"/>
    <w:rsid w:val="00C60DD1"/>
    <w:rsid w:val="00C61565"/>
    <w:rsid w:val="00C61574"/>
    <w:rsid w:val="00C615B4"/>
    <w:rsid w:val="00C61765"/>
    <w:rsid w:val="00C61A90"/>
    <w:rsid w:val="00C6211D"/>
    <w:rsid w:val="00C62B32"/>
    <w:rsid w:val="00C63DED"/>
    <w:rsid w:val="00C63E88"/>
    <w:rsid w:val="00C64F97"/>
    <w:rsid w:val="00C65585"/>
    <w:rsid w:val="00C656EB"/>
    <w:rsid w:val="00C65C5A"/>
    <w:rsid w:val="00C65D7B"/>
    <w:rsid w:val="00C65DF4"/>
    <w:rsid w:val="00C6762C"/>
    <w:rsid w:val="00C67B49"/>
    <w:rsid w:val="00C70942"/>
    <w:rsid w:val="00C711F5"/>
    <w:rsid w:val="00C713A1"/>
    <w:rsid w:val="00C71828"/>
    <w:rsid w:val="00C720B8"/>
    <w:rsid w:val="00C72105"/>
    <w:rsid w:val="00C72BCE"/>
    <w:rsid w:val="00C74954"/>
    <w:rsid w:val="00C76028"/>
    <w:rsid w:val="00C76184"/>
    <w:rsid w:val="00C7673D"/>
    <w:rsid w:val="00C76A80"/>
    <w:rsid w:val="00C76C27"/>
    <w:rsid w:val="00C76F07"/>
    <w:rsid w:val="00C77EF6"/>
    <w:rsid w:val="00C80B4B"/>
    <w:rsid w:val="00C80D63"/>
    <w:rsid w:val="00C812D5"/>
    <w:rsid w:val="00C818D0"/>
    <w:rsid w:val="00C81993"/>
    <w:rsid w:val="00C81BEA"/>
    <w:rsid w:val="00C81DF5"/>
    <w:rsid w:val="00C82188"/>
    <w:rsid w:val="00C8242B"/>
    <w:rsid w:val="00C829FA"/>
    <w:rsid w:val="00C82A50"/>
    <w:rsid w:val="00C83240"/>
    <w:rsid w:val="00C832E7"/>
    <w:rsid w:val="00C83381"/>
    <w:rsid w:val="00C83607"/>
    <w:rsid w:val="00C83768"/>
    <w:rsid w:val="00C83B18"/>
    <w:rsid w:val="00C840C3"/>
    <w:rsid w:val="00C841B4"/>
    <w:rsid w:val="00C84266"/>
    <w:rsid w:val="00C849E0"/>
    <w:rsid w:val="00C84B74"/>
    <w:rsid w:val="00C8512A"/>
    <w:rsid w:val="00C85970"/>
    <w:rsid w:val="00C85E9B"/>
    <w:rsid w:val="00C874C8"/>
    <w:rsid w:val="00C90165"/>
    <w:rsid w:val="00C90733"/>
    <w:rsid w:val="00C921C4"/>
    <w:rsid w:val="00C9235F"/>
    <w:rsid w:val="00C9257F"/>
    <w:rsid w:val="00C9319C"/>
    <w:rsid w:val="00C934F6"/>
    <w:rsid w:val="00C93874"/>
    <w:rsid w:val="00C93A4C"/>
    <w:rsid w:val="00C9448D"/>
    <w:rsid w:val="00C94FD2"/>
    <w:rsid w:val="00C9514C"/>
    <w:rsid w:val="00C95341"/>
    <w:rsid w:val="00C95B76"/>
    <w:rsid w:val="00C964C3"/>
    <w:rsid w:val="00C96635"/>
    <w:rsid w:val="00C966B7"/>
    <w:rsid w:val="00C969DB"/>
    <w:rsid w:val="00C97A4A"/>
    <w:rsid w:val="00C97DC9"/>
    <w:rsid w:val="00C97EE3"/>
    <w:rsid w:val="00CA12BA"/>
    <w:rsid w:val="00CA165C"/>
    <w:rsid w:val="00CA1C0D"/>
    <w:rsid w:val="00CA1DAE"/>
    <w:rsid w:val="00CA2267"/>
    <w:rsid w:val="00CA38AD"/>
    <w:rsid w:val="00CA413F"/>
    <w:rsid w:val="00CA5098"/>
    <w:rsid w:val="00CA5503"/>
    <w:rsid w:val="00CA55C3"/>
    <w:rsid w:val="00CA65B3"/>
    <w:rsid w:val="00CA66C3"/>
    <w:rsid w:val="00CA6CAD"/>
    <w:rsid w:val="00CA70A8"/>
    <w:rsid w:val="00CA70D0"/>
    <w:rsid w:val="00CA74A4"/>
    <w:rsid w:val="00CA7683"/>
    <w:rsid w:val="00CA7EA1"/>
    <w:rsid w:val="00CA7EEB"/>
    <w:rsid w:val="00CB009B"/>
    <w:rsid w:val="00CB0231"/>
    <w:rsid w:val="00CB0838"/>
    <w:rsid w:val="00CB1AFD"/>
    <w:rsid w:val="00CB1E7F"/>
    <w:rsid w:val="00CB1EB3"/>
    <w:rsid w:val="00CB2126"/>
    <w:rsid w:val="00CB24AD"/>
    <w:rsid w:val="00CB2C59"/>
    <w:rsid w:val="00CB2D9C"/>
    <w:rsid w:val="00CB34AB"/>
    <w:rsid w:val="00CB3529"/>
    <w:rsid w:val="00CB3562"/>
    <w:rsid w:val="00CB38A9"/>
    <w:rsid w:val="00CB4728"/>
    <w:rsid w:val="00CB4994"/>
    <w:rsid w:val="00CB59E7"/>
    <w:rsid w:val="00CB5E4A"/>
    <w:rsid w:val="00CB668A"/>
    <w:rsid w:val="00CB6976"/>
    <w:rsid w:val="00CB6FCA"/>
    <w:rsid w:val="00CB724D"/>
    <w:rsid w:val="00CB73EA"/>
    <w:rsid w:val="00CB7D4E"/>
    <w:rsid w:val="00CC002B"/>
    <w:rsid w:val="00CC07E5"/>
    <w:rsid w:val="00CC09F0"/>
    <w:rsid w:val="00CC0C11"/>
    <w:rsid w:val="00CC15B5"/>
    <w:rsid w:val="00CC1671"/>
    <w:rsid w:val="00CC1F52"/>
    <w:rsid w:val="00CC233F"/>
    <w:rsid w:val="00CC27FD"/>
    <w:rsid w:val="00CC31E8"/>
    <w:rsid w:val="00CC33C6"/>
    <w:rsid w:val="00CC3AB9"/>
    <w:rsid w:val="00CC3C9E"/>
    <w:rsid w:val="00CC45E0"/>
    <w:rsid w:val="00CC4BBE"/>
    <w:rsid w:val="00CC4BC3"/>
    <w:rsid w:val="00CC50C7"/>
    <w:rsid w:val="00CC55AC"/>
    <w:rsid w:val="00CC5859"/>
    <w:rsid w:val="00CC6159"/>
    <w:rsid w:val="00CC65A8"/>
    <w:rsid w:val="00CC6FF2"/>
    <w:rsid w:val="00CC71F3"/>
    <w:rsid w:val="00CC72C0"/>
    <w:rsid w:val="00CC757D"/>
    <w:rsid w:val="00CC7C74"/>
    <w:rsid w:val="00CD00DB"/>
    <w:rsid w:val="00CD0119"/>
    <w:rsid w:val="00CD07FD"/>
    <w:rsid w:val="00CD0866"/>
    <w:rsid w:val="00CD1169"/>
    <w:rsid w:val="00CD16C7"/>
    <w:rsid w:val="00CD1A40"/>
    <w:rsid w:val="00CD1B33"/>
    <w:rsid w:val="00CD25F3"/>
    <w:rsid w:val="00CD27FF"/>
    <w:rsid w:val="00CD305C"/>
    <w:rsid w:val="00CD3A6D"/>
    <w:rsid w:val="00CD3E5A"/>
    <w:rsid w:val="00CD3E63"/>
    <w:rsid w:val="00CD40A3"/>
    <w:rsid w:val="00CD4CD3"/>
    <w:rsid w:val="00CD578C"/>
    <w:rsid w:val="00CD589F"/>
    <w:rsid w:val="00CD60C9"/>
    <w:rsid w:val="00CD6345"/>
    <w:rsid w:val="00CD6BBB"/>
    <w:rsid w:val="00CD6C19"/>
    <w:rsid w:val="00CD6E47"/>
    <w:rsid w:val="00CD7482"/>
    <w:rsid w:val="00CE07C1"/>
    <w:rsid w:val="00CE1567"/>
    <w:rsid w:val="00CE186F"/>
    <w:rsid w:val="00CE1BC4"/>
    <w:rsid w:val="00CE1C09"/>
    <w:rsid w:val="00CE20E3"/>
    <w:rsid w:val="00CE24B7"/>
    <w:rsid w:val="00CE273A"/>
    <w:rsid w:val="00CE321C"/>
    <w:rsid w:val="00CE32E8"/>
    <w:rsid w:val="00CE3700"/>
    <w:rsid w:val="00CE3B69"/>
    <w:rsid w:val="00CE3B77"/>
    <w:rsid w:val="00CE4559"/>
    <w:rsid w:val="00CE5118"/>
    <w:rsid w:val="00CE5487"/>
    <w:rsid w:val="00CE59B5"/>
    <w:rsid w:val="00CE59DB"/>
    <w:rsid w:val="00CE5D3A"/>
    <w:rsid w:val="00CE7381"/>
    <w:rsid w:val="00CE7447"/>
    <w:rsid w:val="00CE74CE"/>
    <w:rsid w:val="00CE7F36"/>
    <w:rsid w:val="00CF0829"/>
    <w:rsid w:val="00CF0E74"/>
    <w:rsid w:val="00CF1833"/>
    <w:rsid w:val="00CF1AEA"/>
    <w:rsid w:val="00CF1B4F"/>
    <w:rsid w:val="00CF2091"/>
    <w:rsid w:val="00CF21F6"/>
    <w:rsid w:val="00CF2278"/>
    <w:rsid w:val="00CF2C62"/>
    <w:rsid w:val="00CF2F66"/>
    <w:rsid w:val="00CF337B"/>
    <w:rsid w:val="00CF3FE7"/>
    <w:rsid w:val="00CF4059"/>
    <w:rsid w:val="00CF4416"/>
    <w:rsid w:val="00CF5762"/>
    <w:rsid w:val="00CF65B4"/>
    <w:rsid w:val="00CF69B0"/>
    <w:rsid w:val="00CF6C05"/>
    <w:rsid w:val="00CF7485"/>
    <w:rsid w:val="00CF7E56"/>
    <w:rsid w:val="00D0139C"/>
    <w:rsid w:val="00D01744"/>
    <w:rsid w:val="00D025CE"/>
    <w:rsid w:val="00D02A0F"/>
    <w:rsid w:val="00D02DF3"/>
    <w:rsid w:val="00D02FB3"/>
    <w:rsid w:val="00D03181"/>
    <w:rsid w:val="00D037DC"/>
    <w:rsid w:val="00D0383B"/>
    <w:rsid w:val="00D03A8A"/>
    <w:rsid w:val="00D03DA5"/>
    <w:rsid w:val="00D03F27"/>
    <w:rsid w:val="00D043EE"/>
    <w:rsid w:val="00D0470D"/>
    <w:rsid w:val="00D04A30"/>
    <w:rsid w:val="00D05249"/>
    <w:rsid w:val="00D055CA"/>
    <w:rsid w:val="00D059FC"/>
    <w:rsid w:val="00D05DEF"/>
    <w:rsid w:val="00D06861"/>
    <w:rsid w:val="00D0688A"/>
    <w:rsid w:val="00D06F22"/>
    <w:rsid w:val="00D07A9C"/>
    <w:rsid w:val="00D10076"/>
    <w:rsid w:val="00D1033B"/>
    <w:rsid w:val="00D10477"/>
    <w:rsid w:val="00D107E2"/>
    <w:rsid w:val="00D11D76"/>
    <w:rsid w:val="00D11E73"/>
    <w:rsid w:val="00D121F5"/>
    <w:rsid w:val="00D126E4"/>
    <w:rsid w:val="00D131BF"/>
    <w:rsid w:val="00D140E6"/>
    <w:rsid w:val="00D14B9C"/>
    <w:rsid w:val="00D158EF"/>
    <w:rsid w:val="00D15C14"/>
    <w:rsid w:val="00D15E74"/>
    <w:rsid w:val="00D15FAA"/>
    <w:rsid w:val="00D16ECB"/>
    <w:rsid w:val="00D16EEE"/>
    <w:rsid w:val="00D17167"/>
    <w:rsid w:val="00D1794C"/>
    <w:rsid w:val="00D17BA5"/>
    <w:rsid w:val="00D17EC9"/>
    <w:rsid w:val="00D2058D"/>
    <w:rsid w:val="00D2176E"/>
    <w:rsid w:val="00D2182A"/>
    <w:rsid w:val="00D22105"/>
    <w:rsid w:val="00D2211C"/>
    <w:rsid w:val="00D22945"/>
    <w:rsid w:val="00D22B55"/>
    <w:rsid w:val="00D23055"/>
    <w:rsid w:val="00D230AD"/>
    <w:rsid w:val="00D251AB"/>
    <w:rsid w:val="00D25AC6"/>
    <w:rsid w:val="00D261D3"/>
    <w:rsid w:val="00D27007"/>
    <w:rsid w:val="00D31255"/>
    <w:rsid w:val="00D319DF"/>
    <w:rsid w:val="00D3225E"/>
    <w:rsid w:val="00D324BC"/>
    <w:rsid w:val="00D33565"/>
    <w:rsid w:val="00D33762"/>
    <w:rsid w:val="00D34025"/>
    <w:rsid w:val="00D3413A"/>
    <w:rsid w:val="00D34BD1"/>
    <w:rsid w:val="00D35177"/>
    <w:rsid w:val="00D356E1"/>
    <w:rsid w:val="00D35EE3"/>
    <w:rsid w:val="00D37006"/>
    <w:rsid w:val="00D40609"/>
    <w:rsid w:val="00D40983"/>
    <w:rsid w:val="00D41188"/>
    <w:rsid w:val="00D417D3"/>
    <w:rsid w:val="00D418D5"/>
    <w:rsid w:val="00D41A6B"/>
    <w:rsid w:val="00D41DB1"/>
    <w:rsid w:val="00D42045"/>
    <w:rsid w:val="00D4276D"/>
    <w:rsid w:val="00D42798"/>
    <w:rsid w:val="00D42970"/>
    <w:rsid w:val="00D43492"/>
    <w:rsid w:val="00D4364E"/>
    <w:rsid w:val="00D43AED"/>
    <w:rsid w:val="00D44916"/>
    <w:rsid w:val="00D453C8"/>
    <w:rsid w:val="00D45CA4"/>
    <w:rsid w:val="00D45EA7"/>
    <w:rsid w:val="00D45F22"/>
    <w:rsid w:val="00D46485"/>
    <w:rsid w:val="00D47178"/>
    <w:rsid w:val="00D4752E"/>
    <w:rsid w:val="00D47842"/>
    <w:rsid w:val="00D478A8"/>
    <w:rsid w:val="00D47BEF"/>
    <w:rsid w:val="00D50826"/>
    <w:rsid w:val="00D51675"/>
    <w:rsid w:val="00D51A75"/>
    <w:rsid w:val="00D51F73"/>
    <w:rsid w:val="00D52827"/>
    <w:rsid w:val="00D529BE"/>
    <w:rsid w:val="00D52CF6"/>
    <w:rsid w:val="00D53198"/>
    <w:rsid w:val="00D53D3E"/>
    <w:rsid w:val="00D547E0"/>
    <w:rsid w:val="00D54992"/>
    <w:rsid w:val="00D55291"/>
    <w:rsid w:val="00D55C48"/>
    <w:rsid w:val="00D55E47"/>
    <w:rsid w:val="00D56997"/>
    <w:rsid w:val="00D570E6"/>
    <w:rsid w:val="00D5730F"/>
    <w:rsid w:val="00D5774F"/>
    <w:rsid w:val="00D578B1"/>
    <w:rsid w:val="00D57A52"/>
    <w:rsid w:val="00D60809"/>
    <w:rsid w:val="00D60D7F"/>
    <w:rsid w:val="00D61C9C"/>
    <w:rsid w:val="00D62111"/>
    <w:rsid w:val="00D62229"/>
    <w:rsid w:val="00D625B8"/>
    <w:rsid w:val="00D626F8"/>
    <w:rsid w:val="00D634CD"/>
    <w:rsid w:val="00D636DC"/>
    <w:rsid w:val="00D63F4C"/>
    <w:rsid w:val="00D64265"/>
    <w:rsid w:val="00D64613"/>
    <w:rsid w:val="00D64702"/>
    <w:rsid w:val="00D66BD9"/>
    <w:rsid w:val="00D66BFD"/>
    <w:rsid w:val="00D66C91"/>
    <w:rsid w:val="00D674EE"/>
    <w:rsid w:val="00D67535"/>
    <w:rsid w:val="00D67B2A"/>
    <w:rsid w:val="00D67BC9"/>
    <w:rsid w:val="00D67DBC"/>
    <w:rsid w:val="00D704D9"/>
    <w:rsid w:val="00D70BD2"/>
    <w:rsid w:val="00D713F2"/>
    <w:rsid w:val="00D721AA"/>
    <w:rsid w:val="00D72705"/>
    <w:rsid w:val="00D72D7A"/>
    <w:rsid w:val="00D738BF"/>
    <w:rsid w:val="00D73B93"/>
    <w:rsid w:val="00D73C95"/>
    <w:rsid w:val="00D73F99"/>
    <w:rsid w:val="00D745C1"/>
    <w:rsid w:val="00D75676"/>
    <w:rsid w:val="00D75731"/>
    <w:rsid w:val="00D75B45"/>
    <w:rsid w:val="00D75B5C"/>
    <w:rsid w:val="00D75F8C"/>
    <w:rsid w:val="00D76050"/>
    <w:rsid w:val="00D76309"/>
    <w:rsid w:val="00D76423"/>
    <w:rsid w:val="00D767BF"/>
    <w:rsid w:val="00D77278"/>
    <w:rsid w:val="00D775B5"/>
    <w:rsid w:val="00D77961"/>
    <w:rsid w:val="00D77B20"/>
    <w:rsid w:val="00D77B3B"/>
    <w:rsid w:val="00D8007C"/>
    <w:rsid w:val="00D8079F"/>
    <w:rsid w:val="00D8103B"/>
    <w:rsid w:val="00D8111B"/>
    <w:rsid w:val="00D81242"/>
    <w:rsid w:val="00D812D2"/>
    <w:rsid w:val="00D822FA"/>
    <w:rsid w:val="00D82D02"/>
    <w:rsid w:val="00D82D0F"/>
    <w:rsid w:val="00D83A5A"/>
    <w:rsid w:val="00D84157"/>
    <w:rsid w:val="00D84BD7"/>
    <w:rsid w:val="00D84DCA"/>
    <w:rsid w:val="00D850FC"/>
    <w:rsid w:val="00D85114"/>
    <w:rsid w:val="00D857BC"/>
    <w:rsid w:val="00D86144"/>
    <w:rsid w:val="00D8622E"/>
    <w:rsid w:val="00D8718F"/>
    <w:rsid w:val="00D871B6"/>
    <w:rsid w:val="00D875E1"/>
    <w:rsid w:val="00D90275"/>
    <w:rsid w:val="00D902F5"/>
    <w:rsid w:val="00D9075D"/>
    <w:rsid w:val="00D90959"/>
    <w:rsid w:val="00D91410"/>
    <w:rsid w:val="00D91438"/>
    <w:rsid w:val="00D91594"/>
    <w:rsid w:val="00D91A8F"/>
    <w:rsid w:val="00D91ABE"/>
    <w:rsid w:val="00D91DFB"/>
    <w:rsid w:val="00D921DA"/>
    <w:rsid w:val="00D92C2F"/>
    <w:rsid w:val="00D92F7F"/>
    <w:rsid w:val="00D9459D"/>
    <w:rsid w:val="00D94730"/>
    <w:rsid w:val="00D94858"/>
    <w:rsid w:val="00D94972"/>
    <w:rsid w:val="00D954A1"/>
    <w:rsid w:val="00D95519"/>
    <w:rsid w:val="00D95744"/>
    <w:rsid w:val="00D958FC"/>
    <w:rsid w:val="00D959AE"/>
    <w:rsid w:val="00D95DC2"/>
    <w:rsid w:val="00D96678"/>
    <w:rsid w:val="00D96C73"/>
    <w:rsid w:val="00D96D46"/>
    <w:rsid w:val="00D97C27"/>
    <w:rsid w:val="00DA0526"/>
    <w:rsid w:val="00DA0639"/>
    <w:rsid w:val="00DA0CF7"/>
    <w:rsid w:val="00DA0E96"/>
    <w:rsid w:val="00DA1203"/>
    <w:rsid w:val="00DA18DA"/>
    <w:rsid w:val="00DA1F0C"/>
    <w:rsid w:val="00DA1F38"/>
    <w:rsid w:val="00DA2F0F"/>
    <w:rsid w:val="00DA3565"/>
    <w:rsid w:val="00DA3A5B"/>
    <w:rsid w:val="00DA3D0B"/>
    <w:rsid w:val="00DA3F51"/>
    <w:rsid w:val="00DA45DB"/>
    <w:rsid w:val="00DA48D9"/>
    <w:rsid w:val="00DA49F8"/>
    <w:rsid w:val="00DA4AAE"/>
    <w:rsid w:val="00DA5572"/>
    <w:rsid w:val="00DA6A15"/>
    <w:rsid w:val="00DA6CC2"/>
    <w:rsid w:val="00DA7029"/>
    <w:rsid w:val="00DA77A0"/>
    <w:rsid w:val="00DB09A2"/>
    <w:rsid w:val="00DB0C79"/>
    <w:rsid w:val="00DB103D"/>
    <w:rsid w:val="00DB1448"/>
    <w:rsid w:val="00DB1998"/>
    <w:rsid w:val="00DB1FC4"/>
    <w:rsid w:val="00DB21F0"/>
    <w:rsid w:val="00DB24C0"/>
    <w:rsid w:val="00DB2C5F"/>
    <w:rsid w:val="00DB3A58"/>
    <w:rsid w:val="00DB3BDF"/>
    <w:rsid w:val="00DB3C58"/>
    <w:rsid w:val="00DB3D46"/>
    <w:rsid w:val="00DB401C"/>
    <w:rsid w:val="00DB46C8"/>
    <w:rsid w:val="00DB540E"/>
    <w:rsid w:val="00DB5A63"/>
    <w:rsid w:val="00DB6166"/>
    <w:rsid w:val="00DB656B"/>
    <w:rsid w:val="00DB691E"/>
    <w:rsid w:val="00DB75A3"/>
    <w:rsid w:val="00DB799D"/>
    <w:rsid w:val="00DB79C8"/>
    <w:rsid w:val="00DC0574"/>
    <w:rsid w:val="00DC0C65"/>
    <w:rsid w:val="00DC16BF"/>
    <w:rsid w:val="00DC16E1"/>
    <w:rsid w:val="00DC16FC"/>
    <w:rsid w:val="00DC1881"/>
    <w:rsid w:val="00DC1ED7"/>
    <w:rsid w:val="00DC3A6F"/>
    <w:rsid w:val="00DC3D1C"/>
    <w:rsid w:val="00DC43E1"/>
    <w:rsid w:val="00DC4EE7"/>
    <w:rsid w:val="00DC5199"/>
    <w:rsid w:val="00DC5A32"/>
    <w:rsid w:val="00DC5E4E"/>
    <w:rsid w:val="00DC651B"/>
    <w:rsid w:val="00DC662F"/>
    <w:rsid w:val="00DC6E78"/>
    <w:rsid w:val="00DC729A"/>
    <w:rsid w:val="00DC7328"/>
    <w:rsid w:val="00DC73B1"/>
    <w:rsid w:val="00DC7519"/>
    <w:rsid w:val="00DC75C6"/>
    <w:rsid w:val="00DC7630"/>
    <w:rsid w:val="00DC7EB5"/>
    <w:rsid w:val="00DD04AC"/>
    <w:rsid w:val="00DD04DD"/>
    <w:rsid w:val="00DD0891"/>
    <w:rsid w:val="00DD0B35"/>
    <w:rsid w:val="00DD0F9F"/>
    <w:rsid w:val="00DD11A7"/>
    <w:rsid w:val="00DD1298"/>
    <w:rsid w:val="00DD2300"/>
    <w:rsid w:val="00DD2309"/>
    <w:rsid w:val="00DD28B3"/>
    <w:rsid w:val="00DD2DE3"/>
    <w:rsid w:val="00DD2DE8"/>
    <w:rsid w:val="00DD316F"/>
    <w:rsid w:val="00DD357C"/>
    <w:rsid w:val="00DD37CA"/>
    <w:rsid w:val="00DD3D55"/>
    <w:rsid w:val="00DD3DF7"/>
    <w:rsid w:val="00DD4AE2"/>
    <w:rsid w:val="00DD4BFA"/>
    <w:rsid w:val="00DD51F8"/>
    <w:rsid w:val="00DD6388"/>
    <w:rsid w:val="00DD6C53"/>
    <w:rsid w:val="00DD7198"/>
    <w:rsid w:val="00DD7199"/>
    <w:rsid w:val="00DD7C44"/>
    <w:rsid w:val="00DD7CB6"/>
    <w:rsid w:val="00DE0077"/>
    <w:rsid w:val="00DE0137"/>
    <w:rsid w:val="00DE01BA"/>
    <w:rsid w:val="00DE0DCF"/>
    <w:rsid w:val="00DE137B"/>
    <w:rsid w:val="00DE13D4"/>
    <w:rsid w:val="00DE13FD"/>
    <w:rsid w:val="00DE19D9"/>
    <w:rsid w:val="00DE1C18"/>
    <w:rsid w:val="00DE1DC6"/>
    <w:rsid w:val="00DE1F77"/>
    <w:rsid w:val="00DE21C6"/>
    <w:rsid w:val="00DE22AA"/>
    <w:rsid w:val="00DE288F"/>
    <w:rsid w:val="00DE2D49"/>
    <w:rsid w:val="00DE388A"/>
    <w:rsid w:val="00DE3E66"/>
    <w:rsid w:val="00DE3F75"/>
    <w:rsid w:val="00DE43C6"/>
    <w:rsid w:val="00DE45F5"/>
    <w:rsid w:val="00DE4AAD"/>
    <w:rsid w:val="00DE4C0C"/>
    <w:rsid w:val="00DE4FC8"/>
    <w:rsid w:val="00DE53B5"/>
    <w:rsid w:val="00DE5A50"/>
    <w:rsid w:val="00DE60C5"/>
    <w:rsid w:val="00DE7323"/>
    <w:rsid w:val="00DE75F0"/>
    <w:rsid w:val="00DE77CB"/>
    <w:rsid w:val="00DE7EBA"/>
    <w:rsid w:val="00DF04BD"/>
    <w:rsid w:val="00DF068D"/>
    <w:rsid w:val="00DF0D3A"/>
    <w:rsid w:val="00DF1A9A"/>
    <w:rsid w:val="00DF1C2D"/>
    <w:rsid w:val="00DF1DB6"/>
    <w:rsid w:val="00DF1F8A"/>
    <w:rsid w:val="00DF248E"/>
    <w:rsid w:val="00DF253D"/>
    <w:rsid w:val="00DF3222"/>
    <w:rsid w:val="00DF3577"/>
    <w:rsid w:val="00DF4063"/>
    <w:rsid w:val="00DF5F13"/>
    <w:rsid w:val="00DF63DD"/>
    <w:rsid w:val="00DF6B62"/>
    <w:rsid w:val="00DF7828"/>
    <w:rsid w:val="00DF7BD0"/>
    <w:rsid w:val="00DF7BDF"/>
    <w:rsid w:val="00E00303"/>
    <w:rsid w:val="00E00489"/>
    <w:rsid w:val="00E00A62"/>
    <w:rsid w:val="00E010A0"/>
    <w:rsid w:val="00E0125E"/>
    <w:rsid w:val="00E01668"/>
    <w:rsid w:val="00E0173A"/>
    <w:rsid w:val="00E01849"/>
    <w:rsid w:val="00E020D1"/>
    <w:rsid w:val="00E02B64"/>
    <w:rsid w:val="00E02EAD"/>
    <w:rsid w:val="00E03D3F"/>
    <w:rsid w:val="00E0437C"/>
    <w:rsid w:val="00E0452C"/>
    <w:rsid w:val="00E04D61"/>
    <w:rsid w:val="00E0504C"/>
    <w:rsid w:val="00E05074"/>
    <w:rsid w:val="00E05489"/>
    <w:rsid w:val="00E05741"/>
    <w:rsid w:val="00E05F7F"/>
    <w:rsid w:val="00E06930"/>
    <w:rsid w:val="00E06971"/>
    <w:rsid w:val="00E06B43"/>
    <w:rsid w:val="00E06E32"/>
    <w:rsid w:val="00E06EC4"/>
    <w:rsid w:val="00E070D9"/>
    <w:rsid w:val="00E105B3"/>
    <w:rsid w:val="00E10846"/>
    <w:rsid w:val="00E108F4"/>
    <w:rsid w:val="00E10A4B"/>
    <w:rsid w:val="00E10D4E"/>
    <w:rsid w:val="00E1100C"/>
    <w:rsid w:val="00E11489"/>
    <w:rsid w:val="00E11711"/>
    <w:rsid w:val="00E11E63"/>
    <w:rsid w:val="00E12696"/>
    <w:rsid w:val="00E12DEE"/>
    <w:rsid w:val="00E1310D"/>
    <w:rsid w:val="00E13359"/>
    <w:rsid w:val="00E138BF"/>
    <w:rsid w:val="00E14EFA"/>
    <w:rsid w:val="00E151B9"/>
    <w:rsid w:val="00E1566E"/>
    <w:rsid w:val="00E158C4"/>
    <w:rsid w:val="00E161E6"/>
    <w:rsid w:val="00E167C9"/>
    <w:rsid w:val="00E1698C"/>
    <w:rsid w:val="00E172BE"/>
    <w:rsid w:val="00E17CF7"/>
    <w:rsid w:val="00E205D6"/>
    <w:rsid w:val="00E216EC"/>
    <w:rsid w:val="00E2189A"/>
    <w:rsid w:val="00E22B5A"/>
    <w:rsid w:val="00E22B68"/>
    <w:rsid w:val="00E231C9"/>
    <w:rsid w:val="00E23379"/>
    <w:rsid w:val="00E23EBF"/>
    <w:rsid w:val="00E23FD5"/>
    <w:rsid w:val="00E24669"/>
    <w:rsid w:val="00E248B2"/>
    <w:rsid w:val="00E24C48"/>
    <w:rsid w:val="00E24D50"/>
    <w:rsid w:val="00E25981"/>
    <w:rsid w:val="00E25BC1"/>
    <w:rsid w:val="00E26141"/>
    <w:rsid w:val="00E266F5"/>
    <w:rsid w:val="00E26F90"/>
    <w:rsid w:val="00E270D3"/>
    <w:rsid w:val="00E27FC7"/>
    <w:rsid w:val="00E30700"/>
    <w:rsid w:val="00E30D87"/>
    <w:rsid w:val="00E30E57"/>
    <w:rsid w:val="00E31360"/>
    <w:rsid w:val="00E31D28"/>
    <w:rsid w:val="00E325FF"/>
    <w:rsid w:val="00E32CB8"/>
    <w:rsid w:val="00E3419B"/>
    <w:rsid w:val="00E3440F"/>
    <w:rsid w:val="00E34BED"/>
    <w:rsid w:val="00E34F3A"/>
    <w:rsid w:val="00E35030"/>
    <w:rsid w:val="00E35F99"/>
    <w:rsid w:val="00E35F9A"/>
    <w:rsid w:val="00E3637F"/>
    <w:rsid w:val="00E364B6"/>
    <w:rsid w:val="00E36723"/>
    <w:rsid w:val="00E3713C"/>
    <w:rsid w:val="00E3767B"/>
    <w:rsid w:val="00E37A3D"/>
    <w:rsid w:val="00E37E1C"/>
    <w:rsid w:val="00E40126"/>
    <w:rsid w:val="00E40CBF"/>
    <w:rsid w:val="00E40E7D"/>
    <w:rsid w:val="00E40EE4"/>
    <w:rsid w:val="00E413C6"/>
    <w:rsid w:val="00E41C4E"/>
    <w:rsid w:val="00E420D5"/>
    <w:rsid w:val="00E42517"/>
    <w:rsid w:val="00E42D55"/>
    <w:rsid w:val="00E42FFE"/>
    <w:rsid w:val="00E4316E"/>
    <w:rsid w:val="00E435AB"/>
    <w:rsid w:val="00E44275"/>
    <w:rsid w:val="00E44777"/>
    <w:rsid w:val="00E4535F"/>
    <w:rsid w:val="00E466BC"/>
    <w:rsid w:val="00E4686A"/>
    <w:rsid w:val="00E47538"/>
    <w:rsid w:val="00E479FD"/>
    <w:rsid w:val="00E504D6"/>
    <w:rsid w:val="00E50B6F"/>
    <w:rsid w:val="00E50DF1"/>
    <w:rsid w:val="00E50E43"/>
    <w:rsid w:val="00E50EBE"/>
    <w:rsid w:val="00E50F69"/>
    <w:rsid w:val="00E50FC6"/>
    <w:rsid w:val="00E517CD"/>
    <w:rsid w:val="00E52185"/>
    <w:rsid w:val="00E52372"/>
    <w:rsid w:val="00E52786"/>
    <w:rsid w:val="00E52C21"/>
    <w:rsid w:val="00E52F05"/>
    <w:rsid w:val="00E53785"/>
    <w:rsid w:val="00E53DB1"/>
    <w:rsid w:val="00E540CA"/>
    <w:rsid w:val="00E54B37"/>
    <w:rsid w:val="00E54DE9"/>
    <w:rsid w:val="00E55351"/>
    <w:rsid w:val="00E55B28"/>
    <w:rsid w:val="00E56D4A"/>
    <w:rsid w:val="00E57119"/>
    <w:rsid w:val="00E5719E"/>
    <w:rsid w:val="00E57D7B"/>
    <w:rsid w:val="00E57F4B"/>
    <w:rsid w:val="00E602E5"/>
    <w:rsid w:val="00E602F8"/>
    <w:rsid w:val="00E6085B"/>
    <w:rsid w:val="00E60FBA"/>
    <w:rsid w:val="00E60FBF"/>
    <w:rsid w:val="00E616F9"/>
    <w:rsid w:val="00E61852"/>
    <w:rsid w:val="00E61A0C"/>
    <w:rsid w:val="00E61D22"/>
    <w:rsid w:val="00E61D96"/>
    <w:rsid w:val="00E61E4B"/>
    <w:rsid w:val="00E6342F"/>
    <w:rsid w:val="00E63DA2"/>
    <w:rsid w:val="00E642AF"/>
    <w:rsid w:val="00E644C6"/>
    <w:rsid w:val="00E64555"/>
    <w:rsid w:val="00E64595"/>
    <w:rsid w:val="00E646BB"/>
    <w:rsid w:val="00E64D24"/>
    <w:rsid w:val="00E64E69"/>
    <w:rsid w:val="00E6549C"/>
    <w:rsid w:val="00E654B9"/>
    <w:rsid w:val="00E6589D"/>
    <w:rsid w:val="00E65E8C"/>
    <w:rsid w:val="00E665E7"/>
    <w:rsid w:val="00E66C96"/>
    <w:rsid w:val="00E6703E"/>
    <w:rsid w:val="00E70130"/>
    <w:rsid w:val="00E715FC"/>
    <w:rsid w:val="00E71A45"/>
    <w:rsid w:val="00E71C21"/>
    <w:rsid w:val="00E72D84"/>
    <w:rsid w:val="00E730FC"/>
    <w:rsid w:val="00E7318D"/>
    <w:rsid w:val="00E7385A"/>
    <w:rsid w:val="00E73CE6"/>
    <w:rsid w:val="00E74780"/>
    <w:rsid w:val="00E7487D"/>
    <w:rsid w:val="00E74956"/>
    <w:rsid w:val="00E752F7"/>
    <w:rsid w:val="00E75848"/>
    <w:rsid w:val="00E759D4"/>
    <w:rsid w:val="00E76A3C"/>
    <w:rsid w:val="00E76F9B"/>
    <w:rsid w:val="00E771FC"/>
    <w:rsid w:val="00E773E5"/>
    <w:rsid w:val="00E77511"/>
    <w:rsid w:val="00E77BDD"/>
    <w:rsid w:val="00E806D3"/>
    <w:rsid w:val="00E81C34"/>
    <w:rsid w:val="00E81D83"/>
    <w:rsid w:val="00E821BB"/>
    <w:rsid w:val="00E822E9"/>
    <w:rsid w:val="00E826FE"/>
    <w:rsid w:val="00E8275E"/>
    <w:rsid w:val="00E827AF"/>
    <w:rsid w:val="00E82DE9"/>
    <w:rsid w:val="00E83253"/>
    <w:rsid w:val="00E844AB"/>
    <w:rsid w:val="00E84C97"/>
    <w:rsid w:val="00E85005"/>
    <w:rsid w:val="00E85296"/>
    <w:rsid w:val="00E8533B"/>
    <w:rsid w:val="00E8575B"/>
    <w:rsid w:val="00E85931"/>
    <w:rsid w:val="00E85E4E"/>
    <w:rsid w:val="00E862BB"/>
    <w:rsid w:val="00E86327"/>
    <w:rsid w:val="00E86DF0"/>
    <w:rsid w:val="00E87BD2"/>
    <w:rsid w:val="00E87CDC"/>
    <w:rsid w:val="00E906E0"/>
    <w:rsid w:val="00E90B33"/>
    <w:rsid w:val="00E911E0"/>
    <w:rsid w:val="00E93407"/>
    <w:rsid w:val="00E940A8"/>
    <w:rsid w:val="00E94759"/>
    <w:rsid w:val="00E947E8"/>
    <w:rsid w:val="00E94B0F"/>
    <w:rsid w:val="00E9503F"/>
    <w:rsid w:val="00E96726"/>
    <w:rsid w:val="00E96E68"/>
    <w:rsid w:val="00E973BA"/>
    <w:rsid w:val="00E97EA1"/>
    <w:rsid w:val="00EA00CE"/>
    <w:rsid w:val="00EA0BBE"/>
    <w:rsid w:val="00EA1FBC"/>
    <w:rsid w:val="00EA20A1"/>
    <w:rsid w:val="00EA212B"/>
    <w:rsid w:val="00EA24FB"/>
    <w:rsid w:val="00EA2D44"/>
    <w:rsid w:val="00EA32F4"/>
    <w:rsid w:val="00EA33FA"/>
    <w:rsid w:val="00EA3A1D"/>
    <w:rsid w:val="00EA3CD7"/>
    <w:rsid w:val="00EA3E2D"/>
    <w:rsid w:val="00EA429D"/>
    <w:rsid w:val="00EA43AF"/>
    <w:rsid w:val="00EA4676"/>
    <w:rsid w:val="00EA4C7C"/>
    <w:rsid w:val="00EA4D4C"/>
    <w:rsid w:val="00EA554F"/>
    <w:rsid w:val="00EA6250"/>
    <w:rsid w:val="00EA66A4"/>
    <w:rsid w:val="00EA6819"/>
    <w:rsid w:val="00EA69E4"/>
    <w:rsid w:val="00EA6A1E"/>
    <w:rsid w:val="00EA75BD"/>
    <w:rsid w:val="00EA760C"/>
    <w:rsid w:val="00EA7C47"/>
    <w:rsid w:val="00EB0C01"/>
    <w:rsid w:val="00EB0F0F"/>
    <w:rsid w:val="00EB1053"/>
    <w:rsid w:val="00EB12A5"/>
    <w:rsid w:val="00EB24D8"/>
    <w:rsid w:val="00EB277B"/>
    <w:rsid w:val="00EB2F20"/>
    <w:rsid w:val="00EB2F35"/>
    <w:rsid w:val="00EB31DB"/>
    <w:rsid w:val="00EB3422"/>
    <w:rsid w:val="00EB3A31"/>
    <w:rsid w:val="00EB4EAF"/>
    <w:rsid w:val="00EB548E"/>
    <w:rsid w:val="00EB5C41"/>
    <w:rsid w:val="00EB5F5A"/>
    <w:rsid w:val="00EB657E"/>
    <w:rsid w:val="00EB695E"/>
    <w:rsid w:val="00EB69D1"/>
    <w:rsid w:val="00EB6FE9"/>
    <w:rsid w:val="00EB72FF"/>
    <w:rsid w:val="00EB756F"/>
    <w:rsid w:val="00EB79C8"/>
    <w:rsid w:val="00EB7E78"/>
    <w:rsid w:val="00EC0301"/>
    <w:rsid w:val="00EC09C6"/>
    <w:rsid w:val="00EC0EA5"/>
    <w:rsid w:val="00EC1056"/>
    <w:rsid w:val="00EC1470"/>
    <w:rsid w:val="00EC222E"/>
    <w:rsid w:val="00EC25CD"/>
    <w:rsid w:val="00EC2716"/>
    <w:rsid w:val="00EC2DBB"/>
    <w:rsid w:val="00EC3107"/>
    <w:rsid w:val="00EC358E"/>
    <w:rsid w:val="00EC3F3F"/>
    <w:rsid w:val="00EC3FD2"/>
    <w:rsid w:val="00EC4095"/>
    <w:rsid w:val="00EC43B5"/>
    <w:rsid w:val="00EC4537"/>
    <w:rsid w:val="00EC4960"/>
    <w:rsid w:val="00EC4AE3"/>
    <w:rsid w:val="00EC522B"/>
    <w:rsid w:val="00EC54EE"/>
    <w:rsid w:val="00EC59B2"/>
    <w:rsid w:val="00EC5A3B"/>
    <w:rsid w:val="00EC6BCB"/>
    <w:rsid w:val="00EC786C"/>
    <w:rsid w:val="00EC7ADD"/>
    <w:rsid w:val="00ED04FE"/>
    <w:rsid w:val="00ED0DD0"/>
    <w:rsid w:val="00ED1989"/>
    <w:rsid w:val="00ED28F2"/>
    <w:rsid w:val="00ED3145"/>
    <w:rsid w:val="00ED3309"/>
    <w:rsid w:val="00ED356E"/>
    <w:rsid w:val="00ED3BDA"/>
    <w:rsid w:val="00ED3DA4"/>
    <w:rsid w:val="00ED4B67"/>
    <w:rsid w:val="00ED4B69"/>
    <w:rsid w:val="00ED5A3B"/>
    <w:rsid w:val="00ED5C30"/>
    <w:rsid w:val="00ED5E02"/>
    <w:rsid w:val="00ED5EED"/>
    <w:rsid w:val="00ED6B1C"/>
    <w:rsid w:val="00ED6CF7"/>
    <w:rsid w:val="00ED6F33"/>
    <w:rsid w:val="00ED741E"/>
    <w:rsid w:val="00ED7716"/>
    <w:rsid w:val="00ED7737"/>
    <w:rsid w:val="00ED7747"/>
    <w:rsid w:val="00ED7CF4"/>
    <w:rsid w:val="00EE0EA8"/>
    <w:rsid w:val="00EE1B0E"/>
    <w:rsid w:val="00EE22FB"/>
    <w:rsid w:val="00EE2407"/>
    <w:rsid w:val="00EE26AE"/>
    <w:rsid w:val="00EE29C8"/>
    <w:rsid w:val="00EE2A54"/>
    <w:rsid w:val="00EE2FC2"/>
    <w:rsid w:val="00EE3B88"/>
    <w:rsid w:val="00EE46D9"/>
    <w:rsid w:val="00EE4B75"/>
    <w:rsid w:val="00EE4DBD"/>
    <w:rsid w:val="00EE57D6"/>
    <w:rsid w:val="00EE6025"/>
    <w:rsid w:val="00EE6AC6"/>
    <w:rsid w:val="00EE6E26"/>
    <w:rsid w:val="00EE784F"/>
    <w:rsid w:val="00EE7A1D"/>
    <w:rsid w:val="00EF0500"/>
    <w:rsid w:val="00EF0B66"/>
    <w:rsid w:val="00EF1002"/>
    <w:rsid w:val="00EF143F"/>
    <w:rsid w:val="00EF23D8"/>
    <w:rsid w:val="00EF2A5A"/>
    <w:rsid w:val="00EF2A87"/>
    <w:rsid w:val="00EF3A74"/>
    <w:rsid w:val="00EF3AE9"/>
    <w:rsid w:val="00EF3EA5"/>
    <w:rsid w:val="00EF40DC"/>
    <w:rsid w:val="00EF49FB"/>
    <w:rsid w:val="00EF4D23"/>
    <w:rsid w:val="00EF55D6"/>
    <w:rsid w:val="00EF644D"/>
    <w:rsid w:val="00EF6D29"/>
    <w:rsid w:val="00EF7138"/>
    <w:rsid w:val="00EF7149"/>
    <w:rsid w:val="00F00881"/>
    <w:rsid w:val="00F00917"/>
    <w:rsid w:val="00F01032"/>
    <w:rsid w:val="00F010BB"/>
    <w:rsid w:val="00F012C1"/>
    <w:rsid w:val="00F0175F"/>
    <w:rsid w:val="00F01C5B"/>
    <w:rsid w:val="00F03280"/>
    <w:rsid w:val="00F0362A"/>
    <w:rsid w:val="00F0385C"/>
    <w:rsid w:val="00F03ABE"/>
    <w:rsid w:val="00F04345"/>
    <w:rsid w:val="00F047A4"/>
    <w:rsid w:val="00F04F52"/>
    <w:rsid w:val="00F0510F"/>
    <w:rsid w:val="00F0563F"/>
    <w:rsid w:val="00F0594B"/>
    <w:rsid w:val="00F06239"/>
    <w:rsid w:val="00F064EF"/>
    <w:rsid w:val="00F06558"/>
    <w:rsid w:val="00F06F42"/>
    <w:rsid w:val="00F07122"/>
    <w:rsid w:val="00F074C9"/>
    <w:rsid w:val="00F07C82"/>
    <w:rsid w:val="00F07CC0"/>
    <w:rsid w:val="00F07F5E"/>
    <w:rsid w:val="00F1001E"/>
    <w:rsid w:val="00F106BB"/>
    <w:rsid w:val="00F11027"/>
    <w:rsid w:val="00F1106C"/>
    <w:rsid w:val="00F111BA"/>
    <w:rsid w:val="00F116DD"/>
    <w:rsid w:val="00F11D9F"/>
    <w:rsid w:val="00F11E31"/>
    <w:rsid w:val="00F13137"/>
    <w:rsid w:val="00F13AA1"/>
    <w:rsid w:val="00F13F2A"/>
    <w:rsid w:val="00F140EC"/>
    <w:rsid w:val="00F15097"/>
    <w:rsid w:val="00F15671"/>
    <w:rsid w:val="00F15DC7"/>
    <w:rsid w:val="00F16695"/>
    <w:rsid w:val="00F16C83"/>
    <w:rsid w:val="00F202E3"/>
    <w:rsid w:val="00F20C6E"/>
    <w:rsid w:val="00F20D6C"/>
    <w:rsid w:val="00F2242D"/>
    <w:rsid w:val="00F2255F"/>
    <w:rsid w:val="00F225CF"/>
    <w:rsid w:val="00F22882"/>
    <w:rsid w:val="00F22985"/>
    <w:rsid w:val="00F22AEF"/>
    <w:rsid w:val="00F22F7A"/>
    <w:rsid w:val="00F2322E"/>
    <w:rsid w:val="00F2343C"/>
    <w:rsid w:val="00F23CFC"/>
    <w:rsid w:val="00F24076"/>
    <w:rsid w:val="00F240CB"/>
    <w:rsid w:val="00F2492F"/>
    <w:rsid w:val="00F2500D"/>
    <w:rsid w:val="00F256DA"/>
    <w:rsid w:val="00F25742"/>
    <w:rsid w:val="00F2596D"/>
    <w:rsid w:val="00F25CAA"/>
    <w:rsid w:val="00F26AD6"/>
    <w:rsid w:val="00F2711C"/>
    <w:rsid w:val="00F277E8"/>
    <w:rsid w:val="00F27B04"/>
    <w:rsid w:val="00F27E3D"/>
    <w:rsid w:val="00F301D0"/>
    <w:rsid w:val="00F3069F"/>
    <w:rsid w:val="00F30BA9"/>
    <w:rsid w:val="00F30C3F"/>
    <w:rsid w:val="00F30C60"/>
    <w:rsid w:val="00F30EFB"/>
    <w:rsid w:val="00F30F38"/>
    <w:rsid w:val="00F311D1"/>
    <w:rsid w:val="00F3158A"/>
    <w:rsid w:val="00F318DB"/>
    <w:rsid w:val="00F3199C"/>
    <w:rsid w:val="00F31F7D"/>
    <w:rsid w:val="00F32AFF"/>
    <w:rsid w:val="00F33825"/>
    <w:rsid w:val="00F33A8B"/>
    <w:rsid w:val="00F33D3B"/>
    <w:rsid w:val="00F341D4"/>
    <w:rsid w:val="00F34A96"/>
    <w:rsid w:val="00F34EBF"/>
    <w:rsid w:val="00F34F05"/>
    <w:rsid w:val="00F34F85"/>
    <w:rsid w:val="00F353B0"/>
    <w:rsid w:val="00F356D5"/>
    <w:rsid w:val="00F361AE"/>
    <w:rsid w:val="00F36240"/>
    <w:rsid w:val="00F363EB"/>
    <w:rsid w:val="00F365DE"/>
    <w:rsid w:val="00F36764"/>
    <w:rsid w:val="00F367CF"/>
    <w:rsid w:val="00F36D37"/>
    <w:rsid w:val="00F3719A"/>
    <w:rsid w:val="00F379BF"/>
    <w:rsid w:val="00F37EA7"/>
    <w:rsid w:val="00F40805"/>
    <w:rsid w:val="00F40C5E"/>
    <w:rsid w:val="00F40E3E"/>
    <w:rsid w:val="00F4163A"/>
    <w:rsid w:val="00F41873"/>
    <w:rsid w:val="00F419C3"/>
    <w:rsid w:val="00F41D91"/>
    <w:rsid w:val="00F41E2B"/>
    <w:rsid w:val="00F423BE"/>
    <w:rsid w:val="00F424A5"/>
    <w:rsid w:val="00F425EF"/>
    <w:rsid w:val="00F428AC"/>
    <w:rsid w:val="00F42EE3"/>
    <w:rsid w:val="00F43660"/>
    <w:rsid w:val="00F44542"/>
    <w:rsid w:val="00F448DD"/>
    <w:rsid w:val="00F44C5F"/>
    <w:rsid w:val="00F44DB8"/>
    <w:rsid w:val="00F45760"/>
    <w:rsid w:val="00F45925"/>
    <w:rsid w:val="00F46BA6"/>
    <w:rsid w:val="00F46C97"/>
    <w:rsid w:val="00F4703E"/>
    <w:rsid w:val="00F50511"/>
    <w:rsid w:val="00F50781"/>
    <w:rsid w:val="00F50CA3"/>
    <w:rsid w:val="00F517ED"/>
    <w:rsid w:val="00F51F3F"/>
    <w:rsid w:val="00F528B5"/>
    <w:rsid w:val="00F528E7"/>
    <w:rsid w:val="00F52C8A"/>
    <w:rsid w:val="00F533F3"/>
    <w:rsid w:val="00F53615"/>
    <w:rsid w:val="00F53A91"/>
    <w:rsid w:val="00F54783"/>
    <w:rsid w:val="00F547E9"/>
    <w:rsid w:val="00F5494E"/>
    <w:rsid w:val="00F54ABE"/>
    <w:rsid w:val="00F553D2"/>
    <w:rsid w:val="00F5564F"/>
    <w:rsid w:val="00F55804"/>
    <w:rsid w:val="00F55F1A"/>
    <w:rsid w:val="00F56310"/>
    <w:rsid w:val="00F5684C"/>
    <w:rsid w:val="00F57210"/>
    <w:rsid w:val="00F577FC"/>
    <w:rsid w:val="00F602F0"/>
    <w:rsid w:val="00F6098E"/>
    <w:rsid w:val="00F60C90"/>
    <w:rsid w:val="00F619EE"/>
    <w:rsid w:val="00F61CF5"/>
    <w:rsid w:val="00F61FF9"/>
    <w:rsid w:val="00F62069"/>
    <w:rsid w:val="00F62159"/>
    <w:rsid w:val="00F62A7C"/>
    <w:rsid w:val="00F62B93"/>
    <w:rsid w:val="00F633E5"/>
    <w:rsid w:val="00F63A07"/>
    <w:rsid w:val="00F63C89"/>
    <w:rsid w:val="00F643CA"/>
    <w:rsid w:val="00F647EC"/>
    <w:rsid w:val="00F64D57"/>
    <w:rsid w:val="00F64FAB"/>
    <w:rsid w:val="00F65329"/>
    <w:rsid w:val="00F6546A"/>
    <w:rsid w:val="00F65CEA"/>
    <w:rsid w:val="00F65F15"/>
    <w:rsid w:val="00F66443"/>
    <w:rsid w:val="00F675EA"/>
    <w:rsid w:val="00F67BEB"/>
    <w:rsid w:val="00F7074A"/>
    <w:rsid w:val="00F70A76"/>
    <w:rsid w:val="00F711A0"/>
    <w:rsid w:val="00F71687"/>
    <w:rsid w:val="00F71708"/>
    <w:rsid w:val="00F717C1"/>
    <w:rsid w:val="00F71AB3"/>
    <w:rsid w:val="00F725D3"/>
    <w:rsid w:val="00F7281E"/>
    <w:rsid w:val="00F72C1A"/>
    <w:rsid w:val="00F72C3D"/>
    <w:rsid w:val="00F73269"/>
    <w:rsid w:val="00F737AB"/>
    <w:rsid w:val="00F74216"/>
    <w:rsid w:val="00F74F0F"/>
    <w:rsid w:val="00F75731"/>
    <w:rsid w:val="00F75841"/>
    <w:rsid w:val="00F76333"/>
    <w:rsid w:val="00F77100"/>
    <w:rsid w:val="00F77C84"/>
    <w:rsid w:val="00F8090F"/>
    <w:rsid w:val="00F8139A"/>
    <w:rsid w:val="00F82AAE"/>
    <w:rsid w:val="00F834BE"/>
    <w:rsid w:val="00F838A9"/>
    <w:rsid w:val="00F849E3"/>
    <w:rsid w:val="00F84B4E"/>
    <w:rsid w:val="00F84C44"/>
    <w:rsid w:val="00F851B7"/>
    <w:rsid w:val="00F8566C"/>
    <w:rsid w:val="00F858D4"/>
    <w:rsid w:val="00F85C65"/>
    <w:rsid w:val="00F860EB"/>
    <w:rsid w:val="00F86268"/>
    <w:rsid w:val="00F868B6"/>
    <w:rsid w:val="00F86968"/>
    <w:rsid w:val="00F86E21"/>
    <w:rsid w:val="00F86E42"/>
    <w:rsid w:val="00F86FD9"/>
    <w:rsid w:val="00F876E6"/>
    <w:rsid w:val="00F87825"/>
    <w:rsid w:val="00F87838"/>
    <w:rsid w:val="00F879E8"/>
    <w:rsid w:val="00F87FCE"/>
    <w:rsid w:val="00F9008B"/>
    <w:rsid w:val="00F91669"/>
    <w:rsid w:val="00F9184F"/>
    <w:rsid w:val="00F91943"/>
    <w:rsid w:val="00F92A66"/>
    <w:rsid w:val="00F931CF"/>
    <w:rsid w:val="00F93A31"/>
    <w:rsid w:val="00F93BA1"/>
    <w:rsid w:val="00F93D6E"/>
    <w:rsid w:val="00F9423D"/>
    <w:rsid w:val="00F94609"/>
    <w:rsid w:val="00F95182"/>
    <w:rsid w:val="00F957D2"/>
    <w:rsid w:val="00F95D94"/>
    <w:rsid w:val="00F96F86"/>
    <w:rsid w:val="00F97711"/>
    <w:rsid w:val="00FA02B8"/>
    <w:rsid w:val="00FA0980"/>
    <w:rsid w:val="00FA1028"/>
    <w:rsid w:val="00FA10F7"/>
    <w:rsid w:val="00FA157E"/>
    <w:rsid w:val="00FA181F"/>
    <w:rsid w:val="00FA1C1F"/>
    <w:rsid w:val="00FA1E82"/>
    <w:rsid w:val="00FA2137"/>
    <w:rsid w:val="00FA21B0"/>
    <w:rsid w:val="00FA272D"/>
    <w:rsid w:val="00FA2C40"/>
    <w:rsid w:val="00FA338D"/>
    <w:rsid w:val="00FA34A2"/>
    <w:rsid w:val="00FA3742"/>
    <w:rsid w:val="00FA3837"/>
    <w:rsid w:val="00FA39FC"/>
    <w:rsid w:val="00FA44B4"/>
    <w:rsid w:val="00FA4538"/>
    <w:rsid w:val="00FA486C"/>
    <w:rsid w:val="00FA4998"/>
    <w:rsid w:val="00FA4DC2"/>
    <w:rsid w:val="00FA5EA3"/>
    <w:rsid w:val="00FA67E3"/>
    <w:rsid w:val="00FA7157"/>
    <w:rsid w:val="00FA73A6"/>
    <w:rsid w:val="00FA7698"/>
    <w:rsid w:val="00FA78C2"/>
    <w:rsid w:val="00FA7A2D"/>
    <w:rsid w:val="00FA7B4F"/>
    <w:rsid w:val="00FA7F36"/>
    <w:rsid w:val="00FB06E7"/>
    <w:rsid w:val="00FB06E9"/>
    <w:rsid w:val="00FB0822"/>
    <w:rsid w:val="00FB09AA"/>
    <w:rsid w:val="00FB1093"/>
    <w:rsid w:val="00FB13A0"/>
    <w:rsid w:val="00FB227E"/>
    <w:rsid w:val="00FB267D"/>
    <w:rsid w:val="00FB2A18"/>
    <w:rsid w:val="00FB2BF4"/>
    <w:rsid w:val="00FB2C8D"/>
    <w:rsid w:val="00FB2DC6"/>
    <w:rsid w:val="00FB4FDE"/>
    <w:rsid w:val="00FB5E81"/>
    <w:rsid w:val="00FB6E6C"/>
    <w:rsid w:val="00FB71B0"/>
    <w:rsid w:val="00FB7ABA"/>
    <w:rsid w:val="00FB7C21"/>
    <w:rsid w:val="00FB7C46"/>
    <w:rsid w:val="00FC04E0"/>
    <w:rsid w:val="00FC0D98"/>
    <w:rsid w:val="00FC1042"/>
    <w:rsid w:val="00FC11C6"/>
    <w:rsid w:val="00FC17D8"/>
    <w:rsid w:val="00FC279A"/>
    <w:rsid w:val="00FC324D"/>
    <w:rsid w:val="00FC39A1"/>
    <w:rsid w:val="00FC3BC3"/>
    <w:rsid w:val="00FC3E47"/>
    <w:rsid w:val="00FC4B53"/>
    <w:rsid w:val="00FC4BAE"/>
    <w:rsid w:val="00FC5160"/>
    <w:rsid w:val="00FC5A36"/>
    <w:rsid w:val="00FC69CF"/>
    <w:rsid w:val="00FC6B0B"/>
    <w:rsid w:val="00FC713B"/>
    <w:rsid w:val="00FC7862"/>
    <w:rsid w:val="00FC79D5"/>
    <w:rsid w:val="00FC7B35"/>
    <w:rsid w:val="00FC7B53"/>
    <w:rsid w:val="00FD0177"/>
    <w:rsid w:val="00FD051A"/>
    <w:rsid w:val="00FD0AE7"/>
    <w:rsid w:val="00FD0B44"/>
    <w:rsid w:val="00FD0F70"/>
    <w:rsid w:val="00FD2315"/>
    <w:rsid w:val="00FD29A7"/>
    <w:rsid w:val="00FD2B15"/>
    <w:rsid w:val="00FD3092"/>
    <w:rsid w:val="00FD35A1"/>
    <w:rsid w:val="00FD40FC"/>
    <w:rsid w:val="00FD412E"/>
    <w:rsid w:val="00FD420F"/>
    <w:rsid w:val="00FD4F2F"/>
    <w:rsid w:val="00FD51F7"/>
    <w:rsid w:val="00FD5258"/>
    <w:rsid w:val="00FD5602"/>
    <w:rsid w:val="00FD5A2A"/>
    <w:rsid w:val="00FD5AE2"/>
    <w:rsid w:val="00FD62B4"/>
    <w:rsid w:val="00FD7142"/>
    <w:rsid w:val="00FD750F"/>
    <w:rsid w:val="00FE011C"/>
    <w:rsid w:val="00FE07DC"/>
    <w:rsid w:val="00FE1116"/>
    <w:rsid w:val="00FE1E64"/>
    <w:rsid w:val="00FE2075"/>
    <w:rsid w:val="00FE2080"/>
    <w:rsid w:val="00FE2647"/>
    <w:rsid w:val="00FE27B9"/>
    <w:rsid w:val="00FE2E37"/>
    <w:rsid w:val="00FE3156"/>
    <w:rsid w:val="00FE34C4"/>
    <w:rsid w:val="00FE3640"/>
    <w:rsid w:val="00FE3780"/>
    <w:rsid w:val="00FE3954"/>
    <w:rsid w:val="00FE3CF7"/>
    <w:rsid w:val="00FE4071"/>
    <w:rsid w:val="00FE42E3"/>
    <w:rsid w:val="00FE4ECD"/>
    <w:rsid w:val="00FE52B7"/>
    <w:rsid w:val="00FE53C5"/>
    <w:rsid w:val="00FE5807"/>
    <w:rsid w:val="00FE5C39"/>
    <w:rsid w:val="00FE5C57"/>
    <w:rsid w:val="00FE624E"/>
    <w:rsid w:val="00FE6415"/>
    <w:rsid w:val="00FE69E7"/>
    <w:rsid w:val="00FE6BB8"/>
    <w:rsid w:val="00FE6E76"/>
    <w:rsid w:val="00FE79AD"/>
    <w:rsid w:val="00FF027B"/>
    <w:rsid w:val="00FF1174"/>
    <w:rsid w:val="00FF165A"/>
    <w:rsid w:val="00FF1B72"/>
    <w:rsid w:val="00FF1CF1"/>
    <w:rsid w:val="00FF1F4C"/>
    <w:rsid w:val="00FF2654"/>
    <w:rsid w:val="00FF316E"/>
    <w:rsid w:val="00FF35DC"/>
    <w:rsid w:val="00FF3A6A"/>
    <w:rsid w:val="00FF3C7A"/>
    <w:rsid w:val="00FF3E09"/>
    <w:rsid w:val="00FF411C"/>
    <w:rsid w:val="00FF4B2E"/>
    <w:rsid w:val="00FF4E4B"/>
    <w:rsid w:val="00FF4E4E"/>
    <w:rsid w:val="00FF5049"/>
    <w:rsid w:val="00FF5D1F"/>
    <w:rsid w:val="00FF5F95"/>
    <w:rsid w:val="00FF6126"/>
    <w:rsid w:val="00FF61F5"/>
    <w:rsid w:val="00FF62AA"/>
    <w:rsid w:val="00FF64D7"/>
    <w:rsid w:val="00FF6B6C"/>
    <w:rsid w:val="01420B2A"/>
    <w:rsid w:val="01AA2C10"/>
    <w:rsid w:val="01BF0FEA"/>
    <w:rsid w:val="022802FC"/>
    <w:rsid w:val="02643EDD"/>
    <w:rsid w:val="02C21244"/>
    <w:rsid w:val="02CB76A6"/>
    <w:rsid w:val="02D12149"/>
    <w:rsid w:val="02D7201B"/>
    <w:rsid w:val="037738D8"/>
    <w:rsid w:val="03EE579D"/>
    <w:rsid w:val="047B4073"/>
    <w:rsid w:val="04D53D7D"/>
    <w:rsid w:val="058E188D"/>
    <w:rsid w:val="05A96137"/>
    <w:rsid w:val="05B53FF0"/>
    <w:rsid w:val="06902EEF"/>
    <w:rsid w:val="06920B3A"/>
    <w:rsid w:val="06DF3F07"/>
    <w:rsid w:val="06FE0888"/>
    <w:rsid w:val="070E679F"/>
    <w:rsid w:val="075F0692"/>
    <w:rsid w:val="0792469D"/>
    <w:rsid w:val="07F85864"/>
    <w:rsid w:val="08360D66"/>
    <w:rsid w:val="08F53B23"/>
    <w:rsid w:val="0A070656"/>
    <w:rsid w:val="0A2253C7"/>
    <w:rsid w:val="0A5861D9"/>
    <w:rsid w:val="0A5A5B40"/>
    <w:rsid w:val="0A913ED8"/>
    <w:rsid w:val="0AF625B9"/>
    <w:rsid w:val="0B1941F7"/>
    <w:rsid w:val="0B24171E"/>
    <w:rsid w:val="0BB33687"/>
    <w:rsid w:val="0C844BC3"/>
    <w:rsid w:val="0CFE2AC4"/>
    <w:rsid w:val="0D081F34"/>
    <w:rsid w:val="0D584403"/>
    <w:rsid w:val="0DDA523F"/>
    <w:rsid w:val="0E036241"/>
    <w:rsid w:val="0F333B7C"/>
    <w:rsid w:val="0F3C4FFD"/>
    <w:rsid w:val="0F4674F5"/>
    <w:rsid w:val="0F781459"/>
    <w:rsid w:val="101C0A97"/>
    <w:rsid w:val="10AF0ABF"/>
    <w:rsid w:val="10F67974"/>
    <w:rsid w:val="1132727F"/>
    <w:rsid w:val="116353E3"/>
    <w:rsid w:val="117C7228"/>
    <w:rsid w:val="127759F8"/>
    <w:rsid w:val="12D6790A"/>
    <w:rsid w:val="12E01A40"/>
    <w:rsid w:val="12F438A7"/>
    <w:rsid w:val="13977E74"/>
    <w:rsid w:val="13AE7578"/>
    <w:rsid w:val="13D00FEE"/>
    <w:rsid w:val="14081A85"/>
    <w:rsid w:val="141B7F51"/>
    <w:rsid w:val="143A637C"/>
    <w:rsid w:val="14570DCC"/>
    <w:rsid w:val="146024B4"/>
    <w:rsid w:val="146F2C7A"/>
    <w:rsid w:val="149E4992"/>
    <w:rsid w:val="1534184C"/>
    <w:rsid w:val="15A217AD"/>
    <w:rsid w:val="15C026F1"/>
    <w:rsid w:val="16803E9C"/>
    <w:rsid w:val="1683496B"/>
    <w:rsid w:val="1700025E"/>
    <w:rsid w:val="17064457"/>
    <w:rsid w:val="17261B4A"/>
    <w:rsid w:val="17666A09"/>
    <w:rsid w:val="17AE3BC1"/>
    <w:rsid w:val="17E91D3A"/>
    <w:rsid w:val="189439F5"/>
    <w:rsid w:val="18C643E3"/>
    <w:rsid w:val="19A26245"/>
    <w:rsid w:val="1A307DDE"/>
    <w:rsid w:val="1A332204"/>
    <w:rsid w:val="1A442DE9"/>
    <w:rsid w:val="1AB25762"/>
    <w:rsid w:val="1B132D09"/>
    <w:rsid w:val="1B312CBD"/>
    <w:rsid w:val="1B5269EC"/>
    <w:rsid w:val="1D321E13"/>
    <w:rsid w:val="1D5F5A06"/>
    <w:rsid w:val="1E39786F"/>
    <w:rsid w:val="1EAB62A4"/>
    <w:rsid w:val="1F462152"/>
    <w:rsid w:val="1F5A5783"/>
    <w:rsid w:val="1F65584E"/>
    <w:rsid w:val="1F6B6784"/>
    <w:rsid w:val="1F6E1002"/>
    <w:rsid w:val="1FBF4B01"/>
    <w:rsid w:val="20780ECB"/>
    <w:rsid w:val="21455F84"/>
    <w:rsid w:val="21C50C80"/>
    <w:rsid w:val="224176AA"/>
    <w:rsid w:val="228C1199"/>
    <w:rsid w:val="229609E2"/>
    <w:rsid w:val="22BE2112"/>
    <w:rsid w:val="235634BB"/>
    <w:rsid w:val="23810437"/>
    <w:rsid w:val="2392292A"/>
    <w:rsid w:val="242D24F6"/>
    <w:rsid w:val="246A22EE"/>
    <w:rsid w:val="24801EBF"/>
    <w:rsid w:val="24977600"/>
    <w:rsid w:val="25471BD3"/>
    <w:rsid w:val="25D903F9"/>
    <w:rsid w:val="25E62821"/>
    <w:rsid w:val="262565C7"/>
    <w:rsid w:val="26AA0F6E"/>
    <w:rsid w:val="26CF15A8"/>
    <w:rsid w:val="270F78DB"/>
    <w:rsid w:val="272C376F"/>
    <w:rsid w:val="272F1A96"/>
    <w:rsid w:val="27AC0841"/>
    <w:rsid w:val="27E97FCD"/>
    <w:rsid w:val="27EC18DA"/>
    <w:rsid w:val="282F4953"/>
    <w:rsid w:val="2848646B"/>
    <w:rsid w:val="28622B25"/>
    <w:rsid w:val="287148B4"/>
    <w:rsid w:val="29043172"/>
    <w:rsid w:val="29236329"/>
    <w:rsid w:val="297B0CF7"/>
    <w:rsid w:val="29F974D0"/>
    <w:rsid w:val="2A51423E"/>
    <w:rsid w:val="2AB5561B"/>
    <w:rsid w:val="2ABB68A8"/>
    <w:rsid w:val="2AE30DBB"/>
    <w:rsid w:val="2B1E0D76"/>
    <w:rsid w:val="2B7C757F"/>
    <w:rsid w:val="2BD50A28"/>
    <w:rsid w:val="2CAE7709"/>
    <w:rsid w:val="2D530F71"/>
    <w:rsid w:val="2D557A3E"/>
    <w:rsid w:val="2D630F57"/>
    <w:rsid w:val="2D6C056C"/>
    <w:rsid w:val="2E121B7C"/>
    <w:rsid w:val="2E732B82"/>
    <w:rsid w:val="2EDD2DD9"/>
    <w:rsid w:val="2EF00814"/>
    <w:rsid w:val="2EFA61AC"/>
    <w:rsid w:val="2F723467"/>
    <w:rsid w:val="2FDF6A37"/>
    <w:rsid w:val="30533003"/>
    <w:rsid w:val="30594B80"/>
    <w:rsid w:val="307439EB"/>
    <w:rsid w:val="308D275F"/>
    <w:rsid w:val="30A560DE"/>
    <w:rsid w:val="311E1DD9"/>
    <w:rsid w:val="3126240B"/>
    <w:rsid w:val="31473FDF"/>
    <w:rsid w:val="319B47FA"/>
    <w:rsid w:val="31A50B58"/>
    <w:rsid w:val="32A02B99"/>
    <w:rsid w:val="335E2BA0"/>
    <w:rsid w:val="33BF4AB8"/>
    <w:rsid w:val="33CE58D0"/>
    <w:rsid w:val="33D414D0"/>
    <w:rsid w:val="33D65CCC"/>
    <w:rsid w:val="34211D3D"/>
    <w:rsid w:val="34375AE5"/>
    <w:rsid w:val="344845B3"/>
    <w:rsid w:val="351A5FC2"/>
    <w:rsid w:val="35CD358A"/>
    <w:rsid w:val="362A09EF"/>
    <w:rsid w:val="369C1105"/>
    <w:rsid w:val="371964F4"/>
    <w:rsid w:val="373809F8"/>
    <w:rsid w:val="37467D39"/>
    <w:rsid w:val="385F359C"/>
    <w:rsid w:val="38AE4097"/>
    <w:rsid w:val="390E3F81"/>
    <w:rsid w:val="391E0451"/>
    <w:rsid w:val="392A010D"/>
    <w:rsid w:val="3981066A"/>
    <w:rsid w:val="3A155D47"/>
    <w:rsid w:val="3A4B0235"/>
    <w:rsid w:val="3A7B7AC4"/>
    <w:rsid w:val="3AB81F38"/>
    <w:rsid w:val="3AE40011"/>
    <w:rsid w:val="3AF11C2B"/>
    <w:rsid w:val="3B7F30A4"/>
    <w:rsid w:val="3BA80B19"/>
    <w:rsid w:val="3BB82F25"/>
    <w:rsid w:val="3C0A0DA3"/>
    <w:rsid w:val="3C4151E8"/>
    <w:rsid w:val="3C4240EC"/>
    <w:rsid w:val="3C4A0EA0"/>
    <w:rsid w:val="3C57713F"/>
    <w:rsid w:val="3C7B40E7"/>
    <w:rsid w:val="3C867DA0"/>
    <w:rsid w:val="3C971CC1"/>
    <w:rsid w:val="3D107873"/>
    <w:rsid w:val="3E7E3AE6"/>
    <w:rsid w:val="3E951F9A"/>
    <w:rsid w:val="3E997760"/>
    <w:rsid w:val="3EE82522"/>
    <w:rsid w:val="3F283333"/>
    <w:rsid w:val="3F3A1FEB"/>
    <w:rsid w:val="3F695F66"/>
    <w:rsid w:val="4018457A"/>
    <w:rsid w:val="40503063"/>
    <w:rsid w:val="405F6B9A"/>
    <w:rsid w:val="4063184A"/>
    <w:rsid w:val="40836547"/>
    <w:rsid w:val="40885740"/>
    <w:rsid w:val="40A26175"/>
    <w:rsid w:val="40DF2FCA"/>
    <w:rsid w:val="40FB3126"/>
    <w:rsid w:val="41CB5019"/>
    <w:rsid w:val="422057B3"/>
    <w:rsid w:val="42253D73"/>
    <w:rsid w:val="42831802"/>
    <w:rsid w:val="42842FC2"/>
    <w:rsid w:val="429C5EA7"/>
    <w:rsid w:val="42DC0426"/>
    <w:rsid w:val="43BF32E9"/>
    <w:rsid w:val="43C76649"/>
    <w:rsid w:val="43D6046C"/>
    <w:rsid w:val="43F959BD"/>
    <w:rsid w:val="44076B89"/>
    <w:rsid w:val="44B91A5D"/>
    <w:rsid w:val="452B3639"/>
    <w:rsid w:val="452F03D4"/>
    <w:rsid w:val="459A3BBF"/>
    <w:rsid w:val="45A07A0A"/>
    <w:rsid w:val="468A123A"/>
    <w:rsid w:val="46CF414F"/>
    <w:rsid w:val="470B7382"/>
    <w:rsid w:val="47843179"/>
    <w:rsid w:val="48E340E7"/>
    <w:rsid w:val="49C16C31"/>
    <w:rsid w:val="4A5B2973"/>
    <w:rsid w:val="4A910A80"/>
    <w:rsid w:val="4AAF55ED"/>
    <w:rsid w:val="4AF875FC"/>
    <w:rsid w:val="4B0E4AA5"/>
    <w:rsid w:val="4B315803"/>
    <w:rsid w:val="4B3825BF"/>
    <w:rsid w:val="4B650808"/>
    <w:rsid w:val="4C18593C"/>
    <w:rsid w:val="4CD715D9"/>
    <w:rsid w:val="4D0C1C1D"/>
    <w:rsid w:val="4E49427D"/>
    <w:rsid w:val="4E6268C7"/>
    <w:rsid w:val="4E866317"/>
    <w:rsid w:val="4EAC5711"/>
    <w:rsid w:val="4ECB2064"/>
    <w:rsid w:val="4EDA0D8F"/>
    <w:rsid w:val="4F322901"/>
    <w:rsid w:val="503D7E93"/>
    <w:rsid w:val="505C7478"/>
    <w:rsid w:val="50A42375"/>
    <w:rsid w:val="50F22536"/>
    <w:rsid w:val="51204DA2"/>
    <w:rsid w:val="51B2004B"/>
    <w:rsid w:val="51D21D57"/>
    <w:rsid w:val="527C2D46"/>
    <w:rsid w:val="529A7286"/>
    <w:rsid w:val="53154728"/>
    <w:rsid w:val="53287350"/>
    <w:rsid w:val="53545FB1"/>
    <w:rsid w:val="53F26648"/>
    <w:rsid w:val="542B1DE0"/>
    <w:rsid w:val="55127680"/>
    <w:rsid w:val="55622629"/>
    <w:rsid w:val="557701D2"/>
    <w:rsid w:val="55DA4EC1"/>
    <w:rsid w:val="55E212C2"/>
    <w:rsid w:val="5609222E"/>
    <w:rsid w:val="565469AA"/>
    <w:rsid w:val="566E3FE9"/>
    <w:rsid w:val="57EC7382"/>
    <w:rsid w:val="581E2406"/>
    <w:rsid w:val="583219DE"/>
    <w:rsid w:val="585B18AC"/>
    <w:rsid w:val="58817D4D"/>
    <w:rsid w:val="58DC36CE"/>
    <w:rsid w:val="5963264B"/>
    <w:rsid w:val="59B87B9F"/>
    <w:rsid w:val="5A3A2DDD"/>
    <w:rsid w:val="5A407078"/>
    <w:rsid w:val="5A885E47"/>
    <w:rsid w:val="5AA236CA"/>
    <w:rsid w:val="5B433C96"/>
    <w:rsid w:val="5BF94C86"/>
    <w:rsid w:val="5C5A6D66"/>
    <w:rsid w:val="5CB63CAE"/>
    <w:rsid w:val="5D201747"/>
    <w:rsid w:val="5D4D1AA2"/>
    <w:rsid w:val="5D59319C"/>
    <w:rsid w:val="5DA31D4F"/>
    <w:rsid w:val="5DD56953"/>
    <w:rsid w:val="5DF76D59"/>
    <w:rsid w:val="5E63680B"/>
    <w:rsid w:val="5EC8645F"/>
    <w:rsid w:val="5EDA3269"/>
    <w:rsid w:val="5F675A8F"/>
    <w:rsid w:val="5F956219"/>
    <w:rsid w:val="5FDF00D8"/>
    <w:rsid w:val="600221F0"/>
    <w:rsid w:val="6020017F"/>
    <w:rsid w:val="60447752"/>
    <w:rsid w:val="604D0E43"/>
    <w:rsid w:val="60D94534"/>
    <w:rsid w:val="60E561DC"/>
    <w:rsid w:val="611E7AF6"/>
    <w:rsid w:val="61501C31"/>
    <w:rsid w:val="616E30EF"/>
    <w:rsid w:val="62591948"/>
    <w:rsid w:val="62CE73B7"/>
    <w:rsid w:val="62D17450"/>
    <w:rsid w:val="63104CA0"/>
    <w:rsid w:val="636D1807"/>
    <w:rsid w:val="637B783E"/>
    <w:rsid w:val="63A14D89"/>
    <w:rsid w:val="63B44D4B"/>
    <w:rsid w:val="64227605"/>
    <w:rsid w:val="64441196"/>
    <w:rsid w:val="646978EA"/>
    <w:rsid w:val="64EE133D"/>
    <w:rsid w:val="651A36B7"/>
    <w:rsid w:val="654944E0"/>
    <w:rsid w:val="65D75771"/>
    <w:rsid w:val="65F759EC"/>
    <w:rsid w:val="66A32E79"/>
    <w:rsid w:val="66AD20B3"/>
    <w:rsid w:val="675805B5"/>
    <w:rsid w:val="67E01E18"/>
    <w:rsid w:val="686C203F"/>
    <w:rsid w:val="68B77440"/>
    <w:rsid w:val="68C70FC8"/>
    <w:rsid w:val="69510A41"/>
    <w:rsid w:val="69653878"/>
    <w:rsid w:val="696A5354"/>
    <w:rsid w:val="6A032998"/>
    <w:rsid w:val="6A227203"/>
    <w:rsid w:val="6A872C82"/>
    <w:rsid w:val="6AE41E7D"/>
    <w:rsid w:val="6B1D1DFE"/>
    <w:rsid w:val="6B241A17"/>
    <w:rsid w:val="6B28556D"/>
    <w:rsid w:val="6B7A2359"/>
    <w:rsid w:val="6B806D98"/>
    <w:rsid w:val="6B9D3287"/>
    <w:rsid w:val="6B9F39EE"/>
    <w:rsid w:val="6D883E05"/>
    <w:rsid w:val="6D9B6EEF"/>
    <w:rsid w:val="6E2F5C8E"/>
    <w:rsid w:val="6E4218CF"/>
    <w:rsid w:val="6E6942F4"/>
    <w:rsid w:val="6E8036C2"/>
    <w:rsid w:val="6E9C0F6F"/>
    <w:rsid w:val="6EA7149A"/>
    <w:rsid w:val="6F983C7A"/>
    <w:rsid w:val="6FAC7C04"/>
    <w:rsid w:val="6FC13B19"/>
    <w:rsid w:val="701E7DA4"/>
    <w:rsid w:val="70314F1F"/>
    <w:rsid w:val="7080699B"/>
    <w:rsid w:val="70D51D79"/>
    <w:rsid w:val="70F604CA"/>
    <w:rsid w:val="7103031A"/>
    <w:rsid w:val="71121F70"/>
    <w:rsid w:val="712A724C"/>
    <w:rsid w:val="713A5B6F"/>
    <w:rsid w:val="71AD7318"/>
    <w:rsid w:val="726D70E7"/>
    <w:rsid w:val="73BF77DA"/>
    <w:rsid w:val="742D31F8"/>
    <w:rsid w:val="744D5EC9"/>
    <w:rsid w:val="76275962"/>
    <w:rsid w:val="763E36C8"/>
    <w:rsid w:val="7640764C"/>
    <w:rsid w:val="76AF17F9"/>
    <w:rsid w:val="773D67BB"/>
    <w:rsid w:val="774A2134"/>
    <w:rsid w:val="77CC74DE"/>
    <w:rsid w:val="78AA3BC7"/>
    <w:rsid w:val="797C6296"/>
    <w:rsid w:val="79E65A52"/>
    <w:rsid w:val="7A3538A9"/>
    <w:rsid w:val="7A6150CC"/>
    <w:rsid w:val="7A7C4102"/>
    <w:rsid w:val="7B1403CC"/>
    <w:rsid w:val="7BEA5666"/>
    <w:rsid w:val="7C727ADF"/>
    <w:rsid w:val="7C744EE5"/>
    <w:rsid w:val="7C9C4E59"/>
    <w:rsid w:val="7CC62E29"/>
    <w:rsid w:val="7DEF14D6"/>
    <w:rsid w:val="7E1700E3"/>
    <w:rsid w:val="7E477448"/>
    <w:rsid w:val="7E553215"/>
    <w:rsid w:val="7ECD36F3"/>
    <w:rsid w:val="7ED2669B"/>
    <w:rsid w:val="7F673697"/>
    <w:rsid w:val="7FCC532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9"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iPriority="99" w:semiHidden="0" w:name="footnote reference"/>
    <w:lsdException w:qFormat="1"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qFormat="1" w:uiPriority="99"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qFormat="1" w:uiPriority="99" w:semiHidden="0" w:name="HTML Typewriter"/>
    <w:lsdException w:qFormat="1" w:uiPriority="99" w:semiHidden="0"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6"/>
    <w:autoRedefine/>
    <w:qFormat/>
    <w:uiPriority w:val="0"/>
    <w:pPr>
      <w:keepNext/>
      <w:keepLines/>
      <w:spacing w:before="260" w:after="260" w:line="416" w:lineRule="auto"/>
      <w:outlineLvl w:val="1"/>
    </w:pPr>
    <w:rPr>
      <w:rFonts w:ascii="Arial" w:hAnsi="Arial" w:eastAsia="黑体"/>
      <w:b/>
      <w:bCs/>
      <w:kern w:val="0"/>
      <w:sz w:val="32"/>
      <w:szCs w:val="32"/>
    </w:rPr>
  </w:style>
  <w:style w:type="paragraph" w:styleId="4">
    <w:name w:val="heading 3"/>
    <w:basedOn w:val="1"/>
    <w:next w:val="1"/>
    <w:link w:val="67"/>
    <w:autoRedefine/>
    <w:qFormat/>
    <w:uiPriority w:val="0"/>
    <w:pPr>
      <w:keepNext/>
      <w:keepLines/>
      <w:spacing w:before="260" w:after="260" w:line="416" w:lineRule="auto"/>
      <w:outlineLvl w:val="2"/>
    </w:pPr>
    <w:rPr>
      <w:b/>
      <w:bCs/>
      <w:kern w:val="0"/>
      <w:sz w:val="32"/>
      <w:szCs w:val="32"/>
    </w:rPr>
  </w:style>
  <w:style w:type="paragraph" w:styleId="5">
    <w:name w:val="heading 4"/>
    <w:basedOn w:val="1"/>
    <w:next w:val="1"/>
    <w:autoRedefine/>
    <w:qFormat/>
    <w:uiPriority w:val="9"/>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68"/>
    <w:autoRedefine/>
    <w:qFormat/>
    <w:uiPriority w:val="0"/>
    <w:pPr>
      <w:keepNext/>
      <w:keepLines/>
      <w:numPr>
        <w:ilvl w:val="4"/>
        <w:numId w:val="1"/>
      </w:numPr>
      <w:spacing w:before="280" w:after="290" w:line="376" w:lineRule="auto"/>
      <w:outlineLvl w:val="4"/>
    </w:pPr>
    <w:rPr>
      <w:b/>
      <w:sz w:val="28"/>
    </w:rPr>
  </w:style>
  <w:style w:type="paragraph" w:styleId="7">
    <w:name w:val="heading 6"/>
    <w:basedOn w:val="1"/>
    <w:next w:val="8"/>
    <w:link w:val="69"/>
    <w:autoRedefine/>
    <w:qFormat/>
    <w:uiPriority w:val="0"/>
    <w:pPr>
      <w:keepNext/>
      <w:keepLines/>
      <w:numPr>
        <w:ilvl w:val="5"/>
        <w:numId w:val="1"/>
      </w:numPr>
      <w:spacing w:before="240" w:after="64" w:line="320" w:lineRule="auto"/>
      <w:outlineLvl w:val="5"/>
    </w:pPr>
    <w:rPr>
      <w:rFonts w:ascii="Arial" w:hAnsi="Arial" w:eastAsia="黑体"/>
      <w:b/>
      <w:sz w:val="24"/>
    </w:rPr>
  </w:style>
  <w:style w:type="paragraph" w:styleId="9">
    <w:name w:val="heading 7"/>
    <w:basedOn w:val="1"/>
    <w:next w:val="8"/>
    <w:link w:val="70"/>
    <w:autoRedefine/>
    <w:qFormat/>
    <w:uiPriority w:val="0"/>
    <w:pPr>
      <w:keepNext/>
      <w:keepLines/>
      <w:numPr>
        <w:ilvl w:val="6"/>
        <w:numId w:val="1"/>
      </w:numPr>
      <w:spacing w:before="240" w:after="64" w:line="320" w:lineRule="auto"/>
      <w:outlineLvl w:val="6"/>
    </w:pPr>
    <w:rPr>
      <w:b/>
      <w:sz w:val="24"/>
    </w:rPr>
  </w:style>
  <w:style w:type="paragraph" w:styleId="10">
    <w:name w:val="heading 8"/>
    <w:basedOn w:val="1"/>
    <w:next w:val="8"/>
    <w:link w:val="71"/>
    <w:autoRedefine/>
    <w:qFormat/>
    <w:uiPriority w:val="0"/>
    <w:pPr>
      <w:keepNext/>
      <w:keepLines/>
      <w:numPr>
        <w:ilvl w:val="7"/>
        <w:numId w:val="1"/>
      </w:numPr>
      <w:spacing w:before="240" w:after="64" w:line="320" w:lineRule="auto"/>
      <w:outlineLvl w:val="7"/>
    </w:pPr>
    <w:rPr>
      <w:rFonts w:ascii="Arial" w:hAnsi="Arial" w:eastAsia="黑体"/>
      <w:sz w:val="24"/>
    </w:rPr>
  </w:style>
  <w:style w:type="paragraph" w:styleId="11">
    <w:name w:val="heading 9"/>
    <w:basedOn w:val="1"/>
    <w:next w:val="8"/>
    <w:link w:val="72"/>
    <w:autoRedefine/>
    <w:qFormat/>
    <w:uiPriority w:val="0"/>
    <w:pPr>
      <w:keepNext/>
      <w:keepLines/>
      <w:numPr>
        <w:ilvl w:val="8"/>
        <w:numId w:val="1"/>
      </w:numPr>
      <w:spacing w:before="240" w:after="64" w:line="320" w:lineRule="auto"/>
      <w:outlineLvl w:val="8"/>
    </w:pPr>
    <w:rPr>
      <w:rFonts w:ascii="Arial" w:hAnsi="Arial" w:eastAsia="黑体"/>
    </w:rPr>
  </w:style>
  <w:style w:type="character" w:default="1" w:styleId="48">
    <w:name w:val="Default Paragraph Font"/>
    <w:autoRedefine/>
    <w:unhideWhenUsed/>
    <w:qFormat/>
    <w:uiPriority w:val="1"/>
  </w:style>
  <w:style w:type="table" w:default="1" w:styleId="46">
    <w:name w:val="Normal Table"/>
    <w:autoRedefine/>
    <w:unhideWhenUsed/>
    <w:qFormat/>
    <w:uiPriority w:val="99"/>
    <w:tblPr>
      <w:tblCellMar>
        <w:top w:w="0" w:type="dxa"/>
        <w:left w:w="108" w:type="dxa"/>
        <w:bottom w:w="0" w:type="dxa"/>
        <w:right w:w="108" w:type="dxa"/>
      </w:tblCellMar>
    </w:tblPr>
  </w:style>
  <w:style w:type="paragraph" w:styleId="8">
    <w:name w:val="Normal Indent"/>
    <w:basedOn w:val="1"/>
    <w:next w:val="1"/>
    <w:qFormat/>
    <w:uiPriority w:val="0"/>
    <w:pPr>
      <w:ind w:firstLine="420"/>
    </w:pPr>
    <w:rPr>
      <w:szCs w:val="20"/>
    </w:rPr>
  </w:style>
  <w:style w:type="paragraph" w:styleId="12">
    <w:name w:val="toc 7"/>
    <w:basedOn w:val="1"/>
    <w:next w:val="1"/>
    <w:autoRedefine/>
    <w:unhideWhenUsed/>
    <w:qFormat/>
    <w:uiPriority w:val="39"/>
    <w:pPr>
      <w:ind w:left="2520" w:leftChars="1200"/>
    </w:pPr>
    <w:rPr>
      <w:rFonts w:ascii="Calibri" w:hAnsi="Calibri" w:eastAsia="宋体" w:cs="Times New Roman"/>
      <w:szCs w:val="22"/>
    </w:rPr>
  </w:style>
  <w:style w:type="paragraph" w:styleId="13">
    <w:name w:val="List Number"/>
    <w:basedOn w:val="1"/>
    <w:autoRedefine/>
    <w:qFormat/>
    <w:uiPriority w:val="0"/>
    <w:pPr>
      <w:widowControl/>
      <w:tabs>
        <w:tab w:val="left" w:pos="454"/>
        <w:tab w:val="left" w:pos="720"/>
        <w:tab w:val="left" w:pos="840"/>
      </w:tabs>
      <w:spacing w:after="50" w:afterLines="50"/>
      <w:ind w:left="454" w:hanging="284"/>
      <w:jc w:val="left"/>
    </w:pPr>
    <w:rPr>
      <w:kern w:val="0"/>
      <w:sz w:val="24"/>
      <w:szCs w:val="20"/>
    </w:rPr>
  </w:style>
  <w:style w:type="paragraph" w:styleId="14">
    <w:name w:val="caption"/>
    <w:basedOn w:val="1"/>
    <w:next w:val="1"/>
    <w:autoRedefine/>
    <w:qFormat/>
    <w:uiPriority w:val="0"/>
    <w:pPr>
      <w:spacing w:before="152" w:after="160"/>
    </w:pPr>
    <w:rPr>
      <w:rFonts w:ascii="Arial" w:hAnsi="Arial" w:eastAsia="黑体" w:cs="Arial"/>
      <w:sz w:val="20"/>
      <w:szCs w:val="20"/>
    </w:rPr>
  </w:style>
  <w:style w:type="paragraph" w:styleId="15">
    <w:name w:val="annotation text"/>
    <w:basedOn w:val="1"/>
    <w:link w:val="73"/>
    <w:autoRedefine/>
    <w:unhideWhenUsed/>
    <w:qFormat/>
    <w:uiPriority w:val="99"/>
    <w:pPr>
      <w:jc w:val="left"/>
    </w:pPr>
  </w:style>
  <w:style w:type="paragraph" w:styleId="16">
    <w:name w:val="Body Text 3"/>
    <w:basedOn w:val="1"/>
    <w:link w:val="74"/>
    <w:autoRedefine/>
    <w:qFormat/>
    <w:uiPriority w:val="0"/>
    <w:pPr>
      <w:spacing w:line="500" w:lineRule="exact"/>
    </w:pPr>
    <w:rPr>
      <w:b/>
      <w:bCs/>
      <w:kern w:val="0"/>
      <w:sz w:val="24"/>
    </w:rPr>
  </w:style>
  <w:style w:type="paragraph" w:styleId="17">
    <w:name w:val="Body Text"/>
    <w:basedOn w:val="1"/>
    <w:next w:val="1"/>
    <w:link w:val="75"/>
    <w:autoRedefine/>
    <w:qFormat/>
    <w:uiPriority w:val="99"/>
    <w:pPr>
      <w:spacing w:line="380" w:lineRule="exact"/>
    </w:pPr>
    <w:rPr>
      <w:kern w:val="0"/>
      <w:sz w:val="24"/>
    </w:rPr>
  </w:style>
  <w:style w:type="paragraph" w:styleId="18">
    <w:name w:val="Body Text Indent"/>
    <w:basedOn w:val="1"/>
    <w:link w:val="76"/>
    <w:autoRedefine/>
    <w:qFormat/>
    <w:uiPriority w:val="0"/>
    <w:pPr>
      <w:ind w:firstLine="830" w:firstLineChars="352"/>
    </w:pPr>
    <w:rPr>
      <w:rFonts w:ascii="仿宋_GB2312" w:eastAsia="仿宋_GB2312"/>
      <w:kern w:val="0"/>
      <w:sz w:val="32"/>
      <w:szCs w:val="20"/>
    </w:rPr>
  </w:style>
  <w:style w:type="paragraph" w:styleId="19">
    <w:name w:val="List Number 3"/>
    <w:basedOn w:val="1"/>
    <w:autoRedefine/>
    <w:qFormat/>
    <w:uiPriority w:val="0"/>
    <w:pPr>
      <w:numPr>
        <w:ilvl w:val="0"/>
        <w:numId w:val="2"/>
      </w:numPr>
    </w:pPr>
  </w:style>
  <w:style w:type="paragraph" w:styleId="20">
    <w:name w:val="List 2"/>
    <w:basedOn w:val="1"/>
    <w:autoRedefine/>
    <w:qFormat/>
    <w:uiPriority w:val="0"/>
    <w:pPr>
      <w:ind w:left="100" w:leftChars="200" w:hanging="200" w:hangingChars="200"/>
    </w:pPr>
    <w:rPr>
      <w:sz w:val="28"/>
    </w:rPr>
  </w:style>
  <w:style w:type="paragraph" w:styleId="21">
    <w:name w:val="toc 5"/>
    <w:basedOn w:val="1"/>
    <w:next w:val="1"/>
    <w:autoRedefine/>
    <w:unhideWhenUsed/>
    <w:qFormat/>
    <w:uiPriority w:val="39"/>
    <w:pPr>
      <w:ind w:left="1680" w:leftChars="800"/>
    </w:pPr>
    <w:rPr>
      <w:rFonts w:ascii="Calibri" w:hAnsi="Calibri" w:eastAsia="宋体" w:cs="Times New Roman"/>
      <w:szCs w:val="22"/>
    </w:rPr>
  </w:style>
  <w:style w:type="paragraph" w:styleId="22">
    <w:name w:val="toc 3"/>
    <w:basedOn w:val="1"/>
    <w:next w:val="1"/>
    <w:autoRedefine/>
    <w:unhideWhenUsed/>
    <w:qFormat/>
    <w:uiPriority w:val="39"/>
    <w:pPr>
      <w:ind w:left="840" w:leftChars="400"/>
    </w:pPr>
    <w:rPr>
      <w:rFonts w:ascii="Calibri" w:hAnsi="Calibri" w:eastAsia="宋体" w:cs="Times New Roman"/>
      <w:szCs w:val="22"/>
    </w:rPr>
  </w:style>
  <w:style w:type="paragraph" w:styleId="23">
    <w:name w:val="Plain Text"/>
    <w:basedOn w:val="1"/>
    <w:next w:val="1"/>
    <w:link w:val="77"/>
    <w:autoRedefine/>
    <w:qFormat/>
    <w:uiPriority w:val="0"/>
    <w:rPr>
      <w:rFonts w:ascii="宋体" w:hAnsi="Courier New"/>
      <w:kern w:val="0"/>
      <w:sz w:val="20"/>
      <w:szCs w:val="21"/>
    </w:rPr>
  </w:style>
  <w:style w:type="paragraph" w:styleId="24">
    <w:name w:val="toc 8"/>
    <w:basedOn w:val="1"/>
    <w:next w:val="1"/>
    <w:autoRedefine/>
    <w:unhideWhenUsed/>
    <w:qFormat/>
    <w:uiPriority w:val="39"/>
    <w:pPr>
      <w:ind w:left="2940" w:leftChars="1400"/>
    </w:pPr>
    <w:rPr>
      <w:rFonts w:ascii="Calibri" w:hAnsi="Calibri" w:eastAsia="宋体" w:cs="Times New Roman"/>
      <w:szCs w:val="22"/>
    </w:rPr>
  </w:style>
  <w:style w:type="paragraph" w:styleId="25">
    <w:name w:val="Date"/>
    <w:basedOn w:val="1"/>
    <w:next w:val="1"/>
    <w:link w:val="78"/>
    <w:autoRedefine/>
    <w:qFormat/>
    <w:uiPriority w:val="0"/>
    <w:pPr>
      <w:ind w:left="100" w:leftChars="2500"/>
    </w:pPr>
    <w:rPr>
      <w:rFonts w:ascii="宋体" w:hAnsi="Courier New"/>
      <w:kern w:val="0"/>
      <w:sz w:val="20"/>
      <w:szCs w:val="21"/>
    </w:rPr>
  </w:style>
  <w:style w:type="paragraph" w:styleId="26">
    <w:name w:val="Body Text Indent 2"/>
    <w:basedOn w:val="1"/>
    <w:link w:val="79"/>
    <w:autoRedefine/>
    <w:qFormat/>
    <w:uiPriority w:val="0"/>
    <w:pPr>
      <w:ind w:firstLine="630"/>
    </w:pPr>
    <w:rPr>
      <w:kern w:val="0"/>
      <w:sz w:val="32"/>
      <w:szCs w:val="20"/>
    </w:rPr>
  </w:style>
  <w:style w:type="paragraph" w:styleId="27">
    <w:name w:val="endnote text"/>
    <w:basedOn w:val="1"/>
    <w:link w:val="80"/>
    <w:autoRedefine/>
    <w:unhideWhenUsed/>
    <w:qFormat/>
    <w:uiPriority w:val="99"/>
    <w:pPr>
      <w:snapToGrid w:val="0"/>
      <w:jc w:val="left"/>
    </w:pPr>
  </w:style>
  <w:style w:type="paragraph" w:styleId="28">
    <w:name w:val="Balloon Text"/>
    <w:basedOn w:val="1"/>
    <w:link w:val="81"/>
    <w:autoRedefine/>
    <w:semiHidden/>
    <w:qFormat/>
    <w:uiPriority w:val="0"/>
    <w:rPr>
      <w:kern w:val="0"/>
      <w:sz w:val="18"/>
      <w:szCs w:val="18"/>
    </w:rPr>
  </w:style>
  <w:style w:type="paragraph" w:styleId="29">
    <w:name w:val="footer"/>
    <w:basedOn w:val="1"/>
    <w:link w:val="82"/>
    <w:autoRedefine/>
    <w:unhideWhenUsed/>
    <w:qFormat/>
    <w:uiPriority w:val="99"/>
    <w:pPr>
      <w:tabs>
        <w:tab w:val="center" w:pos="4153"/>
        <w:tab w:val="right" w:pos="8306"/>
      </w:tabs>
      <w:snapToGrid w:val="0"/>
      <w:jc w:val="left"/>
    </w:pPr>
    <w:rPr>
      <w:kern w:val="0"/>
      <w:sz w:val="18"/>
      <w:szCs w:val="18"/>
    </w:rPr>
  </w:style>
  <w:style w:type="paragraph" w:styleId="30">
    <w:name w:val="header"/>
    <w:basedOn w:val="1"/>
    <w:link w:val="83"/>
    <w:autoRedefine/>
    <w:unhideWhenUsed/>
    <w:qFormat/>
    <w:uiPriority w:val="99"/>
    <w:pPr>
      <w:pBdr>
        <w:bottom w:val="single" w:color="auto" w:sz="6" w:space="1"/>
      </w:pBdr>
      <w:tabs>
        <w:tab w:val="center" w:pos="0"/>
        <w:tab w:val="left" w:pos="8306"/>
      </w:tabs>
      <w:snapToGrid w:val="0"/>
      <w:jc w:val="center"/>
    </w:pPr>
    <w:rPr>
      <w:sz w:val="18"/>
      <w:szCs w:val="18"/>
    </w:rPr>
  </w:style>
  <w:style w:type="paragraph" w:styleId="31">
    <w:name w:val="toc 1"/>
    <w:basedOn w:val="1"/>
    <w:next w:val="1"/>
    <w:autoRedefine/>
    <w:qFormat/>
    <w:uiPriority w:val="39"/>
    <w:pPr>
      <w:tabs>
        <w:tab w:val="right" w:leader="dot" w:pos="8398"/>
      </w:tabs>
      <w:spacing w:before="120" w:after="120"/>
      <w:ind w:firstLine="240" w:firstLineChars="100"/>
      <w:jc w:val="left"/>
    </w:pPr>
    <w:rPr>
      <w:rFonts w:ascii="宋体" w:hAnsi="宋体"/>
      <w:b/>
      <w:bCs/>
      <w:caps/>
      <w:sz w:val="24"/>
    </w:rPr>
  </w:style>
  <w:style w:type="paragraph" w:styleId="32">
    <w:name w:val="toc 4"/>
    <w:basedOn w:val="1"/>
    <w:next w:val="1"/>
    <w:autoRedefine/>
    <w:unhideWhenUsed/>
    <w:qFormat/>
    <w:uiPriority w:val="39"/>
    <w:pPr>
      <w:ind w:left="1260" w:leftChars="600"/>
    </w:pPr>
    <w:rPr>
      <w:rFonts w:ascii="Calibri" w:hAnsi="Calibri" w:eastAsia="宋体" w:cs="Times New Roman"/>
      <w:szCs w:val="22"/>
    </w:rPr>
  </w:style>
  <w:style w:type="paragraph" w:styleId="33">
    <w:name w:val="List"/>
    <w:basedOn w:val="1"/>
    <w:autoRedefine/>
    <w:qFormat/>
    <w:uiPriority w:val="0"/>
    <w:pPr>
      <w:ind w:left="200" w:hanging="200" w:hangingChars="200"/>
    </w:pPr>
    <w:rPr>
      <w:sz w:val="28"/>
    </w:rPr>
  </w:style>
  <w:style w:type="paragraph" w:styleId="34">
    <w:name w:val="footnote text"/>
    <w:basedOn w:val="1"/>
    <w:link w:val="84"/>
    <w:autoRedefine/>
    <w:unhideWhenUsed/>
    <w:qFormat/>
    <w:uiPriority w:val="99"/>
    <w:pPr>
      <w:snapToGrid w:val="0"/>
      <w:jc w:val="left"/>
    </w:pPr>
    <w:rPr>
      <w:sz w:val="18"/>
      <w:szCs w:val="18"/>
    </w:rPr>
  </w:style>
  <w:style w:type="paragraph" w:styleId="35">
    <w:name w:val="toc 6"/>
    <w:basedOn w:val="1"/>
    <w:next w:val="1"/>
    <w:autoRedefine/>
    <w:unhideWhenUsed/>
    <w:qFormat/>
    <w:uiPriority w:val="39"/>
    <w:pPr>
      <w:ind w:left="2100" w:leftChars="1000"/>
    </w:pPr>
    <w:rPr>
      <w:rFonts w:ascii="Calibri" w:hAnsi="Calibri" w:eastAsia="宋体" w:cs="Times New Roman"/>
      <w:szCs w:val="22"/>
    </w:rPr>
  </w:style>
  <w:style w:type="paragraph" w:styleId="36">
    <w:name w:val="Body Text Indent 3"/>
    <w:basedOn w:val="1"/>
    <w:link w:val="85"/>
    <w:autoRedefine/>
    <w:qFormat/>
    <w:uiPriority w:val="0"/>
    <w:pPr>
      <w:spacing w:after="120"/>
      <w:ind w:left="420" w:leftChars="200"/>
    </w:pPr>
    <w:rPr>
      <w:kern w:val="0"/>
      <w:sz w:val="16"/>
      <w:szCs w:val="16"/>
    </w:rPr>
  </w:style>
  <w:style w:type="paragraph" w:styleId="37">
    <w:name w:val="toc 2"/>
    <w:basedOn w:val="1"/>
    <w:next w:val="1"/>
    <w:autoRedefine/>
    <w:unhideWhenUsed/>
    <w:qFormat/>
    <w:uiPriority w:val="39"/>
    <w:pPr>
      <w:ind w:left="420" w:leftChars="200"/>
    </w:pPr>
  </w:style>
  <w:style w:type="paragraph" w:styleId="38">
    <w:name w:val="toc 9"/>
    <w:basedOn w:val="1"/>
    <w:next w:val="1"/>
    <w:autoRedefine/>
    <w:unhideWhenUsed/>
    <w:qFormat/>
    <w:uiPriority w:val="39"/>
    <w:pPr>
      <w:ind w:left="3360" w:leftChars="1600"/>
    </w:pPr>
    <w:rPr>
      <w:rFonts w:ascii="Calibri" w:hAnsi="Calibri" w:eastAsia="宋体" w:cs="Times New Roman"/>
      <w:szCs w:val="22"/>
    </w:rPr>
  </w:style>
  <w:style w:type="paragraph" w:styleId="39">
    <w:name w:val="Body Text 2"/>
    <w:basedOn w:val="1"/>
    <w:link w:val="86"/>
    <w:autoRedefine/>
    <w:qFormat/>
    <w:uiPriority w:val="0"/>
    <w:pPr>
      <w:spacing w:after="120" w:line="480" w:lineRule="auto"/>
    </w:pPr>
    <w:rPr>
      <w:kern w:val="0"/>
      <w:sz w:val="20"/>
    </w:rPr>
  </w:style>
  <w:style w:type="paragraph" w:styleId="40">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41">
    <w:name w:val="index 1"/>
    <w:basedOn w:val="1"/>
    <w:next w:val="1"/>
    <w:autoRedefine/>
    <w:semiHidden/>
    <w:qFormat/>
    <w:uiPriority w:val="0"/>
    <w:pPr>
      <w:spacing w:line="400" w:lineRule="exact"/>
      <w:ind w:firstLine="420" w:firstLineChars="200"/>
    </w:pPr>
    <w:rPr>
      <w:rFonts w:ascii="宋体" w:hAnsi="Courier New"/>
      <w:b/>
      <w:szCs w:val="20"/>
    </w:rPr>
  </w:style>
  <w:style w:type="paragraph" w:styleId="42">
    <w:name w:val="Title"/>
    <w:basedOn w:val="1"/>
    <w:next w:val="1"/>
    <w:link w:val="87"/>
    <w:autoRedefine/>
    <w:qFormat/>
    <w:uiPriority w:val="10"/>
    <w:pPr>
      <w:spacing w:before="240" w:after="60"/>
      <w:jc w:val="center"/>
      <w:outlineLvl w:val="0"/>
    </w:pPr>
    <w:rPr>
      <w:rFonts w:ascii="Cambria" w:hAnsi="Cambria"/>
      <w:b/>
      <w:bCs/>
      <w:sz w:val="32"/>
      <w:szCs w:val="32"/>
    </w:rPr>
  </w:style>
  <w:style w:type="paragraph" w:styleId="43">
    <w:name w:val="annotation subject"/>
    <w:basedOn w:val="15"/>
    <w:next w:val="15"/>
    <w:link w:val="88"/>
    <w:autoRedefine/>
    <w:unhideWhenUsed/>
    <w:qFormat/>
    <w:uiPriority w:val="99"/>
    <w:rPr>
      <w:b/>
      <w:bCs/>
    </w:rPr>
  </w:style>
  <w:style w:type="paragraph" w:styleId="44">
    <w:name w:val="Body Text First Indent"/>
    <w:basedOn w:val="17"/>
    <w:autoRedefine/>
    <w:qFormat/>
    <w:uiPriority w:val="0"/>
    <w:pPr>
      <w:ind w:firstLine="420" w:firstLineChars="100"/>
    </w:pPr>
    <w:rPr>
      <w:rFonts w:ascii="Calibri" w:hAnsi="Calibri"/>
    </w:rPr>
  </w:style>
  <w:style w:type="paragraph" w:styleId="45">
    <w:name w:val="Body Text First Indent 2"/>
    <w:basedOn w:val="18"/>
    <w:autoRedefine/>
    <w:unhideWhenUsed/>
    <w:qFormat/>
    <w:uiPriority w:val="99"/>
    <w:pPr>
      <w:spacing w:after="120"/>
      <w:ind w:left="420" w:leftChars="200" w:firstLine="420" w:firstLineChars="200"/>
    </w:pPr>
    <w:rPr>
      <w:rFonts w:ascii="Times New Roman" w:eastAsia="宋体"/>
      <w:kern w:val="2"/>
      <w:sz w:val="21"/>
      <w:szCs w:val="24"/>
    </w:rPr>
  </w:style>
  <w:style w:type="table" w:styleId="47">
    <w:name w:val="Table Grid"/>
    <w:basedOn w:val="46"/>
    <w:autoRedefine/>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0"/>
    <w:rPr>
      <w:b/>
      <w:bCs/>
    </w:rPr>
  </w:style>
  <w:style w:type="character" w:styleId="50">
    <w:name w:val="endnote reference"/>
    <w:autoRedefine/>
    <w:unhideWhenUsed/>
    <w:qFormat/>
    <w:uiPriority w:val="99"/>
    <w:rPr>
      <w:vertAlign w:val="superscript"/>
    </w:rPr>
  </w:style>
  <w:style w:type="character" w:styleId="51">
    <w:name w:val="page number"/>
    <w:autoRedefine/>
    <w:qFormat/>
    <w:uiPriority w:val="0"/>
  </w:style>
  <w:style w:type="character" w:styleId="52">
    <w:name w:val="FollowedHyperlink"/>
    <w:autoRedefine/>
    <w:qFormat/>
    <w:uiPriority w:val="0"/>
    <w:rPr>
      <w:color w:val="000000"/>
      <w:u w:val="none"/>
    </w:rPr>
  </w:style>
  <w:style w:type="character" w:styleId="53">
    <w:name w:val="Emphasis"/>
    <w:basedOn w:val="48"/>
    <w:autoRedefine/>
    <w:qFormat/>
    <w:uiPriority w:val="20"/>
    <w:rPr>
      <w:b/>
      <w:bCs/>
    </w:rPr>
  </w:style>
  <w:style w:type="character" w:styleId="54">
    <w:name w:val="HTML Definition"/>
    <w:basedOn w:val="48"/>
    <w:autoRedefine/>
    <w:unhideWhenUsed/>
    <w:qFormat/>
    <w:uiPriority w:val="99"/>
  </w:style>
  <w:style w:type="character" w:styleId="55">
    <w:name w:val="HTML Typewriter"/>
    <w:basedOn w:val="48"/>
    <w:autoRedefine/>
    <w:unhideWhenUsed/>
    <w:qFormat/>
    <w:uiPriority w:val="99"/>
    <w:rPr>
      <w:rFonts w:hint="default" w:ascii="monospace" w:hAnsi="monospace" w:eastAsia="monospace" w:cs="monospace"/>
      <w:sz w:val="20"/>
    </w:rPr>
  </w:style>
  <w:style w:type="character" w:styleId="56">
    <w:name w:val="HTML Acronym"/>
    <w:basedOn w:val="48"/>
    <w:autoRedefine/>
    <w:unhideWhenUsed/>
    <w:qFormat/>
    <w:uiPriority w:val="99"/>
  </w:style>
  <w:style w:type="character" w:styleId="57">
    <w:name w:val="HTML Variable"/>
    <w:basedOn w:val="48"/>
    <w:autoRedefine/>
    <w:unhideWhenUsed/>
    <w:qFormat/>
    <w:uiPriority w:val="99"/>
  </w:style>
  <w:style w:type="character" w:styleId="58">
    <w:name w:val="Hyperlink"/>
    <w:autoRedefine/>
    <w:qFormat/>
    <w:uiPriority w:val="99"/>
    <w:rPr>
      <w:color w:val="000000"/>
      <w:u w:val="none"/>
    </w:rPr>
  </w:style>
  <w:style w:type="character" w:styleId="59">
    <w:name w:val="HTML Code"/>
    <w:basedOn w:val="48"/>
    <w:autoRedefine/>
    <w:unhideWhenUsed/>
    <w:qFormat/>
    <w:uiPriority w:val="99"/>
    <w:rPr>
      <w:rFonts w:hint="default" w:ascii="monospace" w:hAnsi="monospace" w:eastAsia="monospace" w:cs="monospace"/>
      <w:sz w:val="20"/>
    </w:rPr>
  </w:style>
  <w:style w:type="character" w:styleId="60">
    <w:name w:val="annotation reference"/>
    <w:autoRedefine/>
    <w:unhideWhenUsed/>
    <w:qFormat/>
    <w:uiPriority w:val="0"/>
    <w:rPr>
      <w:sz w:val="21"/>
      <w:szCs w:val="21"/>
    </w:rPr>
  </w:style>
  <w:style w:type="character" w:styleId="61">
    <w:name w:val="HTML Cite"/>
    <w:basedOn w:val="48"/>
    <w:autoRedefine/>
    <w:unhideWhenUsed/>
    <w:qFormat/>
    <w:uiPriority w:val="99"/>
  </w:style>
  <w:style w:type="character" w:styleId="62">
    <w:name w:val="footnote reference"/>
    <w:autoRedefine/>
    <w:unhideWhenUsed/>
    <w:qFormat/>
    <w:uiPriority w:val="99"/>
    <w:rPr>
      <w:vertAlign w:val="superscript"/>
    </w:rPr>
  </w:style>
  <w:style w:type="character" w:styleId="63">
    <w:name w:val="HTML Keyboard"/>
    <w:basedOn w:val="48"/>
    <w:autoRedefine/>
    <w:unhideWhenUsed/>
    <w:qFormat/>
    <w:uiPriority w:val="99"/>
    <w:rPr>
      <w:rFonts w:hint="default" w:ascii="monospace" w:hAnsi="monospace" w:eastAsia="monospace" w:cs="monospace"/>
      <w:sz w:val="20"/>
    </w:rPr>
  </w:style>
  <w:style w:type="character" w:styleId="64">
    <w:name w:val="HTML Sample"/>
    <w:basedOn w:val="48"/>
    <w:autoRedefine/>
    <w:unhideWhenUsed/>
    <w:qFormat/>
    <w:uiPriority w:val="99"/>
    <w:rPr>
      <w:rFonts w:ascii="monospace" w:hAnsi="monospace" w:eastAsia="monospace" w:cs="monospace"/>
    </w:rPr>
  </w:style>
  <w:style w:type="character" w:customStyle="1" w:styleId="65">
    <w:name w:val="标题 1 字符1"/>
    <w:link w:val="2"/>
    <w:autoRedefine/>
    <w:qFormat/>
    <w:uiPriority w:val="0"/>
    <w:rPr>
      <w:rFonts w:ascii="Times New Roman" w:hAnsi="Times New Roman" w:eastAsia="宋体" w:cs="Times New Roman"/>
      <w:b/>
      <w:bCs/>
      <w:kern w:val="44"/>
      <w:sz w:val="44"/>
      <w:szCs w:val="44"/>
    </w:rPr>
  </w:style>
  <w:style w:type="character" w:customStyle="1" w:styleId="66">
    <w:name w:val="标题 2 字符"/>
    <w:link w:val="3"/>
    <w:autoRedefine/>
    <w:qFormat/>
    <w:uiPriority w:val="0"/>
    <w:rPr>
      <w:rFonts w:ascii="Arial" w:hAnsi="Arial" w:eastAsia="黑体" w:cs="Times New Roman"/>
      <w:b/>
      <w:bCs/>
      <w:sz w:val="32"/>
      <w:szCs w:val="32"/>
    </w:rPr>
  </w:style>
  <w:style w:type="character" w:customStyle="1" w:styleId="67">
    <w:name w:val="标题 3 字符"/>
    <w:link w:val="4"/>
    <w:autoRedefine/>
    <w:qFormat/>
    <w:uiPriority w:val="0"/>
    <w:rPr>
      <w:rFonts w:ascii="Times New Roman" w:hAnsi="Times New Roman" w:eastAsia="宋体" w:cs="Times New Roman"/>
      <w:b/>
      <w:bCs/>
      <w:sz w:val="32"/>
      <w:szCs w:val="32"/>
    </w:rPr>
  </w:style>
  <w:style w:type="character" w:customStyle="1" w:styleId="68">
    <w:name w:val="标题 5 字符"/>
    <w:link w:val="6"/>
    <w:autoRedefine/>
    <w:qFormat/>
    <w:uiPriority w:val="0"/>
    <w:rPr>
      <w:b/>
      <w:kern w:val="2"/>
      <w:sz w:val="28"/>
      <w:szCs w:val="24"/>
    </w:rPr>
  </w:style>
  <w:style w:type="character" w:customStyle="1" w:styleId="69">
    <w:name w:val="标题 6 字符"/>
    <w:link w:val="7"/>
    <w:autoRedefine/>
    <w:qFormat/>
    <w:uiPriority w:val="0"/>
    <w:rPr>
      <w:rFonts w:ascii="Arial" w:hAnsi="Arial" w:eastAsia="黑体"/>
      <w:b/>
      <w:kern w:val="2"/>
      <w:sz w:val="24"/>
      <w:szCs w:val="24"/>
    </w:rPr>
  </w:style>
  <w:style w:type="character" w:customStyle="1" w:styleId="70">
    <w:name w:val="标题 7 字符"/>
    <w:link w:val="9"/>
    <w:autoRedefine/>
    <w:qFormat/>
    <w:uiPriority w:val="0"/>
    <w:rPr>
      <w:rFonts w:ascii="Times New Roman" w:hAnsi="Times New Roman"/>
      <w:b/>
      <w:kern w:val="2"/>
      <w:sz w:val="24"/>
      <w:szCs w:val="24"/>
    </w:rPr>
  </w:style>
  <w:style w:type="character" w:customStyle="1" w:styleId="71">
    <w:name w:val="标题 8 字符"/>
    <w:link w:val="10"/>
    <w:autoRedefine/>
    <w:qFormat/>
    <w:uiPriority w:val="0"/>
    <w:rPr>
      <w:rFonts w:ascii="Arial" w:hAnsi="Arial" w:eastAsia="黑体"/>
      <w:kern w:val="2"/>
      <w:sz w:val="24"/>
      <w:szCs w:val="24"/>
    </w:rPr>
  </w:style>
  <w:style w:type="character" w:customStyle="1" w:styleId="72">
    <w:name w:val="标题 9 字符"/>
    <w:link w:val="11"/>
    <w:autoRedefine/>
    <w:qFormat/>
    <w:uiPriority w:val="0"/>
    <w:rPr>
      <w:rFonts w:ascii="Arial" w:hAnsi="Arial" w:eastAsia="黑体"/>
      <w:kern w:val="2"/>
      <w:sz w:val="21"/>
      <w:szCs w:val="24"/>
    </w:rPr>
  </w:style>
  <w:style w:type="character" w:customStyle="1" w:styleId="73">
    <w:name w:val="批注文字 字符1"/>
    <w:link w:val="15"/>
    <w:autoRedefine/>
    <w:qFormat/>
    <w:uiPriority w:val="99"/>
    <w:rPr>
      <w:rFonts w:ascii="Times New Roman" w:hAnsi="Times New Roman"/>
      <w:kern w:val="2"/>
      <w:sz w:val="21"/>
      <w:szCs w:val="24"/>
    </w:rPr>
  </w:style>
  <w:style w:type="character" w:customStyle="1" w:styleId="74">
    <w:name w:val="正文文本 3 字符"/>
    <w:link w:val="16"/>
    <w:autoRedefine/>
    <w:qFormat/>
    <w:uiPriority w:val="0"/>
    <w:rPr>
      <w:rFonts w:ascii="Times New Roman" w:hAnsi="Times New Roman" w:eastAsia="宋体" w:cs="Times New Roman"/>
      <w:b/>
      <w:bCs/>
      <w:sz w:val="24"/>
      <w:szCs w:val="24"/>
    </w:rPr>
  </w:style>
  <w:style w:type="character" w:customStyle="1" w:styleId="75">
    <w:name w:val="正文文本 字符"/>
    <w:link w:val="17"/>
    <w:autoRedefine/>
    <w:qFormat/>
    <w:uiPriority w:val="99"/>
    <w:rPr>
      <w:rFonts w:ascii="Times New Roman" w:hAnsi="Times New Roman" w:eastAsia="宋体" w:cs="Times New Roman"/>
      <w:sz w:val="24"/>
      <w:szCs w:val="24"/>
    </w:rPr>
  </w:style>
  <w:style w:type="character" w:customStyle="1" w:styleId="76">
    <w:name w:val="正文文本缩进 字符1"/>
    <w:link w:val="18"/>
    <w:autoRedefine/>
    <w:qFormat/>
    <w:uiPriority w:val="0"/>
    <w:rPr>
      <w:rFonts w:ascii="仿宋_GB2312" w:hAnsi="Times New Roman" w:eastAsia="仿宋_GB2312" w:cs="Times New Roman"/>
      <w:sz w:val="32"/>
      <w:szCs w:val="20"/>
    </w:rPr>
  </w:style>
  <w:style w:type="character" w:customStyle="1" w:styleId="77">
    <w:name w:val="纯文本 字符2"/>
    <w:link w:val="23"/>
    <w:autoRedefine/>
    <w:qFormat/>
    <w:uiPriority w:val="0"/>
    <w:rPr>
      <w:rFonts w:ascii="宋体" w:hAnsi="Courier New" w:eastAsia="宋体" w:cs="Courier New"/>
      <w:szCs w:val="21"/>
    </w:rPr>
  </w:style>
  <w:style w:type="character" w:customStyle="1" w:styleId="78">
    <w:name w:val="日期 字符"/>
    <w:link w:val="25"/>
    <w:autoRedefine/>
    <w:qFormat/>
    <w:uiPriority w:val="0"/>
    <w:rPr>
      <w:rFonts w:ascii="宋体" w:hAnsi="Courier New" w:eastAsia="宋体" w:cs="Courier New"/>
      <w:szCs w:val="21"/>
    </w:rPr>
  </w:style>
  <w:style w:type="character" w:customStyle="1" w:styleId="79">
    <w:name w:val="正文文本缩进 2 字符"/>
    <w:link w:val="26"/>
    <w:autoRedefine/>
    <w:qFormat/>
    <w:uiPriority w:val="0"/>
    <w:rPr>
      <w:rFonts w:ascii="Times New Roman" w:hAnsi="Times New Roman" w:eastAsia="宋体" w:cs="Times New Roman"/>
      <w:sz w:val="32"/>
      <w:szCs w:val="20"/>
    </w:rPr>
  </w:style>
  <w:style w:type="character" w:customStyle="1" w:styleId="80">
    <w:name w:val="尾注文本 字符"/>
    <w:link w:val="27"/>
    <w:autoRedefine/>
    <w:semiHidden/>
    <w:qFormat/>
    <w:uiPriority w:val="99"/>
    <w:rPr>
      <w:rFonts w:ascii="Times New Roman" w:hAnsi="Times New Roman"/>
      <w:kern w:val="2"/>
      <w:sz w:val="21"/>
      <w:szCs w:val="24"/>
    </w:rPr>
  </w:style>
  <w:style w:type="character" w:customStyle="1" w:styleId="81">
    <w:name w:val="批注框文本 字符"/>
    <w:link w:val="28"/>
    <w:autoRedefine/>
    <w:semiHidden/>
    <w:qFormat/>
    <w:uiPriority w:val="0"/>
    <w:rPr>
      <w:rFonts w:ascii="Times New Roman" w:hAnsi="Times New Roman" w:eastAsia="宋体" w:cs="Times New Roman"/>
      <w:sz w:val="18"/>
      <w:szCs w:val="18"/>
    </w:rPr>
  </w:style>
  <w:style w:type="character" w:customStyle="1" w:styleId="82">
    <w:name w:val="页脚 字符"/>
    <w:link w:val="29"/>
    <w:autoRedefine/>
    <w:qFormat/>
    <w:uiPriority w:val="99"/>
    <w:rPr>
      <w:sz w:val="18"/>
      <w:szCs w:val="18"/>
    </w:rPr>
  </w:style>
  <w:style w:type="character" w:customStyle="1" w:styleId="83">
    <w:name w:val="页眉 字符"/>
    <w:link w:val="30"/>
    <w:autoRedefine/>
    <w:qFormat/>
    <w:uiPriority w:val="99"/>
    <w:rPr>
      <w:rFonts w:ascii="Times New Roman" w:hAnsi="Times New Roman"/>
      <w:kern w:val="2"/>
      <w:sz w:val="18"/>
      <w:szCs w:val="18"/>
    </w:rPr>
  </w:style>
  <w:style w:type="character" w:customStyle="1" w:styleId="84">
    <w:name w:val="脚注文本 字符"/>
    <w:link w:val="34"/>
    <w:autoRedefine/>
    <w:semiHidden/>
    <w:qFormat/>
    <w:uiPriority w:val="99"/>
    <w:rPr>
      <w:rFonts w:ascii="Times New Roman" w:hAnsi="Times New Roman"/>
      <w:kern w:val="2"/>
      <w:sz w:val="18"/>
      <w:szCs w:val="18"/>
    </w:rPr>
  </w:style>
  <w:style w:type="character" w:customStyle="1" w:styleId="85">
    <w:name w:val="正文文本缩进 3 字符"/>
    <w:link w:val="36"/>
    <w:autoRedefine/>
    <w:qFormat/>
    <w:uiPriority w:val="0"/>
    <w:rPr>
      <w:rFonts w:ascii="Times New Roman" w:hAnsi="Times New Roman" w:eastAsia="宋体" w:cs="Times New Roman"/>
      <w:sz w:val="16"/>
      <w:szCs w:val="16"/>
    </w:rPr>
  </w:style>
  <w:style w:type="character" w:customStyle="1" w:styleId="86">
    <w:name w:val="正文文本 2 字符"/>
    <w:link w:val="39"/>
    <w:autoRedefine/>
    <w:qFormat/>
    <w:uiPriority w:val="0"/>
    <w:rPr>
      <w:rFonts w:ascii="Times New Roman" w:hAnsi="Times New Roman" w:eastAsia="宋体" w:cs="Times New Roman"/>
      <w:szCs w:val="24"/>
    </w:rPr>
  </w:style>
  <w:style w:type="character" w:customStyle="1" w:styleId="87">
    <w:name w:val="标题 字符"/>
    <w:link w:val="42"/>
    <w:autoRedefine/>
    <w:qFormat/>
    <w:uiPriority w:val="10"/>
    <w:rPr>
      <w:rFonts w:ascii="Cambria" w:hAnsi="Cambria" w:cs="Times New Roman"/>
      <w:b/>
      <w:bCs/>
      <w:kern w:val="2"/>
      <w:sz w:val="32"/>
      <w:szCs w:val="32"/>
    </w:rPr>
  </w:style>
  <w:style w:type="character" w:customStyle="1" w:styleId="88">
    <w:name w:val="批注主题 字符"/>
    <w:link w:val="43"/>
    <w:autoRedefine/>
    <w:semiHidden/>
    <w:qFormat/>
    <w:uiPriority w:val="99"/>
    <w:rPr>
      <w:rFonts w:ascii="Times New Roman" w:hAnsi="Times New Roman"/>
      <w:b/>
      <w:bCs/>
      <w:kern w:val="2"/>
      <w:sz w:val="21"/>
      <w:szCs w:val="24"/>
    </w:rPr>
  </w:style>
  <w:style w:type="paragraph" w:customStyle="1" w:styleId="89">
    <w:name w:val="表格文字"/>
    <w:basedOn w:val="90"/>
    <w:autoRedefine/>
    <w:qFormat/>
    <w:uiPriority w:val="0"/>
    <w:pPr>
      <w:spacing w:before="25" w:after="25"/>
      <w:jc w:val="left"/>
    </w:pPr>
    <w:rPr>
      <w:rFonts w:ascii="Times New Roman" w:hAnsi="Times New Roman"/>
      <w:bCs/>
      <w:spacing w:val="10"/>
      <w:kern w:val="0"/>
      <w:sz w:val="24"/>
      <w:szCs w:val="20"/>
    </w:rPr>
  </w:style>
  <w:style w:type="paragraph" w:customStyle="1" w:styleId="90">
    <w:name w:val="表格文字（两侧对齐）"/>
    <w:basedOn w:val="1"/>
    <w:autoRedefine/>
    <w:qFormat/>
    <w:uiPriority w:val="0"/>
    <w:pPr>
      <w:widowControl w:val="0"/>
      <w:snapToGrid w:val="0"/>
      <w:spacing w:line="240" w:lineRule="auto"/>
      <w:ind w:firstLine="0" w:firstLineChars="0"/>
    </w:pPr>
    <w:rPr>
      <w:rFonts w:ascii="Calibri" w:hAnsi="Calibri" w:cs="Times New Roman"/>
      <w:kern w:val="0"/>
      <w:sz w:val="20"/>
    </w:rPr>
  </w:style>
  <w:style w:type="paragraph" w:customStyle="1" w:styleId="91">
    <w:name w:val="Default"/>
    <w:next w:val="92"/>
    <w:autoRedefine/>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92">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93">
    <w:name w:val="批注文字 Char"/>
    <w:autoRedefine/>
    <w:qFormat/>
    <w:uiPriority w:val="0"/>
    <w:rPr>
      <w:rFonts w:ascii="Times New Roman" w:hAnsi="Times New Roman"/>
      <w:kern w:val="2"/>
      <w:sz w:val="21"/>
      <w:szCs w:val="24"/>
    </w:rPr>
  </w:style>
  <w:style w:type="character" w:customStyle="1" w:styleId="94">
    <w:name w:val="headline-content4"/>
    <w:autoRedefine/>
    <w:qFormat/>
    <w:uiPriority w:val="0"/>
  </w:style>
  <w:style w:type="character" w:customStyle="1" w:styleId="95">
    <w:name w:val="正文文本缩进 字符"/>
    <w:autoRedefine/>
    <w:qFormat/>
    <w:uiPriority w:val="0"/>
    <w:rPr>
      <w:rFonts w:ascii="仿宋_GB2312" w:hAnsi="Times New Roman" w:eastAsia="仿宋_GB2312" w:cs="Times New Roman"/>
      <w:sz w:val="32"/>
      <w:szCs w:val="20"/>
    </w:rPr>
  </w:style>
  <w:style w:type="character" w:customStyle="1" w:styleId="96">
    <w:name w:val="font01"/>
    <w:autoRedefine/>
    <w:qFormat/>
    <w:uiPriority w:val="0"/>
    <w:rPr>
      <w:rFonts w:hint="eastAsia" w:ascii="宋体" w:hAnsi="宋体" w:eastAsia="宋体" w:cs="宋体"/>
      <w:color w:val="000000"/>
      <w:sz w:val="22"/>
      <w:szCs w:val="22"/>
      <w:u w:val="none"/>
    </w:rPr>
  </w:style>
  <w:style w:type="character" w:customStyle="1" w:styleId="97">
    <w:name w:val="case31"/>
    <w:autoRedefine/>
    <w:qFormat/>
    <w:uiPriority w:val="0"/>
    <w:rPr>
      <w:rFonts w:hint="default" w:ascii="_x000B__x000C_" w:hAnsi="_x000B__x000C_"/>
      <w:sz w:val="21"/>
      <w:szCs w:val="21"/>
    </w:rPr>
  </w:style>
  <w:style w:type="character" w:customStyle="1" w:styleId="98">
    <w:name w:val="纯文本 Char1"/>
    <w:autoRedefine/>
    <w:qFormat/>
    <w:uiPriority w:val="0"/>
    <w:rPr>
      <w:rFonts w:ascii="宋体" w:hAnsi="Courier New" w:eastAsia="宋体" w:cs="Courier New"/>
      <w:szCs w:val="21"/>
    </w:rPr>
  </w:style>
  <w:style w:type="character" w:customStyle="1" w:styleId="99">
    <w:name w:val="批注文字 Char1"/>
    <w:autoRedefine/>
    <w:semiHidden/>
    <w:qFormat/>
    <w:locked/>
    <w:uiPriority w:val="0"/>
    <w:rPr>
      <w:rFonts w:ascii="Times New Roman" w:hAnsi="Times New Roman"/>
      <w:kern w:val="2"/>
      <w:sz w:val="21"/>
      <w:szCs w:val="24"/>
    </w:rPr>
  </w:style>
  <w:style w:type="character" w:customStyle="1" w:styleId="100">
    <w:name w:val="apple-style-span"/>
    <w:autoRedefine/>
    <w:qFormat/>
    <w:uiPriority w:val="0"/>
  </w:style>
  <w:style w:type="character" w:customStyle="1" w:styleId="101">
    <w:name w:val="普通文字 Char Char2"/>
    <w:autoRedefine/>
    <w:qFormat/>
    <w:uiPriority w:val="0"/>
    <w:rPr>
      <w:rFonts w:ascii="宋体" w:hAnsi="Courier New" w:eastAsia="宋体"/>
      <w:kern w:val="2"/>
      <w:sz w:val="21"/>
      <w:lang w:val="en-US" w:eastAsia="zh-CN" w:bidi="ar-SA"/>
    </w:rPr>
  </w:style>
  <w:style w:type="character" w:customStyle="1" w:styleId="102">
    <w:name w:val="批注文字 字符2"/>
    <w:autoRedefine/>
    <w:qFormat/>
    <w:uiPriority w:val="0"/>
    <w:rPr>
      <w:rFonts w:ascii="Times New Roman" w:hAnsi="Times New Roman"/>
      <w:kern w:val="2"/>
      <w:sz w:val="21"/>
      <w:szCs w:val="24"/>
    </w:rPr>
  </w:style>
  <w:style w:type="character" w:customStyle="1" w:styleId="103">
    <w:name w:val="font11"/>
    <w:autoRedefine/>
    <w:qFormat/>
    <w:uiPriority w:val="0"/>
    <w:rPr>
      <w:rFonts w:hint="eastAsia" w:ascii="宋体" w:hAnsi="宋体" w:eastAsia="宋体" w:cs="宋体"/>
      <w:color w:val="FF0000"/>
      <w:sz w:val="22"/>
      <w:szCs w:val="22"/>
      <w:u w:val="none"/>
    </w:rPr>
  </w:style>
  <w:style w:type="character" w:customStyle="1" w:styleId="104">
    <w:name w:val="标题 5 Char1"/>
    <w:autoRedefine/>
    <w:qFormat/>
    <w:uiPriority w:val="0"/>
    <w:rPr>
      <w:b/>
      <w:kern w:val="2"/>
      <w:sz w:val="28"/>
      <w:szCs w:val="24"/>
    </w:rPr>
  </w:style>
  <w:style w:type="character" w:customStyle="1" w:styleId="105">
    <w:name w:val="批注文字 字符"/>
    <w:autoRedefine/>
    <w:qFormat/>
    <w:uiPriority w:val="0"/>
    <w:rPr>
      <w:rFonts w:ascii="Times New Roman" w:hAnsi="Times New Roman"/>
      <w:kern w:val="2"/>
      <w:sz w:val="21"/>
      <w:szCs w:val="24"/>
    </w:rPr>
  </w:style>
  <w:style w:type="character" w:customStyle="1" w:styleId="106">
    <w:name w:val="正文文本 (26) + 间距 0 pt"/>
    <w:autoRedefine/>
    <w:qFormat/>
    <w:uiPriority w:val="0"/>
    <w:rPr>
      <w:rFonts w:ascii="宋体" w:hAnsi="宋体" w:eastAsia="宋体" w:cs="宋体"/>
      <w:color w:val="000000"/>
      <w:spacing w:val="0"/>
      <w:w w:val="100"/>
      <w:position w:val="0"/>
      <w:sz w:val="22"/>
      <w:szCs w:val="22"/>
      <w:u w:val="none"/>
      <w:lang w:val="zh-CN" w:eastAsia="zh-CN" w:bidi="zh-CN"/>
    </w:rPr>
  </w:style>
  <w:style w:type="character" w:customStyle="1" w:styleId="107">
    <w:name w:val="纯文本 字符"/>
    <w:autoRedefine/>
    <w:qFormat/>
    <w:uiPriority w:val="0"/>
    <w:rPr>
      <w:rFonts w:ascii="宋体" w:hAnsi="Courier New" w:eastAsia="宋体" w:cs="Courier New"/>
      <w:szCs w:val="21"/>
    </w:rPr>
  </w:style>
  <w:style w:type="character" w:customStyle="1" w:styleId="108">
    <w:name w:val="font21"/>
    <w:autoRedefine/>
    <w:qFormat/>
    <w:uiPriority w:val="0"/>
    <w:rPr>
      <w:rFonts w:hint="eastAsia" w:ascii="宋体" w:hAnsi="宋体" w:eastAsia="宋体" w:cs="宋体"/>
      <w:color w:val="FF0000"/>
      <w:sz w:val="22"/>
      <w:szCs w:val="22"/>
      <w:u w:val="none"/>
    </w:rPr>
  </w:style>
  <w:style w:type="character" w:customStyle="1" w:styleId="109">
    <w:name w:val="纯文本 字符1"/>
    <w:autoRedefine/>
    <w:qFormat/>
    <w:uiPriority w:val="0"/>
    <w:rPr>
      <w:rFonts w:ascii="宋体" w:hAnsi="Courier New"/>
    </w:rPr>
  </w:style>
  <w:style w:type="character" w:customStyle="1" w:styleId="110">
    <w:name w:val="标题 5 Char"/>
    <w:autoRedefine/>
    <w:qFormat/>
    <w:uiPriority w:val="0"/>
    <w:rPr>
      <w:b/>
      <w:kern w:val="2"/>
      <w:sz w:val="28"/>
      <w:szCs w:val="24"/>
    </w:rPr>
  </w:style>
  <w:style w:type="character" w:customStyle="1" w:styleId="111">
    <w:name w:val="标题 1 字符"/>
    <w:autoRedefine/>
    <w:qFormat/>
    <w:uiPriority w:val="9"/>
    <w:rPr>
      <w:rFonts w:ascii="Times New Roman" w:hAnsi="Times New Roman" w:eastAsia="宋体" w:cs="Times New Roman"/>
      <w:b/>
      <w:bCs/>
      <w:kern w:val="44"/>
      <w:sz w:val="44"/>
      <w:szCs w:val="44"/>
    </w:rPr>
  </w:style>
  <w:style w:type="character" w:customStyle="1" w:styleId="112">
    <w:name w:val="textcontents"/>
    <w:autoRedefine/>
    <w:qFormat/>
    <w:uiPriority w:val="0"/>
  </w:style>
  <w:style w:type="character" w:customStyle="1" w:styleId="113">
    <w:name w:val="纯文本 Char"/>
    <w:autoRedefine/>
    <w:qFormat/>
    <w:uiPriority w:val="0"/>
    <w:rPr>
      <w:rFonts w:ascii="宋体" w:hAnsi="Courier New" w:eastAsia="宋体" w:cs="Courier New"/>
      <w:szCs w:val="21"/>
    </w:rPr>
  </w:style>
  <w:style w:type="paragraph" w:customStyle="1" w:styleId="114">
    <w:name w:val="正文段"/>
    <w:basedOn w:val="1"/>
    <w:autoRedefine/>
    <w:qFormat/>
    <w:uiPriority w:val="0"/>
    <w:pPr>
      <w:widowControl/>
      <w:snapToGrid w:val="0"/>
      <w:spacing w:after="50" w:afterLines="50"/>
      <w:ind w:firstLine="200" w:firstLineChars="200"/>
    </w:pPr>
    <w:rPr>
      <w:kern w:val="0"/>
      <w:sz w:val="24"/>
      <w:szCs w:val="20"/>
    </w:rPr>
  </w:style>
  <w:style w:type="paragraph" w:customStyle="1" w:styleId="115">
    <w:name w:val="p16"/>
    <w:basedOn w:val="1"/>
    <w:autoRedefine/>
    <w:qFormat/>
    <w:uiPriority w:val="0"/>
    <w:pPr>
      <w:widowControl/>
      <w:autoSpaceDE w:val="0"/>
      <w:autoSpaceDN w:val="0"/>
      <w:jc w:val="left"/>
    </w:pPr>
    <w:rPr>
      <w:rFonts w:ascii="宋体" w:hAnsi="宋体" w:eastAsia="宋体" w:cs="宋体"/>
      <w:kern w:val="0"/>
      <w:sz w:val="22"/>
      <w:szCs w:val="21"/>
      <w:lang w:val="zh-CN" w:bidi="zh-CN"/>
    </w:rPr>
  </w:style>
  <w:style w:type="paragraph" w:customStyle="1" w:styleId="116">
    <w:name w:val="xl22"/>
    <w:basedOn w:val="1"/>
    <w:autoRedefine/>
    <w:qFormat/>
    <w:uiPriority w:val="0"/>
    <w:pPr>
      <w:widowControl/>
      <w:spacing w:before="100" w:beforeAutospacing="1" w:after="100" w:afterAutospacing="1"/>
      <w:jc w:val="left"/>
    </w:pPr>
    <w:rPr>
      <w:rFonts w:ascii="Arial Unicode MS" w:hAnsi="Arial Unicode MS" w:eastAsia="Arial Unicode MS" w:cs="Arial Unicode MS"/>
      <w:kern w:val="0"/>
      <w:sz w:val="20"/>
      <w:szCs w:val="20"/>
    </w:rPr>
  </w:style>
  <w:style w:type="paragraph" w:customStyle="1" w:styleId="117">
    <w:name w:val="Plain Text"/>
    <w:basedOn w:val="1"/>
    <w:autoRedefine/>
    <w:qFormat/>
    <w:uiPriority w:val="0"/>
    <w:rPr>
      <w:rFonts w:ascii="宋体" w:hAnsi="Courier New" w:cs="Century"/>
      <w:szCs w:val="21"/>
    </w:rPr>
  </w:style>
  <w:style w:type="paragraph" w:customStyle="1" w:styleId="118">
    <w:name w:val="正文首行缩进两字符"/>
    <w:basedOn w:val="1"/>
    <w:autoRedefine/>
    <w:qFormat/>
    <w:uiPriority w:val="0"/>
    <w:pPr>
      <w:spacing w:line="360" w:lineRule="auto"/>
      <w:ind w:firstLine="200" w:firstLineChars="200"/>
    </w:pPr>
  </w:style>
  <w:style w:type="paragraph" w:customStyle="1" w:styleId="119">
    <w:name w:val="正文2"/>
    <w:basedOn w:val="1"/>
    <w:autoRedefine/>
    <w:qFormat/>
    <w:uiPriority w:val="0"/>
    <w:pPr>
      <w:adjustRightInd w:val="0"/>
      <w:spacing w:before="156" w:line="360" w:lineRule="auto"/>
      <w:ind w:firstLine="510" w:firstLineChars="200"/>
    </w:pPr>
    <w:rPr>
      <w:sz w:val="24"/>
      <w:szCs w:val="20"/>
    </w:rPr>
  </w:style>
  <w:style w:type="paragraph" w:customStyle="1" w:styleId="120">
    <w:name w:val="样式 标题 2 + Times New Roman 四号 非加粗 段前: 5 磅 段后: 0 磅 行距: 固定值 20..."/>
    <w:basedOn w:val="3"/>
    <w:autoRedefine/>
    <w:qFormat/>
    <w:uiPriority w:val="0"/>
    <w:pPr>
      <w:spacing w:before="100" w:after="0" w:line="400" w:lineRule="exact"/>
    </w:pPr>
    <w:rPr>
      <w:rFonts w:ascii="Times New Roman" w:hAnsi="Times New Roman" w:cs="宋体"/>
      <w:b w:val="0"/>
      <w:bCs w:val="0"/>
      <w:sz w:val="28"/>
      <w:szCs w:val="20"/>
    </w:rPr>
  </w:style>
  <w:style w:type="paragraph" w:customStyle="1" w:styleId="121">
    <w:name w:val="样式 标题 3 + (中文) 黑体 小四 非加粗 段前: 7.8 磅 段后: 0 磅 行距: 固定值 20 磅"/>
    <w:basedOn w:val="4"/>
    <w:autoRedefine/>
    <w:qFormat/>
    <w:uiPriority w:val="0"/>
    <w:pPr>
      <w:spacing w:before="0" w:after="0" w:line="400" w:lineRule="exact"/>
    </w:pPr>
    <w:rPr>
      <w:rFonts w:eastAsia="黑体" w:cs="宋体"/>
      <w:b w:val="0"/>
      <w:bCs w:val="0"/>
      <w:sz w:val="24"/>
      <w:szCs w:val="20"/>
    </w:rPr>
  </w:style>
  <w:style w:type="paragraph" w:customStyle="1" w:styleId="122">
    <w:name w:val="样式"/>
    <w:autoRedefine/>
    <w:qFormat/>
    <w:uiPriority w:val="0"/>
    <w:pPr>
      <w:widowControl w:val="0"/>
      <w:autoSpaceDE w:val="0"/>
      <w:autoSpaceDN w:val="0"/>
      <w:adjustRightInd w:val="0"/>
      <w:jc w:val="center"/>
    </w:pPr>
    <w:rPr>
      <w:rFonts w:ascii="宋体" w:hAnsi="宋体" w:eastAsia="宋体" w:cs="宋体"/>
      <w:sz w:val="24"/>
      <w:szCs w:val="24"/>
      <w:lang w:val="en-US" w:eastAsia="zh-CN" w:bidi="ar-SA"/>
    </w:rPr>
  </w:style>
  <w:style w:type="paragraph" w:customStyle="1" w:styleId="123">
    <w:name w:val="表内文字"/>
    <w:basedOn w:val="1"/>
    <w:autoRedefine/>
    <w:qFormat/>
    <w:uiPriority w:val="0"/>
    <w:pPr>
      <w:snapToGrid w:val="0"/>
      <w:spacing w:before="50" w:after="50"/>
      <w:jc w:val="center"/>
    </w:pPr>
    <w:rPr>
      <w:rFonts w:ascii="仿宋_GB2312" w:hAnsi="宋体" w:eastAsia="仿宋_GB2312"/>
      <w:b/>
      <w:color w:val="000000"/>
      <w:sz w:val="32"/>
      <w:szCs w:val="32"/>
    </w:rPr>
  </w:style>
  <w:style w:type="paragraph" w:customStyle="1" w:styleId="124">
    <w:name w:val="样式 首行缩进:  2 字符"/>
    <w:basedOn w:val="1"/>
    <w:autoRedefine/>
    <w:qFormat/>
    <w:uiPriority w:val="0"/>
    <w:pPr>
      <w:spacing w:line="400" w:lineRule="exact"/>
      <w:ind w:firstLine="200" w:firstLineChars="200"/>
    </w:pPr>
    <w:rPr>
      <w:rFonts w:cs="宋体"/>
      <w:sz w:val="24"/>
    </w:rPr>
  </w:style>
  <w:style w:type="paragraph" w:customStyle="1" w:styleId="125">
    <w:name w:val="Table Paragraph"/>
    <w:basedOn w:val="1"/>
    <w:autoRedefine/>
    <w:qFormat/>
    <w:uiPriority w:val="1"/>
    <w:pPr>
      <w:jc w:val="left"/>
    </w:pPr>
    <w:rPr>
      <w:rFonts w:ascii="Calibri" w:hAnsi="Calibri" w:eastAsia="宋体" w:cs="Times New Roman"/>
      <w:kern w:val="0"/>
      <w:sz w:val="22"/>
      <w:szCs w:val="22"/>
      <w:lang w:eastAsia="en-US"/>
    </w:rPr>
  </w:style>
  <w:style w:type="paragraph" w:customStyle="1" w:styleId="126">
    <w:name w:val="Char1"/>
    <w:basedOn w:val="1"/>
    <w:autoRedefine/>
    <w:qFormat/>
    <w:uiPriority w:val="0"/>
    <w:rPr>
      <w:szCs w:val="21"/>
    </w:rPr>
  </w:style>
  <w:style w:type="paragraph" w:customStyle="1" w:styleId="127">
    <w:name w:val="表格"/>
    <w:basedOn w:val="1"/>
    <w:autoRedefine/>
    <w:qFormat/>
    <w:uiPriority w:val="0"/>
    <w:pPr>
      <w:spacing w:line="400" w:lineRule="exact"/>
    </w:pPr>
    <w:rPr>
      <w:sz w:val="24"/>
    </w:rPr>
  </w:style>
  <w:style w:type="paragraph" w:customStyle="1" w:styleId="128">
    <w:name w:val="默认段落字体 Para Char Char Char Char Char Char Char Char Char1 Char Char Char Char"/>
    <w:basedOn w:val="1"/>
    <w:autoRedefine/>
    <w:qFormat/>
    <w:uiPriority w:val="0"/>
    <w:rPr>
      <w:rFonts w:ascii="Tahoma" w:hAnsi="Tahoma"/>
      <w:sz w:val="24"/>
      <w:szCs w:val="20"/>
    </w:rPr>
  </w:style>
  <w:style w:type="paragraph" w:customStyle="1" w:styleId="129">
    <w:name w:val="5.1.1"/>
    <w:basedOn w:val="1"/>
    <w:next w:val="130"/>
    <w:autoRedefine/>
    <w:qFormat/>
    <w:uiPriority w:val="0"/>
    <w:pPr>
      <w:ind w:firstLine="420" w:firstLineChars="200"/>
    </w:pPr>
    <w:rPr>
      <w:rFonts w:eastAsia="宋体"/>
      <w:sz w:val="24"/>
    </w:rPr>
  </w:style>
  <w:style w:type="paragraph" w:styleId="130">
    <w:name w:val="List Paragraph"/>
    <w:basedOn w:val="1"/>
    <w:autoRedefine/>
    <w:qFormat/>
    <w:uiPriority w:val="99"/>
    <w:pPr>
      <w:ind w:firstLine="420" w:firstLineChars="200"/>
    </w:pPr>
  </w:style>
  <w:style w:type="paragraph" w:customStyle="1" w:styleId="131">
    <w:name w:val="font6"/>
    <w:basedOn w:val="1"/>
    <w:autoRedefine/>
    <w:qFormat/>
    <w:uiPriority w:val="0"/>
    <w:pPr>
      <w:widowControl/>
      <w:spacing w:before="100" w:beforeAutospacing="1" w:after="100" w:afterAutospacing="1"/>
      <w:jc w:val="left"/>
    </w:pPr>
    <w:rPr>
      <w:rFonts w:ascii="宋体" w:hAnsi="宋体" w:eastAsia="Arial Unicode MS" w:cs="宋体"/>
      <w:kern w:val="0"/>
      <w:sz w:val="24"/>
    </w:rPr>
  </w:style>
  <w:style w:type="table" w:customStyle="1" w:styleId="132">
    <w:name w:val="Table Normal"/>
    <w:autoRedefine/>
    <w:semiHidden/>
    <w:qFormat/>
    <w:uiPriority w:val="2"/>
    <w:pPr>
      <w:widowControl w:val="0"/>
    </w:pPr>
    <w:rPr>
      <w:rFonts w:ascii="Calibri" w:hAnsi="Calibri" w:eastAsia="Times New Roman"/>
      <w:sz w:val="22"/>
      <w:szCs w:val="22"/>
      <w:lang w:val="en-US" w:eastAsia="en-US" w:bidi="ar-SA"/>
    </w:rPr>
    <w:tblPr>
      <w:tblCellMar>
        <w:top w:w="0" w:type="dxa"/>
        <w:left w:w="0" w:type="dxa"/>
        <w:bottom w:w="0" w:type="dxa"/>
        <w:right w:w="0" w:type="dxa"/>
      </w:tblCellMar>
    </w:tblPr>
  </w:style>
  <w:style w:type="paragraph" w:customStyle="1" w:styleId="133">
    <w:name w:val="_Style 132"/>
    <w:autoRedefine/>
    <w:unhideWhenUsed/>
    <w:qFormat/>
    <w:uiPriority w:val="99"/>
    <w:rPr>
      <w:rFonts w:ascii="Times New Roman" w:hAnsi="Times New Roman" w:eastAsia="宋体" w:cs="Times New Roman"/>
      <w:kern w:val="2"/>
      <w:sz w:val="21"/>
      <w:szCs w:val="24"/>
      <w:lang w:val="en-US" w:eastAsia="zh-CN" w:bidi="ar-SA"/>
    </w:rPr>
  </w:style>
  <w:style w:type="character" w:customStyle="1" w:styleId="134">
    <w:name w:val="NormalCharacter"/>
    <w:autoRedefine/>
    <w:qFormat/>
    <w:uiPriority w:val="0"/>
    <w:rPr>
      <w:rFonts w:ascii="Calibri" w:hAnsi="Calibri"/>
      <w:kern w:val="2"/>
      <w:sz w:val="21"/>
      <w:szCs w:val="24"/>
      <w:lang w:val="en-US" w:eastAsia="zh-CN" w:bidi="ar-SA"/>
    </w:rPr>
  </w:style>
  <w:style w:type="character" w:customStyle="1" w:styleId="135">
    <w:name w:val="hover"/>
    <w:basedOn w:val="48"/>
    <w:autoRedefine/>
    <w:qFormat/>
    <w:uiPriority w:val="0"/>
    <w:rPr>
      <w:color w:val="2590EB"/>
    </w:rPr>
  </w:style>
  <w:style w:type="character" w:customStyle="1" w:styleId="136">
    <w:name w:val="hover1"/>
    <w:basedOn w:val="48"/>
    <w:autoRedefine/>
    <w:qFormat/>
    <w:uiPriority w:val="0"/>
    <w:rPr>
      <w:color w:val="2590EB"/>
    </w:rPr>
  </w:style>
  <w:style w:type="character" w:customStyle="1" w:styleId="137">
    <w:name w:val="hover2"/>
    <w:basedOn w:val="48"/>
    <w:autoRedefine/>
    <w:qFormat/>
    <w:uiPriority w:val="0"/>
  </w:style>
  <w:style w:type="character" w:customStyle="1" w:styleId="138">
    <w:name w:val="hover3"/>
    <w:basedOn w:val="48"/>
    <w:autoRedefine/>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21608;&#23376;&#28982;\2023\&#26410;&#24320;&#26631;\&#24191;&#35199;&#22766;&#26063;&#33258;&#27835;&#21306;&#26690;&#19996;&#20154;&#27665;&#21307;&#38498;&#24425;&#33394;&#22810;&#26222;&#21202;&#36229;&#22768;&#35786;&#26029;&#20202;&#37319;&#36141;\&#24191;&#35199;&#22766;&#26063;&#33258;&#27835;&#21306;&#26690;&#19996;&#20154;&#27665;&#21307;&#38498;&#24425;&#33394;&#22810;&#26222;&#21202;&#36229;&#22768;&#35786;&#26029;&#20202;&#37319;&#36141;&#65288;&#39044;&#20844;&#31034;&#65289;.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广西壮族自治区桂东人民医院彩色多普勒超声诊断仪采购（预公示）.dot</Template>
  <Pages>115</Pages>
  <Words>62149</Words>
  <Characters>68305</Characters>
  <Lines>588</Lines>
  <Paragraphs>165</Paragraphs>
  <TotalTime>26</TotalTime>
  <ScaleCrop>false</ScaleCrop>
  <LinksUpToDate>false</LinksUpToDate>
  <CharactersWithSpaces>75148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2023-12-20T08:14:00Z</dcterms:created>
  <dc:creator>吃不饱先生</dc:creator>
  <cp:lastModifiedBy>青春正进行</cp:lastModifiedBy>
  <dcterms:modified xsi:type="dcterms:W3CDTF">2023-12-26T06:50:16Z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5DB028C32C4448A0A552C433DE556353_11</vt:lpwstr>
  </property>
  <property fmtid="{D5CDD505-2E9C-101B-9397-08002B2CF9AE}" pid="4" name="commondata">
    <vt:lpwstr>eyJoZGlkIjoiN2ZiZjUyYTc5YzM4OTI2MGM5Mzg0NzRlMzgyMzk0ODEifQ==</vt:lpwstr>
  </property>
</Properties>
</file>