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50" w:line="600" w:lineRule="exact"/>
        <w:jc w:val="center"/>
        <w:rPr>
          <w:rFonts w:ascii="宋体" w:hAnsi="宋体" w:cs="宋体"/>
          <w:b/>
          <w:color w:val="auto"/>
          <w:sz w:val="72"/>
          <w:szCs w:val="72"/>
          <w:highlight w:val="none"/>
        </w:rPr>
      </w:pPr>
    </w:p>
    <w:p>
      <w:pPr>
        <w:spacing w:beforeLines="100" w:afterLines="50" w:line="600" w:lineRule="exact"/>
        <w:jc w:val="center"/>
        <w:rPr>
          <w:rFonts w:ascii="宋体" w:hAnsi="宋体" w:cs="宋体"/>
          <w:color w:val="auto"/>
          <w:sz w:val="72"/>
          <w:szCs w:val="72"/>
          <w:highlight w:val="none"/>
        </w:rPr>
      </w:pPr>
      <w:r>
        <w:rPr>
          <w:rFonts w:hint="eastAsia" w:ascii="宋体" w:hAnsi="宋体" w:cs="宋体"/>
          <w:color w:val="auto"/>
          <w:sz w:val="72"/>
          <w:szCs w:val="72"/>
          <w:highlight w:val="none"/>
        </w:rPr>
        <w:t>竞争性磋商文件</w:t>
      </w:r>
    </w:p>
    <w:p>
      <w:pPr>
        <w:spacing w:beforeLines="100" w:afterLines="50" w:line="600" w:lineRule="exact"/>
        <w:jc w:val="center"/>
        <w:rPr>
          <w:rFonts w:ascii="宋体" w:hAnsi="宋体" w:cs="宋体"/>
          <w:b/>
          <w:color w:val="auto"/>
          <w:sz w:val="44"/>
          <w:szCs w:val="44"/>
          <w:highlight w:val="none"/>
        </w:rPr>
      </w:pPr>
    </w:p>
    <w:p>
      <w:pPr>
        <w:snapToGrid w:val="0"/>
        <w:spacing w:beforeLines="50" w:line="360" w:lineRule="auto"/>
        <w:jc w:val="center"/>
        <w:rPr>
          <w:rFonts w:ascii="宋体" w:hAnsi="宋体" w:cs="宋体"/>
          <w:color w:val="auto"/>
          <w:sz w:val="30"/>
          <w:szCs w:val="72"/>
          <w:highlight w:val="none"/>
        </w:rPr>
      </w:pPr>
    </w:p>
    <w:p>
      <w:pPr>
        <w:spacing w:line="400" w:lineRule="exact"/>
        <w:rPr>
          <w:rFonts w:ascii="宋体" w:hAnsi="宋体" w:cs="宋体"/>
          <w:b/>
          <w:color w:val="auto"/>
          <w:sz w:val="32"/>
          <w:szCs w:val="32"/>
          <w:highlight w:val="none"/>
        </w:rPr>
      </w:pPr>
    </w:p>
    <w:p>
      <w:pPr>
        <w:spacing w:line="400" w:lineRule="exact"/>
        <w:jc w:val="center"/>
        <w:rPr>
          <w:rFonts w:ascii="宋体" w:hAnsi="宋体" w:cs="宋体"/>
          <w:b/>
          <w:color w:val="auto"/>
          <w:sz w:val="32"/>
          <w:szCs w:val="32"/>
          <w:highlight w:val="none"/>
        </w:rPr>
      </w:pPr>
    </w:p>
    <w:p>
      <w:pPr>
        <w:spacing w:line="400" w:lineRule="exact"/>
        <w:jc w:val="center"/>
        <w:rPr>
          <w:rFonts w:ascii="宋体" w:hAnsi="宋体" w:cs="宋体"/>
          <w:b/>
          <w:color w:val="auto"/>
          <w:sz w:val="32"/>
          <w:szCs w:val="32"/>
          <w:highlight w:val="none"/>
        </w:rPr>
      </w:pPr>
    </w:p>
    <w:p>
      <w:pPr>
        <w:spacing w:line="40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 xml:space="preserve">    项目名称：平南县医疗收费电子票据信息管理系统建设项目</w:t>
      </w:r>
    </w:p>
    <w:p>
      <w:pPr>
        <w:spacing w:line="400" w:lineRule="exact"/>
        <w:jc w:val="center"/>
        <w:rPr>
          <w:rFonts w:ascii="宋体" w:hAnsi="宋体" w:cs="宋体"/>
          <w:b/>
          <w:color w:val="auto"/>
          <w:sz w:val="32"/>
          <w:szCs w:val="32"/>
          <w:highlight w:val="none"/>
        </w:rPr>
      </w:pPr>
    </w:p>
    <w:p>
      <w:pPr>
        <w:spacing w:line="400" w:lineRule="exact"/>
        <w:ind w:firstLine="964" w:firstLineChars="300"/>
        <w:rPr>
          <w:rFonts w:ascii="宋体" w:hAnsi="宋体" w:cs="宋体"/>
          <w:b/>
          <w:color w:val="auto"/>
          <w:sz w:val="32"/>
          <w:szCs w:val="32"/>
          <w:highlight w:val="none"/>
        </w:rPr>
      </w:pPr>
      <w:r>
        <w:rPr>
          <w:rFonts w:hint="eastAsia" w:ascii="宋体" w:hAnsi="宋体" w:cs="宋体"/>
          <w:b/>
          <w:color w:val="auto"/>
          <w:sz w:val="32"/>
          <w:szCs w:val="32"/>
          <w:highlight w:val="none"/>
        </w:rPr>
        <w:t xml:space="preserve">项目编号：GGZC2020-C3-62428-GXYL  </w:t>
      </w:r>
    </w:p>
    <w:p>
      <w:pPr>
        <w:spacing w:line="400" w:lineRule="exact"/>
        <w:ind w:firstLine="964" w:firstLineChars="300"/>
        <w:rPr>
          <w:rFonts w:ascii="宋体" w:hAnsi="宋体" w:cs="宋体"/>
          <w:b/>
          <w:color w:val="auto"/>
          <w:sz w:val="32"/>
          <w:szCs w:val="32"/>
          <w:highlight w:val="none"/>
        </w:rPr>
      </w:pPr>
    </w:p>
    <w:p>
      <w:pPr>
        <w:spacing w:line="400" w:lineRule="exact"/>
        <w:ind w:firstLine="964" w:firstLineChars="300"/>
        <w:rPr>
          <w:rFonts w:ascii="宋体" w:hAnsi="宋体" w:cs="宋体"/>
          <w:b/>
          <w:color w:val="auto"/>
          <w:sz w:val="32"/>
          <w:szCs w:val="32"/>
          <w:highlight w:val="none"/>
        </w:rPr>
      </w:pPr>
      <w:r>
        <w:rPr>
          <w:rFonts w:hint="eastAsia" w:ascii="宋体" w:hAnsi="宋体" w:cs="宋体"/>
          <w:b/>
          <w:color w:val="auto"/>
          <w:sz w:val="32"/>
          <w:szCs w:val="32"/>
          <w:highlight w:val="none"/>
        </w:rPr>
        <w:t>采 购 人：平南县非税收入管理所</w:t>
      </w:r>
    </w:p>
    <w:p>
      <w:pPr>
        <w:spacing w:line="400" w:lineRule="exact"/>
        <w:ind w:firstLine="964" w:firstLineChars="300"/>
        <w:rPr>
          <w:rFonts w:ascii="宋体" w:hAnsi="宋体" w:cs="宋体"/>
          <w:b/>
          <w:color w:val="auto"/>
          <w:sz w:val="32"/>
          <w:szCs w:val="32"/>
          <w:highlight w:val="none"/>
        </w:rPr>
      </w:pPr>
    </w:p>
    <w:p>
      <w:pPr>
        <w:spacing w:line="400" w:lineRule="exact"/>
        <w:ind w:firstLine="964" w:firstLineChars="300"/>
        <w:rPr>
          <w:rFonts w:ascii="宋体" w:hAnsi="宋体" w:cs="宋体"/>
          <w:b/>
          <w:color w:val="auto"/>
          <w:sz w:val="32"/>
          <w:szCs w:val="32"/>
          <w:highlight w:val="none"/>
        </w:rPr>
      </w:pPr>
      <w:r>
        <w:rPr>
          <w:rFonts w:hint="eastAsia" w:ascii="宋体" w:hAnsi="宋体" w:cs="宋体"/>
          <w:b/>
          <w:color w:val="auto"/>
          <w:sz w:val="32"/>
          <w:szCs w:val="32"/>
          <w:highlight w:val="none"/>
        </w:rPr>
        <w:t>采购代理机构：云之龙招标集团有限公司</w:t>
      </w:r>
    </w:p>
    <w:p>
      <w:pPr>
        <w:spacing w:line="400" w:lineRule="exact"/>
        <w:jc w:val="center"/>
        <w:rPr>
          <w:rFonts w:ascii="宋体" w:hAnsi="宋体" w:cs="宋体"/>
          <w:b/>
          <w:color w:val="auto"/>
          <w:sz w:val="32"/>
          <w:szCs w:val="32"/>
          <w:highlight w:val="none"/>
        </w:rPr>
      </w:pPr>
    </w:p>
    <w:p>
      <w:pPr>
        <w:spacing w:line="400" w:lineRule="exact"/>
        <w:jc w:val="center"/>
        <w:rPr>
          <w:rFonts w:ascii="宋体" w:hAnsi="宋体" w:cs="宋体"/>
          <w:b/>
          <w:color w:val="auto"/>
          <w:sz w:val="32"/>
          <w:szCs w:val="32"/>
          <w:highlight w:val="none"/>
        </w:rPr>
      </w:pPr>
    </w:p>
    <w:p>
      <w:pPr>
        <w:spacing w:line="400" w:lineRule="exact"/>
        <w:jc w:val="center"/>
        <w:rPr>
          <w:rFonts w:ascii="宋体" w:hAnsi="宋体" w:cs="宋体"/>
          <w:b/>
          <w:color w:val="auto"/>
          <w:sz w:val="32"/>
          <w:szCs w:val="32"/>
          <w:highlight w:val="none"/>
        </w:rPr>
      </w:pPr>
    </w:p>
    <w:p>
      <w:pPr>
        <w:spacing w:line="40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2020年</w:t>
      </w:r>
      <w:r>
        <w:rPr>
          <w:rFonts w:hint="eastAsia" w:ascii="宋体" w:hAnsi="宋体" w:cs="宋体"/>
          <w:b/>
          <w:color w:val="auto"/>
          <w:sz w:val="32"/>
          <w:szCs w:val="32"/>
          <w:highlight w:val="none"/>
          <w:lang w:val="en-US" w:eastAsia="zh-CN"/>
        </w:rPr>
        <w:t>12</w:t>
      </w:r>
      <w:r>
        <w:rPr>
          <w:rFonts w:hint="eastAsia" w:ascii="宋体" w:hAnsi="宋体" w:cs="宋体"/>
          <w:b/>
          <w:color w:val="auto"/>
          <w:sz w:val="32"/>
          <w:szCs w:val="32"/>
          <w:highlight w:val="none"/>
        </w:rPr>
        <w:t>月</w:t>
      </w:r>
      <w:r>
        <w:rPr>
          <w:rFonts w:hint="eastAsia" w:ascii="宋体" w:hAnsi="宋体" w:cs="宋体"/>
          <w:b/>
          <w:color w:val="auto"/>
          <w:sz w:val="32"/>
          <w:szCs w:val="32"/>
          <w:highlight w:val="none"/>
          <w:lang w:val="en-US" w:eastAsia="zh-CN"/>
        </w:rPr>
        <w:t>21</w:t>
      </w:r>
      <w:r>
        <w:rPr>
          <w:rFonts w:hint="eastAsia" w:ascii="宋体" w:hAnsi="宋体" w:cs="宋体"/>
          <w:b/>
          <w:color w:val="auto"/>
          <w:sz w:val="32"/>
          <w:szCs w:val="32"/>
          <w:highlight w:val="none"/>
        </w:rPr>
        <w:t>日</w:t>
      </w:r>
    </w:p>
    <w:p>
      <w:pPr>
        <w:spacing w:line="400" w:lineRule="exact"/>
        <w:ind w:firstLine="602" w:firstLineChars="200"/>
        <w:rPr>
          <w:rFonts w:ascii="宋体" w:hAnsi="宋体" w:cs="宋体"/>
          <w:b/>
          <w:color w:val="auto"/>
          <w:sz w:val="32"/>
          <w:szCs w:val="32"/>
          <w:highlight w:val="none"/>
        </w:rPr>
      </w:pPr>
      <w:r>
        <w:rPr>
          <w:rFonts w:hint="eastAsia" w:ascii="宋体" w:hAnsi="宋体" w:cs="宋体"/>
          <w:b/>
          <w:color w:val="auto"/>
          <w:sz w:val="30"/>
          <w:szCs w:val="30"/>
          <w:highlight w:val="none"/>
        </w:rPr>
        <w:br w:type="page"/>
      </w: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目   录</w:t>
      </w:r>
    </w:p>
    <w:p>
      <w:pPr>
        <w:spacing w:line="400" w:lineRule="exact"/>
        <w:jc w:val="center"/>
        <w:rPr>
          <w:rFonts w:ascii="宋体" w:hAnsi="宋体" w:cs="宋体"/>
          <w:b/>
          <w:color w:val="auto"/>
          <w:sz w:val="44"/>
          <w:szCs w:val="44"/>
          <w:highlight w:val="none"/>
        </w:rPr>
      </w:pPr>
    </w:p>
    <w:p>
      <w:pPr>
        <w:pStyle w:val="18"/>
        <w:rPr>
          <w:rFonts w:ascii="宋体" w:hAnsi="宋体" w:cs="宋体"/>
          <w:color w:val="auto"/>
          <w:szCs w:val="22"/>
          <w:highlight w:val="none"/>
        </w:rPr>
      </w:pPr>
      <w:r>
        <w:rPr>
          <w:rFonts w:hint="eastAsia" w:ascii="宋体" w:hAnsi="宋体" w:cs="宋体"/>
          <w:b/>
          <w:color w:val="auto"/>
          <w:sz w:val="30"/>
          <w:szCs w:val="30"/>
          <w:highlight w:val="none"/>
        </w:rPr>
        <w:fldChar w:fldCharType="begin"/>
      </w:r>
      <w:r>
        <w:rPr>
          <w:rFonts w:hint="eastAsia" w:ascii="宋体" w:hAnsi="宋体" w:cs="宋体"/>
          <w:b/>
          <w:color w:val="auto"/>
          <w:sz w:val="30"/>
          <w:szCs w:val="30"/>
          <w:highlight w:val="none"/>
        </w:rPr>
        <w:instrText xml:space="preserve"> TOC \o "1-3" \h \z \u </w:instrText>
      </w:r>
      <w:r>
        <w:rPr>
          <w:rFonts w:hint="eastAsia" w:ascii="宋体" w:hAnsi="宋体" w:cs="宋体"/>
          <w:b/>
          <w:color w:val="auto"/>
          <w:sz w:val="30"/>
          <w:szCs w:val="30"/>
          <w:highlight w:val="none"/>
        </w:rPr>
        <w:fldChar w:fldCharType="separate"/>
      </w:r>
      <w:r>
        <w:rPr>
          <w:color w:val="auto"/>
          <w:highlight w:val="none"/>
        </w:rPr>
        <w:fldChar w:fldCharType="begin"/>
      </w:r>
      <w:r>
        <w:rPr>
          <w:color w:val="auto"/>
          <w:highlight w:val="none"/>
        </w:rPr>
        <w:instrText xml:space="preserve"> HYPERLINK \l "_Toc44229877" </w:instrText>
      </w:r>
      <w:r>
        <w:rPr>
          <w:color w:val="auto"/>
          <w:highlight w:val="none"/>
        </w:rPr>
        <w:fldChar w:fldCharType="separate"/>
      </w:r>
      <w:r>
        <w:rPr>
          <w:rStyle w:val="24"/>
          <w:rFonts w:hint="eastAsia" w:ascii="宋体" w:hAnsi="宋体" w:cs="宋体"/>
          <w:color w:val="auto"/>
          <w:highlight w:val="none"/>
        </w:rPr>
        <w:t>第一章 竞争性磋商公告</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_Toc44229877 \h </w:instrText>
      </w:r>
      <w:r>
        <w:rPr>
          <w:rFonts w:hint="eastAsia" w:ascii="宋体" w:hAnsi="宋体" w:cs="宋体"/>
          <w:color w:val="auto"/>
          <w:highlight w:val="none"/>
        </w:rPr>
        <w:fldChar w:fldCharType="separate"/>
      </w:r>
      <w:r>
        <w:rPr>
          <w:rFonts w:hint="eastAsia" w:ascii="宋体" w:hAnsi="宋体" w:cs="宋体"/>
          <w:color w:val="auto"/>
          <w:highlight w:val="none"/>
        </w:rPr>
        <w:t>1</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8"/>
        <w:rPr>
          <w:rFonts w:ascii="宋体" w:hAnsi="宋体" w:cs="宋体"/>
          <w:color w:val="auto"/>
          <w:szCs w:val="22"/>
          <w:highlight w:val="none"/>
        </w:rPr>
      </w:pPr>
      <w:r>
        <w:rPr>
          <w:color w:val="auto"/>
          <w:highlight w:val="none"/>
        </w:rPr>
        <w:fldChar w:fldCharType="begin"/>
      </w:r>
      <w:r>
        <w:rPr>
          <w:color w:val="auto"/>
          <w:highlight w:val="none"/>
        </w:rPr>
        <w:instrText xml:space="preserve"> HYPERLINK \l "_Toc44229894" </w:instrText>
      </w:r>
      <w:r>
        <w:rPr>
          <w:color w:val="auto"/>
          <w:highlight w:val="none"/>
        </w:rPr>
        <w:fldChar w:fldCharType="separate"/>
      </w:r>
      <w:r>
        <w:rPr>
          <w:rStyle w:val="24"/>
          <w:rFonts w:hint="eastAsia" w:ascii="宋体" w:hAnsi="宋体" w:cs="宋体"/>
          <w:color w:val="auto"/>
          <w:highlight w:val="none"/>
        </w:rPr>
        <w:t>第二章 供应商须</w:t>
      </w:r>
      <w:bookmarkStart w:id="0" w:name="_Hlt45187174"/>
      <w:bookmarkStart w:id="1" w:name="_Hlt45187173"/>
      <w:r>
        <w:rPr>
          <w:rStyle w:val="24"/>
          <w:rFonts w:hint="eastAsia" w:ascii="宋体" w:hAnsi="宋体" w:cs="宋体"/>
          <w:color w:val="auto"/>
          <w:highlight w:val="none"/>
        </w:rPr>
        <w:t>知</w:t>
      </w:r>
      <w:bookmarkEnd w:id="0"/>
      <w:bookmarkEnd w:id="1"/>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_Toc44229894 \h </w:instrText>
      </w:r>
      <w:r>
        <w:rPr>
          <w:rFonts w:hint="eastAsia" w:ascii="宋体" w:hAnsi="宋体" w:cs="宋体"/>
          <w:color w:val="auto"/>
          <w:highlight w:val="none"/>
        </w:rPr>
        <w:fldChar w:fldCharType="separate"/>
      </w:r>
      <w:r>
        <w:rPr>
          <w:rFonts w:hint="eastAsia" w:ascii="宋体" w:hAnsi="宋体" w:cs="宋体"/>
          <w:color w:val="auto"/>
          <w:highlight w:val="none"/>
        </w:rPr>
        <w:t>3</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8"/>
        <w:rPr>
          <w:rFonts w:ascii="宋体" w:hAnsi="宋体" w:cs="宋体"/>
          <w:color w:val="auto"/>
          <w:szCs w:val="22"/>
          <w:highlight w:val="none"/>
        </w:rPr>
      </w:pPr>
      <w:r>
        <w:rPr>
          <w:color w:val="auto"/>
          <w:highlight w:val="none"/>
        </w:rPr>
        <w:fldChar w:fldCharType="begin"/>
      </w:r>
      <w:r>
        <w:rPr>
          <w:color w:val="auto"/>
          <w:highlight w:val="none"/>
        </w:rPr>
        <w:instrText xml:space="preserve"> HYPERLINK \l "_Toc44229895" </w:instrText>
      </w:r>
      <w:r>
        <w:rPr>
          <w:color w:val="auto"/>
          <w:highlight w:val="none"/>
        </w:rPr>
        <w:fldChar w:fldCharType="separate"/>
      </w:r>
      <w:r>
        <w:rPr>
          <w:rStyle w:val="24"/>
          <w:rFonts w:hint="eastAsia" w:ascii="宋体" w:hAnsi="宋体" w:cs="宋体"/>
          <w:color w:val="auto"/>
          <w:highlight w:val="none"/>
        </w:rPr>
        <w:t>第三章 采购需求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_Toc44229895 \h </w:instrText>
      </w:r>
      <w:r>
        <w:rPr>
          <w:rFonts w:hint="eastAsia" w:ascii="宋体" w:hAnsi="宋体" w:cs="宋体"/>
          <w:color w:val="auto"/>
          <w:highlight w:val="none"/>
        </w:rPr>
        <w:fldChar w:fldCharType="separate"/>
      </w:r>
      <w:r>
        <w:rPr>
          <w:rFonts w:hint="eastAsia" w:ascii="宋体" w:hAnsi="宋体" w:cs="宋体"/>
          <w:color w:val="auto"/>
          <w:highlight w:val="none"/>
        </w:rPr>
        <w:t>18</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8"/>
        <w:rPr>
          <w:rFonts w:ascii="宋体" w:hAnsi="宋体" w:cs="宋体"/>
          <w:color w:val="auto"/>
          <w:szCs w:val="22"/>
          <w:highlight w:val="none"/>
        </w:rPr>
      </w:pPr>
      <w:r>
        <w:rPr>
          <w:color w:val="auto"/>
          <w:highlight w:val="none"/>
        </w:rPr>
        <w:fldChar w:fldCharType="begin"/>
      </w:r>
      <w:r>
        <w:rPr>
          <w:color w:val="auto"/>
          <w:highlight w:val="none"/>
        </w:rPr>
        <w:instrText xml:space="preserve"> HYPERLINK \l "_Toc44229896" </w:instrText>
      </w:r>
      <w:r>
        <w:rPr>
          <w:color w:val="auto"/>
          <w:highlight w:val="none"/>
        </w:rPr>
        <w:fldChar w:fldCharType="separate"/>
      </w:r>
      <w:r>
        <w:rPr>
          <w:rStyle w:val="24"/>
          <w:rFonts w:hint="eastAsia" w:ascii="宋体" w:hAnsi="宋体" w:cs="宋体"/>
          <w:color w:val="auto"/>
          <w:highlight w:val="none"/>
        </w:rPr>
        <w:t>第四章 评审程序、评审方法和</w:t>
      </w:r>
      <w:bookmarkStart w:id="2" w:name="_Hlt44924516"/>
      <w:bookmarkStart w:id="3" w:name="_Hlt44924517"/>
      <w:r>
        <w:rPr>
          <w:rStyle w:val="24"/>
          <w:rFonts w:hint="eastAsia" w:ascii="宋体" w:hAnsi="宋体" w:cs="宋体"/>
          <w:color w:val="auto"/>
          <w:highlight w:val="none"/>
        </w:rPr>
        <w:t>评</w:t>
      </w:r>
      <w:bookmarkEnd w:id="2"/>
      <w:bookmarkEnd w:id="3"/>
      <w:r>
        <w:rPr>
          <w:rStyle w:val="24"/>
          <w:rFonts w:hint="eastAsia" w:ascii="宋体" w:hAnsi="宋体" w:cs="宋体"/>
          <w:color w:val="auto"/>
          <w:highlight w:val="none"/>
        </w:rPr>
        <w:t>审标准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_Toc44229896 \h </w:instrText>
      </w:r>
      <w:r>
        <w:rPr>
          <w:rFonts w:hint="eastAsia" w:ascii="宋体" w:hAnsi="宋体" w:cs="宋体"/>
          <w:color w:val="auto"/>
          <w:highlight w:val="none"/>
        </w:rPr>
        <w:fldChar w:fldCharType="separate"/>
      </w:r>
      <w:r>
        <w:rPr>
          <w:rFonts w:hint="eastAsia" w:ascii="宋体" w:hAnsi="宋体" w:cs="宋体"/>
          <w:color w:val="auto"/>
          <w:highlight w:val="none"/>
        </w:rPr>
        <w:t>18</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8"/>
        <w:rPr>
          <w:rFonts w:ascii="宋体" w:hAnsi="宋体" w:cs="宋体"/>
          <w:color w:val="auto"/>
          <w:szCs w:val="22"/>
          <w:highlight w:val="none"/>
        </w:rPr>
      </w:pPr>
      <w:r>
        <w:rPr>
          <w:color w:val="auto"/>
          <w:highlight w:val="none"/>
        </w:rPr>
        <w:fldChar w:fldCharType="begin"/>
      </w:r>
      <w:r>
        <w:rPr>
          <w:color w:val="auto"/>
          <w:highlight w:val="none"/>
        </w:rPr>
        <w:instrText xml:space="preserve"> HYPERLINK \l "_Toc44229897" </w:instrText>
      </w:r>
      <w:r>
        <w:rPr>
          <w:color w:val="auto"/>
          <w:highlight w:val="none"/>
        </w:rPr>
        <w:fldChar w:fldCharType="separate"/>
      </w:r>
      <w:r>
        <w:rPr>
          <w:rStyle w:val="24"/>
          <w:rFonts w:hint="eastAsia" w:ascii="宋体" w:hAnsi="宋体" w:cs="宋体"/>
          <w:color w:val="auto"/>
          <w:highlight w:val="none"/>
        </w:rPr>
        <w:t>第五章 响应文件格式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_Toc44229897 \h </w:instrText>
      </w:r>
      <w:r>
        <w:rPr>
          <w:rFonts w:hint="eastAsia" w:ascii="宋体" w:hAnsi="宋体" w:cs="宋体"/>
          <w:color w:val="auto"/>
          <w:highlight w:val="none"/>
        </w:rPr>
        <w:fldChar w:fldCharType="separate"/>
      </w:r>
      <w:r>
        <w:rPr>
          <w:rFonts w:hint="eastAsia" w:ascii="宋体" w:hAnsi="宋体" w:cs="宋体"/>
          <w:color w:val="auto"/>
          <w:highlight w:val="none"/>
        </w:rPr>
        <w:t>46</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8"/>
        <w:rPr>
          <w:rFonts w:ascii="宋体" w:hAnsi="宋体" w:cs="宋体"/>
          <w:color w:val="auto"/>
          <w:szCs w:val="22"/>
          <w:highlight w:val="none"/>
        </w:rPr>
      </w:pPr>
      <w:r>
        <w:rPr>
          <w:color w:val="auto"/>
          <w:highlight w:val="none"/>
        </w:rPr>
        <w:fldChar w:fldCharType="begin"/>
      </w:r>
      <w:r>
        <w:rPr>
          <w:color w:val="auto"/>
          <w:highlight w:val="none"/>
        </w:rPr>
        <w:instrText xml:space="preserve"> HYPERLINK \l "_Toc44229900" </w:instrText>
      </w:r>
      <w:r>
        <w:rPr>
          <w:color w:val="auto"/>
          <w:highlight w:val="none"/>
        </w:rPr>
        <w:fldChar w:fldCharType="separate"/>
      </w:r>
      <w:r>
        <w:rPr>
          <w:rStyle w:val="24"/>
          <w:rFonts w:hint="eastAsia" w:ascii="宋体" w:hAnsi="宋体" w:cs="宋体"/>
          <w:color w:val="auto"/>
          <w:highlight w:val="none"/>
        </w:rPr>
        <w:t>第六章 合同文本</w:t>
      </w:r>
      <w:r>
        <w:rPr>
          <w:rFonts w:hint="eastAsia" w:ascii="宋体" w:hAnsi="宋体" w:cs="宋体"/>
          <w:color w:val="auto"/>
          <w:highlight w:val="none"/>
        </w:rPr>
        <w:tab/>
      </w:r>
      <w:r>
        <w:rPr>
          <w:rFonts w:hint="eastAsia" w:ascii="宋体" w:hAnsi="宋体" w:cs="宋体"/>
          <w:color w:val="auto"/>
          <w:highlight w:val="none"/>
        </w:rPr>
        <w:t>5</w:t>
      </w:r>
      <w:r>
        <w:rPr>
          <w:rFonts w:hint="eastAsia" w:ascii="宋体" w:hAnsi="宋体" w:cs="宋体"/>
          <w:color w:val="auto"/>
          <w:highlight w:val="none"/>
        </w:rPr>
        <w:fldChar w:fldCharType="end"/>
      </w:r>
      <w:r>
        <w:rPr>
          <w:rFonts w:hint="eastAsia" w:ascii="宋体" w:hAnsi="宋体" w:cs="宋体"/>
          <w:color w:val="auto"/>
          <w:highlight w:val="none"/>
        </w:rPr>
        <w:t>9</w:t>
      </w:r>
    </w:p>
    <w:p>
      <w:pPr>
        <w:pStyle w:val="18"/>
        <w:rPr>
          <w:rFonts w:ascii="宋体" w:hAnsi="宋体" w:cs="宋体"/>
          <w:color w:val="auto"/>
          <w:sz w:val="28"/>
          <w:szCs w:val="28"/>
          <w:highlight w:val="none"/>
        </w:rPr>
      </w:pPr>
      <w:r>
        <w:rPr>
          <w:rFonts w:hint="eastAsia" w:ascii="宋体" w:hAnsi="宋体" w:cs="宋体"/>
          <w:b/>
          <w:color w:val="auto"/>
          <w:sz w:val="30"/>
          <w:szCs w:val="30"/>
          <w:highlight w:val="none"/>
        </w:rPr>
        <w:fldChar w:fldCharType="end"/>
      </w:r>
    </w:p>
    <w:p>
      <w:pPr>
        <w:spacing w:line="400" w:lineRule="exact"/>
        <w:jc w:val="left"/>
        <w:rPr>
          <w:rFonts w:ascii="宋体" w:hAnsi="宋体" w:cs="宋体"/>
          <w:b/>
          <w:color w:val="auto"/>
          <w:sz w:val="32"/>
          <w:szCs w:val="32"/>
          <w:highlight w:val="none"/>
        </w:rPr>
      </w:pPr>
    </w:p>
    <w:p>
      <w:pPr>
        <w:spacing w:line="400" w:lineRule="exact"/>
        <w:jc w:val="center"/>
        <w:rPr>
          <w:rFonts w:ascii="宋体" w:hAnsi="宋体" w:cs="宋体"/>
          <w:b/>
          <w:color w:val="auto"/>
          <w:sz w:val="32"/>
          <w:szCs w:val="32"/>
          <w:highlight w:val="none"/>
        </w:rPr>
      </w:pPr>
    </w:p>
    <w:p>
      <w:pPr>
        <w:spacing w:line="400" w:lineRule="exact"/>
        <w:jc w:val="center"/>
        <w:rPr>
          <w:rFonts w:ascii="宋体" w:hAnsi="宋体" w:cs="宋体"/>
          <w:b/>
          <w:color w:val="auto"/>
          <w:sz w:val="32"/>
          <w:szCs w:val="32"/>
          <w:highlight w:val="none"/>
        </w:rPr>
      </w:pPr>
    </w:p>
    <w:p>
      <w:pPr>
        <w:spacing w:line="400" w:lineRule="exact"/>
        <w:jc w:val="center"/>
        <w:rPr>
          <w:rFonts w:ascii="宋体" w:hAnsi="宋体" w:cs="宋体"/>
          <w:b/>
          <w:color w:val="auto"/>
          <w:sz w:val="32"/>
          <w:szCs w:val="32"/>
          <w:highlight w:val="none"/>
        </w:rPr>
      </w:pPr>
    </w:p>
    <w:p>
      <w:pPr>
        <w:spacing w:line="400" w:lineRule="exact"/>
        <w:jc w:val="center"/>
        <w:rPr>
          <w:rFonts w:ascii="宋体" w:hAnsi="宋体" w:cs="宋体"/>
          <w:b/>
          <w:color w:val="auto"/>
          <w:sz w:val="32"/>
          <w:szCs w:val="32"/>
          <w:highlight w:val="none"/>
        </w:rPr>
      </w:pPr>
    </w:p>
    <w:p>
      <w:pPr>
        <w:spacing w:line="400" w:lineRule="exact"/>
        <w:rPr>
          <w:rFonts w:ascii="宋体" w:hAnsi="宋体" w:cs="宋体"/>
          <w:b/>
          <w:color w:val="auto"/>
          <w:sz w:val="32"/>
          <w:szCs w:val="32"/>
          <w:highlight w:val="none"/>
        </w:rPr>
        <w:sectPr>
          <w:headerReference r:id="rId3" w:type="default"/>
          <w:pgSz w:w="11906" w:h="16838"/>
          <w:pgMar w:top="1440" w:right="1440" w:bottom="1440" w:left="1587" w:header="851" w:footer="992" w:gutter="0"/>
          <w:cols w:space="720" w:num="1"/>
          <w:titlePg/>
          <w:docGrid w:type="lines" w:linePitch="312" w:charSpace="0"/>
        </w:sectPr>
      </w:pPr>
    </w:p>
    <w:p>
      <w:pPr>
        <w:pStyle w:val="2"/>
        <w:jc w:val="center"/>
        <w:rPr>
          <w:rFonts w:ascii="宋体" w:hAnsi="宋体" w:cs="宋体"/>
          <w:color w:val="auto"/>
          <w:highlight w:val="none"/>
        </w:rPr>
      </w:pPr>
      <w:bookmarkStart w:id="4" w:name="_Toc44229877"/>
      <w:r>
        <w:rPr>
          <w:rFonts w:hint="eastAsia" w:ascii="宋体" w:hAnsi="宋体" w:cs="宋体"/>
          <w:color w:val="auto"/>
          <w:highlight w:val="none"/>
        </w:rPr>
        <w:t>第一章 竞争性磋商公告</w:t>
      </w:r>
      <w:bookmarkEnd w:id="4"/>
    </w:p>
    <w:p>
      <w:pPr>
        <w:spacing w:line="320" w:lineRule="exact"/>
        <w:rPr>
          <w:rFonts w:ascii="宋体" w:hAnsi="宋体" w:cs="宋体"/>
          <w:b/>
          <w:color w:val="auto"/>
          <w:szCs w:val="21"/>
          <w:highlight w:val="none"/>
        </w:rPr>
      </w:pPr>
    </w:p>
    <w:p>
      <w:pPr>
        <w:spacing w:line="320" w:lineRule="exact"/>
        <w:rPr>
          <w:rFonts w:ascii="宋体" w:hAnsi="宋体" w:cs="宋体"/>
          <w:color w:val="auto"/>
          <w:szCs w:val="21"/>
          <w:highlight w:val="none"/>
        </w:rPr>
      </w:pPr>
    </w:p>
    <w:p>
      <w:pPr>
        <w:pBdr>
          <w:top w:val="single" w:color="auto" w:sz="4" w:space="1"/>
          <w:left w:val="single" w:color="auto" w:sz="4" w:space="4"/>
          <w:bottom w:val="single" w:color="auto" w:sz="4" w:space="1"/>
          <w:right w:val="single" w:color="auto" w:sz="4" w:space="4"/>
        </w:pBdr>
        <w:spacing w:line="320" w:lineRule="exact"/>
        <w:ind w:firstLine="420" w:firstLineChars="200"/>
        <w:rPr>
          <w:rFonts w:ascii="宋体" w:hAnsi="宋体" w:cs="宋体"/>
          <w:color w:val="auto"/>
          <w:szCs w:val="21"/>
          <w:highlight w:val="none"/>
        </w:rPr>
      </w:pPr>
      <w:bookmarkStart w:id="5" w:name="_Hlk37430271"/>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u w:val="single"/>
        </w:rPr>
        <w:t xml:space="preserve"> 平南县医疗收费电子票据信息管理系统建设项目</w:t>
      </w:r>
      <w:r>
        <w:rPr>
          <w:rFonts w:hint="eastAsia" w:ascii="宋体" w:hAnsi="宋体" w:cs="宋体"/>
          <w:color w:val="auto"/>
          <w:szCs w:val="21"/>
          <w:highlight w:val="none"/>
        </w:rPr>
        <w:t>的潜在供应商应在政采云平台（www.zcygov.cn）获取竞争性磋商文件，并于</w:t>
      </w:r>
      <w:r>
        <w:rPr>
          <w:rFonts w:hint="eastAsia" w:ascii="宋体" w:hAnsi="宋体" w:cs="宋体"/>
          <w:color w:val="auto"/>
          <w:szCs w:val="21"/>
          <w:highlight w:val="none"/>
          <w:u w:val="single"/>
        </w:rPr>
        <w:t xml:space="preserve"> 202</w:t>
      </w:r>
      <w:r>
        <w:rPr>
          <w:rFonts w:hint="eastAsia" w:ascii="宋体" w:hAnsi="宋体" w:cs="宋体"/>
          <w:color w:val="auto"/>
          <w:szCs w:val="21"/>
          <w:highlight w:val="none"/>
          <w:u w:val="single"/>
          <w:lang w:val="en-US" w:eastAsia="zh-CN"/>
        </w:rPr>
        <w:t>1</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4</w:t>
      </w:r>
      <w:r>
        <w:rPr>
          <w:rFonts w:hint="eastAsia" w:ascii="宋体" w:hAnsi="宋体" w:cs="宋体"/>
          <w:bCs/>
          <w:color w:val="auto"/>
          <w:szCs w:val="21"/>
          <w:highlight w:val="none"/>
          <w:u w:val="single"/>
        </w:rPr>
        <w:t>日9时00分</w:t>
      </w:r>
      <w:r>
        <w:rPr>
          <w:rFonts w:hint="eastAsia" w:ascii="宋体" w:hAnsi="宋体" w:cs="宋体"/>
          <w:bCs/>
          <w:color w:val="auto"/>
          <w:szCs w:val="21"/>
          <w:highlight w:val="none"/>
        </w:rPr>
        <w:t>（北京时间）前提交响应文件</w:t>
      </w:r>
      <w:r>
        <w:rPr>
          <w:rFonts w:hint="eastAsia" w:ascii="宋体" w:hAnsi="宋体" w:cs="宋体"/>
          <w:color w:val="auto"/>
          <w:szCs w:val="21"/>
          <w:highlight w:val="none"/>
        </w:rPr>
        <w:t>。</w:t>
      </w:r>
    </w:p>
    <w:p>
      <w:pPr>
        <w:spacing w:line="320" w:lineRule="exact"/>
        <w:rPr>
          <w:rFonts w:ascii="宋体" w:hAnsi="宋体" w:cs="宋体"/>
          <w:color w:val="auto"/>
          <w:szCs w:val="21"/>
          <w:highlight w:val="none"/>
        </w:rPr>
      </w:pPr>
    </w:p>
    <w:p>
      <w:pPr>
        <w:pStyle w:val="2"/>
        <w:spacing w:before="0" w:after="0" w:line="320" w:lineRule="exact"/>
        <w:ind w:firstLine="422" w:firstLineChars="200"/>
        <w:rPr>
          <w:rFonts w:ascii="宋体" w:hAnsi="宋体" w:cs="宋体"/>
          <w:bCs w:val="0"/>
          <w:color w:val="auto"/>
          <w:sz w:val="21"/>
          <w:szCs w:val="21"/>
          <w:highlight w:val="none"/>
        </w:rPr>
      </w:pPr>
      <w:bookmarkStart w:id="6" w:name="_Toc28359089"/>
      <w:bookmarkStart w:id="7" w:name="_Toc28359012"/>
      <w:bookmarkStart w:id="8" w:name="_Toc35393629"/>
      <w:bookmarkStart w:id="9" w:name="_Toc35393798"/>
      <w:bookmarkStart w:id="10" w:name="_Toc44229878"/>
      <w:r>
        <w:rPr>
          <w:rFonts w:hint="eastAsia" w:ascii="宋体" w:hAnsi="宋体" w:cs="宋体"/>
          <w:bCs w:val="0"/>
          <w:color w:val="auto"/>
          <w:sz w:val="21"/>
          <w:szCs w:val="21"/>
          <w:highlight w:val="none"/>
        </w:rPr>
        <w:t>一、项目基本情况</w:t>
      </w:r>
      <w:bookmarkEnd w:id="6"/>
      <w:bookmarkEnd w:id="7"/>
      <w:bookmarkEnd w:id="8"/>
      <w:bookmarkEnd w:id="9"/>
      <w:bookmarkEnd w:id="10"/>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1.项目编号：GGZC2020-C3-62428-GXYL  </w:t>
      </w:r>
    </w:p>
    <w:p>
      <w:pPr>
        <w:spacing w:line="32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2.项目名称：平南县医疗收费电子票据信息管理系统建设项目</w:t>
      </w:r>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3.采购方式：竞争性磋商</w:t>
      </w:r>
    </w:p>
    <w:p>
      <w:pPr>
        <w:spacing w:line="320" w:lineRule="exact"/>
        <w:ind w:left="420" w:leftChars="200"/>
        <w:rPr>
          <w:rFonts w:ascii="宋体" w:hAnsi="宋体" w:cs="宋体"/>
          <w:color w:val="auto"/>
          <w:szCs w:val="21"/>
          <w:highlight w:val="none"/>
        </w:rPr>
      </w:pPr>
      <w:r>
        <w:rPr>
          <w:rFonts w:hint="eastAsia" w:ascii="宋体" w:hAnsi="宋体" w:cs="宋体"/>
          <w:color w:val="auto"/>
          <w:szCs w:val="21"/>
          <w:highlight w:val="none"/>
        </w:rPr>
        <w:t>4.预算金额：A分标人民币玖拾捌万元整（￥980000.00）；B分标人民币柒拾万元整（￥700000.00）5.最高限价：/</w:t>
      </w:r>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6.采购需求：A分标平南县医疗收费电子票据信息管理系统软件部分1项；B分标平南县医疗收费电子票据信息管理系统硬件部分1项。具体详细见《磋商文件》</w:t>
      </w:r>
    </w:p>
    <w:p>
      <w:pPr>
        <w:spacing w:line="32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7.合同履行期限：A分标</w:t>
      </w:r>
      <w:r>
        <w:rPr>
          <w:rFonts w:hint="eastAsia" w:ascii="宋体" w:hAnsi="宋体" w:cs="宋体"/>
          <w:color w:val="auto"/>
          <w:kern w:val="0"/>
          <w:sz w:val="22"/>
          <w:highlight w:val="none"/>
        </w:rPr>
        <w:t>自合同签订之日起30个工作日</w:t>
      </w:r>
      <w:r>
        <w:rPr>
          <w:rFonts w:hint="eastAsia" w:ascii="宋体" w:hAnsi="宋体" w:cs="宋体"/>
          <w:color w:val="auto"/>
          <w:szCs w:val="21"/>
          <w:highlight w:val="none"/>
        </w:rPr>
        <w:t>。B分标</w:t>
      </w:r>
      <w:r>
        <w:rPr>
          <w:rFonts w:hint="eastAsia" w:ascii="宋体" w:hAnsi="宋体" w:cs="宋体"/>
          <w:color w:val="auto"/>
          <w:kern w:val="0"/>
          <w:sz w:val="22"/>
          <w:highlight w:val="none"/>
        </w:rPr>
        <w:t>自合同签订之日起15个日历日交货安装并调试完毕。</w:t>
      </w:r>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8.本项目不接受联合体</w:t>
      </w:r>
    </w:p>
    <w:p>
      <w:pPr>
        <w:pStyle w:val="2"/>
        <w:spacing w:before="0" w:after="0" w:line="320" w:lineRule="exact"/>
        <w:ind w:firstLine="422" w:firstLineChars="200"/>
        <w:rPr>
          <w:rFonts w:ascii="宋体" w:hAnsi="宋体" w:cs="宋体"/>
          <w:bCs w:val="0"/>
          <w:color w:val="auto"/>
          <w:sz w:val="21"/>
          <w:szCs w:val="21"/>
          <w:highlight w:val="none"/>
        </w:rPr>
      </w:pPr>
      <w:bookmarkStart w:id="11" w:name="_Toc28359013"/>
      <w:bookmarkStart w:id="12" w:name="_Toc28359090"/>
      <w:bookmarkStart w:id="13" w:name="_Toc44229879"/>
      <w:bookmarkStart w:id="14" w:name="_Toc35393799"/>
      <w:bookmarkStart w:id="15" w:name="_Toc35393630"/>
      <w:r>
        <w:rPr>
          <w:rFonts w:hint="eastAsia" w:ascii="宋体" w:hAnsi="宋体" w:cs="宋体"/>
          <w:bCs w:val="0"/>
          <w:color w:val="auto"/>
          <w:sz w:val="21"/>
          <w:szCs w:val="21"/>
          <w:highlight w:val="none"/>
        </w:rPr>
        <w:t>二、供应商的资格条件：</w:t>
      </w:r>
      <w:bookmarkEnd w:id="11"/>
      <w:bookmarkEnd w:id="12"/>
      <w:bookmarkEnd w:id="13"/>
      <w:bookmarkEnd w:id="14"/>
      <w:bookmarkEnd w:id="15"/>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w:t>
      </w:r>
    </w:p>
    <w:p>
      <w:pPr>
        <w:spacing w:line="320" w:lineRule="exact"/>
        <w:ind w:firstLine="420" w:firstLineChars="200"/>
        <w:rPr>
          <w:rFonts w:ascii="宋体" w:hAnsi="宋体" w:cs="宋体"/>
          <w:color w:val="auto"/>
          <w:szCs w:val="21"/>
          <w:highlight w:val="none"/>
        </w:rPr>
      </w:pPr>
      <w:bookmarkStart w:id="16" w:name="_Toc28359091"/>
      <w:bookmarkStart w:id="17" w:name="_Toc28359014"/>
      <w:r>
        <w:rPr>
          <w:rFonts w:hint="eastAsia" w:ascii="宋体" w:hAnsi="宋体" w:cs="宋体"/>
          <w:color w:val="auto"/>
          <w:szCs w:val="21"/>
          <w:highlight w:val="none"/>
        </w:rPr>
        <w:t>2.落实政府采购政策需满足的资格要求：/</w:t>
      </w:r>
    </w:p>
    <w:p>
      <w:pPr>
        <w:spacing w:line="32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3.本项目的特定资格要求：</w:t>
      </w:r>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pStyle w:val="2"/>
        <w:spacing w:before="0" w:after="0" w:line="320" w:lineRule="exact"/>
        <w:ind w:firstLine="422" w:firstLineChars="200"/>
        <w:rPr>
          <w:rFonts w:ascii="宋体" w:hAnsi="宋体" w:cs="宋体"/>
          <w:bCs w:val="0"/>
          <w:color w:val="auto"/>
          <w:sz w:val="21"/>
          <w:szCs w:val="21"/>
          <w:highlight w:val="none"/>
        </w:rPr>
      </w:pPr>
      <w:bookmarkStart w:id="18" w:name="_Toc44229880"/>
      <w:bookmarkStart w:id="19" w:name="_Toc35393800"/>
      <w:bookmarkStart w:id="20" w:name="_Toc35393631"/>
      <w:r>
        <w:rPr>
          <w:rFonts w:hint="eastAsia" w:ascii="宋体" w:hAnsi="宋体" w:cs="宋体"/>
          <w:bCs w:val="0"/>
          <w:color w:val="auto"/>
          <w:sz w:val="21"/>
          <w:szCs w:val="21"/>
          <w:highlight w:val="none"/>
        </w:rPr>
        <w:t>三、获取竞争性磋商文件</w:t>
      </w:r>
      <w:bookmarkEnd w:id="16"/>
      <w:bookmarkEnd w:id="17"/>
      <w:bookmarkEnd w:id="18"/>
      <w:bookmarkEnd w:id="19"/>
      <w:bookmarkEnd w:id="20"/>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1.时间：自本磋商公告发布之时起至202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日9时00分（北京时间）止登陆政采云平台（www.zcygov.cn）获取竞争性磋商文件</w:t>
      </w:r>
    </w:p>
    <w:p>
      <w:pPr>
        <w:spacing w:line="32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2.地点：</w:t>
      </w:r>
      <w:r>
        <w:rPr>
          <w:rFonts w:hint="eastAsia" w:ascii="宋体" w:hAnsi="宋体" w:cs="宋体"/>
          <w:color w:val="auto"/>
          <w:szCs w:val="21"/>
          <w:highlight w:val="none"/>
          <w:u w:val="single"/>
        </w:rPr>
        <w:t xml:space="preserve">政采云平台（www.zcygov.cn） </w:t>
      </w:r>
    </w:p>
    <w:p>
      <w:pPr>
        <w:spacing w:line="32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3.方式：登陆政采云平台（www.zcygov.cn）自行免费获取竞争性磋商文件</w:t>
      </w:r>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注：</w:t>
      </w:r>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1.已获取竞争性磋商文件的供应商不等于符合本项目的供应商资格条件。</w:t>
      </w:r>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2.为配合采购人进行政府采购项目执行和备案，未在政采云注册的供应商可在获取竞争性磋商文件后登录政采云进行注册，如在操作过程中遇到问题或者需要技术支持，请致电政采云客服热线：400-881-7190。</w:t>
      </w:r>
    </w:p>
    <w:p>
      <w:pPr>
        <w:pStyle w:val="2"/>
        <w:spacing w:before="0" w:after="0" w:line="320" w:lineRule="exact"/>
        <w:ind w:firstLine="422" w:firstLineChars="200"/>
        <w:rPr>
          <w:rFonts w:ascii="宋体" w:hAnsi="宋体" w:cs="宋体"/>
          <w:bCs w:val="0"/>
          <w:color w:val="auto"/>
          <w:sz w:val="21"/>
          <w:szCs w:val="21"/>
          <w:highlight w:val="none"/>
        </w:rPr>
      </w:pPr>
      <w:bookmarkStart w:id="21" w:name="_Toc35393632"/>
      <w:bookmarkStart w:id="22" w:name="_Toc28359015"/>
      <w:bookmarkStart w:id="23" w:name="_Toc28359092"/>
      <w:bookmarkStart w:id="24" w:name="_Toc35393801"/>
      <w:bookmarkStart w:id="25" w:name="_Toc44229881"/>
      <w:r>
        <w:rPr>
          <w:rFonts w:hint="eastAsia" w:ascii="宋体" w:hAnsi="宋体" w:cs="宋体"/>
          <w:bCs w:val="0"/>
          <w:color w:val="auto"/>
          <w:sz w:val="21"/>
          <w:szCs w:val="21"/>
          <w:highlight w:val="none"/>
        </w:rPr>
        <w:t>四、响应文件提交</w:t>
      </w:r>
      <w:bookmarkEnd w:id="21"/>
      <w:bookmarkEnd w:id="22"/>
      <w:bookmarkEnd w:id="23"/>
      <w:bookmarkEnd w:id="24"/>
      <w:bookmarkEnd w:id="25"/>
    </w:p>
    <w:p>
      <w:pPr>
        <w:spacing w:line="320" w:lineRule="exact"/>
        <w:ind w:firstLine="420" w:firstLineChars="200"/>
        <w:rPr>
          <w:rFonts w:ascii="宋体" w:hAnsi="宋体" w:cs="宋体"/>
          <w:bCs/>
          <w:color w:val="auto"/>
          <w:szCs w:val="21"/>
          <w:highlight w:val="none"/>
          <w:u w:val="single"/>
        </w:rPr>
      </w:pPr>
      <w:r>
        <w:rPr>
          <w:rFonts w:hint="eastAsia" w:ascii="宋体" w:hAnsi="宋体" w:cs="宋体"/>
          <w:color w:val="auto"/>
          <w:szCs w:val="21"/>
          <w:highlight w:val="none"/>
        </w:rPr>
        <w:t>1.</w:t>
      </w:r>
      <w:r>
        <w:rPr>
          <w:rFonts w:hint="eastAsia" w:ascii="宋体" w:hAnsi="宋体" w:cs="宋体"/>
          <w:bCs/>
          <w:color w:val="auto"/>
          <w:szCs w:val="21"/>
          <w:highlight w:val="none"/>
        </w:rPr>
        <w:t>首次响应文件提交起止时间：</w:t>
      </w:r>
      <w:r>
        <w:rPr>
          <w:rFonts w:hint="eastAsia" w:ascii="宋体" w:hAnsi="宋体" w:cs="宋体"/>
          <w:bCs/>
          <w:color w:val="auto"/>
          <w:szCs w:val="21"/>
          <w:highlight w:val="none"/>
          <w:u w:val="single"/>
        </w:rPr>
        <w:t>202</w:t>
      </w:r>
      <w:r>
        <w:rPr>
          <w:rFonts w:hint="eastAsia" w:ascii="宋体" w:hAnsi="宋体" w:cs="宋体"/>
          <w:bCs/>
          <w:color w:val="auto"/>
          <w:szCs w:val="21"/>
          <w:highlight w:val="none"/>
          <w:u w:val="single"/>
          <w:lang w:val="en-US" w:eastAsia="zh-CN"/>
        </w:rPr>
        <w:t>1</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4</w:t>
      </w:r>
      <w:r>
        <w:rPr>
          <w:rFonts w:hint="eastAsia" w:ascii="宋体" w:hAnsi="宋体" w:cs="宋体"/>
          <w:bCs/>
          <w:color w:val="auto"/>
          <w:szCs w:val="21"/>
          <w:highlight w:val="none"/>
          <w:u w:val="single"/>
        </w:rPr>
        <w:t>日8时</w:t>
      </w:r>
      <w:r>
        <w:rPr>
          <w:rFonts w:hint="eastAsia" w:ascii="宋体" w:hAnsi="宋体" w:cs="宋体"/>
          <w:bCs/>
          <w:color w:val="auto"/>
          <w:szCs w:val="21"/>
          <w:highlight w:val="none"/>
          <w:u w:val="single"/>
          <w:lang w:val="en-US" w:eastAsia="zh-CN"/>
        </w:rPr>
        <w:t>0</w:t>
      </w:r>
      <w:r>
        <w:rPr>
          <w:rFonts w:hint="eastAsia" w:ascii="宋体" w:hAnsi="宋体" w:cs="宋体"/>
          <w:bCs/>
          <w:color w:val="auto"/>
          <w:szCs w:val="21"/>
          <w:highlight w:val="none"/>
          <w:u w:val="single"/>
        </w:rPr>
        <w:t>0分至9时00分</w:t>
      </w:r>
      <w:r>
        <w:rPr>
          <w:rFonts w:hint="eastAsia" w:ascii="宋体" w:hAnsi="宋体" w:cs="宋体"/>
          <w:bCs/>
          <w:color w:val="auto"/>
          <w:szCs w:val="21"/>
          <w:highlight w:val="none"/>
        </w:rPr>
        <w:t>（北京时间）</w:t>
      </w:r>
    </w:p>
    <w:p>
      <w:pPr>
        <w:spacing w:line="320" w:lineRule="exact"/>
        <w:ind w:firstLine="420" w:firstLineChars="200"/>
        <w:rPr>
          <w:rFonts w:ascii="宋体" w:hAnsi="宋体" w:cs="宋体"/>
          <w:bCs/>
          <w:color w:val="auto"/>
          <w:szCs w:val="21"/>
          <w:highlight w:val="none"/>
          <w:u w:val="single"/>
        </w:rPr>
      </w:pPr>
      <w:r>
        <w:rPr>
          <w:rFonts w:hint="eastAsia" w:ascii="宋体" w:hAnsi="宋体" w:cs="宋体"/>
          <w:bCs/>
          <w:color w:val="auto"/>
          <w:szCs w:val="21"/>
          <w:highlight w:val="none"/>
        </w:rPr>
        <w:t>2.</w:t>
      </w:r>
      <w:r>
        <w:rPr>
          <w:rFonts w:hint="eastAsia" w:ascii="宋体" w:hAnsi="宋体" w:cs="宋体"/>
          <w:color w:val="auto"/>
          <w:szCs w:val="21"/>
          <w:highlight w:val="none"/>
        </w:rPr>
        <w:t>首次响应文件提交截止时间：</w:t>
      </w:r>
      <w:r>
        <w:rPr>
          <w:rFonts w:hint="eastAsia" w:ascii="宋体" w:hAnsi="宋体" w:cs="宋体"/>
          <w:bCs/>
          <w:color w:val="auto"/>
          <w:szCs w:val="21"/>
          <w:highlight w:val="none"/>
          <w:u w:val="single"/>
        </w:rPr>
        <w:t>202</w:t>
      </w:r>
      <w:r>
        <w:rPr>
          <w:rFonts w:hint="eastAsia" w:ascii="宋体" w:hAnsi="宋体" w:cs="宋体"/>
          <w:bCs/>
          <w:color w:val="auto"/>
          <w:szCs w:val="21"/>
          <w:highlight w:val="none"/>
          <w:u w:val="single"/>
          <w:lang w:val="en-US" w:eastAsia="zh-CN"/>
        </w:rPr>
        <w:t>1</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4</w:t>
      </w:r>
      <w:r>
        <w:rPr>
          <w:rFonts w:hint="eastAsia" w:ascii="宋体" w:hAnsi="宋体" w:cs="宋体"/>
          <w:bCs/>
          <w:color w:val="auto"/>
          <w:szCs w:val="21"/>
          <w:highlight w:val="none"/>
          <w:u w:val="single"/>
        </w:rPr>
        <w:t>日9时00分</w:t>
      </w:r>
      <w:r>
        <w:rPr>
          <w:rFonts w:hint="eastAsia" w:ascii="宋体" w:hAnsi="宋体" w:cs="宋体"/>
          <w:bCs/>
          <w:color w:val="auto"/>
          <w:szCs w:val="21"/>
          <w:highlight w:val="none"/>
        </w:rPr>
        <w:t>（北京时间）</w:t>
      </w:r>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3.首次响应文件提交地点：</w:t>
      </w:r>
      <w:r>
        <w:rPr>
          <w:rFonts w:hint="eastAsia" w:ascii="宋体" w:hAnsi="宋体" w:cs="宋体"/>
          <w:color w:val="auto"/>
          <w:szCs w:val="21"/>
          <w:highlight w:val="none"/>
          <w:u w:val="single"/>
        </w:rPr>
        <w:t xml:space="preserve"> 平南县公共资源交易中心（平南县交通运输局11楼交易厅） </w:t>
      </w:r>
    </w:p>
    <w:p>
      <w:pPr>
        <w:spacing w:line="320" w:lineRule="exact"/>
        <w:ind w:firstLine="420" w:firstLineChars="200"/>
        <w:rPr>
          <w:rFonts w:ascii="宋体" w:hAnsi="宋体" w:cs="宋体"/>
          <w:bCs/>
          <w:color w:val="auto"/>
          <w:szCs w:val="21"/>
          <w:highlight w:val="none"/>
          <w:u w:val="single"/>
        </w:rPr>
      </w:pPr>
      <w:r>
        <w:rPr>
          <w:rFonts w:hint="eastAsia" w:ascii="宋体" w:hAnsi="宋体" w:cs="宋体"/>
          <w:bCs/>
          <w:color w:val="auto"/>
          <w:szCs w:val="21"/>
          <w:highlight w:val="none"/>
          <w:u w:val="single"/>
        </w:rPr>
        <w:t>注：供应商应当在首次响应文件提交截止时间前，将响应文件密封送达首次响应文件提交地点。在首次响应文件提交截止时间后送达的响应文件为无效文件，采购代理机构应当拒收。</w:t>
      </w:r>
    </w:p>
    <w:p>
      <w:pPr>
        <w:pStyle w:val="2"/>
        <w:spacing w:before="0" w:after="0" w:line="320" w:lineRule="exact"/>
        <w:ind w:firstLine="422" w:firstLineChars="200"/>
        <w:rPr>
          <w:rFonts w:ascii="宋体" w:hAnsi="宋体" w:cs="宋体"/>
          <w:bCs w:val="0"/>
          <w:color w:val="auto"/>
          <w:sz w:val="21"/>
          <w:szCs w:val="21"/>
          <w:highlight w:val="none"/>
        </w:rPr>
      </w:pPr>
      <w:bookmarkStart w:id="26" w:name="_Toc28359016"/>
      <w:bookmarkStart w:id="27" w:name="_Toc35393633"/>
      <w:bookmarkStart w:id="28" w:name="_Toc44229882"/>
      <w:bookmarkStart w:id="29" w:name="_Toc35393802"/>
      <w:bookmarkStart w:id="30" w:name="_Toc28359093"/>
      <w:r>
        <w:rPr>
          <w:rFonts w:hint="eastAsia" w:ascii="宋体" w:hAnsi="宋体" w:cs="宋体"/>
          <w:bCs w:val="0"/>
          <w:color w:val="auto"/>
          <w:sz w:val="21"/>
          <w:szCs w:val="21"/>
          <w:highlight w:val="none"/>
        </w:rPr>
        <w:t>五、开启</w:t>
      </w:r>
      <w:bookmarkEnd w:id="26"/>
      <w:bookmarkEnd w:id="27"/>
      <w:bookmarkEnd w:id="28"/>
      <w:bookmarkEnd w:id="29"/>
      <w:bookmarkEnd w:id="30"/>
    </w:p>
    <w:p>
      <w:pPr>
        <w:spacing w:line="320" w:lineRule="exact"/>
        <w:ind w:firstLine="420" w:firstLineChars="200"/>
        <w:rPr>
          <w:rFonts w:ascii="宋体" w:hAnsi="宋体" w:cs="宋体"/>
          <w:bCs/>
          <w:color w:val="auto"/>
          <w:szCs w:val="21"/>
          <w:highlight w:val="none"/>
          <w:u w:val="single"/>
        </w:rPr>
      </w:pPr>
      <w:r>
        <w:rPr>
          <w:rFonts w:hint="eastAsia" w:ascii="宋体" w:hAnsi="宋体" w:cs="宋体"/>
          <w:color w:val="auto"/>
          <w:szCs w:val="21"/>
          <w:highlight w:val="none"/>
        </w:rPr>
        <w:t>1.时间：</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u w:val="single"/>
        </w:rPr>
        <w:t>日</w:t>
      </w:r>
      <w:r>
        <w:rPr>
          <w:rFonts w:hint="eastAsia" w:ascii="宋体" w:hAnsi="宋体" w:cs="宋体"/>
          <w:bCs/>
          <w:color w:val="auto"/>
          <w:szCs w:val="21"/>
          <w:highlight w:val="none"/>
          <w:u w:val="single"/>
        </w:rPr>
        <w:t>9时00分</w:t>
      </w:r>
      <w:r>
        <w:rPr>
          <w:rFonts w:hint="eastAsia" w:ascii="宋体" w:hAnsi="宋体" w:cs="宋体"/>
          <w:bCs/>
          <w:color w:val="auto"/>
          <w:szCs w:val="21"/>
          <w:highlight w:val="none"/>
        </w:rPr>
        <w:t>（北京时间）</w:t>
      </w:r>
      <w:r>
        <w:rPr>
          <w:rFonts w:hint="eastAsia" w:ascii="宋体" w:hAnsi="宋体" w:cs="宋体"/>
          <w:color w:val="auto"/>
          <w:szCs w:val="21"/>
          <w:highlight w:val="none"/>
        </w:rPr>
        <w:t>后</w:t>
      </w:r>
    </w:p>
    <w:p>
      <w:pPr>
        <w:spacing w:line="320" w:lineRule="exact"/>
        <w:ind w:firstLine="420" w:firstLineChars="200"/>
        <w:rPr>
          <w:rFonts w:ascii="宋体" w:hAnsi="宋体" w:cs="宋体"/>
          <w:bCs/>
          <w:color w:val="auto"/>
          <w:szCs w:val="21"/>
          <w:highlight w:val="none"/>
          <w:u w:val="single"/>
        </w:rPr>
      </w:pPr>
      <w:r>
        <w:rPr>
          <w:rFonts w:hint="eastAsia" w:ascii="宋体" w:hAnsi="宋体" w:cs="宋体"/>
          <w:color w:val="auto"/>
          <w:szCs w:val="21"/>
          <w:highlight w:val="none"/>
        </w:rPr>
        <w:t>2.地点：</w:t>
      </w:r>
      <w:r>
        <w:rPr>
          <w:rFonts w:hint="eastAsia" w:ascii="宋体" w:hAnsi="宋体"/>
          <w:color w:val="auto"/>
          <w:highlight w:val="none"/>
          <w:u w:val="single"/>
        </w:rPr>
        <w:t>平南县公共资源交易中心（平南县交通运输局11楼）</w:t>
      </w:r>
    </w:p>
    <w:p>
      <w:pPr>
        <w:pStyle w:val="2"/>
        <w:spacing w:before="0" w:after="0" w:line="320" w:lineRule="exact"/>
        <w:ind w:firstLine="422" w:firstLineChars="200"/>
        <w:rPr>
          <w:rFonts w:ascii="宋体" w:hAnsi="宋体" w:cs="宋体"/>
          <w:bCs w:val="0"/>
          <w:color w:val="auto"/>
          <w:sz w:val="21"/>
          <w:szCs w:val="21"/>
          <w:highlight w:val="none"/>
        </w:rPr>
      </w:pPr>
      <w:bookmarkStart w:id="31" w:name="_Toc35393634"/>
      <w:bookmarkStart w:id="32" w:name="_Toc28359017"/>
      <w:bookmarkStart w:id="33" w:name="_Toc35393803"/>
      <w:bookmarkStart w:id="34" w:name="_Toc28359094"/>
      <w:bookmarkStart w:id="35" w:name="_Toc44229883"/>
      <w:r>
        <w:rPr>
          <w:rFonts w:hint="eastAsia" w:ascii="宋体" w:hAnsi="宋体" w:cs="宋体"/>
          <w:bCs w:val="0"/>
          <w:color w:val="auto"/>
          <w:sz w:val="21"/>
          <w:szCs w:val="21"/>
          <w:highlight w:val="none"/>
        </w:rPr>
        <w:t>六、公告期限</w:t>
      </w:r>
      <w:bookmarkEnd w:id="31"/>
      <w:bookmarkEnd w:id="32"/>
      <w:bookmarkEnd w:id="33"/>
      <w:bookmarkEnd w:id="34"/>
      <w:bookmarkEnd w:id="35"/>
    </w:p>
    <w:p>
      <w:pPr>
        <w:spacing w:line="3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pStyle w:val="2"/>
        <w:spacing w:before="0" w:after="0" w:line="320" w:lineRule="exact"/>
        <w:ind w:firstLine="422" w:firstLineChars="200"/>
        <w:rPr>
          <w:rFonts w:ascii="宋体" w:hAnsi="宋体" w:cs="宋体"/>
          <w:bCs w:val="0"/>
          <w:color w:val="auto"/>
          <w:sz w:val="21"/>
          <w:szCs w:val="21"/>
          <w:highlight w:val="none"/>
        </w:rPr>
      </w:pPr>
      <w:bookmarkStart w:id="36" w:name="_Toc44229884"/>
      <w:bookmarkStart w:id="37" w:name="_Toc35393804"/>
      <w:bookmarkStart w:id="38" w:name="_Toc35393635"/>
      <w:r>
        <w:rPr>
          <w:rFonts w:hint="eastAsia" w:ascii="宋体" w:hAnsi="宋体" w:cs="宋体"/>
          <w:bCs w:val="0"/>
          <w:color w:val="auto"/>
          <w:sz w:val="21"/>
          <w:szCs w:val="21"/>
          <w:highlight w:val="none"/>
        </w:rPr>
        <w:t>七、其他补充事宜</w:t>
      </w:r>
      <w:bookmarkEnd w:id="36"/>
      <w:bookmarkEnd w:id="37"/>
      <w:bookmarkEnd w:id="38"/>
    </w:p>
    <w:p>
      <w:pPr>
        <w:spacing w:line="3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1.磋商保证金：无</w:t>
      </w:r>
    </w:p>
    <w:p>
      <w:pPr>
        <w:spacing w:line="320" w:lineRule="exact"/>
        <w:ind w:firstLine="420" w:firstLineChars="200"/>
        <w:rPr>
          <w:rFonts w:ascii="宋体" w:hAnsi="宋体" w:cs="宋体"/>
          <w:color w:val="auto"/>
          <w:kern w:val="0"/>
          <w:highlight w:val="none"/>
        </w:rPr>
      </w:pPr>
      <w:r>
        <w:rPr>
          <w:rFonts w:hint="eastAsia" w:ascii="宋体" w:hAnsi="宋体" w:cs="宋体"/>
          <w:color w:val="auto"/>
          <w:kern w:val="0"/>
          <w:szCs w:val="21"/>
          <w:highlight w:val="none"/>
        </w:rPr>
        <w:t xml:space="preserve">2. </w:t>
      </w:r>
      <w:r>
        <w:rPr>
          <w:rFonts w:hint="eastAsia" w:ascii="宋体" w:hAnsi="宋体" w:cs="宋体"/>
          <w:color w:val="auto"/>
          <w:kern w:val="0"/>
          <w:highlight w:val="none"/>
        </w:rPr>
        <w:t>本项目需要落实的政府采购政策：</w:t>
      </w:r>
    </w:p>
    <w:p>
      <w:pPr>
        <w:spacing w:line="3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（1）政府采购促进中小企业发展。</w:t>
      </w:r>
    </w:p>
    <w:p>
      <w:pPr>
        <w:spacing w:line="3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（2）政府采购支持采用本国产品的政策。</w:t>
      </w:r>
    </w:p>
    <w:p>
      <w:pPr>
        <w:spacing w:line="3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（3）强制采购节能产品；优先采购节能产品、环境标志产品。</w:t>
      </w:r>
    </w:p>
    <w:p>
      <w:pPr>
        <w:spacing w:line="3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（4）政府采购促进残疾人就业政策。</w:t>
      </w:r>
    </w:p>
    <w:p>
      <w:pPr>
        <w:spacing w:line="3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（5）政府采购支持监狱企业发展.</w:t>
      </w:r>
    </w:p>
    <w:p>
      <w:pPr>
        <w:spacing w:line="3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3.网上查询地址</w:t>
      </w:r>
    </w:p>
    <w:p>
      <w:pPr>
        <w:spacing w:line="3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http://www.ccgp.gov.cn（中国政府采购网）、http://zfcg.gxzf.gov.cn/（广西壮族自治区政府采购网）、http://zfcg.czj.gxgg.gov.cn/（贵港市政府采购网）、http://ggggjy.gxgg.gov.cn:9005/（贵港市公共资源交易中心）</w:t>
      </w:r>
    </w:p>
    <w:p>
      <w:pPr>
        <w:pStyle w:val="2"/>
        <w:spacing w:before="0" w:after="0" w:line="320" w:lineRule="exact"/>
        <w:ind w:firstLine="422" w:firstLineChars="200"/>
        <w:rPr>
          <w:rFonts w:ascii="宋体" w:hAnsi="宋体" w:cs="宋体"/>
          <w:bCs w:val="0"/>
          <w:color w:val="auto"/>
          <w:sz w:val="21"/>
          <w:szCs w:val="21"/>
          <w:highlight w:val="none"/>
        </w:rPr>
      </w:pPr>
      <w:bookmarkStart w:id="39" w:name="_Toc35393636"/>
      <w:bookmarkStart w:id="40" w:name="_Toc35393805"/>
      <w:bookmarkStart w:id="41" w:name="_Toc28359095"/>
      <w:bookmarkStart w:id="42" w:name="_Toc44229885"/>
      <w:bookmarkStart w:id="43" w:name="_Toc28359018"/>
      <w:r>
        <w:rPr>
          <w:rFonts w:hint="eastAsia" w:ascii="宋体" w:hAnsi="宋体" w:cs="宋体"/>
          <w:bCs w:val="0"/>
          <w:color w:val="auto"/>
          <w:sz w:val="21"/>
          <w:szCs w:val="21"/>
          <w:highlight w:val="none"/>
        </w:rPr>
        <w:t>八、凡对本次采购提出询问，请按以下方式联系。</w:t>
      </w:r>
      <w:bookmarkEnd w:id="39"/>
      <w:bookmarkEnd w:id="40"/>
      <w:bookmarkEnd w:id="41"/>
      <w:bookmarkEnd w:id="42"/>
      <w:bookmarkEnd w:id="43"/>
    </w:p>
    <w:p>
      <w:pPr>
        <w:spacing w:line="320" w:lineRule="exact"/>
        <w:ind w:firstLine="420" w:firstLineChars="200"/>
        <w:rPr>
          <w:rFonts w:ascii="宋体" w:hAnsi="宋体" w:cs="宋体"/>
          <w:color w:val="auto"/>
          <w:kern w:val="0"/>
          <w:szCs w:val="21"/>
          <w:highlight w:val="none"/>
        </w:rPr>
      </w:pPr>
      <w:bookmarkStart w:id="44" w:name="_Toc35393637"/>
      <w:bookmarkStart w:id="45" w:name="_Toc35393806"/>
      <w:bookmarkStart w:id="46" w:name="_Toc28359096"/>
      <w:bookmarkStart w:id="47" w:name="_Toc28359019"/>
      <w:r>
        <w:rPr>
          <w:rFonts w:hint="eastAsia" w:ascii="宋体" w:hAnsi="宋体" w:cs="宋体"/>
          <w:color w:val="auto"/>
          <w:kern w:val="0"/>
          <w:szCs w:val="21"/>
          <w:highlight w:val="none"/>
        </w:rPr>
        <w:t>1.采购人信息</w:t>
      </w:r>
      <w:bookmarkEnd w:id="44"/>
      <w:bookmarkEnd w:id="45"/>
      <w:bookmarkEnd w:id="46"/>
      <w:bookmarkEnd w:id="47"/>
    </w:p>
    <w:p>
      <w:pPr>
        <w:spacing w:line="3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平南县非税收入管理所</w:t>
      </w:r>
    </w:p>
    <w:p>
      <w:pPr>
        <w:spacing w:line="3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平南县</w:t>
      </w:r>
    </w:p>
    <w:p>
      <w:pPr>
        <w:spacing w:line="3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联系方式：</w:t>
      </w:r>
      <w:r>
        <w:rPr>
          <w:rFonts w:hint="eastAsia" w:ascii="宋体" w:hAnsi="宋体" w:cs="宋体"/>
          <w:color w:val="auto"/>
          <w:szCs w:val="21"/>
          <w:highlight w:val="none"/>
          <w:u w:val="single"/>
        </w:rPr>
        <w:t>0775-7823929</w:t>
      </w:r>
    </w:p>
    <w:p>
      <w:pPr>
        <w:spacing w:line="320" w:lineRule="exact"/>
        <w:ind w:firstLine="420" w:firstLineChars="200"/>
        <w:rPr>
          <w:rFonts w:ascii="宋体" w:hAnsi="宋体" w:cs="宋体"/>
          <w:color w:val="auto"/>
          <w:kern w:val="0"/>
          <w:szCs w:val="21"/>
          <w:highlight w:val="none"/>
        </w:rPr>
      </w:pPr>
      <w:bookmarkStart w:id="48" w:name="_Toc35393807"/>
      <w:bookmarkStart w:id="49" w:name="_Toc35393638"/>
      <w:bookmarkStart w:id="50" w:name="_Toc28359020"/>
      <w:bookmarkStart w:id="51" w:name="_Toc28359097"/>
      <w:r>
        <w:rPr>
          <w:rFonts w:hint="eastAsia" w:ascii="宋体" w:hAnsi="宋体" w:cs="宋体"/>
          <w:color w:val="auto"/>
          <w:kern w:val="0"/>
          <w:szCs w:val="21"/>
          <w:highlight w:val="none"/>
        </w:rPr>
        <w:t>2.采购代理机构信息</w:t>
      </w:r>
      <w:bookmarkEnd w:id="48"/>
      <w:bookmarkEnd w:id="49"/>
      <w:bookmarkEnd w:id="50"/>
      <w:bookmarkEnd w:id="51"/>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云之龙招标集团有限公司</w:t>
      </w:r>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广西贵港市港北区荷城路 1132 号华泰官邸1栋6楼</w:t>
      </w:r>
    </w:p>
    <w:p>
      <w:pPr>
        <w:spacing w:line="32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联系方式：</w:t>
      </w:r>
      <w:r>
        <w:rPr>
          <w:rFonts w:hint="eastAsia" w:ascii="宋体" w:hAnsi="宋体" w:cs="宋体"/>
          <w:color w:val="auto"/>
          <w:szCs w:val="21"/>
          <w:highlight w:val="none"/>
          <w:u w:val="single"/>
        </w:rPr>
        <w:t xml:space="preserve"> 0775-4565100、4569690</w:t>
      </w:r>
    </w:p>
    <w:p>
      <w:pPr>
        <w:spacing w:line="320" w:lineRule="exact"/>
        <w:ind w:firstLine="420" w:firstLineChars="200"/>
        <w:rPr>
          <w:rFonts w:ascii="宋体" w:hAnsi="宋体" w:cs="宋体"/>
          <w:color w:val="auto"/>
          <w:kern w:val="0"/>
          <w:szCs w:val="21"/>
          <w:highlight w:val="none"/>
        </w:rPr>
      </w:pPr>
      <w:bookmarkStart w:id="52" w:name="_Toc35393639"/>
      <w:bookmarkStart w:id="53" w:name="_Toc28359098"/>
      <w:bookmarkStart w:id="54" w:name="_Toc35393808"/>
      <w:bookmarkStart w:id="55" w:name="_Toc28359021"/>
      <w:r>
        <w:rPr>
          <w:rFonts w:hint="eastAsia" w:ascii="宋体" w:hAnsi="宋体" w:cs="宋体"/>
          <w:color w:val="auto"/>
          <w:kern w:val="0"/>
          <w:szCs w:val="21"/>
          <w:highlight w:val="none"/>
        </w:rPr>
        <w:t>3.项目联系方式</w:t>
      </w:r>
      <w:bookmarkEnd w:id="52"/>
      <w:bookmarkEnd w:id="53"/>
      <w:bookmarkEnd w:id="54"/>
      <w:bookmarkEnd w:id="55"/>
    </w:p>
    <w:p>
      <w:pPr>
        <w:pStyle w:val="12"/>
        <w:spacing w:line="320" w:lineRule="exact"/>
        <w:ind w:firstLine="420" w:firstLineChars="200"/>
        <w:rPr>
          <w:rFonts w:hAnsi="宋体" w:cs="宋体"/>
          <w:color w:val="auto"/>
          <w:sz w:val="21"/>
          <w:highlight w:val="none"/>
        </w:rPr>
      </w:pPr>
      <w:r>
        <w:rPr>
          <w:rFonts w:hint="eastAsia" w:hAnsi="宋体" w:cs="宋体"/>
          <w:color w:val="auto"/>
          <w:sz w:val="21"/>
          <w:highlight w:val="none"/>
        </w:rPr>
        <w:t>项目联系人：</w:t>
      </w:r>
      <w:r>
        <w:rPr>
          <w:rFonts w:hint="eastAsia" w:hAnsi="宋体" w:cs="宋体"/>
          <w:color w:val="auto"/>
          <w:sz w:val="21"/>
          <w:highlight w:val="none"/>
          <w:u w:val="single"/>
        </w:rPr>
        <w:t xml:space="preserve"> 区剑波、邓倩秋</w:t>
      </w:r>
    </w:p>
    <w:p>
      <w:pPr>
        <w:spacing w:line="32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　0775-4565100、4569690　</w:t>
      </w:r>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4.监督部门</w:t>
      </w:r>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平南县财政局政府采购监督管理股</w:t>
      </w:r>
    </w:p>
    <w:p>
      <w:pPr>
        <w:spacing w:line="32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 xml:space="preserve"> 0775-7820666</w:t>
      </w:r>
    </w:p>
    <w:p>
      <w:pPr>
        <w:spacing w:line="320" w:lineRule="exact"/>
        <w:ind w:firstLine="630" w:firstLineChars="300"/>
        <w:jc w:val="right"/>
        <w:rPr>
          <w:rFonts w:ascii="宋体" w:hAnsi="宋体" w:cs="宋体"/>
          <w:color w:val="auto"/>
          <w:szCs w:val="21"/>
          <w:highlight w:val="none"/>
          <w:u w:val="single"/>
        </w:rPr>
      </w:pPr>
    </w:p>
    <w:p>
      <w:pPr>
        <w:spacing w:line="320" w:lineRule="exact"/>
        <w:ind w:firstLine="630" w:firstLineChars="300"/>
        <w:jc w:val="right"/>
        <w:rPr>
          <w:rFonts w:ascii="宋体" w:hAnsi="宋体" w:cs="宋体"/>
          <w:color w:val="auto"/>
          <w:szCs w:val="21"/>
          <w:highlight w:val="none"/>
          <w:u w:val="single"/>
        </w:rPr>
      </w:pPr>
    </w:p>
    <w:p>
      <w:pPr>
        <w:spacing w:line="320" w:lineRule="exact"/>
        <w:ind w:firstLine="630" w:firstLineChars="300"/>
        <w:jc w:val="right"/>
        <w:rPr>
          <w:rFonts w:ascii="宋体" w:hAnsi="宋体" w:cs="宋体"/>
          <w:color w:val="auto"/>
          <w:szCs w:val="21"/>
          <w:highlight w:val="none"/>
          <w:u w:val="single"/>
        </w:rPr>
      </w:pPr>
    </w:p>
    <w:p>
      <w:pPr>
        <w:spacing w:line="320" w:lineRule="exact"/>
        <w:ind w:firstLine="630" w:firstLineChars="300"/>
        <w:jc w:val="right"/>
        <w:rPr>
          <w:rFonts w:ascii="宋体" w:hAnsi="宋体" w:cs="宋体"/>
          <w:color w:val="auto"/>
          <w:szCs w:val="21"/>
          <w:highlight w:val="none"/>
          <w:u w:val="single"/>
        </w:rPr>
      </w:pPr>
    </w:p>
    <w:p>
      <w:pPr>
        <w:spacing w:line="320" w:lineRule="exact"/>
        <w:ind w:firstLine="630" w:firstLineChars="300"/>
        <w:jc w:val="right"/>
        <w:rPr>
          <w:rFonts w:ascii="宋体" w:hAnsi="宋体" w:cs="宋体"/>
          <w:color w:val="auto"/>
          <w:szCs w:val="21"/>
          <w:highlight w:val="none"/>
          <w:u w:val="single"/>
        </w:rPr>
      </w:pPr>
      <w:r>
        <w:rPr>
          <w:rFonts w:hint="eastAsia" w:ascii="宋体" w:hAnsi="宋体" w:cs="宋体"/>
          <w:color w:val="auto"/>
          <w:szCs w:val="21"/>
          <w:highlight w:val="none"/>
          <w:u w:val="single"/>
        </w:rPr>
        <w:t>云之龙招标集团有限公司</w:t>
      </w:r>
    </w:p>
    <w:bookmarkEnd w:id="5"/>
    <w:p>
      <w:pPr>
        <w:spacing w:line="320" w:lineRule="exact"/>
        <w:jc w:val="right"/>
        <w:rPr>
          <w:rFonts w:ascii="宋体" w:hAnsi="宋体" w:cs="宋体"/>
          <w:b/>
          <w:color w:val="auto"/>
          <w:sz w:val="32"/>
          <w:szCs w:val="32"/>
          <w:highlight w:val="none"/>
        </w:rPr>
      </w:pPr>
      <w:r>
        <w:rPr>
          <w:rFonts w:hint="eastAsia"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21</w:t>
      </w:r>
      <w:r>
        <w:rPr>
          <w:rFonts w:hint="eastAsia" w:ascii="宋体" w:hAnsi="宋体" w:cs="宋体"/>
          <w:color w:val="auto"/>
          <w:szCs w:val="21"/>
          <w:highlight w:val="none"/>
          <w:u w:val="single"/>
        </w:rPr>
        <w:t>日</w:t>
      </w:r>
    </w:p>
    <w:p>
      <w:pPr>
        <w:pStyle w:val="2"/>
        <w:rPr>
          <w:rFonts w:ascii="宋体" w:hAnsi="宋体" w:cs="宋体"/>
          <w:color w:val="auto"/>
          <w:highlight w:val="none"/>
        </w:rPr>
      </w:pPr>
    </w:p>
    <w:p>
      <w:pPr>
        <w:spacing w:line="320" w:lineRule="exact"/>
        <w:ind w:firstLine="495"/>
        <w:jc w:val="right"/>
        <w:rPr>
          <w:rFonts w:ascii="宋体" w:hAnsi="宋体" w:cs="宋体"/>
          <w:color w:val="auto"/>
          <w:highlight w:val="none"/>
        </w:rPr>
      </w:pPr>
      <w:r>
        <w:rPr>
          <w:rFonts w:hint="eastAsia" w:ascii="宋体" w:hAnsi="宋体" w:cs="宋体"/>
          <w:color w:val="auto"/>
          <w:sz w:val="32"/>
          <w:szCs w:val="32"/>
          <w:highlight w:val="none"/>
        </w:rPr>
        <w:br w:type="page"/>
      </w:r>
    </w:p>
    <w:p>
      <w:pPr>
        <w:pStyle w:val="2"/>
        <w:jc w:val="center"/>
        <w:rPr>
          <w:rFonts w:ascii="宋体" w:hAnsi="宋体" w:cs="宋体"/>
          <w:color w:val="auto"/>
          <w:highlight w:val="none"/>
        </w:rPr>
      </w:pPr>
      <w:bookmarkStart w:id="56" w:name="_Toc44229894"/>
      <w:r>
        <w:rPr>
          <w:rFonts w:hint="eastAsia" w:ascii="宋体" w:hAnsi="宋体" w:cs="宋体"/>
          <w:color w:val="auto"/>
          <w:highlight w:val="none"/>
        </w:rPr>
        <w:t>第二章 供应商须知</w:t>
      </w:r>
      <w:bookmarkEnd w:id="56"/>
    </w:p>
    <w:p>
      <w:pPr>
        <w:spacing w:line="40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供应商须知前附表</w:t>
      </w:r>
    </w:p>
    <w:p>
      <w:pPr>
        <w:spacing w:line="400" w:lineRule="exact"/>
        <w:jc w:val="center"/>
        <w:rPr>
          <w:rFonts w:ascii="宋体" w:hAnsi="宋体" w:cs="宋体"/>
          <w:b/>
          <w:color w:val="auto"/>
          <w:sz w:val="32"/>
          <w:szCs w:val="32"/>
          <w:highlight w:val="none"/>
        </w:rPr>
      </w:pP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2"/>
        <w:gridCol w:w="8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tcPr>
          <w:p>
            <w:pPr>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条款号</w:t>
            </w:r>
          </w:p>
        </w:tc>
        <w:tc>
          <w:tcPr>
            <w:tcW w:w="8264" w:type="dxa"/>
          </w:tcPr>
          <w:p>
            <w:pPr>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8264" w:type="dxa"/>
            <w:vAlign w:val="center"/>
          </w:tcPr>
          <w:p>
            <w:pPr>
              <w:spacing w:line="320" w:lineRule="exact"/>
              <w:rPr>
                <w:rFonts w:ascii="宋体" w:hAnsi="宋体" w:cs="宋体"/>
                <w:color w:val="auto"/>
                <w:szCs w:val="21"/>
                <w:highlight w:val="none"/>
              </w:rPr>
            </w:pPr>
            <w:r>
              <w:rPr>
                <w:rFonts w:hint="eastAsia" w:ascii="宋体" w:hAnsi="宋体" w:cs="宋体"/>
                <w:bCs/>
                <w:color w:val="auto"/>
                <w:szCs w:val="21"/>
                <w:highlight w:val="none"/>
              </w:rPr>
              <w:t>供应商的资格条件</w:t>
            </w:r>
            <w:r>
              <w:rPr>
                <w:rFonts w:hint="eastAsia" w:ascii="宋体" w:hAnsi="宋体" w:cs="宋体"/>
                <w:color w:val="auto"/>
                <w:szCs w:val="21"/>
                <w:highlight w:val="none"/>
              </w:rPr>
              <w:t>：详见竞争性磋商公告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5.1</w:t>
            </w:r>
          </w:p>
        </w:tc>
        <w:tc>
          <w:tcPr>
            <w:tcW w:w="8264" w:type="dxa"/>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是否接受联合体竞标: 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6.2</w:t>
            </w:r>
          </w:p>
        </w:tc>
        <w:tc>
          <w:tcPr>
            <w:tcW w:w="8264" w:type="dxa"/>
            <w:vAlign w:val="center"/>
          </w:tcPr>
          <w:p>
            <w:pPr>
              <w:pStyle w:val="8"/>
              <w:spacing w:line="320" w:lineRule="exact"/>
              <w:rPr>
                <w:rFonts w:ascii="宋体" w:hAnsi="宋体" w:cs="宋体"/>
                <w:color w:val="auto"/>
                <w:szCs w:val="21"/>
                <w:highlight w:val="none"/>
              </w:rPr>
            </w:pPr>
            <w:r>
              <w:rPr>
                <w:rFonts w:hint="eastAsia" w:ascii="宋体" w:hAnsi="宋体" w:cs="宋体"/>
                <w:color w:val="auto"/>
                <w:szCs w:val="21"/>
                <w:highlight w:val="none"/>
              </w:rPr>
              <w:t>是否允许分包：☑不允许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12.1.1</w:t>
            </w:r>
          </w:p>
        </w:tc>
        <w:tc>
          <w:tcPr>
            <w:tcW w:w="8264" w:type="dxa"/>
            <w:vAlign w:val="center"/>
          </w:tcPr>
          <w:p>
            <w:pPr>
              <w:snapToGrid w:val="0"/>
              <w:spacing w:line="320" w:lineRule="exact"/>
              <w:jc w:val="left"/>
              <w:rPr>
                <w:rFonts w:ascii="宋体" w:hAnsi="宋体" w:cs="宋体"/>
                <w:b/>
                <w:color w:val="auto"/>
                <w:szCs w:val="21"/>
                <w:highlight w:val="none"/>
              </w:rPr>
            </w:pPr>
            <w:r>
              <w:rPr>
                <w:rFonts w:hint="eastAsia" w:ascii="宋体" w:hAnsi="宋体" w:cs="宋体"/>
                <w:b/>
                <w:color w:val="auto"/>
                <w:szCs w:val="21"/>
                <w:highlight w:val="none"/>
              </w:rPr>
              <w:t>资格证明文件</w:t>
            </w:r>
          </w:p>
          <w:p>
            <w:pPr>
              <w:pStyle w:val="8"/>
              <w:rPr>
                <w:rFonts w:ascii="宋体" w:hAnsi="宋体" w:cs="宋体"/>
                <w:color w:val="auto"/>
                <w:highlight w:val="none"/>
              </w:rPr>
            </w:pPr>
            <w:r>
              <w:rPr>
                <w:rFonts w:hint="eastAsia" w:ascii="宋体" w:hAnsi="宋体" w:cs="宋体"/>
                <w:color w:val="auto"/>
                <w:szCs w:val="21"/>
                <w:highlight w:val="none"/>
              </w:rPr>
              <w:t>1.法人或者其他组织的营业执照等证明文件（如营业执照或事业单位法人证书或执业许可证等），自然人的身份证复印件；（</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napToGrid w:val="0"/>
              <w:spacing w:line="320" w:lineRule="exact"/>
              <w:jc w:val="left"/>
              <w:rPr>
                <w:rFonts w:ascii="宋体" w:hAnsi="宋体" w:cs="宋体"/>
                <w:b/>
                <w:color w:val="auto"/>
                <w:szCs w:val="21"/>
                <w:highlight w:val="none"/>
              </w:rPr>
            </w:pPr>
            <w:r>
              <w:rPr>
                <w:rFonts w:hint="eastAsia" w:ascii="宋体" w:hAnsi="宋体" w:cs="宋体"/>
                <w:color w:val="auto"/>
                <w:szCs w:val="21"/>
                <w:highlight w:val="none"/>
              </w:rPr>
              <w:t>2.贵港市政府采购项目投标资格承诺函（格式后附）；</w:t>
            </w:r>
            <w:r>
              <w:rPr>
                <w:rFonts w:hint="eastAsia" w:ascii="宋体" w:hAnsi="宋体" w:cs="宋体"/>
                <w:bCs/>
                <w:color w:val="auto"/>
                <w:szCs w:val="21"/>
                <w:highlight w:val="none"/>
              </w:rPr>
              <w:t>（</w:t>
            </w:r>
            <w:r>
              <w:rPr>
                <w:rFonts w:hint="eastAsia" w:ascii="宋体" w:hAnsi="宋体" w:cs="宋体"/>
                <w:b/>
                <w:color w:val="auto"/>
                <w:szCs w:val="21"/>
                <w:highlight w:val="none"/>
              </w:rPr>
              <w:t>必须提供，否则响应文件按无效响应处理</w:t>
            </w:r>
            <w:r>
              <w:rPr>
                <w:rFonts w:hint="eastAsia" w:ascii="宋体" w:hAnsi="宋体" w:cs="宋体"/>
                <w:bCs/>
                <w:color w:val="auto"/>
                <w:szCs w:val="21"/>
                <w:highlight w:val="none"/>
              </w:rPr>
              <w:t>）</w:t>
            </w:r>
          </w:p>
          <w:p>
            <w:pPr>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rPr>
              <w:t>3.供应商直接控股、管理关系信息表（格式后附）；（</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rPr>
              <w:t>4.竞标声明（格式后附）；（</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rPr>
              <w:t>5.除竞争性磋商文件规定必须提供以外，供应商认为需要提供的其他证明材料；</w:t>
            </w:r>
          </w:p>
          <w:p>
            <w:pPr>
              <w:snapToGrid w:val="0"/>
              <w:spacing w:line="320" w:lineRule="exact"/>
              <w:jc w:val="left"/>
              <w:rPr>
                <w:rFonts w:ascii="宋体" w:hAnsi="宋体" w:cs="宋体"/>
                <w:color w:val="auto"/>
                <w:szCs w:val="21"/>
                <w:highlight w:val="none"/>
              </w:rPr>
            </w:pPr>
            <w:r>
              <w:rPr>
                <w:rFonts w:hint="eastAsia" w:ascii="宋体" w:hAnsi="宋体" w:cs="宋体"/>
                <w:bCs/>
                <w:color w:val="auto"/>
                <w:szCs w:val="21"/>
                <w:highlight w:val="none"/>
              </w:rPr>
              <w:t>6.</w:t>
            </w:r>
            <w:r>
              <w:rPr>
                <w:rFonts w:hint="eastAsia" w:ascii="宋体" w:hAnsi="宋体" w:cs="宋体"/>
                <w:color w:val="auto"/>
                <w:szCs w:val="21"/>
                <w:highlight w:val="none"/>
              </w:rPr>
              <w:t xml:space="preserve"> 其他资格证明文件（编制时应与公告的特定资格要求相对应）。</w:t>
            </w:r>
          </w:p>
          <w:p>
            <w:pPr>
              <w:snapToGrid w:val="0"/>
              <w:spacing w:line="320" w:lineRule="exact"/>
              <w:jc w:val="left"/>
              <w:rPr>
                <w:rFonts w:ascii="宋体" w:hAnsi="宋体" w:cs="宋体"/>
                <w:b/>
                <w:color w:val="auto"/>
                <w:szCs w:val="21"/>
                <w:highlight w:val="none"/>
              </w:rPr>
            </w:pPr>
            <w:r>
              <w:rPr>
                <w:rFonts w:hint="eastAsia" w:ascii="宋体" w:hAnsi="宋体" w:cs="宋体"/>
                <w:b/>
                <w:color w:val="auto"/>
                <w:szCs w:val="21"/>
                <w:highlight w:val="none"/>
              </w:rPr>
              <w:t>注：</w:t>
            </w:r>
          </w:p>
          <w:p>
            <w:pPr>
              <w:snapToGrid w:val="0"/>
              <w:spacing w:line="320" w:lineRule="exact"/>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1.以上标明“必须提供”的材料属于复印件的，必须加盖供应商公章，否则响应文件按无效响应处理。</w:t>
            </w:r>
          </w:p>
          <w:p>
            <w:pPr>
              <w:snapToGrid w:val="0"/>
              <w:spacing w:line="320" w:lineRule="exact"/>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2.竞标声明必须由法定代表人在规定签章处签字并加盖供应商公章，否则响应文件按无效响应处理。</w:t>
            </w:r>
          </w:p>
          <w:p>
            <w:pPr>
              <w:snapToGrid w:val="0"/>
              <w:spacing w:line="320" w:lineRule="exact"/>
              <w:ind w:firstLine="422" w:firstLineChars="200"/>
              <w:jc w:val="left"/>
              <w:rPr>
                <w:rFonts w:ascii="宋体" w:hAnsi="宋体" w:cs="宋体"/>
                <w:color w:val="auto"/>
                <w:szCs w:val="21"/>
                <w:highlight w:val="none"/>
              </w:rPr>
            </w:pPr>
            <w:r>
              <w:rPr>
                <w:rFonts w:hint="eastAsia" w:ascii="宋体" w:hAnsi="宋体" w:cs="宋体"/>
                <w:b/>
                <w:color w:val="auto"/>
                <w:szCs w:val="21"/>
                <w:highlight w:val="none"/>
              </w:rPr>
              <w:t>3.供应商直接控股、管理关系信息表必须由法定代表人或委托代理人在规定签章处签字并加盖供应商公章，否则响应文件按无效响应处理。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12.1.2</w:t>
            </w:r>
          </w:p>
        </w:tc>
        <w:tc>
          <w:tcPr>
            <w:tcW w:w="8264" w:type="dxa"/>
            <w:vAlign w:val="center"/>
          </w:tcPr>
          <w:p>
            <w:pPr>
              <w:spacing w:line="320" w:lineRule="exact"/>
              <w:rPr>
                <w:rFonts w:ascii="宋体" w:hAnsi="宋体" w:cs="宋体"/>
                <w:b/>
                <w:bCs/>
                <w:color w:val="auto"/>
                <w:szCs w:val="21"/>
                <w:highlight w:val="none"/>
              </w:rPr>
            </w:pPr>
            <w:r>
              <w:rPr>
                <w:rFonts w:hint="eastAsia" w:ascii="宋体" w:hAnsi="宋体" w:cs="宋体"/>
                <w:b/>
                <w:bCs/>
                <w:color w:val="auto"/>
                <w:szCs w:val="21"/>
                <w:highlight w:val="none"/>
              </w:rPr>
              <w:t>报价商务技术文件</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1.无串通竞标行为的承诺函（格式后附）；（</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2.竞标报价表（格式后附）；（</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rPr>
              <w:t>3.法定代表人身份证明书及法定代表人有效身份证正反面复印件（格式后附）；（</w:t>
            </w:r>
            <w:r>
              <w:rPr>
                <w:rFonts w:hint="eastAsia" w:ascii="宋体" w:hAnsi="宋体" w:cs="宋体"/>
                <w:b/>
                <w:bCs/>
                <w:color w:val="auto"/>
                <w:szCs w:val="21"/>
                <w:highlight w:val="none"/>
              </w:rPr>
              <w:t>除自然人竞标外</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pacing w:line="320" w:lineRule="exact"/>
              <w:rPr>
                <w:rFonts w:ascii="宋体" w:hAnsi="宋体" w:cs="宋体"/>
                <w:b/>
                <w:color w:val="auto"/>
                <w:szCs w:val="21"/>
                <w:highlight w:val="none"/>
              </w:rPr>
            </w:pPr>
            <w:r>
              <w:rPr>
                <w:rFonts w:hint="eastAsia" w:ascii="宋体" w:hAnsi="宋体" w:cs="宋体"/>
                <w:color w:val="auto"/>
                <w:szCs w:val="21"/>
                <w:highlight w:val="none"/>
              </w:rPr>
              <w:t>4.法定代表人授权委托书及委托代理人有效身份证正反面复印件（格式后附）；（</w:t>
            </w:r>
            <w:r>
              <w:rPr>
                <w:rFonts w:hint="eastAsia" w:ascii="宋体" w:hAnsi="宋体" w:cs="宋体"/>
                <w:b/>
                <w:color w:val="auto"/>
                <w:szCs w:val="21"/>
                <w:highlight w:val="none"/>
              </w:rPr>
              <w:t>委托时必须提供，否则响应文件按无效响应处理</w:t>
            </w:r>
            <w:r>
              <w:rPr>
                <w:rFonts w:hint="eastAsia" w:ascii="宋体" w:hAnsi="宋体" w:cs="宋体"/>
                <w:color w:val="auto"/>
                <w:szCs w:val="21"/>
                <w:highlight w:val="none"/>
              </w:rPr>
              <w:t>）</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5.商务条款偏离表（格式后附）；（</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6.B分标提供技术偏离表（格式后附）；（</w:t>
            </w:r>
            <w:r>
              <w:rPr>
                <w:rFonts w:hint="eastAsia" w:ascii="宋体" w:hAnsi="宋体" w:cs="宋体"/>
                <w:b/>
                <w:color w:val="auto"/>
                <w:szCs w:val="21"/>
                <w:highlight w:val="none"/>
              </w:rPr>
              <w:t>必须提供，否则响应文件作无效处理</w:t>
            </w:r>
            <w:r>
              <w:rPr>
                <w:rFonts w:hint="eastAsia" w:ascii="宋体" w:hAnsi="宋体" w:cs="宋体"/>
                <w:color w:val="auto"/>
                <w:szCs w:val="21"/>
                <w:highlight w:val="none"/>
              </w:rPr>
              <w:t>）</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7.B分标提供配置清单（均不含报价）（格式后附）；（</w:t>
            </w:r>
            <w:r>
              <w:rPr>
                <w:rFonts w:hint="eastAsia" w:ascii="宋体" w:hAnsi="宋体" w:cs="宋体"/>
                <w:b/>
                <w:color w:val="auto"/>
                <w:szCs w:val="21"/>
                <w:highlight w:val="none"/>
              </w:rPr>
              <w:t>必须提供，否则响应文件作无效处理</w:t>
            </w:r>
            <w:r>
              <w:rPr>
                <w:rFonts w:hint="eastAsia" w:ascii="宋体" w:hAnsi="宋体" w:cs="宋体"/>
                <w:color w:val="auto"/>
                <w:szCs w:val="21"/>
                <w:highlight w:val="none"/>
              </w:rPr>
              <w:t>）</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8.</w:t>
            </w:r>
            <w:r>
              <w:rPr>
                <w:rFonts w:hint="eastAsia" w:ascii="宋体" w:hAnsi="宋体"/>
                <w:color w:val="auto"/>
                <w:szCs w:val="21"/>
                <w:highlight w:val="none"/>
              </w:rPr>
              <w:t>服务质量承诺</w:t>
            </w:r>
            <w:r>
              <w:rPr>
                <w:rFonts w:hint="eastAsia" w:ascii="宋体" w:hAnsi="宋体" w:cs="宋体"/>
                <w:color w:val="auto"/>
                <w:szCs w:val="21"/>
                <w:highlight w:val="none"/>
              </w:rPr>
              <w:t>；（</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9.项目组织实施方案（格式自拟）；</w:t>
            </w:r>
            <w:r>
              <w:rPr>
                <w:rFonts w:hint="eastAsia" w:ascii="宋体" w:hAnsi="宋体" w:cs="宋体"/>
                <w:b/>
                <w:bCs/>
                <w:color w:val="auto"/>
                <w:szCs w:val="21"/>
                <w:highlight w:val="none"/>
              </w:rPr>
              <w:t xml:space="preserve">（必须提供，否则响应文件按无效响应处理） </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10.对应采购需求的商务条款提供的其他文件资料；</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11.对应采购需求的技术需求提供的其他文件资料；</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12.供应商认为需要提供的有关资料。</w:t>
            </w:r>
          </w:p>
          <w:p>
            <w:pPr>
              <w:snapToGrid w:val="0"/>
              <w:spacing w:line="320" w:lineRule="exact"/>
              <w:jc w:val="left"/>
              <w:rPr>
                <w:rFonts w:ascii="宋体" w:hAnsi="宋体" w:cs="宋体"/>
                <w:b/>
                <w:color w:val="auto"/>
                <w:szCs w:val="21"/>
                <w:highlight w:val="none"/>
              </w:rPr>
            </w:pPr>
            <w:r>
              <w:rPr>
                <w:rFonts w:hint="eastAsia" w:ascii="宋体" w:hAnsi="宋体" w:cs="宋体"/>
                <w:b/>
                <w:color w:val="auto"/>
                <w:szCs w:val="21"/>
                <w:highlight w:val="none"/>
              </w:rPr>
              <w:t xml:space="preserve">注： </w:t>
            </w:r>
          </w:p>
          <w:p>
            <w:pPr>
              <w:snapToGrid w:val="0"/>
              <w:spacing w:line="320" w:lineRule="exact"/>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1.法定代表人授权委托书必须由法定代表人及委托代理人签字，并加盖供应商公章，否则响应文件按无效响应处理。</w:t>
            </w:r>
          </w:p>
          <w:p>
            <w:pPr>
              <w:spacing w:line="320" w:lineRule="exact"/>
              <w:ind w:firstLine="413" w:firstLineChars="196"/>
              <w:rPr>
                <w:rFonts w:ascii="宋体" w:hAnsi="宋体" w:cs="宋体"/>
                <w:b/>
                <w:color w:val="auto"/>
                <w:szCs w:val="21"/>
                <w:highlight w:val="none"/>
              </w:rPr>
            </w:pPr>
            <w:r>
              <w:rPr>
                <w:rFonts w:hint="eastAsia" w:ascii="宋体" w:hAnsi="宋体" w:cs="宋体"/>
                <w:b/>
                <w:color w:val="auto"/>
                <w:szCs w:val="21"/>
                <w:highlight w:val="none"/>
              </w:rPr>
              <w:t>2.以上标明“必须提供”的材料属于复印件的，必须加盖供应商公章，否则响应文件按无效响应处理。</w:t>
            </w:r>
          </w:p>
          <w:p>
            <w:pPr>
              <w:spacing w:line="320" w:lineRule="exact"/>
              <w:ind w:firstLine="413" w:firstLineChars="196"/>
              <w:rPr>
                <w:rFonts w:ascii="宋体" w:hAnsi="宋体" w:cs="宋体"/>
                <w:color w:val="auto"/>
                <w:szCs w:val="21"/>
                <w:highlight w:val="none"/>
              </w:rPr>
            </w:pPr>
            <w:r>
              <w:rPr>
                <w:rFonts w:hint="eastAsia" w:ascii="宋体" w:hAnsi="宋体" w:cs="宋体"/>
                <w:b/>
                <w:color w:val="auto"/>
                <w:szCs w:val="21"/>
                <w:highlight w:val="none"/>
              </w:rPr>
              <w:t>3.以上材料未附格式的，由供应商自行拟定。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12.2</w:t>
            </w:r>
          </w:p>
        </w:tc>
        <w:tc>
          <w:tcPr>
            <w:tcW w:w="8264" w:type="dxa"/>
            <w:vAlign w:val="center"/>
          </w:tcPr>
          <w:p>
            <w:pPr>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rPr>
              <w:t>响应文件电子版:无。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15.2</w:t>
            </w:r>
          </w:p>
        </w:tc>
        <w:tc>
          <w:tcPr>
            <w:tcW w:w="8264" w:type="dxa"/>
            <w:vAlign w:val="center"/>
          </w:tcPr>
          <w:p>
            <w:pPr>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rPr>
              <w:t>竞标报价应当包含满足本次竞标全部采购需求所应提供的服务，以及伴随的货物和工程（如有）的价格；包含人员的工资、社保费、加班费、福利费、服装费、人员培训费、税费、管理费、合理利润等，以及合同约定的义务而发生的其他费用。</w:t>
            </w:r>
          </w:p>
          <w:p>
            <w:pPr>
              <w:snapToGrid w:val="0"/>
              <w:rPr>
                <w:rFonts w:ascii="宋体" w:hAnsi="宋体" w:cs="宋体"/>
                <w:color w:val="auto"/>
                <w:szCs w:val="21"/>
                <w:highlight w:val="none"/>
              </w:rPr>
            </w:pPr>
            <w:r>
              <w:rPr>
                <w:rFonts w:hint="eastAsia" w:ascii="宋体" w:hAnsi="宋体" w:cs="宋体"/>
                <w:b/>
                <w:color w:val="auto"/>
                <w:highlight w:val="none"/>
              </w:rPr>
              <w:t>☑竞标报价包含验收费用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16.2</w:t>
            </w:r>
          </w:p>
        </w:tc>
        <w:tc>
          <w:tcPr>
            <w:tcW w:w="8264" w:type="dxa"/>
            <w:vAlign w:val="center"/>
          </w:tcPr>
          <w:p>
            <w:pPr>
              <w:pStyle w:val="7"/>
              <w:widowControl w:val="0"/>
              <w:tabs>
                <w:tab w:val="clear" w:pos="454"/>
              </w:tabs>
              <w:snapToGrid w:val="0"/>
              <w:spacing w:afterLines="0" w:line="320" w:lineRule="exact"/>
              <w:ind w:left="283" w:hanging="283" w:hangingChars="135"/>
              <w:rPr>
                <w:rFonts w:ascii="宋体" w:hAnsi="宋体" w:cs="宋体"/>
                <w:color w:val="auto"/>
                <w:kern w:val="2"/>
                <w:sz w:val="21"/>
                <w:szCs w:val="21"/>
                <w:highlight w:val="none"/>
              </w:rPr>
            </w:pPr>
            <w:r>
              <w:rPr>
                <w:rFonts w:hint="eastAsia" w:ascii="宋体" w:hAnsi="宋体" w:cs="宋体"/>
                <w:color w:val="auto"/>
                <w:kern w:val="2"/>
                <w:sz w:val="21"/>
                <w:szCs w:val="21"/>
                <w:highlight w:val="none"/>
              </w:rPr>
              <w:t>竞标有效期：自首次响应文件提交截止之日起120日。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17.1</w:t>
            </w:r>
          </w:p>
        </w:tc>
        <w:tc>
          <w:tcPr>
            <w:tcW w:w="8264" w:type="dxa"/>
            <w:vAlign w:val="center"/>
          </w:tcPr>
          <w:p>
            <w:pPr>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磋商保证金：无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18.2</w:t>
            </w:r>
          </w:p>
        </w:tc>
        <w:tc>
          <w:tcPr>
            <w:tcW w:w="8264" w:type="dxa"/>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响应文件份数：正本一份、副本</w:t>
            </w:r>
            <w:r>
              <w:rPr>
                <w:rFonts w:hint="eastAsia" w:ascii="宋体" w:hAnsi="宋体" w:cs="宋体"/>
                <w:color w:val="auto"/>
                <w:szCs w:val="21"/>
                <w:highlight w:val="none"/>
                <w:u w:val="single"/>
              </w:rPr>
              <w:t xml:space="preserve"> 肆 </w:t>
            </w:r>
            <w:r>
              <w:rPr>
                <w:rFonts w:hint="eastAsia" w:ascii="宋体" w:hAnsi="宋体" w:cs="宋体"/>
                <w:color w:val="auto"/>
                <w:szCs w:val="21"/>
                <w:highlight w:val="none"/>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20.1</w:t>
            </w:r>
          </w:p>
        </w:tc>
        <w:tc>
          <w:tcPr>
            <w:tcW w:w="8264" w:type="dxa"/>
            <w:vAlign w:val="center"/>
          </w:tcPr>
          <w:p>
            <w:pPr>
              <w:snapToGrid w:val="0"/>
              <w:spacing w:line="320" w:lineRule="exact"/>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首次响应文件提交起止时间：详见竞争性磋商公告。</w:t>
            </w:r>
          </w:p>
          <w:p>
            <w:pPr>
              <w:snapToGrid w:val="0"/>
              <w:spacing w:line="320" w:lineRule="exact"/>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首次响应文件提交截止时间：详见竞争性磋商公告。</w:t>
            </w:r>
          </w:p>
          <w:p>
            <w:pPr>
              <w:snapToGrid w:val="0"/>
              <w:spacing w:line="3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首次响应文件提交地点：详见竞争性磋商公告。</w:t>
            </w:r>
          </w:p>
          <w:p>
            <w:pPr>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供应商应当在首次响应文件提交截止时间前，将响应文件密封送达首次响应文件提交地点。在首次响应文件提交截止时间后送达的响应文件为无效文件，采购代理机构应当拒收。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24.1</w:t>
            </w:r>
          </w:p>
        </w:tc>
        <w:tc>
          <w:tcPr>
            <w:tcW w:w="8264" w:type="dxa"/>
            <w:vAlign w:val="center"/>
          </w:tcPr>
          <w:p>
            <w:pPr>
              <w:snapToGrid w:val="0"/>
              <w:spacing w:line="320" w:lineRule="exact"/>
              <w:jc w:val="left"/>
              <w:rPr>
                <w:rFonts w:ascii="宋体" w:hAnsi="宋体" w:cs="宋体"/>
                <w:color w:val="auto"/>
                <w:szCs w:val="21"/>
                <w:highlight w:val="none"/>
                <w:u w:val="single"/>
              </w:rPr>
            </w:pPr>
            <w:r>
              <w:rPr>
                <w:rFonts w:hint="eastAsia" w:ascii="宋体" w:hAnsi="宋体" w:cs="宋体"/>
                <w:color w:val="auto"/>
                <w:szCs w:val="21"/>
                <w:highlight w:val="none"/>
              </w:rPr>
              <w:t>磋商小组的人数：</w:t>
            </w:r>
            <w:r>
              <w:rPr>
                <w:rFonts w:hint="eastAsia" w:ascii="宋体" w:hAnsi="宋体" w:cs="宋体"/>
                <w:color w:val="auto"/>
                <w:szCs w:val="21"/>
                <w:highlight w:val="none"/>
                <w:u w:val="single"/>
              </w:rPr>
              <w:t xml:space="preserve"> 3</w:t>
            </w:r>
            <w:r>
              <w:rPr>
                <w:rFonts w:hint="eastAsia" w:ascii="宋体" w:hAnsi="宋体" w:cs="宋体"/>
                <w:color w:val="auto"/>
                <w:szCs w:val="21"/>
                <w:highlight w:val="none"/>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24.3</w:t>
            </w:r>
          </w:p>
        </w:tc>
        <w:tc>
          <w:tcPr>
            <w:tcW w:w="8264" w:type="dxa"/>
            <w:vAlign w:val="center"/>
          </w:tcPr>
          <w:p>
            <w:pPr>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rPr>
              <w:t>首次响应文件的开启：</w:t>
            </w:r>
          </w:p>
          <w:p>
            <w:pPr>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rPr>
              <w:t>☑磋商地点在各地公共资源交易中心时：在交易中心工作人员或现场监督人员的见证下开启首次响应文件。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25.1.1</w:t>
            </w:r>
          </w:p>
        </w:tc>
        <w:tc>
          <w:tcPr>
            <w:tcW w:w="8264" w:type="dxa"/>
            <w:vAlign w:val="center"/>
          </w:tcPr>
          <w:p>
            <w:pPr>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采购人或者采购代理机构在资格审查结束前，对供应商进行信用查询。</w:t>
            </w:r>
          </w:p>
          <w:p>
            <w:pPr>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查询渠道：“信用中国”网站(www.creditchina.gov.cn) 、中国政府采购网(www.ccgp.gov.cn)。</w:t>
            </w:r>
          </w:p>
          <w:p>
            <w:pPr>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信用查询截止时点：资格审查结束前。</w:t>
            </w:r>
          </w:p>
          <w:p>
            <w:pPr>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查询记录和证据留存方式：在查询网站中直接打印查询记录，打印材料作为评审资料保存。</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25.2.1</w:t>
            </w:r>
          </w:p>
        </w:tc>
        <w:tc>
          <w:tcPr>
            <w:tcW w:w="8264" w:type="dxa"/>
            <w:vAlign w:val="center"/>
          </w:tcPr>
          <w:p>
            <w:pPr>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A分标：</w:t>
            </w:r>
          </w:p>
          <w:p>
            <w:pPr>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商务条款评审中允许负偏离的条款数为</w:t>
            </w:r>
            <w:r>
              <w:rPr>
                <w:rFonts w:hint="eastAsia" w:ascii="宋体" w:hAnsi="宋体" w:cs="宋体"/>
                <w:color w:val="auto"/>
                <w:szCs w:val="21"/>
                <w:highlight w:val="none"/>
                <w:u w:val="single"/>
              </w:rPr>
              <w:t xml:space="preserve"> 0 </w:t>
            </w:r>
            <w:r>
              <w:rPr>
                <w:rFonts w:hint="eastAsia" w:ascii="宋体" w:hAnsi="宋体" w:cs="宋体"/>
                <w:color w:val="auto"/>
                <w:szCs w:val="21"/>
                <w:highlight w:val="none"/>
              </w:rPr>
              <w:t>项。</w:t>
            </w:r>
          </w:p>
          <w:p>
            <w:pPr>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技术需求评审中允许负偏离的条款数为</w:t>
            </w:r>
            <w:r>
              <w:rPr>
                <w:rFonts w:hint="eastAsia" w:ascii="宋体" w:hAnsi="宋体" w:cs="宋体"/>
                <w:color w:val="auto"/>
                <w:szCs w:val="21"/>
                <w:highlight w:val="none"/>
                <w:u w:val="single"/>
              </w:rPr>
              <w:t xml:space="preserve"> 0  </w:t>
            </w:r>
            <w:r>
              <w:rPr>
                <w:rFonts w:hint="eastAsia" w:ascii="宋体" w:hAnsi="宋体" w:cs="宋体"/>
                <w:color w:val="auto"/>
                <w:szCs w:val="21"/>
                <w:highlight w:val="none"/>
              </w:rPr>
              <w:t>项。</w:t>
            </w:r>
          </w:p>
          <w:p>
            <w:pPr>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B分标</w:t>
            </w:r>
          </w:p>
          <w:p>
            <w:pPr>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商务条款评审中允许负偏离的条款数为</w:t>
            </w:r>
            <w:r>
              <w:rPr>
                <w:rFonts w:hint="eastAsia" w:ascii="宋体" w:hAnsi="宋体" w:cs="宋体"/>
                <w:color w:val="auto"/>
                <w:szCs w:val="21"/>
                <w:highlight w:val="none"/>
                <w:u w:val="single"/>
              </w:rPr>
              <w:t xml:space="preserve"> 0 </w:t>
            </w:r>
            <w:r>
              <w:rPr>
                <w:rFonts w:hint="eastAsia" w:ascii="宋体" w:hAnsi="宋体" w:cs="宋体"/>
                <w:color w:val="auto"/>
                <w:szCs w:val="21"/>
                <w:highlight w:val="none"/>
              </w:rPr>
              <w:t>项。</w:t>
            </w:r>
          </w:p>
          <w:p>
            <w:pPr>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技术需求评审中允许负偏离的条款数为</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26.1</w:t>
            </w:r>
          </w:p>
        </w:tc>
        <w:tc>
          <w:tcPr>
            <w:tcW w:w="8264" w:type="dxa"/>
            <w:vAlign w:val="center"/>
          </w:tcPr>
          <w:p>
            <w:pPr>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磋商的顺序：</w:t>
            </w:r>
          </w:p>
          <w:p>
            <w:pPr>
              <w:pStyle w:val="8"/>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highlight w:val="none"/>
              </w:rPr>
              <w:t>按照</w:t>
            </w:r>
            <w:r>
              <w:rPr>
                <w:rFonts w:hint="eastAsia" w:ascii="宋体" w:hAnsi="宋体" w:cs="宋体"/>
                <w:color w:val="auto"/>
                <w:szCs w:val="21"/>
                <w:highlight w:val="none"/>
              </w:rPr>
              <w:t>提交首次响应文件的顺序，</w:t>
            </w:r>
            <w:r>
              <w:rPr>
                <w:rFonts w:hint="eastAsia" w:ascii="宋体" w:hAnsi="宋体" w:cs="宋体"/>
                <w:color w:val="auto"/>
                <w:highlight w:val="none"/>
              </w:rPr>
              <w:t>如出现某供应商不能按时参加磋商的情形，则该供应商的磋商次序往后延，具体由磋商小组确定</w:t>
            </w:r>
            <w:r>
              <w:rPr>
                <w:rFonts w:hint="eastAsia" w:ascii="宋体" w:hAnsi="宋体" w:cs="宋体"/>
                <w:color w:val="auto"/>
                <w:szCs w:val="21"/>
                <w:highlight w:val="none"/>
              </w:rPr>
              <w:t>。</w:t>
            </w:r>
          </w:p>
          <w:p>
            <w:pPr>
              <w:pStyle w:val="8"/>
              <w:spacing w:line="320" w:lineRule="exact"/>
              <w:rPr>
                <w:rFonts w:ascii="宋体" w:hAnsi="宋体" w:cs="宋体"/>
                <w:b/>
                <w:color w:val="auto"/>
                <w:szCs w:val="21"/>
                <w:highlight w:val="none"/>
              </w:rPr>
            </w:pPr>
            <w:r>
              <w:rPr>
                <w:rFonts w:hint="eastAsia" w:ascii="宋体" w:hAnsi="宋体" w:cs="宋体"/>
                <w:b/>
                <w:color w:val="auto"/>
                <w:szCs w:val="21"/>
                <w:highlight w:val="none"/>
              </w:rPr>
              <w:t>参与磋商前，供应商法定代表人或委托代理人必须向磋商小组出示本人有效证件原件[有效证件可以是身份证（含临时身份证明）、机动车驾驶证、社会保障卡或护照的其中一项]，若参与磋商的委托代理人不是响应文件中承诺的授权委托代理人的，应当同时出示法定代表人授权委托书原件，否则磋商小组将拒绝其参与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26.2</w:t>
            </w:r>
          </w:p>
        </w:tc>
        <w:tc>
          <w:tcPr>
            <w:tcW w:w="8264" w:type="dxa"/>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可能实质性变动的内容：</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采购需求中的技术、服务要求以及合同草案条款。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30.1</w:t>
            </w:r>
          </w:p>
        </w:tc>
        <w:tc>
          <w:tcPr>
            <w:tcW w:w="8264" w:type="dxa"/>
            <w:vAlign w:val="center"/>
          </w:tcPr>
          <w:p>
            <w:pPr>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履约保证金金额：无</w:t>
            </w:r>
            <w:r>
              <w:rPr>
                <w:rFonts w:hint="eastAsia" w:ascii="宋体" w:hAnsi="宋体" w:cs="宋体"/>
                <w:b/>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31.1</w:t>
            </w:r>
          </w:p>
        </w:tc>
        <w:tc>
          <w:tcPr>
            <w:tcW w:w="8264" w:type="dxa"/>
            <w:vAlign w:val="center"/>
          </w:tcPr>
          <w:p>
            <w:pPr>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签订合同携带的证明材料：营业执照副本原件、法定代表人授权委托书及被授权人身份证原件等其它证明材料。</w:t>
            </w:r>
          </w:p>
          <w:p>
            <w:pPr>
              <w:snapToGrid w:val="0"/>
              <w:spacing w:line="320" w:lineRule="exact"/>
              <w:rPr>
                <w:rFonts w:ascii="宋体" w:hAnsi="宋体" w:cs="宋体"/>
                <w:color w:val="auto"/>
                <w:szCs w:val="21"/>
                <w:highlight w:val="none"/>
              </w:rPr>
            </w:pPr>
            <w:r>
              <w:rPr>
                <w:rFonts w:hint="eastAsia"/>
                <w:b/>
                <w:bCs/>
                <w:color w:val="auto"/>
                <w:highlight w:val="none"/>
              </w:rPr>
              <w:t>合同签订时间：自成交通知书发出之日起7个工作日内。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34.1</w:t>
            </w:r>
          </w:p>
        </w:tc>
        <w:tc>
          <w:tcPr>
            <w:tcW w:w="8264" w:type="dxa"/>
            <w:vAlign w:val="center"/>
          </w:tcPr>
          <w:p>
            <w:pPr>
              <w:pStyle w:val="12"/>
              <w:snapToGrid w:val="0"/>
              <w:spacing w:line="320" w:lineRule="exact"/>
              <w:rPr>
                <w:rFonts w:hAnsi="宋体" w:cs="宋体"/>
                <w:color w:val="auto"/>
                <w:sz w:val="21"/>
                <w:highlight w:val="none"/>
              </w:rPr>
            </w:pPr>
            <w:r>
              <w:rPr>
                <w:rFonts w:hint="eastAsia" w:hAnsi="宋体" w:cs="宋体"/>
                <w:color w:val="auto"/>
                <w:sz w:val="21"/>
                <w:highlight w:val="none"/>
              </w:rPr>
              <w:t>1.采购代理费收取方式：</w:t>
            </w:r>
          </w:p>
          <w:p>
            <w:pPr>
              <w:pStyle w:val="12"/>
              <w:snapToGrid w:val="0"/>
              <w:spacing w:line="320" w:lineRule="exact"/>
              <w:rPr>
                <w:rFonts w:hAnsi="宋体" w:cs="宋体"/>
                <w:color w:val="auto"/>
                <w:sz w:val="21"/>
                <w:highlight w:val="none"/>
              </w:rPr>
            </w:pPr>
            <w:r>
              <w:rPr>
                <w:rFonts w:hint="eastAsia" w:hAnsi="宋体" w:cs="宋体"/>
                <w:color w:val="auto"/>
                <w:sz w:val="21"/>
                <w:highlight w:val="none"/>
              </w:rPr>
              <w:t>☑本项目代理服务费由</w:t>
            </w:r>
            <w:r>
              <w:rPr>
                <w:rFonts w:hint="eastAsia" w:hAnsi="宋体" w:cs="宋体"/>
                <w:color w:val="auto"/>
                <w:sz w:val="21"/>
                <w:highlight w:val="none"/>
                <w:u w:val="single"/>
              </w:rPr>
              <w:t>成交供应商</w:t>
            </w:r>
            <w:r>
              <w:rPr>
                <w:rFonts w:hint="eastAsia" w:hAnsi="宋体" w:cs="宋体"/>
                <w:color w:val="auto"/>
                <w:sz w:val="21"/>
                <w:highlight w:val="none"/>
              </w:rPr>
              <w:t>领取成交通知书前，一次性向采购代理机构支付。</w:t>
            </w:r>
          </w:p>
          <w:p>
            <w:pPr>
              <w:pStyle w:val="12"/>
              <w:snapToGrid w:val="0"/>
              <w:spacing w:line="320" w:lineRule="exact"/>
              <w:rPr>
                <w:rFonts w:hAnsi="宋体" w:cs="宋体"/>
                <w:color w:val="auto"/>
                <w:sz w:val="21"/>
                <w:highlight w:val="none"/>
              </w:rPr>
            </w:pPr>
            <w:r>
              <w:rPr>
                <w:rFonts w:hint="eastAsia" w:hAnsi="宋体" w:cs="宋体"/>
                <w:color w:val="auto"/>
                <w:sz w:val="21"/>
                <w:highlight w:val="none"/>
              </w:rPr>
              <w:t>2.采购代理费收取标准：</w:t>
            </w:r>
          </w:p>
          <w:p>
            <w:pPr>
              <w:pStyle w:val="12"/>
              <w:snapToGrid w:val="0"/>
              <w:spacing w:line="320" w:lineRule="exact"/>
              <w:rPr>
                <w:rFonts w:hAnsi="宋体" w:cs="宋体"/>
                <w:color w:val="auto"/>
                <w:sz w:val="21"/>
                <w:highlight w:val="none"/>
                <w:u w:val="single"/>
              </w:rPr>
            </w:pPr>
            <w:r>
              <w:rPr>
                <w:rFonts w:hint="eastAsia" w:hAnsi="宋体" w:cs="宋体"/>
                <w:color w:val="auto"/>
                <w:sz w:val="21"/>
                <w:highlight w:val="none"/>
                <w:u w:val="single"/>
              </w:rPr>
              <w:t>按国家发展改革委《关于进一步放开建设项目专业服务价格的通知 》发改价格〔2015〕299号文执行：成交服务费为A分标人民币壹万肆仟柒佰元整（￥14700.00），B分标为人民币壹万零伍佰元整（￥10500.00）。</w:t>
            </w:r>
          </w:p>
          <w:p>
            <w:pPr>
              <w:pStyle w:val="12"/>
              <w:snapToGrid w:val="0"/>
              <w:spacing w:line="320" w:lineRule="exact"/>
              <w:rPr>
                <w:rFonts w:hAnsi="宋体" w:cs="宋体"/>
                <w:color w:val="auto"/>
                <w:sz w:val="21"/>
                <w:highlight w:val="none"/>
              </w:rPr>
            </w:pPr>
            <w:r>
              <w:rPr>
                <w:rFonts w:hint="eastAsia" w:hAnsi="宋体" w:cs="宋体"/>
                <w:color w:val="auto"/>
                <w:sz w:val="21"/>
                <w:highlight w:val="none"/>
              </w:rPr>
              <w:t>3. 采购代理费收取银行账户</w:t>
            </w:r>
          </w:p>
          <w:p>
            <w:pPr>
              <w:pStyle w:val="12"/>
              <w:snapToGrid w:val="0"/>
              <w:spacing w:line="320" w:lineRule="exact"/>
              <w:rPr>
                <w:rFonts w:hAnsi="宋体" w:cs="宋体"/>
                <w:color w:val="auto"/>
                <w:sz w:val="21"/>
                <w:highlight w:val="none"/>
              </w:rPr>
            </w:pPr>
            <w:r>
              <w:rPr>
                <w:rFonts w:hint="eastAsia" w:hAnsi="宋体" w:cs="宋体"/>
                <w:color w:val="auto"/>
                <w:sz w:val="21"/>
                <w:highlight w:val="none"/>
              </w:rPr>
              <w:t>开户名称：云之龙招标集团有限公司贵港分公司</w:t>
            </w:r>
          </w:p>
          <w:p>
            <w:pPr>
              <w:pStyle w:val="12"/>
              <w:snapToGrid w:val="0"/>
              <w:spacing w:line="320" w:lineRule="exact"/>
              <w:rPr>
                <w:rFonts w:hAnsi="宋体" w:cs="宋体"/>
                <w:color w:val="auto"/>
                <w:sz w:val="21"/>
                <w:highlight w:val="none"/>
              </w:rPr>
            </w:pPr>
            <w:r>
              <w:rPr>
                <w:rFonts w:hint="eastAsia" w:hAnsi="宋体" w:cs="宋体"/>
                <w:color w:val="auto"/>
                <w:sz w:val="21"/>
                <w:highlight w:val="none"/>
              </w:rPr>
              <w:t>开户银行：中信银行南宁东葛支行</w:t>
            </w:r>
          </w:p>
          <w:p>
            <w:pPr>
              <w:pStyle w:val="12"/>
              <w:snapToGrid w:val="0"/>
              <w:spacing w:line="320" w:lineRule="exact"/>
              <w:rPr>
                <w:rFonts w:hAnsi="宋体" w:cs="宋体"/>
                <w:color w:val="auto"/>
                <w:sz w:val="21"/>
                <w:highlight w:val="none"/>
              </w:rPr>
            </w:pPr>
            <w:r>
              <w:rPr>
                <w:rFonts w:hint="eastAsia" w:hAnsi="宋体" w:cs="宋体"/>
                <w:color w:val="auto"/>
                <w:sz w:val="21"/>
                <w:highlight w:val="none"/>
              </w:rPr>
              <w:t>开户账号：8113001015100158012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r>
              <w:rPr>
                <w:rFonts w:hint="eastAsia" w:ascii="宋体" w:hAnsi="宋体" w:cs="宋体"/>
                <w:color w:val="auto"/>
                <w:szCs w:val="21"/>
                <w:highlight w:val="none"/>
              </w:rPr>
              <w:t>35.2</w:t>
            </w:r>
          </w:p>
        </w:tc>
        <w:tc>
          <w:tcPr>
            <w:tcW w:w="8264" w:type="dxa"/>
            <w:vAlign w:val="center"/>
          </w:tcPr>
          <w:p>
            <w:pPr>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接收质疑函方式：以书面形式。</w:t>
            </w:r>
          </w:p>
          <w:p>
            <w:pPr>
              <w:pStyle w:val="12"/>
              <w:snapToGrid w:val="0"/>
              <w:spacing w:line="320" w:lineRule="exact"/>
              <w:rPr>
                <w:rFonts w:hAnsi="宋体" w:cs="宋体"/>
                <w:color w:val="auto"/>
                <w:kern w:val="2"/>
                <w:sz w:val="21"/>
                <w:highlight w:val="none"/>
              </w:rPr>
            </w:pPr>
            <w:r>
              <w:rPr>
                <w:rFonts w:hint="eastAsia" w:hAnsi="宋体" w:cs="宋体"/>
                <w:color w:val="auto"/>
                <w:kern w:val="2"/>
                <w:sz w:val="21"/>
                <w:highlight w:val="none"/>
              </w:rPr>
              <w:t>质疑联系部门及联系方式：</w:t>
            </w:r>
            <w:r>
              <w:rPr>
                <w:rFonts w:hint="eastAsia" w:hAnsi="宋体" w:cs="Courier New"/>
                <w:color w:val="auto"/>
                <w:kern w:val="2"/>
                <w:sz w:val="21"/>
                <w:highlight w:val="none"/>
              </w:rPr>
              <w:t>云之龙招标集团有限公司</w:t>
            </w:r>
            <w:r>
              <w:rPr>
                <w:rFonts w:hint="eastAsia" w:hAnsi="宋体" w:cs="Courier New"/>
                <w:color w:val="auto"/>
                <w:kern w:val="2"/>
                <w:sz w:val="21"/>
                <w:highlight w:val="none"/>
                <w:u w:val="single"/>
              </w:rPr>
              <w:t>招标部</w:t>
            </w:r>
            <w:r>
              <w:rPr>
                <w:rFonts w:hint="eastAsia" w:hAnsi="宋体" w:cs="宋体"/>
                <w:color w:val="auto"/>
                <w:kern w:val="2"/>
                <w:sz w:val="21"/>
                <w:highlight w:val="none"/>
              </w:rPr>
              <w:t>，联系电话：0775-4565100，通讯地址：广西贵港市港北区荷城路1132号华泰官邸1栋6楼。</w:t>
            </w:r>
          </w:p>
          <w:p>
            <w:pPr>
              <w:pStyle w:val="12"/>
              <w:snapToGrid w:val="0"/>
              <w:spacing w:line="320" w:lineRule="exact"/>
              <w:rPr>
                <w:rFonts w:hAnsi="宋体" w:cs="宋体"/>
                <w:color w:val="auto"/>
                <w:kern w:val="2"/>
                <w:sz w:val="21"/>
                <w:highlight w:val="none"/>
              </w:rPr>
            </w:pPr>
            <w:r>
              <w:rPr>
                <w:rFonts w:hint="eastAsia" w:hAnsi="宋体" w:cs="宋体"/>
                <w:color w:val="auto"/>
                <w:sz w:val="21"/>
                <w:highlight w:val="none"/>
              </w:rPr>
              <w:t>业务时间：上午8时00分到12时00分，下午3时00分到6时00分，双休日和法定节假日不办理业务。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20" w:lineRule="exact"/>
              <w:jc w:val="center"/>
              <w:rPr>
                <w:rFonts w:ascii="宋体" w:hAnsi="宋体" w:cs="宋体"/>
                <w:color w:val="auto"/>
                <w:szCs w:val="21"/>
                <w:highlight w:val="none"/>
              </w:rPr>
            </w:pPr>
          </w:p>
        </w:tc>
        <w:tc>
          <w:tcPr>
            <w:tcW w:w="8264" w:type="dxa"/>
            <w:vAlign w:val="center"/>
          </w:tcPr>
          <w:p>
            <w:pPr>
              <w:pStyle w:val="12"/>
              <w:snapToGrid w:val="0"/>
              <w:spacing w:line="320" w:lineRule="exact"/>
              <w:rPr>
                <w:rFonts w:hAnsi="宋体" w:cs="宋体"/>
                <w:color w:val="auto"/>
                <w:sz w:val="21"/>
                <w:highlight w:val="none"/>
              </w:rPr>
            </w:pPr>
            <w:r>
              <w:rPr>
                <w:rFonts w:hint="eastAsia" w:hAnsi="宋体" w:cs="宋体"/>
                <w:color w:val="auto"/>
                <w:sz w:val="21"/>
                <w:highlight w:val="none"/>
              </w:rPr>
              <w:t>1.本竞争性磋商文件中描述供应商的“公章”是指根据我国对公章的管理规定，用供应商法定主体行为名称制作的印章，除本竞争性磋商文件有特殊规定外，供应商的财务章、部门章、分公司章、工会章、合同章、竞标/投标专用章、业务专用章及银行的转账章、现金收讫章、现金付讫章等其它形式印章均不能代替公章。</w:t>
            </w:r>
          </w:p>
          <w:p>
            <w:pPr>
              <w:pStyle w:val="12"/>
              <w:snapToGrid w:val="0"/>
              <w:spacing w:line="320" w:lineRule="exact"/>
              <w:rPr>
                <w:rFonts w:hAnsi="宋体" w:cs="宋体"/>
                <w:color w:val="auto"/>
                <w:sz w:val="21"/>
                <w:highlight w:val="none"/>
              </w:rPr>
            </w:pPr>
            <w:r>
              <w:rPr>
                <w:rFonts w:hint="eastAsia" w:hAnsi="宋体" w:cs="宋体"/>
                <w:color w:val="auto"/>
                <w:sz w:val="21"/>
                <w:highlight w:val="none"/>
              </w:rPr>
              <w:t>2.供应商为其他组织或自然人时，本竞争性磋商文件规定的法定代表人指负责人或自然人。本竞争性磋商文件所称负责人是指参加竞标的其他组织营业执照上的负责人，本竞争性磋商文件所称自然人指参与竞标的自然人本人。</w:t>
            </w:r>
          </w:p>
          <w:p>
            <w:pPr>
              <w:pStyle w:val="12"/>
              <w:snapToGrid w:val="0"/>
              <w:spacing w:line="320" w:lineRule="exact"/>
              <w:rPr>
                <w:rFonts w:hAnsi="宋体" w:cs="宋体"/>
                <w:color w:val="auto"/>
                <w:sz w:val="21"/>
                <w:highlight w:val="none"/>
              </w:rPr>
            </w:pPr>
            <w:r>
              <w:rPr>
                <w:rFonts w:hint="eastAsia" w:hAnsi="宋体" w:cs="宋体"/>
                <w:color w:val="auto"/>
                <w:sz w:val="21"/>
                <w:highlight w:val="none"/>
              </w:rPr>
              <w:t>3.本竞争性磋商文件中描述供应商的“签字”是指供应商的法定代表人或委托代理人亲自在文件规定签署处亲笔写上个人的名字的行为，私章、签字章、印鉴、影印等其它形式均不能代替亲笔签字。</w:t>
            </w:r>
          </w:p>
          <w:p>
            <w:pPr>
              <w:pStyle w:val="12"/>
              <w:snapToGrid w:val="0"/>
              <w:spacing w:line="320" w:lineRule="exact"/>
              <w:rPr>
                <w:rFonts w:hAnsi="宋体" w:cs="宋体"/>
                <w:color w:val="auto"/>
                <w:sz w:val="21"/>
                <w:highlight w:val="none"/>
              </w:rPr>
            </w:pPr>
            <w:r>
              <w:rPr>
                <w:rFonts w:hint="eastAsia" w:hAnsi="宋体" w:cs="宋体"/>
                <w:color w:val="auto"/>
                <w:sz w:val="21"/>
                <w:highlight w:val="none"/>
              </w:rPr>
              <w:t>4.自然人竞标的，竞争性磋商文件规定盖公章处由自然人摁手指指印。</w:t>
            </w:r>
          </w:p>
          <w:p>
            <w:pPr>
              <w:pStyle w:val="12"/>
              <w:snapToGrid w:val="0"/>
              <w:spacing w:line="320" w:lineRule="exact"/>
              <w:rPr>
                <w:rFonts w:hAnsi="宋体" w:cs="宋体"/>
                <w:color w:val="auto"/>
                <w:sz w:val="21"/>
                <w:highlight w:val="none"/>
              </w:rPr>
            </w:pPr>
            <w:r>
              <w:rPr>
                <w:rFonts w:hint="eastAsia" w:hAnsi="宋体" w:cs="宋体"/>
                <w:color w:val="auto"/>
                <w:sz w:val="21"/>
                <w:highlight w:val="none"/>
              </w:rPr>
              <w:t>5.本竞争性磋商文件所称的“以上”“以下”“以内”“届满”，包括本数；所称的“不满”“超过”“以外”，不包括本数。</w:t>
            </w:r>
          </w:p>
        </w:tc>
      </w:tr>
    </w:tbl>
    <w:p>
      <w:pPr>
        <w:spacing w:line="40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供应商须知正文</w:t>
      </w:r>
    </w:p>
    <w:p>
      <w:pPr>
        <w:spacing w:line="400" w:lineRule="exact"/>
        <w:jc w:val="center"/>
        <w:rPr>
          <w:rFonts w:ascii="宋体" w:hAnsi="宋体" w:cs="宋体"/>
          <w:b/>
          <w:color w:val="auto"/>
          <w:sz w:val="32"/>
          <w:szCs w:val="32"/>
          <w:highlight w:val="none"/>
        </w:rPr>
      </w:pPr>
    </w:p>
    <w:p>
      <w:pPr>
        <w:spacing w:line="40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一、总则</w:t>
      </w:r>
    </w:p>
    <w:p>
      <w:pPr>
        <w:spacing w:line="400" w:lineRule="exact"/>
        <w:rPr>
          <w:rFonts w:ascii="宋体" w:hAnsi="宋体" w:cs="宋体"/>
          <w:color w:val="auto"/>
          <w:szCs w:val="21"/>
          <w:highlight w:val="none"/>
        </w:rPr>
      </w:pP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1.适用范围</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1.1本项目采购人、采购代理机构、供应商、磋商小组的相关行为均受《中华人民共和国政府采购法》《中华人民共和国政府采购法实施条例》《政府采购竞争性磋商采购方式管理暂行办法》《财政部关于政府采购竞争性磋商采购方式管理暂行办法有关问题的补充通知》及本项目本级和上级财政部门政府采购有关规定的约束和保护。</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w:t>
      </w:r>
      <w:r>
        <w:rPr>
          <w:rFonts w:hint="eastAsia" w:ascii="宋体" w:hAnsi="宋体" w:cs="宋体"/>
          <w:color w:val="auto"/>
          <w:spacing w:val="-6"/>
          <w:szCs w:val="21"/>
          <w:highlight w:val="none"/>
        </w:rPr>
        <w:t>本竞争性磋商文件适用于本项目的所有采购程序和环节（法律、法规另有规定的，从其规定）。</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2.定义</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2.1“采购人”是指依法进行采购的国家机关、事业单位、团体组织。</w:t>
      </w:r>
    </w:p>
    <w:p>
      <w:pPr>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2.2“采购代理机构”是指云之龙招标集团有限公司。</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2.3“供应商”是指向采购人提供货物、工程或者服务的法人、其他组织或者自然人。</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2.4“服务”是指除货物和工程以外的其他政府采购对象。</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2.5“竞标”是指供应商按照本项目竞争性磋商公告规定的方式获取竞争性磋商文件、提交响应文件并希望获得标的的行为。</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2.6“响应文件”</w:t>
      </w:r>
      <w:r>
        <w:rPr>
          <w:rFonts w:hint="eastAsia" w:ascii="宋体" w:hAnsi="宋体" w:cs="宋体"/>
          <w:color w:val="auto"/>
          <w:spacing w:val="-6"/>
          <w:szCs w:val="21"/>
          <w:highlight w:val="none"/>
        </w:rPr>
        <w:t>是指：供应商根据本竞争性磋商文件要求，编制包含资格证明、报价商务技术等所有内容的文件。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2.7“实质性要求”是指竞争性磋商文件中已经指明不满足则响应文件按无效响应处理的条款，或不能负偏离的条款，或采购需求中带“▲”的条款。</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2.8“正偏离”，是指响应文件对竞争性磋商文件“采购需求”中有关条款作出的响应优于条款要求并有利于采购人的情形。</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2.9“负偏离”，是指响应文件对竞争性磋商文件“采购需求”中有关条款作出的响应不满足条款要求导致采购人要求不能得到满足的情形。</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2.10“允许负偏离的条款”是指采购需求中的不属于“实质性要求”的条款。</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2.11“书面形式”是指合同书、信件和数据电文（包括电报、电传、传真、电子数据交换和电子邮件）等可以有形地表现所载内容的形式。</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2.12“首次报价”是指供应商提交的首次响应文件中的报价。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2.13“评审价”是指供应商提交的最后报价并经修正和政策功能价格扣除后的价格。</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3.供应商的资格条件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供应商的资格条件详见“供应商须知前附表”。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4.竞标费用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供应商获取竞争性磋商文件、所有与编制和提交响应文件有关的费用（竞争性磋商文件有相关规定的除外），不论竞标结果如何，均应自行承担。</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5.联合体竞标</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5.1本项目不接受联合体竞标。</w:t>
      </w:r>
    </w:p>
    <w:p>
      <w:pPr>
        <w:spacing w:line="400" w:lineRule="exact"/>
        <w:ind w:left="418" w:leftChars="199"/>
        <w:rPr>
          <w:rFonts w:ascii="宋体" w:hAnsi="宋体" w:cs="宋体"/>
          <w:color w:val="auto"/>
          <w:szCs w:val="21"/>
          <w:highlight w:val="none"/>
        </w:rPr>
      </w:pPr>
      <w:r>
        <w:rPr>
          <w:rFonts w:hint="eastAsia" w:ascii="宋体" w:hAnsi="宋体" w:cs="宋体"/>
          <w:color w:val="auto"/>
          <w:szCs w:val="21"/>
          <w:highlight w:val="none"/>
        </w:rPr>
        <w:t xml:space="preserve">6.转包与分包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6.1本项目不允许转包。</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6.2本项目是否允许分包详见“供应商须知前附表”，本项目不允许违法分包。</w:t>
      </w:r>
    </w:p>
    <w:p>
      <w:pPr>
        <w:spacing w:line="400" w:lineRule="exact"/>
        <w:ind w:left="418" w:leftChars="199"/>
        <w:rPr>
          <w:rFonts w:ascii="宋体" w:hAnsi="宋体" w:cs="宋体"/>
          <w:color w:val="auto"/>
          <w:szCs w:val="21"/>
          <w:highlight w:val="none"/>
        </w:rPr>
      </w:pPr>
      <w:bookmarkStart w:id="57" w:name="_Toc254970673"/>
      <w:bookmarkStart w:id="58" w:name="_Toc254970532"/>
      <w:r>
        <w:rPr>
          <w:rFonts w:hint="eastAsia" w:ascii="宋体" w:hAnsi="宋体" w:cs="宋体"/>
          <w:color w:val="auto"/>
          <w:szCs w:val="21"/>
          <w:highlight w:val="none"/>
        </w:rPr>
        <w:t>7.特别说明</w:t>
      </w:r>
      <w:bookmarkEnd w:id="57"/>
      <w:bookmarkEnd w:id="58"/>
    </w:p>
    <w:p>
      <w:pPr>
        <w:spacing w:line="400" w:lineRule="exact"/>
        <w:ind w:firstLine="420" w:firstLineChars="200"/>
        <w:rPr>
          <w:rFonts w:ascii="宋体" w:hAnsi="宋体" w:cs="宋体"/>
          <w:color w:val="auto"/>
          <w:szCs w:val="21"/>
          <w:highlight w:val="none"/>
        </w:rPr>
      </w:pPr>
      <w:bookmarkStart w:id="59" w:name="_8.1提供相同品牌产品且通过资格审查、符合性审查的不同投标人参加同一合"/>
      <w:bookmarkEnd w:id="59"/>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\l "_8.1"</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7.1</w:t>
      </w:r>
      <w:r>
        <w:rPr>
          <w:rFonts w:hint="eastAsia" w:ascii="宋体" w:hAnsi="宋体" w:cs="宋体"/>
          <w:color w:val="auto"/>
          <w:szCs w:val="21"/>
          <w:highlight w:val="none"/>
        </w:rPr>
        <w:fldChar w:fldCharType="end"/>
      </w:r>
      <w:r>
        <w:rPr>
          <w:rFonts w:hint="eastAsia" w:ascii="宋体" w:hAnsi="宋体" w:cs="宋体"/>
          <w:color w:val="auto"/>
          <w:szCs w:val="21"/>
          <w:highlight w:val="none"/>
        </w:rPr>
        <w:t>使用综合评分法的采购项目，提供相同品牌产品且通过资格审查、符合性审查的不同供应商参加同一合同项下竞标的，按一家供应商计算，评审后得分最高的同品牌供应商获得成交供应商推荐资格；评审得分相同的，由采购人或者采购人委托磋商小组按照竞争性磋商文件规定的方式确定一个供应商获得成交供应商推荐资格，竞争性磋商文件未规定的采取随机抽取方式确定，其他同品牌供应商不作为成交候选人。</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非单一产品采购项目，多家供应商提供的核心产品品牌相同的，按前款规定处理。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7.2服务类项目不设置核心产品，不执行本须知正文第7.1条的规定。</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7.3供应商竞标所使用的资格、信誉、荣誉、业绩与企业认证必须为该供应商所拥有。</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7.4供应商应仔细阅读竞争性磋商文件的所有内容，按照竞争性磋商文件的要求提交响应文件，并对所提供的全部资料的真实性承担法律责任。</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7.5供应商在竞标活动中提供任何疑似虚假材料，将报监管部门查处；签订合同后发现的，成交供应商须依照《中华人民共和国消费者权益保护法》规定赔偿采购人，且民事赔偿并不免除违法供应商的行政与刑事责任。</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7.6在政府采购活动中，采购人员及相关人员与供应商有下列利害关系之一的，应当回避：</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（1）参加采购活动前3年内与供应商存在劳动关系；</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（2）参加采购活动前3年内担任供应商的董事、监事；</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（3）参加采购活动前3年内是供应商的控股股东或者实际控制人；</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（4）与供应商的法定代表人或负责人有夫妻、直系血亲、三代以内旁系血亲或者近姻亲关系；</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（5）与供应商有其他可能影响政府采购活动公平、公正进行的关系。</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7.7有下列情形之一的视为供应商相互串通竞标，响应文件将被视为无效：</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（1）不同供应商的响应文件由同一单位或者个人编制；或不同供应商报名的IP地址一致的；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（2）不同供应商委托同一单位或者个人办理竞标事宜；</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（3）不同的供应商的响应文件载明的项目管理员为同一个人；</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（4）不同供应商的响应文件异常一致或报价呈规律性差异；</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（5）不同供应商的响应文件相互混装；</w:t>
      </w:r>
    </w:p>
    <w:p>
      <w:pPr>
        <w:tabs>
          <w:tab w:val="left" w:pos="6931"/>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（6）不同供应商的磋商保证金从同一单位或者个人账户转出。</w:t>
      </w:r>
      <w:r>
        <w:rPr>
          <w:rFonts w:hint="eastAsia" w:ascii="宋体" w:hAnsi="宋体" w:cs="宋体"/>
          <w:color w:val="auto"/>
          <w:szCs w:val="21"/>
          <w:highlight w:val="none"/>
        </w:rPr>
        <w:tab/>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7.8供应商有下列情形之一的，属于恶意串通行为：</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（1）供应商直接或者间接从采购人或者采购代理机构处获得其他供应商的相关信息并修改其响应文件；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（2）供应商按照采购人或者采购代理机构的授意撤换、修改响应文件；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（3）供应商之间协商报价、技术方案等响应文件或者响应文件的实质性内容；</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（4）属于同一集团、协会、商会等组织成员的供应商按照该组织要求协同参加政府采购活动；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（5）供应商之间事先约定一致抬高或者压低报价，或者在政府采购活动中事先约定轮流以高价位或者低价位成交，或者事先约定由某一特定供应商成交，然后再参加竞标；</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（6）供应商之间商定部分供应商放弃参加政府采购活动或者放弃成交；</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（7）供应商与采购人或者采购代理机构之间、供应商相互之间，为谋求特定供应商成交或者排斥其他供应商的其他串通行为。</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7.9关联供应商不得参加同一合同项下政府采购活动，否则响应文件将被视为无效：</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（1）单位负责人为同一人或者存在直接控股、管理关系的不同的供应商，不得参加同一合同项下的政府采购活动；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（2）生产厂商授权给供应商后自己不得参加同一合同项下的政府采购活动；生产厂商对同一品牌同一型号的货物，仅能委托一个代理商参加竞标。</w:t>
      </w:r>
    </w:p>
    <w:p>
      <w:pPr>
        <w:spacing w:line="400" w:lineRule="exact"/>
        <w:ind w:left="1" w:firstLine="417" w:firstLineChars="199"/>
        <w:jc w:val="center"/>
        <w:rPr>
          <w:rFonts w:ascii="宋体" w:hAnsi="宋体" w:cs="宋体"/>
          <w:color w:val="auto"/>
          <w:highlight w:val="none"/>
        </w:rPr>
      </w:pPr>
      <w:bookmarkStart w:id="60" w:name="_Toc254970675"/>
      <w:bookmarkStart w:id="61" w:name="_Toc254970534"/>
    </w:p>
    <w:p>
      <w:pPr>
        <w:spacing w:line="400" w:lineRule="exact"/>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二、竞争性磋商文件</w:t>
      </w:r>
      <w:bookmarkEnd w:id="60"/>
      <w:bookmarkEnd w:id="61"/>
    </w:p>
    <w:p>
      <w:pPr>
        <w:spacing w:line="400" w:lineRule="exact"/>
        <w:jc w:val="center"/>
        <w:rPr>
          <w:rFonts w:ascii="宋体" w:hAnsi="宋体" w:cs="宋体"/>
          <w:color w:val="auto"/>
          <w:szCs w:val="21"/>
          <w:highlight w:val="none"/>
        </w:rPr>
      </w:pP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8.竞争性磋商文件的构成</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（1）竞争性磋商公告；</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（2）供应商须知； </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（3）采购需求；</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（4）评审程序、评审方法和评审标准；</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（5）响应文件格式；</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（6）合同文本。</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9.供应商的询问</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供应商应认真阅读竞争性磋商文件的采购需求，如供应商对竞争性磋商文件有疑问的，如要求采购人作出澄清或修改的，供应商尽可能在提交首次响应文件截止之日前，以书面形式向采购人、采购代理机构提出。</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10.竞争性磋商文件的澄清和修改</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在提交首次响应文件截止之日3个工作日前，以书面形式通知所有获取磋商文件的供应商，不足3个工作日的，应当顺延提交首次响应文件截止之日。</w:t>
      </w:r>
    </w:p>
    <w:p>
      <w:pPr>
        <w:spacing w:line="400" w:lineRule="exact"/>
        <w:rPr>
          <w:rFonts w:ascii="宋体" w:hAnsi="宋体" w:cs="宋体"/>
          <w:color w:val="auto"/>
          <w:szCs w:val="21"/>
          <w:highlight w:val="none"/>
        </w:rPr>
      </w:pPr>
    </w:p>
    <w:p>
      <w:pPr>
        <w:spacing w:line="400" w:lineRule="exact"/>
        <w:jc w:val="center"/>
        <w:rPr>
          <w:rFonts w:ascii="宋体" w:hAnsi="宋体" w:cs="宋体"/>
          <w:b/>
          <w:bCs/>
          <w:color w:val="auto"/>
          <w:szCs w:val="21"/>
          <w:highlight w:val="none"/>
        </w:rPr>
      </w:pPr>
      <w:r>
        <w:rPr>
          <w:rFonts w:hint="eastAsia" w:ascii="宋体" w:hAnsi="宋体" w:cs="宋体"/>
          <w:b/>
          <w:bCs/>
          <w:color w:val="auto"/>
          <w:sz w:val="32"/>
          <w:szCs w:val="32"/>
          <w:highlight w:val="none"/>
        </w:rPr>
        <w:t>三、响应文件的编制</w:t>
      </w:r>
    </w:p>
    <w:p>
      <w:pPr>
        <w:spacing w:line="400" w:lineRule="exact"/>
        <w:rPr>
          <w:rFonts w:ascii="宋体" w:hAnsi="宋体" w:cs="宋体"/>
          <w:color w:val="auto"/>
          <w:szCs w:val="21"/>
          <w:highlight w:val="none"/>
        </w:rPr>
      </w:pPr>
    </w:p>
    <w:p>
      <w:pPr>
        <w:spacing w:line="400" w:lineRule="exact"/>
        <w:ind w:firstLine="420" w:firstLineChars="200"/>
        <w:rPr>
          <w:rFonts w:ascii="宋体" w:hAnsi="宋体" w:cs="宋体"/>
          <w:color w:val="auto"/>
          <w:highlight w:val="none"/>
        </w:rPr>
      </w:pPr>
      <w:r>
        <w:rPr>
          <w:rFonts w:hint="eastAsia" w:ascii="宋体" w:hAnsi="宋体" w:cs="宋体"/>
          <w:color w:val="auto"/>
          <w:szCs w:val="21"/>
          <w:highlight w:val="none"/>
        </w:rPr>
        <w:t>11.</w:t>
      </w:r>
      <w:r>
        <w:rPr>
          <w:rFonts w:hint="eastAsia" w:ascii="宋体" w:hAnsi="宋体" w:cs="宋体"/>
          <w:color w:val="auto"/>
          <w:highlight w:val="none"/>
        </w:rPr>
        <w:t>响应文件的编制原则</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供应商应当按照竞争性磋商文件的要求编制响应文件，并对其提交的响应文件的真实性、合法性承担法律责任。响应文件应当对竞争性磋商文件作出实质性响应。</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12.响应文件的组成</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12.1响应文件由资格证明文件、报价商务技术文件两部分组成。</w:t>
      </w:r>
    </w:p>
    <w:p>
      <w:pPr>
        <w:spacing w:line="400" w:lineRule="exact"/>
        <w:ind w:left="840" w:leftChars="200" w:hanging="420" w:hangingChars="200"/>
        <w:rPr>
          <w:rFonts w:ascii="宋体" w:hAnsi="宋体" w:cs="宋体"/>
          <w:color w:val="auto"/>
          <w:szCs w:val="21"/>
          <w:highlight w:val="none"/>
        </w:rPr>
      </w:pPr>
      <w:r>
        <w:rPr>
          <w:rFonts w:hint="eastAsia" w:ascii="宋体" w:hAnsi="宋体" w:cs="宋体"/>
          <w:color w:val="auto"/>
          <w:szCs w:val="21"/>
          <w:highlight w:val="none"/>
        </w:rPr>
        <w:t>12.1.1资格证明文件：详见须知前附表</w:t>
      </w:r>
    </w:p>
    <w:p>
      <w:pPr>
        <w:spacing w:line="400" w:lineRule="exact"/>
        <w:ind w:left="840" w:leftChars="200" w:hanging="420" w:hangingChars="200"/>
        <w:rPr>
          <w:rFonts w:ascii="宋体" w:hAnsi="宋体" w:cs="宋体"/>
          <w:color w:val="auto"/>
          <w:szCs w:val="21"/>
          <w:highlight w:val="none"/>
        </w:rPr>
      </w:pPr>
      <w:r>
        <w:rPr>
          <w:rFonts w:hint="eastAsia" w:ascii="宋体" w:hAnsi="宋体" w:cs="宋体"/>
          <w:color w:val="auto"/>
          <w:szCs w:val="21"/>
          <w:highlight w:val="none"/>
        </w:rPr>
        <w:t>12.1.2报价商务技术文件：详见须知前附表</w:t>
      </w:r>
    </w:p>
    <w:p>
      <w:pPr>
        <w:spacing w:line="400" w:lineRule="exact"/>
        <w:ind w:left="840" w:leftChars="200" w:hanging="420" w:hangingChars="200"/>
        <w:rPr>
          <w:rFonts w:ascii="宋体" w:hAnsi="宋体" w:cs="宋体"/>
          <w:color w:val="auto"/>
          <w:szCs w:val="21"/>
          <w:highlight w:val="none"/>
        </w:rPr>
      </w:pPr>
      <w:r>
        <w:rPr>
          <w:rFonts w:hint="eastAsia" w:ascii="宋体" w:hAnsi="宋体" w:cs="宋体"/>
          <w:color w:val="auto"/>
          <w:szCs w:val="21"/>
          <w:highlight w:val="none"/>
        </w:rPr>
        <w:t>12.2响应文件电子版：详见须知前附表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13.计量单位</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竞争性磋商文件已有明确规定的，使用竞争性磋商文件规定的计量单位；竞争性磋商文件没有规定的，应采用中华人民共和国法定计量单位，货币种类为人民币，否则视同未响应。</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14.竞标的风险</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供应商没有按照竞争性磋商文件要求提供全部资料，或者供应商没有对竞争性磋商文件在各方面作出实质性响应可能导致其响应无效，是供应商应当考虑的风险。</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15.竞标报价要求和构成</w:t>
      </w:r>
    </w:p>
    <w:p>
      <w:pPr>
        <w:tabs>
          <w:tab w:val="left" w:pos="2492"/>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15.1竞标报价应按竞争性磋商文件中“竞标报价表”格式填写。</w:t>
      </w:r>
    </w:p>
    <w:p>
      <w:pPr>
        <w:tabs>
          <w:tab w:val="left" w:pos="2492"/>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15.2竞标报价的价格构成见“供应商须知前附表”。</w:t>
      </w:r>
    </w:p>
    <w:p>
      <w:pPr>
        <w:spacing w:line="400" w:lineRule="exact"/>
        <w:ind w:left="426" w:leftChars="203"/>
        <w:rPr>
          <w:rFonts w:ascii="宋体" w:hAnsi="宋体" w:cs="宋体"/>
          <w:color w:val="auto"/>
          <w:szCs w:val="21"/>
          <w:highlight w:val="none"/>
        </w:rPr>
      </w:pPr>
      <w:r>
        <w:rPr>
          <w:rFonts w:hint="eastAsia" w:ascii="宋体" w:hAnsi="宋体" w:cs="宋体"/>
          <w:color w:val="auto"/>
          <w:szCs w:val="21"/>
          <w:highlight w:val="none"/>
        </w:rPr>
        <w:t>15.3竞标报价要求</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15.3.1供应商的竞标报价应符合以下要求，否则响应文件按无效响应处理：</w:t>
      </w:r>
    </w:p>
    <w:p>
      <w:pPr>
        <w:spacing w:line="400" w:lineRule="exact"/>
        <w:ind w:left="420" w:leftChars="200"/>
        <w:rPr>
          <w:rFonts w:ascii="宋体" w:hAnsi="宋体" w:cs="宋体"/>
          <w:color w:val="auto"/>
          <w:szCs w:val="21"/>
          <w:highlight w:val="none"/>
        </w:rPr>
      </w:pPr>
      <w:r>
        <w:rPr>
          <w:rFonts w:hint="eastAsia" w:ascii="宋体" w:hAnsi="宋体" w:cs="宋体"/>
          <w:color w:val="auto"/>
          <w:szCs w:val="21"/>
          <w:highlight w:val="none"/>
        </w:rPr>
        <w:t>（1）供应商应当就“采购需求”中所竞标的每个分标的全部内容分别作完整唯一总价报价，</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不得存在漏项报价；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（2）供应商应当就所竞标的分标的单项内容作唯一报价。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15.3.2竞标报价（包含首次报价、最后报价）超过所竞标分标规定的采购预算金额或者最高限价的（如本项目公布了最高限价），其响应文件将作无效处理。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15.3.3</w:t>
      </w:r>
      <w:bookmarkStart w:id="62" w:name="_Hlk42592874"/>
      <w:r>
        <w:rPr>
          <w:rFonts w:hint="eastAsia" w:ascii="宋体" w:hAnsi="宋体" w:cs="宋体"/>
          <w:color w:val="auto"/>
          <w:szCs w:val="21"/>
          <w:highlight w:val="none"/>
        </w:rPr>
        <w:t>竞标报价（包含首次报价、最后报价）超过分项采购预算金额或者最高限价的（如本项目公布了最高限价），其响应文件将作无效处理。</w:t>
      </w:r>
    </w:p>
    <w:bookmarkEnd w:id="62"/>
    <w:p>
      <w:pPr>
        <w:spacing w:line="400" w:lineRule="exact"/>
        <w:ind w:left="420" w:leftChars="200"/>
        <w:rPr>
          <w:rFonts w:ascii="宋体" w:hAnsi="宋体" w:cs="宋体"/>
          <w:color w:val="auto"/>
          <w:szCs w:val="21"/>
          <w:highlight w:val="none"/>
        </w:rPr>
      </w:pPr>
      <w:r>
        <w:rPr>
          <w:rFonts w:hint="eastAsia" w:ascii="宋体" w:hAnsi="宋体" w:cs="宋体"/>
          <w:color w:val="auto"/>
          <w:szCs w:val="21"/>
          <w:highlight w:val="none"/>
        </w:rPr>
        <w:t>16.竞标有效期</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16.1竞标有效期是指为保证采购人有足够的时间在提交响应文件后完成评审、确定成交供应商、合同签订等工作而要求供应商提交的响应文件在一定时间内保持有效的期限。</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16.2 竞标有效期应由供应商按“供应商须知前附表”规定的期限作出响应。</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16.3供应商的响应文件在竞标有效期内均保持有效。</w:t>
      </w:r>
    </w:p>
    <w:p>
      <w:pPr>
        <w:spacing w:line="400" w:lineRule="exact"/>
        <w:ind w:left="420" w:leftChars="200"/>
        <w:rPr>
          <w:rFonts w:ascii="宋体" w:hAnsi="宋体" w:cs="宋体"/>
          <w:color w:val="auto"/>
          <w:szCs w:val="21"/>
          <w:highlight w:val="none"/>
        </w:rPr>
      </w:pPr>
      <w:r>
        <w:rPr>
          <w:rFonts w:hint="eastAsia" w:ascii="宋体" w:hAnsi="宋体" w:cs="宋体"/>
          <w:color w:val="auto"/>
          <w:szCs w:val="21"/>
          <w:highlight w:val="none"/>
        </w:rPr>
        <w:t>17.磋商保证金</w:t>
      </w:r>
    </w:p>
    <w:p>
      <w:pPr>
        <w:spacing w:line="400" w:lineRule="exact"/>
        <w:ind w:left="420" w:leftChars="200"/>
        <w:rPr>
          <w:rFonts w:ascii="宋体" w:hAnsi="宋体" w:cs="宋体"/>
          <w:color w:val="auto"/>
          <w:szCs w:val="21"/>
          <w:highlight w:val="none"/>
        </w:rPr>
      </w:pPr>
      <w:r>
        <w:rPr>
          <w:rFonts w:hint="eastAsia" w:ascii="宋体" w:hAnsi="宋体" w:cs="宋体"/>
          <w:color w:val="auto"/>
          <w:szCs w:val="21"/>
          <w:highlight w:val="none"/>
        </w:rPr>
        <w:t>17.1供应商须按“供应商须知前附表”的规定提交磋商保证金。</w:t>
      </w:r>
    </w:p>
    <w:p>
      <w:pPr>
        <w:spacing w:line="400" w:lineRule="exact"/>
        <w:ind w:left="420" w:leftChars="200"/>
        <w:rPr>
          <w:rFonts w:ascii="宋体" w:hAnsi="宋体" w:cs="宋体"/>
          <w:color w:val="auto"/>
          <w:szCs w:val="21"/>
          <w:highlight w:val="none"/>
        </w:rPr>
      </w:pPr>
      <w:r>
        <w:rPr>
          <w:rFonts w:hint="eastAsia" w:ascii="宋体" w:hAnsi="宋体" w:cs="宋体"/>
          <w:color w:val="auto"/>
          <w:szCs w:val="21"/>
          <w:highlight w:val="none"/>
        </w:rPr>
        <w:t>17.2磋商保证金的退还</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17.2.1未</w:t>
      </w:r>
      <w:r>
        <w:rPr>
          <w:rFonts w:hint="eastAsia" w:ascii="宋体" w:hAnsi="宋体" w:cs="宋体"/>
          <w:color w:val="auto"/>
          <w:spacing w:val="-6"/>
          <w:szCs w:val="21"/>
          <w:highlight w:val="none"/>
        </w:rPr>
        <w:t>成交供应商的磋商保证金自成交通知书发出之日起5个工作日内退还，退还方式如下：</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（1）采用银行转账方式的，以转账方式退回到供应商银行账户。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（2）采用支票、汇票或本票方式的，以转账方式退回到供应商银行账户或由供应商代表持相关授权证明材料至</w:t>
      </w:r>
      <w:r>
        <w:rPr>
          <w:rFonts w:hint="eastAsia" w:ascii="宋体" w:hAnsi="宋体" w:cs="宋体"/>
          <w:color w:val="auto"/>
          <w:highlight w:val="none"/>
        </w:rPr>
        <w:t>磋商保证金收取单位</w:t>
      </w:r>
      <w:r>
        <w:rPr>
          <w:rFonts w:hint="eastAsia" w:ascii="宋体" w:hAnsi="宋体" w:cs="宋体"/>
          <w:color w:val="auto"/>
          <w:szCs w:val="21"/>
          <w:highlight w:val="none"/>
        </w:rPr>
        <w:t xml:space="preserve">办理支票、汇票或本票原件退还手续。 </w:t>
      </w:r>
    </w:p>
    <w:p>
      <w:pPr>
        <w:spacing w:line="400" w:lineRule="exact"/>
        <w:ind w:firstLine="420" w:firstLineChars="200"/>
        <w:rPr>
          <w:rFonts w:ascii="宋体" w:hAnsi="宋体" w:cs="宋体"/>
          <w:color w:val="auto"/>
          <w:highlight w:val="none"/>
          <w:u w:val="single"/>
        </w:rPr>
      </w:pPr>
      <w:r>
        <w:rPr>
          <w:rFonts w:hint="eastAsia" w:ascii="宋体" w:hAnsi="宋体" w:cs="宋体"/>
          <w:color w:val="auto"/>
          <w:szCs w:val="21"/>
          <w:highlight w:val="none"/>
        </w:rPr>
        <w:t>（3）采用银行、保险机构出具的保函方式的，由供应商代表持相关授权证明材料至</w:t>
      </w:r>
      <w:r>
        <w:rPr>
          <w:rFonts w:hint="eastAsia" w:ascii="宋体" w:hAnsi="宋体" w:cs="宋体"/>
          <w:color w:val="auto"/>
          <w:highlight w:val="none"/>
        </w:rPr>
        <w:t>磋商保证金收取单位</w:t>
      </w:r>
      <w:r>
        <w:rPr>
          <w:rFonts w:hint="eastAsia" w:ascii="宋体" w:hAnsi="宋体" w:cs="宋体"/>
          <w:color w:val="auto"/>
          <w:szCs w:val="21"/>
          <w:highlight w:val="none"/>
        </w:rPr>
        <w:t xml:space="preserve">办理保函原件退还手续。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17.2.2成交供应商的磋商保证金自签订合同之日起5个工作日内退还，退还方式同未成交供应商的磋商保证金的退还方式。 </w:t>
      </w:r>
    </w:p>
    <w:p>
      <w:pPr>
        <w:spacing w:line="400" w:lineRule="exact"/>
        <w:ind w:left="420" w:leftChars="200"/>
        <w:rPr>
          <w:rFonts w:ascii="宋体" w:hAnsi="宋体" w:cs="宋体"/>
          <w:color w:val="auto"/>
          <w:szCs w:val="21"/>
          <w:highlight w:val="none"/>
        </w:rPr>
      </w:pPr>
      <w:r>
        <w:rPr>
          <w:rFonts w:hint="eastAsia" w:ascii="宋体" w:hAnsi="宋体" w:cs="宋体"/>
          <w:color w:val="auto"/>
          <w:szCs w:val="21"/>
          <w:highlight w:val="none"/>
        </w:rPr>
        <w:t>17.3磋商保证金不计息。</w:t>
      </w:r>
    </w:p>
    <w:p>
      <w:pPr>
        <w:spacing w:line="400" w:lineRule="exact"/>
        <w:ind w:left="420" w:leftChars="200"/>
        <w:rPr>
          <w:rFonts w:ascii="宋体" w:hAnsi="宋体" w:cs="宋体"/>
          <w:color w:val="auto"/>
          <w:szCs w:val="21"/>
          <w:highlight w:val="none"/>
        </w:rPr>
      </w:pPr>
      <w:r>
        <w:rPr>
          <w:rFonts w:hint="eastAsia" w:ascii="宋体" w:hAnsi="宋体" w:cs="宋体"/>
          <w:color w:val="auto"/>
          <w:szCs w:val="21"/>
          <w:highlight w:val="none"/>
        </w:rPr>
        <w:t xml:space="preserve">17.4供应商有下列情形之一的，磋商保证金将不予退还： </w:t>
      </w:r>
    </w:p>
    <w:p>
      <w:pPr>
        <w:spacing w:line="400" w:lineRule="exact"/>
        <w:ind w:left="420" w:leftChars="200"/>
        <w:rPr>
          <w:rFonts w:ascii="宋体" w:hAnsi="宋体" w:cs="宋体"/>
          <w:color w:val="auto"/>
          <w:szCs w:val="21"/>
          <w:highlight w:val="none"/>
        </w:rPr>
      </w:pPr>
      <w:r>
        <w:rPr>
          <w:rFonts w:hint="eastAsia" w:ascii="宋体" w:hAnsi="宋体" w:cs="宋体"/>
          <w:color w:val="auto"/>
          <w:szCs w:val="21"/>
          <w:highlight w:val="none"/>
        </w:rPr>
        <w:t>（1）供应商在提交响应文件截止时间后撤回响应文件的；</w:t>
      </w:r>
    </w:p>
    <w:p>
      <w:pPr>
        <w:spacing w:line="400" w:lineRule="exact"/>
        <w:ind w:left="420" w:leftChars="200"/>
        <w:rPr>
          <w:rFonts w:ascii="宋体" w:hAnsi="宋体" w:cs="宋体"/>
          <w:color w:val="auto"/>
          <w:szCs w:val="21"/>
          <w:highlight w:val="none"/>
        </w:rPr>
      </w:pPr>
      <w:r>
        <w:rPr>
          <w:rFonts w:hint="eastAsia" w:ascii="宋体" w:hAnsi="宋体" w:cs="宋体"/>
          <w:color w:val="auto"/>
          <w:szCs w:val="21"/>
          <w:highlight w:val="none"/>
        </w:rPr>
        <w:t>（2）供应商在响应文件中提供虚假材料的；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（3）除因不可抗力或竞争性磋商文件认可的情形以外，成交供应商不与采购人签订合同的；</w:t>
      </w:r>
    </w:p>
    <w:p>
      <w:pPr>
        <w:spacing w:line="400" w:lineRule="exact"/>
        <w:ind w:left="420" w:leftChars="200"/>
        <w:rPr>
          <w:rFonts w:ascii="宋体" w:hAnsi="宋体" w:cs="宋体"/>
          <w:color w:val="auto"/>
          <w:szCs w:val="21"/>
          <w:highlight w:val="none"/>
        </w:rPr>
      </w:pPr>
      <w:r>
        <w:rPr>
          <w:rFonts w:hint="eastAsia" w:ascii="宋体" w:hAnsi="宋体" w:cs="宋体"/>
          <w:color w:val="auto"/>
          <w:szCs w:val="21"/>
          <w:highlight w:val="none"/>
        </w:rPr>
        <w:t>（4）供应商与采购人、其他供应商或者采购代理机构恶意串通的；</w:t>
      </w:r>
    </w:p>
    <w:p>
      <w:pPr>
        <w:spacing w:line="400" w:lineRule="exact"/>
        <w:ind w:left="420" w:leftChars="200"/>
        <w:rPr>
          <w:rFonts w:ascii="宋体" w:hAnsi="宋体" w:cs="宋体"/>
          <w:color w:val="auto"/>
          <w:szCs w:val="21"/>
          <w:highlight w:val="none"/>
        </w:rPr>
      </w:pPr>
      <w:r>
        <w:rPr>
          <w:rFonts w:hint="eastAsia" w:ascii="宋体" w:hAnsi="宋体" w:cs="宋体"/>
          <w:color w:val="auto"/>
          <w:szCs w:val="21"/>
          <w:highlight w:val="none"/>
        </w:rPr>
        <w:t>（5）竞争性磋商文件规定的其他情形。</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18.响应文件编制的要求</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18.1供应商应按本竞争性磋商文件规定的格式和顺序编制、装订响应文件并标注页码，响应文件内容</w:t>
      </w:r>
      <w:r>
        <w:rPr>
          <w:rFonts w:hint="eastAsia" w:ascii="宋体" w:hAnsi="宋体" w:cs="宋体"/>
          <w:color w:val="auto"/>
          <w:spacing w:val="-6"/>
          <w:szCs w:val="21"/>
          <w:highlight w:val="none"/>
        </w:rPr>
        <w:t>不完整、编排混乱导致响应文件被误读、漏读或者查找不到相关内容的，</w:t>
      </w:r>
      <w:r>
        <w:rPr>
          <w:rFonts w:hint="eastAsia" w:ascii="宋体" w:hAnsi="宋体" w:cs="宋体"/>
          <w:color w:val="auto"/>
          <w:highlight w:val="none"/>
        </w:rPr>
        <w:t>由此引发的</w:t>
      </w:r>
      <w:r>
        <w:rPr>
          <w:rFonts w:hint="eastAsia" w:ascii="宋体" w:hAnsi="宋体" w:cs="宋体"/>
          <w:color w:val="auto"/>
          <w:spacing w:val="-6"/>
          <w:szCs w:val="21"/>
          <w:highlight w:val="none"/>
        </w:rPr>
        <w:t>后果由供应商承担。</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18.2响应文件应按资格证明文件、报价商务技术文件分别编制，资格证明文件、报价商务技术文件按顺序装订成册。响应文件正本一份，副本份数详见“供应商须知前附表”，响应文件的封面应注明“正本”、“副本”字样，提供响应文件正、副本数量不足的将按无效响应处理。由于响应文件装订松散而造成的丢失或其他情况导致的不利后果由供应商自行承担。</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18.3响应文件的正本应打印或用不褪色的墨水填写，响应文件正本除本“供应商须知”中规定的可提供复印件外均须提供原件，副本可为正本签字、盖章后的复印件，当副本和正本不一致时，以正本为准。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18.4响应文件须由供应商在规定位置盖公章并由法定代表人或委托代理人签字，否则其响应文件按无效响应处理。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18.5响应文件中标注的供应商名称应与营业执照（事业单位法人证书、执业许可证、自然人身份证）及公章一致，否则其响应文件按无效响应处理。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18.6响应文件应尽量避免涂改、行间插字或删除。如果出现上述情况，改动之处应由供应商的法定代表人或其委托代理人签字或加盖公章。响应文件因涂改、行间插字或删除导致字迹潦草或表达不清所引起的后果由供应商承担。</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19.响应文件的密封和标记</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19.1响应文件正、副本全部装入一个或多个包封袋/箱（响应文件的补充、修改可另行单独递交）中并加以密封，封口处必须加盖供应商公章或</w:t>
      </w:r>
      <w:r>
        <w:rPr>
          <w:rFonts w:hint="eastAsia" w:ascii="宋体" w:hAnsi="宋体" w:cs="宋体"/>
          <w:color w:val="auto"/>
          <w:highlight w:val="none"/>
        </w:rPr>
        <w:t>法定代表人签字</w:t>
      </w:r>
      <w:r>
        <w:rPr>
          <w:rFonts w:hint="eastAsia" w:ascii="宋体" w:hAnsi="宋体" w:cs="宋体"/>
          <w:color w:val="auto"/>
          <w:szCs w:val="21"/>
          <w:highlight w:val="none"/>
        </w:rPr>
        <w:t>或委托代理人签字，以示密封。</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19.2响应文件外层包装封面上应标记“项目名称、项目编号、供应商名称、所竞分标、首次响应文件提交截止时间前不得启封”字样。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19.3未按上述规定密封的响应文件将被拒收。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20.响应文件的提交</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20.1供应商必须在“供应商须知前附表”规定的时间和地点提交响应文件。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20.2采购代理机构工作人员收到响应文件后，应当如实记载响应文件的密封情况。</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20.3在首次响应文件提交截止时间后送达的或不符合本须知正文第19.3条的响应文件为无效文件，采购人或者采购代理机构应当拒收。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highlight w:val="none"/>
        </w:rPr>
        <w:t>首次</w:t>
      </w:r>
      <w:r>
        <w:rPr>
          <w:rFonts w:hint="eastAsia" w:ascii="宋体" w:hAnsi="宋体" w:cs="宋体"/>
          <w:color w:val="auto"/>
          <w:szCs w:val="21"/>
          <w:highlight w:val="none"/>
        </w:rPr>
        <w:t>响应文件的补充、修改与撤回</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供应商在首次响应文件提交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400" w:lineRule="exact"/>
        <w:ind w:firstLine="420" w:firstLineChars="200"/>
        <w:rPr>
          <w:rFonts w:ascii="宋体" w:hAnsi="宋体" w:cs="宋体"/>
          <w:color w:val="auto"/>
          <w:szCs w:val="21"/>
          <w:highlight w:val="none"/>
        </w:rPr>
      </w:pPr>
      <w:bookmarkStart w:id="63" w:name="_Hlk45702405"/>
      <w:r>
        <w:rPr>
          <w:rFonts w:hint="eastAsia" w:ascii="宋体" w:hAnsi="宋体" w:cs="宋体"/>
          <w:color w:val="auto"/>
          <w:szCs w:val="21"/>
          <w:highlight w:val="none"/>
        </w:rPr>
        <w:t>22.在首次响应文件提交截止时间止提交响应文件的供应商不足3家时，应当由供应商签字领回响应文件，除此之外采购人和采购代理机构对已提交的响应文件概不退回。</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23.供应商在首次响应文件提交截止时间后向采购人、采购代理机构书面申请撤回响应文件的，将根据本须知正文17.4的规定不予退还其磋商保证金。</w:t>
      </w:r>
    </w:p>
    <w:bookmarkEnd w:id="63"/>
    <w:p>
      <w:pPr>
        <w:spacing w:line="400" w:lineRule="exact"/>
        <w:rPr>
          <w:rFonts w:ascii="宋体" w:hAnsi="宋体" w:cs="宋体"/>
          <w:color w:val="auto"/>
          <w:szCs w:val="21"/>
          <w:highlight w:val="none"/>
        </w:rPr>
      </w:pPr>
    </w:p>
    <w:p>
      <w:pPr>
        <w:spacing w:line="400" w:lineRule="exact"/>
        <w:ind w:left="420" w:firstLine="42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四、评审及磋商</w:t>
      </w:r>
    </w:p>
    <w:p>
      <w:pPr>
        <w:spacing w:line="400" w:lineRule="exact"/>
        <w:ind w:left="420" w:firstLine="420"/>
        <w:rPr>
          <w:rFonts w:ascii="宋体" w:hAnsi="宋体" w:cs="宋体"/>
          <w:color w:val="auto"/>
          <w:szCs w:val="21"/>
          <w:highlight w:val="none"/>
        </w:rPr>
      </w:pP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24.磋商小组成立及响应文件的开启</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24.1磋商小组由采购人代表和评审专家共3人以上单数组成，具体人数见“供应商须知前附表”，其中评审专家人数不得少于磋商小组成员总数的2/3。采购人代表不得以评审专家身份参加本部门或本单位采购项目的评审。采购代理机构人员不得参加本机构代理的采购项目的评审。达到公开招标数额标准的货物或者服务采购项目，或者达到公开招标规模标准的政府采购工程，经批准采用竞争性磋商方式采购的，磋商小组由5人以上单数组成。</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24.2评审专家应当从政府采购评审专家库内相关专业的专家名单中随机抽取。市场竞争不充分的科研项目，以及需要扶持的科技成果转化项目，以及情况特殊、通过随机方式难以确定合适的评审专家的项目，经主管预算单位同意，可以自行选定评审专家。技术复杂、专业性强的采购项目，评审专家中应当包含1名法律专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24.3响应文件的开启：具体详见“供应商须知前附表”。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25.响应文件评审程序</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25.1资格审查</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25.1.1响应文件开启后，由磋商小组依法对供应商的资格证明文件进行审查，详见第四章“评审程序、评审方法和评审标准”第4条“资格审查”，其中信用查询详见“供应商须知前附表”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25.1.2通过资格审查的合格供应商不足3家的，不得进入符合性审查环节，</w:t>
      </w:r>
      <w:bookmarkStart w:id="64" w:name="_Hlk42528660"/>
      <w:r>
        <w:rPr>
          <w:rFonts w:hint="eastAsia" w:ascii="宋体" w:hAnsi="宋体" w:cs="宋体"/>
          <w:color w:val="auto"/>
          <w:szCs w:val="21"/>
          <w:highlight w:val="none"/>
        </w:rPr>
        <w:t>采购人或采购代理机构应当重新开展采购活动。</w:t>
      </w:r>
    </w:p>
    <w:bookmarkEnd w:id="64"/>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25.2符合性审查</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25.2.1由磋商小组通过资格审查的合格供应商的响应文件的竞标报价、商务、技术等实质性要求进行符合性审查，以确定其是否满足竞争性磋商文件的实质性要求。详见第四章“评审程序、评审方法和评审标准”第5条“符合性审查”，其中商务条款评审和技术需求评审中允许负偏离的条款数详见“供应商须知前附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25.2.2 磋商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25.2.3磋商小组要求供应商澄清、说明或者更正响应文件应当以书面形式作出。供应商的澄清、说明或者更正应当以书面形式按照磋商小组的要求作出明确的澄清、说明或者更正，未按磋商小组的要求作出明确澄清、说明或者更正的供应商的响应文件将按照有利于采购人的原则由磋商小组进行判定。供应商的澄清、说明或者更正应当由法定代表人或其授权代表签字或者加盖公章。由授权代表签字的，应当附法定代表人授权书（若委托代理人为响应文件中承诺的授权委托代理人的，无须出示法定代表人授权委托书）。供应商为自然人的，应当由本人签字并附身份证明。</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25.2.4首次响应文件中报价出现前后不一致的，按照下列规定修正：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（1）响应文件中报价表内容与响应文件中相应内容不一致的，以报价表为准；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（2）大写金额和小写金额不一致的，以大写金额为准；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（3）单价金额小数点或者百分比有明显错位的，以报价表的总价为准，并修改单价；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（4）总价金额与按单价汇总金额不一致的，以单价金额计算结果为准。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同时出现两种以上不一致的，按照以上（1）-（4）规定的顺序逐条进行修正。修正后的报价经供应商确认后产生约束力，供应商不确认的，其响应文件按无效响应处理。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25.2.5磋商小组成员应当按照客观、公正、审慎的原则，根据第四章“评审程序、评审方法和评审标准”进行独立评审。磋商小组对响应文件进行评审，未实质性响应竞争性磋商文件的响应文件按无效响应处理，由磋商小组告知提交响应文件的供应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25.2.6通过符合性审查的合格供应商不足3家的，不得进入磋商环节，采购人或采购代理机构应当重新开展采购活动。</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26.磋商</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26.1磋商小组按照“供应商须知前附表”确定的</w:t>
      </w:r>
      <w:r>
        <w:rPr>
          <w:rFonts w:hint="eastAsia" w:ascii="宋体" w:hAnsi="宋体" w:cs="宋体"/>
          <w:color w:val="auto"/>
          <w:szCs w:val="21"/>
          <w:highlight w:val="none"/>
        </w:rPr>
        <w:t>顺序，集中与单一供应商分别进行磋商，并给予所有参加磋商的供应商平等的磋商机会。供应商应当在采购人或采购代理机构发出磋商通知后30分钟内到达磋商地点，否则视同放弃参加磋商权利，其响应文件按无效响应处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26.2在磋商过程中，磋商小组可以根据磋商文件和磋商情况实质性变动采购需求中的技术、服务要求以及合同草案条款，但不得变动磋商文件中的其他内容。实质性变动的内容，须经采购人代表确认。可能实质性变动的内容详见“供应商须知前附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26.3对竞争性磋商文件作出的实质性变动是竞争性磋商文件的有效组成部分，由磋商小组及时以书面形式同时通知所有参加磋商的供应商。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26.4供应商应当按照竞争性磋商文件的变动情况和磋商小组的要求重新提交响应文件，并由其法定代表人或授权代表签字或者加盖公章。由授权代表签字的，应当附法定代表人授权书（若委托代理人为响应文件中承诺的授权委托代理人的，无须出示法定代表人授权委托书）。供应商为自然人的，应当由本人签字并附身份证明。参加磋商的供应商未在规定时间内重新提交响应文件的，视同退出磋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26.5磋商中，</w:t>
      </w:r>
      <w:r>
        <w:rPr>
          <w:rFonts w:hint="eastAsia" w:ascii="宋体" w:hAnsi="宋体" w:cs="宋体"/>
          <w:color w:val="auto"/>
          <w:spacing w:val="-6"/>
          <w:szCs w:val="21"/>
          <w:highlight w:val="none"/>
        </w:rPr>
        <w:t>磋商的任何一方不得透露与磋商有关的其他供应商的技术资料、价格和其他信息。</w:t>
      </w:r>
    </w:p>
    <w:p>
      <w:pPr>
        <w:widowControl/>
        <w:tabs>
          <w:tab w:val="left" w:pos="540"/>
        </w:tabs>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26.6采购代理机构对磋商过程和重要磋商内容进行记录，磋商双方应在记录上签字确认。</w:t>
      </w:r>
    </w:p>
    <w:p>
      <w:pPr>
        <w:widowControl/>
        <w:tabs>
          <w:tab w:val="left" w:pos="540"/>
        </w:tabs>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26.7磋商过程中重新提交的响应文件，供应商可以在开启前补充、修改。</w:t>
      </w:r>
    </w:p>
    <w:p>
      <w:pPr>
        <w:widowControl/>
        <w:tabs>
          <w:tab w:val="left" w:pos="540"/>
        </w:tabs>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26.8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widowControl/>
        <w:tabs>
          <w:tab w:val="left" w:pos="540"/>
        </w:tabs>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26.9对磋商过程提交的响应文件进行有效性、完整性和响应程度审查，通过审查的合格供应商不足3家的，除本须知正文第26.8条的情形外，采购人或采购代理机构应当重新开展采购活动。</w:t>
      </w:r>
    </w:p>
    <w:p>
      <w:pPr>
        <w:widowControl/>
        <w:tabs>
          <w:tab w:val="left" w:pos="540"/>
        </w:tabs>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27.最后报价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27.1 竞争性磋商文件能够详细列明采购标的的技术、服务要求的，磋商结束后，由磋商小组要求所有继续参加磋商的供应商在规定时间内密封提交最后报价，提交最后报价的供应商不得少于3家。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竞争性磋商文件不能详细列明采购标的的技术、服务要求，需经磋商由供应商提供最后设计方案或解决方案的，磋商结束后，由磋商小组按照少数服从多数的原则投票推荐3家以上供应商的设计方案或者解决方案，并要求其在规定时间内密封提交最后报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27.2最后报价是供应商响应文件的有效组成部分。符合《政府采购竞争性磋商采购方式管理暂行办法》（财库〔2014〕214号）第三条第四项“市场竞争不充分的科研项目，以及需要扶持的科技成果转化项目”和本须知正文第26.8条情形的，提交最后报价的供应商可以为2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27.3 已经提交响应文件的供应商，在提交最后报价之前，可以根据磋商情况退出磋商，退出磋商的供应商的响应文件按无效响应处理。采购人、采购代理机构将退还退出磋商的供应商的保证金。</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27.4供应商未在规定时间内提交最后报价的，视同退出磋商。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27.5磋商小组收齐某一分标最后报价后统一开启。</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27.6响应文件最后报价出现前后不一致的，按照本正文第25.2.4条的规定修正。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27.7修正后的报价出现下列情形的，按无效响应处理：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（1）供应商不确认的；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（2）经供应商确认修正后的竞标报价（包含首次报价、最后报价）超过所竞标分标规定的采购预算金额或者最高限价的（如本项目公布了最高限价）；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（3）经供应商确认修正后的竞标报价（包含首次报价、最后报价）超过分项采购预算金额或者最高限价的（如本项目公布了最高限价）。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27.8经供应商确认修正后的最后报价作为评审及签订合同的依据。</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27.9最后报价结束后，磋商小组不得再与供应商进行任何形式的商谈。</w:t>
      </w:r>
    </w:p>
    <w:p>
      <w:pPr>
        <w:pStyle w:val="4"/>
        <w:spacing w:before="0" w:after="0" w:line="400" w:lineRule="exact"/>
        <w:ind w:firstLine="411" w:firstLineChars="196"/>
        <w:rPr>
          <w:rFonts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28.比较与评价</w:t>
      </w:r>
    </w:p>
    <w:p>
      <w:pPr>
        <w:pStyle w:val="5"/>
        <w:spacing w:line="400" w:lineRule="exact"/>
        <w:rPr>
          <w:rFonts w:ascii="宋体" w:hAnsi="宋体" w:cs="宋体"/>
          <w:color w:val="auto"/>
          <w:highlight w:val="none"/>
        </w:rPr>
      </w:pPr>
      <w:r>
        <w:rPr>
          <w:rFonts w:hint="eastAsia" w:ascii="宋体" w:hAnsi="宋体" w:cs="宋体"/>
          <w:color w:val="auto"/>
          <w:kern w:val="0"/>
          <w:szCs w:val="21"/>
          <w:highlight w:val="none"/>
        </w:rPr>
        <w:t>28.1</w:t>
      </w:r>
      <w:r>
        <w:rPr>
          <w:rFonts w:hint="eastAsia" w:ascii="宋体" w:hAnsi="宋体" w:cs="宋体"/>
          <w:color w:val="auto"/>
          <w:highlight w:val="none"/>
        </w:rPr>
        <w:t>评审方法：综合评分法。</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28.2经磋商确定最终采购需求和提交最后报价的供应商后，由磋商小组采用综合评分法对提交最后报价的供应商的响应文件和最后报价进行综合评分。详见第四章“评审程序、评审方法和评审标准”。</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28.3评审时，磋商小组各成员应当独立对每个有效的响应文件进行评价、打分，然后汇总每个供应商每项评分因素的得分。</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（1）磋商小组按照竞争性磋商文件中规定的评审标准计算各供应商的报价得分。项目评审过程中，不得去掉最后报价中的最高报价和最低报价。</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（2）各供应商的得分为磋商小组所有成员的有效评分的算术平均数。</w:t>
      </w:r>
    </w:p>
    <w:p>
      <w:pPr>
        <w:pStyle w:val="5"/>
        <w:spacing w:line="400" w:lineRule="exact"/>
        <w:ind w:firstLineChars="200"/>
        <w:rPr>
          <w:rFonts w:ascii="宋体" w:hAnsi="宋体" w:cs="宋体"/>
          <w:color w:val="auto"/>
          <w:kern w:val="0"/>
          <w:szCs w:val="21"/>
          <w:highlight w:val="none"/>
        </w:rPr>
      </w:pPr>
      <w:r>
        <w:rPr>
          <w:rFonts w:hint="eastAsia" w:ascii="宋体" w:hAnsi="宋体" w:cs="宋体"/>
          <w:color w:val="auto"/>
          <w:kern w:val="0"/>
          <w:szCs w:val="21"/>
          <w:highlight w:val="none"/>
        </w:rPr>
        <w:t>28.4由磋商小组根据综合评分情况，按照评审得分由高到低顺序推荐3名以上成交候选供应商，并编写评审报告。符合本须知正文第27.2条情形的，可以推荐2家成交候选供应商。评审得分相同的，按照最后报价由低到高的顺序推荐。评审得分且最后报价相同的，按照技术指标优劣顺序推荐。</w:t>
      </w:r>
    </w:p>
    <w:p>
      <w:pPr>
        <w:spacing w:line="400" w:lineRule="exact"/>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28.5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29.确定成交供应商及结果公告</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29.1采购代理机构应当在评审结束后2个工作日内将评审报告送采购人确认。采购人应当在收到评审报告后2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29.2采购代理机构应当在</w:t>
      </w:r>
      <w:r>
        <w:rPr>
          <w:rFonts w:hint="eastAsia" w:ascii="宋体" w:hAnsi="宋体" w:cs="宋体"/>
          <w:color w:val="auto"/>
          <w:kern w:val="0"/>
          <w:szCs w:val="21"/>
          <w:highlight w:val="none"/>
        </w:rPr>
        <w:t>成交</w:t>
      </w:r>
      <w:r>
        <w:rPr>
          <w:rFonts w:hint="eastAsia" w:ascii="宋体" w:hAnsi="宋体" w:cs="宋体"/>
          <w:color w:val="auto"/>
          <w:szCs w:val="21"/>
          <w:highlight w:val="none"/>
        </w:rPr>
        <w:t>供应商确定后2个工作日内，在省级以上财政部门指定的媒体上公告成交结果，同时向成交供应商发出成交通知书。采购人或采购代理机构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排名第二的成交候选人因上述规定的同样原因被取消成交资格的，采购人可以确定排名第三的成交候选人为成交供应商，以此类推。以上信息查询记录及相关证据与竞争性磋商文件一并保存。</w:t>
      </w:r>
    </w:p>
    <w:p>
      <w:pPr>
        <w:spacing w:line="400" w:lineRule="exact"/>
        <w:ind w:firstLine="420" w:firstLineChars="200"/>
        <w:rPr>
          <w:rFonts w:ascii="宋体" w:hAnsi="宋体" w:cs="宋体"/>
          <w:b/>
          <w:color w:val="auto"/>
          <w:highlight w:val="none"/>
        </w:rPr>
      </w:pPr>
      <w:r>
        <w:rPr>
          <w:rFonts w:hint="eastAsia" w:ascii="宋体" w:hAnsi="宋体" w:cs="宋体"/>
          <w:color w:val="auto"/>
          <w:szCs w:val="21"/>
          <w:highlight w:val="none"/>
        </w:rPr>
        <w:t>29.3</w:t>
      </w:r>
      <w:r>
        <w:rPr>
          <w:rFonts w:hint="eastAsia" w:ascii="宋体" w:hAnsi="宋体" w:cs="宋体"/>
          <w:color w:val="auto"/>
          <w:highlight w:val="none"/>
        </w:rPr>
        <w:t>采购人、采购代理机构认为供应商对采购过程、成交结果提出的质疑成立且影响或者可能影响成交结果的，合格供应商符合法定数量时，可以从合格的成交候选人中另行确定成交供应商的，应当依法另行确定成交供应商；否则应当重新开展采购活动。</w:t>
      </w:r>
    </w:p>
    <w:p>
      <w:pPr>
        <w:spacing w:line="400" w:lineRule="exact"/>
        <w:ind w:firstLine="420" w:firstLineChars="200"/>
        <w:rPr>
          <w:rFonts w:ascii="宋体" w:hAnsi="宋体" w:cs="宋体"/>
          <w:color w:val="auto"/>
          <w:szCs w:val="21"/>
          <w:highlight w:val="none"/>
        </w:rPr>
      </w:pPr>
      <w:r>
        <w:rPr>
          <w:rFonts w:hint="eastAsia" w:ascii="宋体" w:hAnsi="宋体" w:cs="宋体"/>
          <w:bCs/>
          <w:color w:val="auto"/>
          <w:szCs w:val="21"/>
          <w:highlight w:val="none"/>
        </w:rPr>
        <w:t>29.4排名第一的成交候选人放弃成交、因不可抗力提出不能履行合同，采购人可以确定排名第二的成交候选人为成交供应商。排名第二的成交候选人因前款规定的同样原因不能签订合同的，采购人可以确定排名第三的成交候选人为成交供应商，以此类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30.履约保证金：无。</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31.签订合同</w:t>
      </w:r>
    </w:p>
    <w:p>
      <w:pPr>
        <w:spacing w:line="400" w:lineRule="exact"/>
        <w:ind w:firstLine="424" w:firstLineChars="202"/>
        <w:rPr>
          <w:rFonts w:ascii="宋体" w:hAnsi="宋体" w:cs="宋体"/>
          <w:color w:val="auto"/>
          <w:szCs w:val="21"/>
          <w:highlight w:val="none"/>
        </w:rPr>
      </w:pPr>
      <w:r>
        <w:rPr>
          <w:rFonts w:hint="eastAsia" w:ascii="宋体" w:hAnsi="宋体" w:cs="宋体"/>
          <w:color w:val="auto"/>
          <w:szCs w:val="21"/>
          <w:highlight w:val="none"/>
        </w:rPr>
        <w:t>31.1成交供应商在收到成交通知书后，应当在签订合同时向采购人出示相关证明材料，具体内容详见 “供应商须知前附表”，经采购人核验合格后方可签订合同。</w:t>
      </w:r>
    </w:p>
    <w:p>
      <w:pPr>
        <w:spacing w:line="400" w:lineRule="exact"/>
        <w:ind w:firstLine="424" w:firstLineChars="202"/>
        <w:rPr>
          <w:rFonts w:ascii="宋体" w:hAnsi="宋体" w:cs="宋体"/>
          <w:color w:val="auto"/>
          <w:szCs w:val="21"/>
          <w:highlight w:val="none"/>
        </w:rPr>
      </w:pPr>
      <w:r>
        <w:rPr>
          <w:rFonts w:hint="eastAsia" w:ascii="宋体" w:hAnsi="宋体" w:cs="宋体"/>
          <w:color w:val="auto"/>
          <w:szCs w:val="21"/>
          <w:highlight w:val="none"/>
        </w:rPr>
        <w:t>31.2 签订合同时间：自成交通知书发出之日起7个工作日内。</w:t>
      </w:r>
    </w:p>
    <w:p>
      <w:pPr>
        <w:spacing w:line="400" w:lineRule="exact"/>
        <w:ind w:firstLine="424" w:firstLineChars="202"/>
        <w:rPr>
          <w:rFonts w:ascii="宋体" w:hAnsi="宋体" w:cs="宋体"/>
          <w:color w:val="auto"/>
          <w:szCs w:val="21"/>
          <w:highlight w:val="none"/>
        </w:rPr>
      </w:pPr>
      <w:r>
        <w:rPr>
          <w:rFonts w:hint="eastAsia" w:ascii="宋体" w:hAnsi="宋体" w:cs="宋体"/>
          <w:color w:val="auto"/>
          <w:szCs w:val="21"/>
          <w:highlight w:val="none"/>
        </w:rPr>
        <w:t>31.3成交供应商拒绝与采购人签订合同的，采购人可以按照评审报告推荐的成交候选人名单排序，确定下一候选人为成交供应商，也可以重新开展政府采购活动。拒绝签订政府采购合同的成交供应商不得参加对该合同项重新开展的采购活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32.政府采购合同公告</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33.适用法律</w:t>
      </w:r>
    </w:p>
    <w:p>
      <w:pPr>
        <w:tabs>
          <w:tab w:val="left" w:pos="2835"/>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项目适用于《中华人民共和国政府采购法》《中华人民共和国政府采购法实施条例》《政府采购竞争性磋商采购方式管理暂行办法》《财政部关于政府采购竞争性磋商采购方式管理暂行办法有关问题的补充通知》及本项目本级和上级财政部门政府采购有关规定。</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34.其它内容</w:t>
      </w:r>
    </w:p>
    <w:p>
      <w:pPr>
        <w:tabs>
          <w:tab w:val="left" w:pos="2835"/>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34.1代理服务收费标准及缴费账户详见“供应商须知前附表”。</w:t>
      </w:r>
    </w:p>
    <w:p>
      <w:pPr>
        <w:tabs>
          <w:tab w:val="left" w:pos="2835"/>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34.2代理服务费收费计算标准：详见“供应商须知前附表”。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35. 询问、质疑和投诉</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35.1供应商对政府采购活动事项有疑问的，可以向采购人、采购代理机构提出询问，采购人或者采购代理机构应当在3个工作日内对供应商依法提出的询问作出答复。</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35.2供应商认为竞争性磋商文件、采购过程或成交结果使自己的合法权益受到损害的，应当在知道或者应知其权益受到损害之日起七个工作日内，以书面形式向采购人、采购代理机构提出质疑，</w:t>
      </w:r>
      <w:r>
        <w:rPr>
          <w:rFonts w:hint="eastAsia" w:ascii="宋体" w:hAnsi="宋体" w:cs="宋体"/>
          <w:color w:val="auto"/>
          <w:highlight w:val="none"/>
          <w:shd w:val="clear" w:color="auto" w:fill="FFFFFF"/>
        </w:rPr>
        <w:t>接收质疑函的方式、联系部门、联系电话和通讯地址等信息详见</w:t>
      </w:r>
      <w:r>
        <w:rPr>
          <w:rFonts w:hint="eastAsia" w:ascii="宋体" w:hAnsi="宋体" w:cs="宋体"/>
          <w:color w:val="auto"/>
          <w:szCs w:val="21"/>
          <w:highlight w:val="none"/>
        </w:rPr>
        <w:t>“供应商须知前附表”</w:t>
      </w:r>
      <w:r>
        <w:rPr>
          <w:rFonts w:hint="eastAsia" w:ascii="宋体" w:hAnsi="宋体" w:cs="宋体"/>
          <w:color w:val="auto"/>
          <w:highlight w:val="none"/>
        </w:rPr>
        <w:t>。具体质疑起算时间如下：</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（1）对可以质疑的竞争性磋商文件提出质疑的，为收到竞争性磋商文件之日或竞争性磋商公告期限届满之日；</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（2）对采购过程提出质疑的，为各采购程序环节结束之日；</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（3）对成交结果提出质疑的，为成交结果公告期限届满之日。</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供应商对采购人或采购代理机构的质疑答复不满意或者采购人或采购代理机构未在规定时间内作出答复的，可以在答复期满后十五个工作日内向同级采购监管部门投诉。</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35.3供应商提出的询问或者质疑超出采购人对采购代理机构委托授权范围的，采购代理机构应当告知供应商向采购人提出。政府采购评审专家应当配合采购人或者采购代理机构答复供应商的询问和质疑。</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35.4质疑、投诉应当采用书面形式，质疑函、投诉书均应明确阐述竞争性磋商文件、采购过程或成交结果中使自己合法权益受到损害的实质性内容，提供相关事实、法律依据和证据及其来源或线索，便于有关单位调查、答复和处理。</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供应商提出质疑应当提交质疑函和必要的证明材料，针对同一采购程序环节的质疑必须在法定质疑期内一次性提出。质疑函应当包括下列内容：</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（1）供应商的姓名或者名称、地址、邮编、联系人及联系电话；</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（2）质疑项目的名称、编号；</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（3）具体、明确的质疑事项和与质疑事项相关的请求；</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（4）事实依据；</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（5）必要的法律依据；</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（6）提出质疑的日期。</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供应商为自然人的，应当由本人签字；供应商为法人或者其他组织的，应当由法定代表人、主要负责人，或者其委托代理人签字或者盖章，并加盖公章。</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35.5采购人、采购代理机构认为供应商质疑不成立，或者成立但未对成交结果构成影响的，继续开展采购活动；认为供应商质疑成立且影响或者可能影响成交结果的，按照下列情况处理：</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（1）对竞争性磋商文件提出的质疑，依法通过澄清或者修改可以继续开展采购活动的，澄清或者修改竞争性磋商文件后继续开展采购活动；否则应当在修改竞争性磋商文件后重新开展采购活动。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（2）对采购过程、成交结果提出的质疑，合格供应商符合法定数量时，可以从合格的成交候选人中另行确定成交供应商的，应当依法另行确定成交供应商；否则应当重新开展采购活动。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质疑答复导致成交结果改变的，采购人或者采购代理机构应当将有关情况书面报告本级财政部门。</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35.6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w:t>
      </w:r>
    </w:p>
    <w:p>
      <w:pPr>
        <w:pStyle w:val="12"/>
        <w:snapToGrid w:val="0"/>
        <w:rPr>
          <w:rFonts w:hAnsi="宋体" w:cs="宋体"/>
          <w:color w:val="auto"/>
          <w:highlight w:val="none"/>
        </w:rPr>
      </w:pPr>
      <w:r>
        <w:rPr>
          <w:rFonts w:hint="eastAsia" w:hAnsi="宋体" w:cs="宋体"/>
          <w:b/>
          <w:color w:val="auto"/>
          <w:highlight w:val="none"/>
        </w:rPr>
        <w:br w:type="page"/>
      </w:r>
      <w:r>
        <w:rPr>
          <w:rFonts w:hint="eastAsia" w:hAnsi="宋体" w:cs="宋体"/>
          <w:bCs/>
          <w:color w:val="auto"/>
          <w:sz w:val="32"/>
          <w:szCs w:val="32"/>
          <w:highlight w:val="none"/>
        </w:rPr>
        <w:t>附件1：</w:t>
      </w:r>
    </w:p>
    <w:p>
      <w:pPr>
        <w:widowControl/>
        <w:shd w:val="clear" w:color="auto" w:fill="FFFFFF"/>
        <w:spacing w:line="480" w:lineRule="atLeast"/>
        <w:jc w:val="center"/>
        <w:rPr>
          <w:rFonts w:ascii="宋体" w:hAnsi="宋体" w:cs="宋体"/>
          <w:color w:val="auto"/>
          <w:kern w:val="0"/>
          <w:sz w:val="32"/>
          <w:szCs w:val="32"/>
          <w:highlight w:val="none"/>
        </w:rPr>
      </w:pPr>
      <w:r>
        <w:rPr>
          <w:rFonts w:hint="eastAsia" w:ascii="宋体" w:hAnsi="宋体" w:cs="宋体"/>
          <w:b/>
          <w:bCs/>
          <w:color w:val="auto"/>
          <w:kern w:val="0"/>
          <w:sz w:val="32"/>
          <w:szCs w:val="32"/>
          <w:highlight w:val="none"/>
        </w:rPr>
        <w:t>广西壮族自治区政府采购项目合同验收书（格式）</w:t>
      </w:r>
    </w:p>
    <w:p>
      <w:pPr>
        <w:widowControl/>
        <w:shd w:val="clear" w:color="auto" w:fill="FFFFFF"/>
        <w:spacing w:line="480" w:lineRule="atLeast"/>
        <w:jc w:val="center"/>
        <w:rPr>
          <w:rFonts w:ascii="宋体" w:hAnsi="宋体" w:cs="宋体"/>
          <w:color w:val="auto"/>
          <w:kern w:val="0"/>
          <w:sz w:val="32"/>
          <w:szCs w:val="32"/>
          <w:highlight w:val="none"/>
        </w:rPr>
      </w:pPr>
    </w:p>
    <w:p>
      <w:pPr>
        <w:widowControl/>
        <w:shd w:val="clear" w:color="auto" w:fill="FFFFFF"/>
        <w:snapToGrid w:val="0"/>
        <w:spacing w:line="320" w:lineRule="atLeast"/>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根据政府采购项目（</w:t>
      </w:r>
      <w:r>
        <w:rPr>
          <w:rFonts w:hint="eastAsia" w:ascii="宋体" w:hAnsi="宋体" w:cs="宋体"/>
          <w:color w:val="auto"/>
          <w:kern w:val="0"/>
          <w:szCs w:val="21"/>
          <w:highlight w:val="none"/>
          <w:u w:val="single"/>
        </w:rPr>
        <w:t>采购合同编号：</w:t>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rPr>
        <w:t>）的约定，我单位对（</w:t>
      </w:r>
      <w:r>
        <w:rPr>
          <w:rFonts w:hint="eastAsia" w:ascii="宋体" w:hAnsi="宋体" w:cs="宋体"/>
          <w:color w:val="auto"/>
          <w:kern w:val="0"/>
          <w:szCs w:val="21"/>
          <w:highlight w:val="none"/>
          <w:u w:val="single"/>
        </w:rPr>
        <w:t xml:space="preserve"> 项目名称 </w:t>
      </w:r>
      <w:r>
        <w:rPr>
          <w:rFonts w:hint="eastAsia" w:ascii="宋体" w:hAnsi="宋体" w:cs="宋体"/>
          <w:color w:val="auto"/>
          <w:kern w:val="0"/>
          <w:szCs w:val="21"/>
          <w:highlight w:val="none"/>
        </w:rPr>
        <w:t>） 政府采购项目成交供应商（</w:t>
      </w:r>
      <w:r>
        <w:rPr>
          <w:rFonts w:hint="eastAsia" w:ascii="宋体" w:hAnsi="宋体" w:cs="宋体"/>
          <w:color w:val="auto"/>
          <w:kern w:val="0"/>
          <w:szCs w:val="21"/>
          <w:highlight w:val="none"/>
          <w:u w:val="single"/>
        </w:rPr>
        <w:t xml:space="preserve"> 公司名称 </w:t>
      </w:r>
      <w:r>
        <w:rPr>
          <w:rFonts w:hint="eastAsia" w:ascii="宋体" w:hAnsi="宋体" w:cs="宋体"/>
          <w:color w:val="auto"/>
          <w:kern w:val="0"/>
          <w:szCs w:val="21"/>
          <w:highlight w:val="none"/>
        </w:rPr>
        <w:t>） 提供的货物（或工程、服务）进行了验收，验收情况如下：</w:t>
      </w:r>
    </w:p>
    <w:tbl>
      <w:tblPr>
        <w:tblStyle w:val="21"/>
        <w:tblW w:w="0" w:type="auto"/>
        <w:jc w:val="center"/>
        <w:tblLayout w:type="fixed"/>
        <w:tblCellMar>
          <w:top w:w="0" w:type="dxa"/>
          <w:left w:w="0" w:type="dxa"/>
          <w:bottom w:w="0" w:type="dxa"/>
          <w:right w:w="0" w:type="dxa"/>
        </w:tblCellMar>
      </w:tblPr>
      <w:tblGrid>
        <w:gridCol w:w="804"/>
        <w:gridCol w:w="825"/>
        <w:gridCol w:w="1623"/>
        <w:gridCol w:w="798"/>
        <w:gridCol w:w="102"/>
        <w:gridCol w:w="2002"/>
        <w:gridCol w:w="178"/>
        <w:gridCol w:w="685"/>
        <w:gridCol w:w="1428"/>
      </w:tblGrid>
      <w:tr>
        <w:tblPrEx>
          <w:tblCellMar>
            <w:top w:w="0" w:type="dxa"/>
            <w:left w:w="0" w:type="dxa"/>
            <w:bottom w:w="0" w:type="dxa"/>
            <w:right w:w="0" w:type="dxa"/>
          </w:tblCellMar>
        </w:tblPrEx>
        <w:trPr>
          <w:trHeight w:val="497" w:hRule="atLeast"/>
          <w:jc w:val="center"/>
        </w:trPr>
        <w:tc>
          <w:tcPr>
            <w:tcW w:w="3252" w:type="dxa"/>
            <w:gridSpan w:val="3"/>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宋体" w:hAnsi="宋体" w:cs="宋体"/>
                <w:color w:val="auto"/>
                <w:kern w:val="0"/>
                <w:szCs w:val="21"/>
                <w:highlight w:val="none"/>
              </w:rPr>
            </w:pPr>
            <w:r>
              <w:rPr>
                <w:rFonts w:hint="eastAsia" w:ascii="宋体" w:hAnsi="宋体" w:cs="宋体"/>
                <w:color w:val="auto"/>
                <w:kern w:val="0"/>
                <w:szCs w:val="21"/>
                <w:highlight w:val="none"/>
              </w:rPr>
              <w:t>验收方式：</w:t>
            </w:r>
          </w:p>
        </w:tc>
        <w:tc>
          <w:tcPr>
            <w:tcW w:w="5193"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sym w:font="Wingdings 2" w:char="00A3"/>
            </w:r>
            <w:r>
              <w:rPr>
                <w:rFonts w:hint="eastAsia" w:ascii="宋体" w:hAnsi="宋体" w:cs="宋体"/>
                <w:color w:val="auto"/>
                <w:kern w:val="0"/>
                <w:szCs w:val="21"/>
                <w:highlight w:val="none"/>
              </w:rPr>
              <w:t xml:space="preserve">自行验收 </w:t>
            </w:r>
            <w:r>
              <w:rPr>
                <w:rFonts w:hint="eastAsia" w:ascii="宋体" w:hAnsi="宋体" w:cs="宋体"/>
                <w:color w:val="auto"/>
                <w:kern w:val="0"/>
                <w:szCs w:val="21"/>
                <w:highlight w:val="none"/>
              </w:rPr>
              <w:sym w:font="Wingdings 2" w:char="00A3"/>
            </w:r>
            <w:r>
              <w:rPr>
                <w:rFonts w:hint="eastAsia" w:ascii="宋体" w:hAnsi="宋体" w:cs="宋体"/>
                <w:color w:val="auto"/>
                <w:kern w:val="0"/>
                <w:szCs w:val="21"/>
                <w:highlight w:val="none"/>
              </w:rPr>
              <w:t>委托验收</w:t>
            </w:r>
          </w:p>
        </w:tc>
      </w:tr>
      <w:tr>
        <w:tblPrEx>
          <w:tblCellMar>
            <w:top w:w="0" w:type="dxa"/>
            <w:left w:w="0" w:type="dxa"/>
            <w:bottom w:w="0" w:type="dxa"/>
            <w:right w:w="0" w:type="dxa"/>
          </w:tblCellMar>
        </w:tblPrEx>
        <w:trPr>
          <w:trHeight w:val="622" w:hRule="atLeast"/>
          <w:jc w:val="center"/>
        </w:trPr>
        <w:tc>
          <w:tcPr>
            <w:tcW w:w="804"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2448"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名称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c>
          <w:tcPr>
            <w:tcW w:w="1428"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金额</w:t>
            </w: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244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244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804"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2448"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6154" w:type="dxa"/>
            <w:gridSpan w:val="6"/>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宋体" w:hAnsi="宋体" w:cs="宋体"/>
                <w:color w:val="auto"/>
                <w:kern w:val="0"/>
                <w:szCs w:val="21"/>
                <w:highlight w:val="none"/>
              </w:rPr>
            </w:pPr>
            <w:r>
              <w:rPr>
                <w:rFonts w:hint="eastAsia" w:ascii="宋体" w:hAnsi="宋体" w:cs="宋体"/>
                <w:color w:val="auto"/>
                <w:kern w:val="0"/>
                <w:szCs w:val="21"/>
                <w:highlight w:val="none"/>
              </w:rPr>
              <w:t>合 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641" w:hRule="atLeast"/>
          <w:jc w:val="center"/>
        </w:trPr>
        <w:tc>
          <w:tcPr>
            <w:tcW w:w="8445" w:type="dxa"/>
            <w:gridSpan w:val="9"/>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合计大写金额：  仟  佰  拾  万  仟  佰  拾  元</w:t>
            </w:r>
          </w:p>
        </w:tc>
      </w:tr>
      <w:tr>
        <w:tblPrEx>
          <w:tblCellMar>
            <w:top w:w="0" w:type="dxa"/>
            <w:left w:w="0" w:type="dxa"/>
            <w:bottom w:w="0" w:type="dxa"/>
            <w:right w:w="0" w:type="dxa"/>
          </w:tblCellMar>
        </w:tblPrEx>
        <w:trPr>
          <w:trHeight w:val="641" w:hRule="atLeast"/>
          <w:jc w:val="center"/>
        </w:trPr>
        <w:tc>
          <w:tcPr>
            <w:tcW w:w="1629" w:type="dxa"/>
            <w:gridSpan w:val="2"/>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宋体" w:hAnsi="宋体" w:cs="宋体"/>
                <w:color w:val="auto"/>
                <w:kern w:val="0"/>
                <w:szCs w:val="21"/>
                <w:highlight w:val="none"/>
              </w:rPr>
            </w:pPr>
            <w:r>
              <w:rPr>
                <w:rFonts w:hint="eastAsia" w:ascii="宋体" w:hAnsi="宋体" w:cs="宋体"/>
                <w:color w:val="auto"/>
                <w:kern w:val="0"/>
                <w:szCs w:val="21"/>
                <w:highlight w:val="none"/>
              </w:rPr>
              <w:t>实际供货日期</w:t>
            </w:r>
          </w:p>
        </w:tc>
        <w:tc>
          <w:tcPr>
            <w:tcW w:w="2421"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ascii="宋体" w:hAnsi="宋体" w:cs="宋体"/>
                <w:color w:val="auto"/>
                <w:kern w:val="0"/>
                <w:szCs w:val="21"/>
                <w:highlight w:val="none"/>
              </w:rPr>
            </w:pPr>
            <w:r>
              <w:rPr>
                <w:rFonts w:hint="eastAsia" w:ascii="宋体" w:hAnsi="宋体" w:cs="宋体"/>
                <w:color w:val="auto"/>
                <w:kern w:val="0"/>
                <w:szCs w:val="21"/>
                <w:highlight w:val="none"/>
              </w:rPr>
              <w:t>合同交货验收日期</w:t>
            </w:r>
          </w:p>
        </w:tc>
        <w:tc>
          <w:tcPr>
            <w:tcW w:w="211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trHeight w:val="693" w:hRule="atLeast"/>
          <w:jc w:val="center"/>
        </w:trPr>
        <w:tc>
          <w:tcPr>
            <w:tcW w:w="1629"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验收具体内容</w:t>
            </w:r>
          </w:p>
        </w:tc>
        <w:tc>
          <w:tcPr>
            <w:tcW w:w="6816"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应按采购合同、竞争性磋商文件、竞标响应文件及验收方案等进行验收；并核对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629" w:type="dxa"/>
            <w:gridSpan w:val="2"/>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验收小组意见</w:t>
            </w:r>
          </w:p>
        </w:tc>
        <w:tc>
          <w:tcPr>
            <w:tcW w:w="6816"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验收结论性意见：</w:t>
            </w:r>
          </w:p>
        </w:tc>
      </w:tr>
      <w:tr>
        <w:tblPrEx>
          <w:tblCellMar>
            <w:top w:w="0" w:type="dxa"/>
            <w:left w:w="0" w:type="dxa"/>
            <w:bottom w:w="0" w:type="dxa"/>
            <w:right w:w="0" w:type="dxa"/>
          </w:tblCellMar>
        </w:tblPrEx>
        <w:trPr>
          <w:trHeight w:val="607" w:hRule="atLeast"/>
          <w:jc w:val="center"/>
        </w:trPr>
        <w:tc>
          <w:tcPr>
            <w:tcW w:w="1629"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Cs w:val="21"/>
                <w:highlight w:val="none"/>
              </w:rPr>
            </w:pPr>
          </w:p>
        </w:tc>
        <w:tc>
          <w:tcPr>
            <w:tcW w:w="6816"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有异议的意见和说明理由：</w:t>
            </w:r>
          </w:p>
          <w:p>
            <w:pPr>
              <w:widowControl/>
              <w:spacing w:before="100" w:beforeAutospacing="1" w:after="100" w:afterAutospacing="1" w:line="320" w:lineRule="atLeast"/>
              <w:ind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签字：</w:t>
            </w:r>
          </w:p>
        </w:tc>
      </w:tr>
      <w:tr>
        <w:tblPrEx>
          <w:tblCellMar>
            <w:top w:w="0" w:type="dxa"/>
            <w:left w:w="0" w:type="dxa"/>
            <w:bottom w:w="0" w:type="dxa"/>
            <w:right w:w="0" w:type="dxa"/>
          </w:tblCellMar>
        </w:tblPrEx>
        <w:trPr>
          <w:trHeight w:val="507" w:hRule="atLeast"/>
          <w:jc w:val="center"/>
        </w:trPr>
        <w:tc>
          <w:tcPr>
            <w:tcW w:w="8445"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验收小组成员签字：</w:t>
            </w:r>
          </w:p>
        </w:tc>
      </w:tr>
      <w:tr>
        <w:tblPrEx>
          <w:tblCellMar>
            <w:top w:w="0" w:type="dxa"/>
            <w:left w:w="0" w:type="dxa"/>
            <w:bottom w:w="0" w:type="dxa"/>
            <w:right w:w="0" w:type="dxa"/>
          </w:tblCellMar>
        </w:tblPrEx>
        <w:trPr>
          <w:trHeight w:val="736" w:hRule="atLeast"/>
          <w:jc w:val="center"/>
        </w:trPr>
        <w:tc>
          <w:tcPr>
            <w:tcW w:w="8445"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监督人员或其他相关人员签字：</w:t>
            </w:r>
          </w:p>
          <w:p>
            <w:pPr>
              <w:widowControl/>
              <w:spacing w:before="100" w:beforeAutospacing="1" w:after="100" w:afterAutospacing="1" w:line="320" w:lineRule="atLeast"/>
              <w:ind w:firstLine="74"/>
              <w:jc w:val="left"/>
              <w:rPr>
                <w:rFonts w:ascii="宋体" w:hAnsi="宋体" w:cs="宋体"/>
                <w:color w:val="auto"/>
                <w:kern w:val="0"/>
                <w:szCs w:val="21"/>
                <w:highlight w:val="none"/>
              </w:rPr>
            </w:pPr>
            <w:r>
              <w:rPr>
                <w:rFonts w:hint="eastAsia" w:ascii="宋体" w:hAnsi="宋体" w:cs="宋体"/>
                <w:color w:val="auto"/>
                <w:kern w:val="0"/>
                <w:szCs w:val="21"/>
                <w:highlight w:val="none"/>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5"/>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成交供应商负责人签字或盖章：</w:t>
            </w:r>
          </w:p>
          <w:p>
            <w:pPr>
              <w:widowControl/>
              <w:spacing w:before="100" w:beforeAutospacing="1" w:after="100" w:afterAutospacing="1" w:line="320" w:lineRule="atLeast"/>
              <w:jc w:val="left"/>
              <w:rPr>
                <w:rFonts w:ascii="宋体" w:hAnsi="宋体" w:cs="宋体"/>
                <w:color w:val="auto"/>
                <w:kern w:val="0"/>
                <w:szCs w:val="21"/>
                <w:highlight w:val="none"/>
              </w:rPr>
            </w:pPr>
          </w:p>
          <w:p>
            <w:pPr>
              <w:widowControl/>
              <w:spacing w:before="100" w:beforeAutospacing="1" w:after="100" w:afterAutospacing="1" w:line="32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联系电话：                年  月  日</w:t>
            </w:r>
          </w:p>
        </w:tc>
        <w:tc>
          <w:tcPr>
            <w:tcW w:w="4293"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采购人或受托机构的意见（盖章）：</w:t>
            </w:r>
          </w:p>
          <w:p>
            <w:pPr>
              <w:widowControl/>
              <w:spacing w:before="100" w:beforeAutospacing="1" w:after="100" w:afterAutospacing="1" w:line="320" w:lineRule="atLeast"/>
              <w:ind w:firstLine="210" w:firstLineChars="100"/>
              <w:jc w:val="left"/>
              <w:rPr>
                <w:rFonts w:ascii="宋体" w:hAnsi="宋体" w:cs="宋体"/>
                <w:color w:val="auto"/>
                <w:kern w:val="0"/>
                <w:szCs w:val="21"/>
                <w:highlight w:val="none"/>
              </w:rPr>
            </w:pPr>
          </w:p>
          <w:p>
            <w:pPr>
              <w:widowControl/>
              <w:spacing w:before="100" w:beforeAutospacing="1" w:after="100" w:afterAutospacing="1" w:line="320" w:lineRule="atLeast"/>
              <w:ind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联系电话：                  年  月  日</w:t>
            </w:r>
          </w:p>
        </w:tc>
      </w:tr>
    </w:tbl>
    <w:p>
      <w:pPr>
        <w:pStyle w:val="9"/>
        <w:ind w:left="1" w:firstLine="2" w:firstLineChars="1"/>
        <w:rPr>
          <w:rFonts w:ascii="宋体" w:hAnsi="宋体" w:cs="宋体"/>
          <w:b/>
          <w:color w:val="auto"/>
          <w:sz w:val="32"/>
          <w:szCs w:val="32"/>
          <w:highlight w:val="none"/>
        </w:rPr>
      </w:pPr>
      <w:r>
        <w:rPr>
          <w:rFonts w:hint="eastAsia" w:hAnsi="宋体" w:cs="宋体"/>
          <w:color w:val="auto"/>
          <w:highlight w:val="none"/>
        </w:rPr>
        <w:br w:type="page"/>
      </w:r>
    </w:p>
    <w:p>
      <w:pPr>
        <w:pStyle w:val="2"/>
        <w:numPr>
          <w:ilvl w:val="0"/>
          <w:numId w:val="1"/>
        </w:numPr>
        <w:jc w:val="center"/>
        <w:rPr>
          <w:rFonts w:ascii="宋体" w:hAnsi="宋体" w:cs="宋体"/>
          <w:color w:val="auto"/>
          <w:highlight w:val="none"/>
        </w:rPr>
      </w:pPr>
      <w:bookmarkStart w:id="65" w:name="_Toc44229895"/>
      <w:r>
        <w:rPr>
          <w:rFonts w:hint="eastAsia" w:ascii="宋体" w:hAnsi="宋体" w:cs="宋体"/>
          <w:color w:val="auto"/>
          <w:highlight w:val="none"/>
        </w:rPr>
        <w:t>服务需求</w:t>
      </w:r>
      <w:bookmarkEnd w:id="65"/>
    </w:p>
    <w:p>
      <w:pPr>
        <w:spacing w:line="440" w:lineRule="exact"/>
        <w:jc w:val="left"/>
        <w:rPr>
          <w:rFonts w:ascii="宋体" w:hAnsi="宋体" w:cs="宋体"/>
          <w:color w:val="auto"/>
          <w:szCs w:val="21"/>
          <w:highlight w:val="none"/>
        </w:rPr>
      </w:pPr>
      <w:r>
        <w:rPr>
          <w:rFonts w:hint="eastAsia" w:ascii="宋体" w:hAnsi="宋体" w:cs="宋体"/>
          <w:color w:val="auto"/>
          <w:szCs w:val="21"/>
          <w:highlight w:val="none"/>
        </w:rPr>
        <w:t>A分标</w:t>
      </w:r>
    </w:p>
    <w:tbl>
      <w:tblPr>
        <w:tblStyle w:val="21"/>
        <w:tblW w:w="10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402"/>
        <w:gridCol w:w="191"/>
        <w:gridCol w:w="567"/>
        <w:gridCol w:w="708"/>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5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Cs w:val="21"/>
                <w:highlight w:val="none"/>
              </w:rPr>
            </w:pPr>
            <w:bookmarkStart w:id="66" w:name="_Toc44229896"/>
            <w:r>
              <w:rPr>
                <w:rFonts w:hint="eastAsia" w:ascii="宋体" w:hAnsi="宋体" w:cs="宋体"/>
                <w:b/>
                <w:color w:val="auto"/>
                <w:szCs w:val="21"/>
                <w:highlight w:val="none"/>
              </w:rPr>
              <w:t>一、项目需求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ind w:firstLine="103" w:firstLineChars="49"/>
              <w:rPr>
                <w:rFonts w:ascii="宋体" w:hAnsi="宋体" w:cs="宋体"/>
                <w:b/>
                <w:color w:val="auto"/>
                <w:szCs w:val="21"/>
                <w:highlight w:val="none"/>
              </w:rPr>
            </w:pPr>
            <w:r>
              <w:rPr>
                <w:rFonts w:hint="eastAsia" w:ascii="宋体" w:hAnsi="宋体" w:cs="宋体"/>
                <w:b/>
                <w:color w:val="auto"/>
                <w:szCs w:val="21"/>
                <w:highlight w:val="none"/>
              </w:rPr>
              <w:t>序号</w:t>
            </w:r>
          </w:p>
        </w:tc>
        <w:tc>
          <w:tcPr>
            <w:tcW w:w="14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Cs w:val="21"/>
                <w:highlight w:val="none"/>
              </w:rPr>
            </w:pPr>
            <w:r>
              <w:rPr>
                <w:rFonts w:hint="eastAsia" w:ascii="宋体" w:hAnsi="宋体" w:cs="宋体"/>
                <w:b/>
                <w:color w:val="auto"/>
                <w:szCs w:val="21"/>
                <w:highlight w:val="none"/>
              </w:rPr>
              <w:t>服务名称</w:t>
            </w:r>
          </w:p>
        </w:tc>
        <w:tc>
          <w:tcPr>
            <w:tcW w:w="75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Cs w:val="21"/>
                <w:highlight w:val="none"/>
              </w:rPr>
            </w:pPr>
            <w:r>
              <w:rPr>
                <w:rFonts w:hint="eastAsia" w:ascii="宋体" w:hAnsi="宋体" w:cs="宋体"/>
                <w:b/>
                <w:color w:val="auto"/>
                <w:szCs w:val="21"/>
                <w:highlight w:val="none"/>
              </w:rPr>
              <w:t>数量</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Cs w:val="21"/>
                <w:highlight w:val="none"/>
              </w:rPr>
            </w:pPr>
            <w:r>
              <w:rPr>
                <w:rFonts w:hint="eastAsia" w:ascii="宋体" w:hAnsi="宋体" w:cs="宋体"/>
                <w:b/>
                <w:color w:val="auto"/>
                <w:szCs w:val="21"/>
                <w:highlight w:val="none"/>
              </w:rPr>
              <w:t>单位</w:t>
            </w:r>
          </w:p>
        </w:tc>
        <w:tc>
          <w:tcPr>
            <w:tcW w:w="6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jc w:val="center"/>
        </w:trPr>
        <w:tc>
          <w:tcPr>
            <w:tcW w:w="790" w:type="dxa"/>
            <w:tcBorders>
              <w:top w:val="single" w:color="auto" w:sz="4" w:space="0"/>
              <w:left w:val="single" w:color="auto" w:sz="4" w:space="0"/>
              <w:bottom w:val="single" w:color="auto" w:sz="4" w:space="0"/>
              <w:right w:val="single" w:color="auto" w:sz="4" w:space="0"/>
            </w:tcBorders>
            <w:vAlign w:val="center"/>
          </w:tcPr>
          <w:p>
            <w:pPr>
              <w:ind w:firstLine="102" w:firstLineChars="49"/>
              <w:rPr>
                <w:rFonts w:ascii="宋体" w:hAnsi="宋体" w:cs="宋体"/>
                <w:color w:val="auto"/>
                <w:szCs w:val="21"/>
                <w:highlight w:val="none"/>
              </w:rPr>
            </w:pPr>
            <w:r>
              <w:rPr>
                <w:rFonts w:hint="eastAsia" w:ascii="宋体" w:hAnsi="宋体" w:cs="宋体"/>
                <w:color w:val="auto"/>
                <w:szCs w:val="21"/>
                <w:highlight w:val="none"/>
              </w:rPr>
              <w:t>1</w:t>
            </w:r>
          </w:p>
        </w:tc>
        <w:tc>
          <w:tcPr>
            <w:tcW w:w="14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平南县医疗收费电子票据信息管理系统系统</w:t>
            </w:r>
          </w:p>
        </w:tc>
        <w:tc>
          <w:tcPr>
            <w:tcW w:w="7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w:t>
            </w:r>
          </w:p>
        </w:tc>
        <w:tc>
          <w:tcPr>
            <w:tcW w:w="6492" w:type="dxa"/>
            <w:tcBorders>
              <w:top w:val="single" w:color="auto" w:sz="4" w:space="0"/>
              <w:left w:val="single" w:color="auto" w:sz="4" w:space="0"/>
              <w:bottom w:val="single" w:color="auto" w:sz="4" w:space="0"/>
              <w:right w:val="single" w:color="auto" w:sz="4" w:space="0"/>
            </w:tcBorders>
          </w:tcPr>
          <w:p>
            <w:pPr>
              <w:spacing w:line="276" w:lineRule="auto"/>
              <w:rPr>
                <w:rFonts w:ascii="宋体" w:hAnsi="宋体" w:cs="宋体"/>
                <w:b/>
                <w:color w:val="auto"/>
                <w:szCs w:val="21"/>
                <w:highlight w:val="none"/>
              </w:rPr>
            </w:pPr>
            <w:r>
              <w:rPr>
                <w:rFonts w:hint="eastAsia" w:ascii="宋体" w:hAnsi="宋体" w:cs="宋体"/>
                <w:b/>
                <w:color w:val="auto"/>
                <w:szCs w:val="21"/>
                <w:highlight w:val="none"/>
              </w:rPr>
              <w:t>一、总体需求：</w:t>
            </w:r>
          </w:p>
          <w:p>
            <w:pPr>
              <w:numPr>
                <w:ilvl w:val="0"/>
                <w:numId w:val="2"/>
              </w:numPr>
              <w:spacing w:line="276" w:lineRule="auto"/>
              <w:rPr>
                <w:rFonts w:ascii="宋体" w:hAnsi="宋体" w:cs="宋体"/>
                <w:color w:val="auto"/>
                <w:szCs w:val="21"/>
                <w:highlight w:val="none"/>
              </w:rPr>
            </w:pPr>
            <w:r>
              <w:rPr>
                <w:rFonts w:hint="eastAsia" w:ascii="宋体" w:hAnsi="宋体" w:cs="宋体"/>
                <w:color w:val="auto"/>
                <w:szCs w:val="21"/>
                <w:highlight w:val="none"/>
              </w:rPr>
              <w:t>满足财政电子票据改革需求,严格遵循财政部关于财政电子票据管理改革的标准规范和业务要求，实现与平南县基层医疗机构业务系统对接，完成财政电子票据从赋码、开具、传送、查验、入账、归档一站式管理，同时满足广西财政厅关于财政电子票据管理的需求，并实现与“广西财政票据电子化管理系统”的</w:t>
            </w:r>
            <w:r>
              <w:rPr>
                <w:rFonts w:hint="eastAsia" w:ascii="宋体" w:hAnsi="宋体" w:cs="宋体"/>
                <w:color w:val="auto"/>
                <w:szCs w:val="21"/>
                <w:highlight w:val="none"/>
                <w:lang w:eastAsia="zh-CN"/>
              </w:rPr>
              <w:t>互联互通</w:t>
            </w:r>
            <w:r>
              <w:rPr>
                <w:rFonts w:hint="eastAsia" w:ascii="宋体" w:hAnsi="宋体" w:cs="宋体"/>
                <w:color w:val="auto"/>
                <w:szCs w:val="21"/>
                <w:highlight w:val="none"/>
              </w:rPr>
              <w:t>。</w:t>
            </w:r>
          </w:p>
          <w:p>
            <w:pPr>
              <w:numPr>
                <w:ilvl w:val="0"/>
                <w:numId w:val="2"/>
              </w:numPr>
              <w:spacing w:line="276" w:lineRule="auto"/>
              <w:rPr>
                <w:rFonts w:ascii="宋体" w:hAnsi="宋体" w:cs="宋体"/>
                <w:color w:val="auto"/>
                <w:szCs w:val="21"/>
                <w:highlight w:val="none"/>
              </w:rPr>
            </w:pPr>
            <w:r>
              <w:rPr>
                <w:rFonts w:hint="eastAsia" w:ascii="宋体" w:hAnsi="宋体" w:cs="宋体"/>
                <w:color w:val="auto"/>
                <w:szCs w:val="21"/>
                <w:highlight w:val="none"/>
              </w:rPr>
              <w:t>实现平南县基层医疗机构业务系统收费结算信息即时生成电子票据传输，解决基层医疗机构现有缴费取票繁杂、票据管理流程复杂及核销工作量大等问题，提升基层医疗机构对外服务水平，提高财务人员办公效率。</w:t>
            </w:r>
          </w:p>
          <w:p>
            <w:pPr>
              <w:numPr>
                <w:ilvl w:val="0"/>
                <w:numId w:val="2"/>
              </w:numPr>
              <w:spacing w:line="276" w:lineRule="auto"/>
              <w:rPr>
                <w:rFonts w:ascii="宋体" w:hAnsi="宋体" w:cs="宋体"/>
                <w:color w:val="auto"/>
                <w:szCs w:val="21"/>
                <w:highlight w:val="none"/>
              </w:rPr>
            </w:pPr>
            <w:r>
              <w:rPr>
                <w:rFonts w:hint="eastAsia" w:ascii="宋体" w:hAnsi="宋体" w:cs="宋体"/>
                <w:color w:val="auto"/>
                <w:szCs w:val="21"/>
                <w:highlight w:val="none"/>
              </w:rPr>
              <w:t>建设的医疗收费电子票据信息管理系统与平南县基层医疗机构现有的业务系统信息化系统集成对接，满足高度的业务协同和数据共享：与平南县基层医疗机构业务系统无缝衔接，建设的财政医疗电子票据管理平台提供标准数据交换接口，支持与基层医疗机构其他信息系统的应用集成。</w:t>
            </w:r>
          </w:p>
          <w:p>
            <w:pPr>
              <w:numPr>
                <w:ilvl w:val="0"/>
                <w:numId w:val="2"/>
              </w:numPr>
              <w:spacing w:line="276" w:lineRule="auto"/>
              <w:rPr>
                <w:rFonts w:ascii="宋体" w:hAnsi="宋体" w:cs="宋体"/>
                <w:color w:val="auto"/>
                <w:szCs w:val="21"/>
                <w:highlight w:val="none"/>
              </w:rPr>
            </w:pPr>
            <w:r>
              <w:rPr>
                <w:rFonts w:hint="eastAsia" w:ascii="宋体" w:hAnsi="宋体" w:cs="宋体"/>
                <w:color w:val="auto"/>
                <w:szCs w:val="21"/>
                <w:highlight w:val="none"/>
              </w:rPr>
              <w:t>建设的医疗收费电子票据信息管理系统一方面满足基层医疗机构接口接入需求（卫生院、卫生所、社区服务站），另一方面满足一些无业务系统基层医疗机构在线登陆系统开票需求。</w:t>
            </w:r>
          </w:p>
          <w:p>
            <w:pPr>
              <w:numPr>
                <w:ilvl w:val="0"/>
                <w:numId w:val="2"/>
              </w:numPr>
              <w:spacing w:line="276" w:lineRule="auto"/>
              <w:rPr>
                <w:rFonts w:ascii="宋体" w:hAnsi="宋体" w:cs="宋体"/>
                <w:color w:val="auto"/>
                <w:szCs w:val="21"/>
                <w:highlight w:val="none"/>
              </w:rPr>
            </w:pPr>
            <w:r>
              <w:rPr>
                <w:rFonts w:hint="eastAsia" w:ascii="宋体" w:hAnsi="宋体" w:cs="宋体"/>
                <w:color w:val="auto"/>
                <w:szCs w:val="21"/>
                <w:highlight w:val="none"/>
              </w:rPr>
              <w:t>建设的医疗收费电子票据信息管理系统数据大集中的同时有满足基层医疗机构归属地管理原则，基层医疗机构的票据申领、核销、销毁、票据印制等归属平南县财政部门管理。</w:t>
            </w:r>
          </w:p>
          <w:p>
            <w:pPr>
              <w:numPr>
                <w:ilvl w:val="0"/>
                <w:numId w:val="2"/>
              </w:numPr>
              <w:spacing w:line="276" w:lineRule="auto"/>
              <w:rPr>
                <w:rFonts w:ascii="宋体" w:hAnsi="宋体" w:cs="宋体"/>
                <w:color w:val="auto"/>
                <w:szCs w:val="21"/>
                <w:highlight w:val="none"/>
              </w:rPr>
            </w:pPr>
            <w:r>
              <w:rPr>
                <w:rFonts w:hint="eastAsia" w:ascii="宋体" w:hAnsi="宋体" w:cs="宋体"/>
                <w:color w:val="auto"/>
                <w:szCs w:val="21"/>
                <w:highlight w:val="none"/>
              </w:rPr>
              <w:t>建设的医疗收费电子票据信息管理系统支持对接邮箱、短信、公众号、小程序等多种通知渠道。全方位满足各类基层医疗机构财政电子票据交付需求。</w:t>
            </w:r>
          </w:p>
          <w:p>
            <w:pPr>
              <w:numPr>
                <w:ilvl w:val="0"/>
                <w:numId w:val="2"/>
              </w:numPr>
              <w:spacing w:line="276" w:lineRule="auto"/>
              <w:rPr>
                <w:rFonts w:ascii="宋体" w:hAnsi="宋体" w:cs="宋体"/>
                <w:color w:val="auto"/>
                <w:szCs w:val="21"/>
                <w:highlight w:val="none"/>
              </w:rPr>
            </w:pPr>
            <w:r>
              <w:rPr>
                <w:rFonts w:hint="eastAsia" w:ascii="宋体" w:hAnsi="宋体" w:cs="宋体"/>
                <w:color w:val="auto"/>
                <w:szCs w:val="21"/>
                <w:highlight w:val="none"/>
              </w:rPr>
              <w:t>系统采用集中部署，能将基层医疗机构信息化管理系统一站式接入，满足采购人对各基层医疗机构的监管，通过各个医疗机构数据大集中为采购人提供数据分析、对比、筛选、统计分析和决策等大数据分析利用。从而从源头上提升采购人对各医疗机构的监督检查。同时各医疗机构社会化职能得到最大化运转。</w:t>
            </w:r>
          </w:p>
          <w:p>
            <w:pPr>
              <w:spacing w:line="276" w:lineRule="auto"/>
              <w:rPr>
                <w:rFonts w:ascii="宋体" w:hAnsi="宋体" w:cs="宋体"/>
                <w:b/>
                <w:color w:val="auto"/>
                <w:szCs w:val="21"/>
                <w:highlight w:val="none"/>
              </w:rPr>
            </w:pPr>
            <w:r>
              <w:rPr>
                <w:rFonts w:hint="eastAsia" w:ascii="宋体" w:hAnsi="宋体" w:cs="宋体"/>
                <w:b/>
                <w:color w:val="auto"/>
                <w:szCs w:val="21"/>
                <w:highlight w:val="none"/>
              </w:rPr>
              <w:t>二、功能需求：</w:t>
            </w:r>
          </w:p>
          <w:p>
            <w:pPr>
              <w:spacing w:line="276" w:lineRule="auto"/>
              <w:rPr>
                <w:rFonts w:ascii="宋体" w:hAnsi="宋体" w:cs="宋体"/>
                <w:b/>
                <w:color w:val="auto"/>
                <w:szCs w:val="21"/>
                <w:highlight w:val="none"/>
              </w:rPr>
            </w:pPr>
            <w:r>
              <w:rPr>
                <w:rFonts w:hint="eastAsia" w:ascii="宋体" w:hAnsi="宋体" w:cs="宋体"/>
                <w:b/>
                <w:color w:val="auto"/>
                <w:szCs w:val="21"/>
                <w:highlight w:val="none"/>
              </w:rPr>
              <w:t>（一）医疗机构门诊住院业务需求</w:t>
            </w:r>
          </w:p>
          <w:p>
            <w:pPr>
              <w:numPr>
                <w:ilvl w:val="0"/>
                <w:numId w:val="3"/>
              </w:numPr>
              <w:spacing w:line="276" w:lineRule="auto"/>
              <w:rPr>
                <w:rFonts w:ascii="宋体" w:hAnsi="宋体" w:cs="宋体"/>
                <w:color w:val="auto"/>
                <w:szCs w:val="21"/>
                <w:highlight w:val="none"/>
              </w:rPr>
            </w:pPr>
            <w:r>
              <w:rPr>
                <w:rFonts w:hint="eastAsia" w:ascii="宋体" w:hAnsi="宋体" w:cs="宋体"/>
                <w:color w:val="auto"/>
                <w:szCs w:val="21"/>
                <w:highlight w:val="none"/>
              </w:rPr>
              <w:t>患者持社保卡、就诊卡在基层医疗机构门诊或者住院部完成缴费后，医疗收费电子票据信息管理系统能够接收基层医疗机构HIS业务系统相关缴费结算信息，实时开具财政电子票据，通过患者对应的缴款渠道医疗收费电子票据信息管理系统通知患者接收、查看财政电子票据信息。</w:t>
            </w:r>
          </w:p>
          <w:p>
            <w:pPr>
              <w:numPr>
                <w:ilvl w:val="0"/>
                <w:numId w:val="3"/>
              </w:numPr>
              <w:spacing w:line="276" w:lineRule="auto"/>
              <w:rPr>
                <w:rFonts w:ascii="宋体" w:hAnsi="宋体" w:cs="宋体"/>
                <w:color w:val="auto"/>
                <w:szCs w:val="21"/>
                <w:highlight w:val="none"/>
              </w:rPr>
            </w:pPr>
            <w:r>
              <w:rPr>
                <w:rFonts w:hint="eastAsia" w:ascii="宋体" w:hAnsi="宋体" w:cs="宋体"/>
                <w:color w:val="auto"/>
                <w:szCs w:val="21"/>
                <w:highlight w:val="none"/>
              </w:rPr>
              <w:t>患者接收到财政电子票据信息后，如果有需要可以自行前往基层医疗机构窗口或自助机自行打印财政电子票据板式文件，医疗收费电子票据信息管理系统需支持在线打印和接口对接打印。</w:t>
            </w:r>
          </w:p>
          <w:p>
            <w:pPr>
              <w:numPr>
                <w:ilvl w:val="0"/>
                <w:numId w:val="3"/>
              </w:numPr>
              <w:spacing w:line="276" w:lineRule="auto"/>
              <w:rPr>
                <w:rFonts w:ascii="宋体" w:hAnsi="宋体" w:cs="宋体"/>
                <w:color w:val="auto"/>
                <w:szCs w:val="21"/>
                <w:highlight w:val="none"/>
              </w:rPr>
            </w:pPr>
            <w:r>
              <w:rPr>
                <w:rFonts w:hint="eastAsia" w:ascii="宋体" w:hAnsi="宋体" w:cs="宋体"/>
                <w:color w:val="auto"/>
                <w:szCs w:val="21"/>
                <w:highlight w:val="none"/>
              </w:rPr>
              <w:t>患者进行退费业务操作时，医疗收费电子票据信息管理系统接收HIS业务系统退费结算请求，并返回给HIS业务系统告知患者。</w:t>
            </w:r>
          </w:p>
          <w:p>
            <w:pPr>
              <w:numPr>
                <w:ilvl w:val="0"/>
                <w:numId w:val="3"/>
              </w:numPr>
              <w:spacing w:line="276" w:lineRule="auto"/>
              <w:rPr>
                <w:rFonts w:ascii="宋体" w:hAnsi="宋体" w:cs="宋体"/>
                <w:color w:val="auto"/>
                <w:szCs w:val="21"/>
                <w:highlight w:val="none"/>
              </w:rPr>
            </w:pPr>
            <w:r>
              <w:rPr>
                <w:rFonts w:hint="eastAsia" w:ascii="宋体" w:hAnsi="宋体" w:cs="宋体"/>
                <w:color w:val="auto"/>
                <w:szCs w:val="21"/>
                <w:highlight w:val="none"/>
              </w:rPr>
              <w:t>门诊、住院部进行日终结算时，医疗收费电子票据信息管理系统能够实现与采购人所辖各基层医疗机构HIS系统业务数据进行核对，保证数据准确无误，支持人工、系统自动逐笔或批量对账，排查纠错。同时针对异常数据问题医疗收费电子票据信息管理系统应提供相应处理机制，方便问题及时解决。</w:t>
            </w:r>
          </w:p>
          <w:p>
            <w:pPr>
              <w:numPr>
                <w:ilvl w:val="0"/>
                <w:numId w:val="3"/>
              </w:numPr>
              <w:spacing w:line="276" w:lineRule="auto"/>
              <w:rPr>
                <w:rFonts w:ascii="宋体" w:hAnsi="宋体" w:cs="宋体"/>
                <w:color w:val="auto"/>
                <w:szCs w:val="21"/>
                <w:highlight w:val="none"/>
              </w:rPr>
            </w:pPr>
            <w:r>
              <w:rPr>
                <w:rFonts w:hint="eastAsia" w:ascii="宋体" w:hAnsi="宋体" w:cs="宋体"/>
                <w:color w:val="auto"/>
                <w:szCs w:val="21"/>
                <w:highlight w:val="none"/>
              </w:rPr>
              <w:t>根据各基层医疗结构业务特征，采购人医疗收费电子票据信息管理系统须有应急机制，针对因突发网络故障等不确定因素导致HIS系统确定收款成功，但电子票据生成指令发送不成功，无法及时生成电子票据等情况，提供应急开票系统，保证开票业务不中断，同时不受广西壮族自治区财政厅财政票据电子化管理系统影响或影响降至最低。</w:t>
            </w:r>
          </w:p>
          <w:p>
            <w:pPr>
              <w:numPr>
                <w:ilvl w:val="0"/>
                <w:numId w:val="3"/>
              </w:numPr>
              <w:spacing w:line="276" w:lineRule="auto"/>
              <w:rPr>
                <w:rFonts w:ascii="宋体" w:hAnsi="宋体" w:cs="宋体"/>
                <w:color w:val="auto"/>
                <w:szCs w:val="21"/>
                <w:highlight w:val="none"/>
              </w:rPr>
            </w:pPr>
            <w:r>
              <w:rPr>
                <w:rFonts w:hint="eastAsia" w:ascii="宋体" w:hAnsi="宋体" w:cs="宋体"/>
                <w:color w:val="auto"/>
                <w:szCs w:val="21"/>
                <w:highlight w:val="none"/>
              </w:rPr>
              <w:t>根据财政部、卫健委、医保局财综【2019】29号文的文件要求，医疗收费电子票据信息管理系统需具有最新全国统一财政医疗电子票据相关规范、票据样式、电子清单明细。</w:t>
            </w:r>
          </w:p>
          <w:p>
            <w:pPr>
              <w:spacing w:line="276" w:lineRule="auto"/>
              <w:rPr>
                <w:rFonts w:ascii="宋体" w:hAnsi="宋体" w:cs="宋体"/>
                <w:b/>
                <w:color w:val="auto"/>
                <w:szCs w:val="21"/>
                <w:highlight w:val="none"/>
              </w:rPr>
            </w:pPr>
            <w:r>
              <w:rPr>
                <w:rFonts w:hint="eastAsia" w:ascii="宋体" w:hAnsi="宋体" w:cs="宋体"/>
                <w:b/>
                <w:color w:val="auto"/>
                <w:szCs w:val="21"/>
                <w:highlight w:val="none"/>
              </w:rPr>
              <w:t>（二）医疗机构预交金管理</w:t>
            </w:r>
          </w:p>
          <w:p>
            <w:pPr>
              <w:spacing w:line="276"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1.  患者通过窗口、支付宝、微信、基层医疗机构APP等渠道办理入院手续，缴存预交金；业务办理人员每收到一笔预交金，通过HIS业务系统向医疗收费电子票据信息管理系统请求生成预交金电子凭证；</w:t>
            </w:r>
          </w:p>
          <w:p>
            <w:pPr>
              <w:spacing w:line="276"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2.  医疗收费电子票据信息管理系统开具预交金凭证，并把该笔预交金缴存明细登记到预交金台账；</w:t>
            </w:r>
          </w:p>
          <w:p>
            <w:pPr>
              <w:spacing w:line="276"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3.  预交金凭证开具成功，返回预交金凭证信息HIS系统，可通过告知渠道通知患者,如：短信、微信/支付宝、基层医疗机构APP、收款凭条等方式。</w:t>
            </w:r>
          </w:p>
          <w:p>
            <w:pPr>
              <w:spacing w:line="276"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4.  医疗收费电子票据信息管理系统定时将预交金凭证信息（缴存记录明细）、预交金电子票据推送给取票小程序；</w:t>
            </w:r>
          </w:p>
          <w:p>
            <w:pPr>
              <w:spacing w:line="276"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5.  患者可通过取票小程序查询到预交金电子凭证、预交金缴存记录明细数据。</w:t>
            </w:r>
          </w:p>
          <w:p>
            <w:pPr>
              <w:spacing w:line="276"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6.  除通过HIS业务系统传输生成预交金电子凭证外，还支持通过医疗收费电子票据信息管理系统在线开具预交金电子凭证。</w:t>
            </w:r>
          </w:p>
          <w:p>
            <w:pPr>
              <w:spacing w:line="276" w:lineRule="auto"/>
              <w:rPr>
                <w:rFonts w:ascii="宋体" w:hAnsi="宋体" w:cs="宋体"/>
                <w:b/>
                <w:color w:val="auto"/>
                <w:szCs w:val="21"/>
                <w:highlight w:val="none"/>
              </w:rPr>
            </w:pPr>
            <w:r>
              <w:rPr>
                <w:rFonts w:hint="eastAsia" w:ascii="宋体" w:hAnsi="宋体" w:cs="宋体"/>
                <w:b/>
                <w:color w:val="auto"/>
                <w:szCs w:val="21"/>
                <w:highlight w:val="none"/>
              </w:rPr>
              <w:t>（三） 基层医疗机构财务管理</w:t>
            </w:r>
          </w:p>
          <w:p>
            <w:pPr>
              <w:numPr>
                <w:ilvl w:val="0"/>
                <w:numId w:val="4"/>
              </w:numPr>
              <w:spacing w:line="276" w:lineRule="auto"/>
              <w:rPr>
                <w:rFonts w:ascii="宋体" w:hAnsi="宋体" w:cs="宋体"/>
                <w:color w:val="auto"/>
                <w:szCs w:val="21"/>
                <w:highlight w:val="none"/>
              </w:rPr>
            </w:pPr>
            <w:r>
              <w:rPr>
                <w:rFonts w:hint="eastAsia" w:ascii="宋体" w:hAnsi="宋体" w:cs="宋体"/>
                <w:color w:val="auto"/>
                <w:szCs w:val="21"/>
                <w:highlight w:val="none"/>
              </w:rPr>
              <w:t>电子票据申领、分发、申退：基层医疗机构业务人员通过医疗收费电子票据信息管理系统向平南县财政票据管理部门发起用票申请，财政票据部门审批后出库，业务人员进行入库确认，按照需要将电子票据分发收费窗口和自助开票点，同时支持收费窗口和自助机票号回退。</w:t>
            </w:r>
          </w:p>
          <w:p>
            <w:pPr>
              <w:numPr>
                <w:ilvl w:val="0"/>
                <w:numId w:val="4"/>
              </w:numPr>
              <w:spacing w:line="276" w:lineRule="auto"/>
              <w:rPr>
                <w:rFonts w:ascii="宋体" w:hAnsi="宋体" w:cs="宋体"/>
                <w:color w:val="auto"/>
                <w:szCs w:val="21"/>
                <w:highlight w:val="none"/>
              </w:rPr>
            </w:pPr>
            <w:r>
              <w:rPr>
                <w:rFonts w:hint="eastAsia" w:ascii="宋体" w:hAnsi="宋体" w:cs="宋体"/>
                <w:color w:val="auto"/>
                <w:szCs w:val="21"/>
                <w:highlight w:val="none"/>
              </w:rPr>
              <w:t>开票点管理：基层医疗机构可自行设置多个开票点，每个开票点可以自定义设置收费项目，可以自定义设置票据种类，可设置单位内不同开票点开具的票据中开票单位名称和电子签章可为不相同。</w:t>
            </w:r>
          </w:p>
          <w:p>
            <w:pPr>
              <w:numPr>
                <w:ilvl w:val="0"/>
                <w:numId w:val="4"/>
              </w:numPr>
              <w:spacing w:line="276" w:lineRule="auto"/>
              <w:rPr>
                <w:rFonts w:ascii="宋体" w:hAnsi="宋体" w:cs="宋体"/>
                <w:color w:val="auto"/>
                <w:szCs w:val="21"/>
                <w:highlight w:val="none"/>
              </w:rPr>
            </w:pPr>
            <w:r>
              <w:rPr>
                <w:rFonts w:hint="eastAsia" w:ascii="宋体" w:hAnsi="宋体" w:cs="宋体"/>
                <w:color w:val="auto"/>
                <w:szCs w:val="21"/>
                <w:highlight w:val="none"/>
              </w:rPr>
              <w:t>资金往来、捐赠、非税收入等其他财政电子票据在线开具：医疗收费电子票据信息管理系统须支持资金往来、捐赠、非税收入等其他财政电子票据在线开具，包括单笔录入与批量导入。</w:t>
            </w:r>
          </w:p>
          <w:p>
            <w:pPr>
              <w:numPr>
                <w:ilvl w:val="0"/>
                <w:numId w:val="4"/>
              </w:numPr>
              <w:spacing w:line="276" w:lineRule="auto"/>
              <w:rPr>
                <w:rFonts w:ascii="宋体" w:hAnsi="宋体" w:cs="宋体"/>
                <w:color w:val="auto"/>
                <w:szCs w:val="21"/>
                <w:highlight w:val="none"/>
              </w:rPr>
            </w:pPr>
            <w:r>
              <w:rPr>
                <w:rFonts w:hint="eastAsia" w:ascii="宋体" w:hAnsi="宋体" w:cs="宋体"/>
                <w:color w:val="auto"/>
                <w:szCs w:val="21"/>
                <w:highlight w:val="none"/>
              </w:rPr>
              <w:t>财政电子票据换开、冲红、作废：当基层医疗机构发生退费业务或操作失误时，需要对已开具的财政电子票据进行冲红或换开的纸质财政票据进行作废。医疗收费电子票据信息管理系统须支持财政电子票据换开、冲红、作废等业业务操作，包含单笔或批量操作。</w:t>
            </w:r>
          </w:p>
          <w:p>
            <w:pPr>
              <w:numPr>
                <w:ilvl w:val="0"/>
                <w:numId w:val="4"/>
              </w:numPr>
              <w:spacing w:line="276" w:lineRule="auto"/>
              <w:rPr>
                <w:rFonts w:ascii="宋体" w:hAnsi="宋体" w:cs="宋体"/>
                <w:color w:val="auto"/>
                <w:szCs w:val="21"/>
                <w:highlight w:val="none"/>
              </w:rPr>
            </w:pPr>
            <w:r>
              <w:rPr>
                <w:rFonts w:hint="eastAsia" w:ascii="宋体" w:hAnsi="宋体" w:cs="宋体"/>
                <w:color w:val="auto"/>
                <w:szCs w:val="21"/>
                <w:highlight w:val="none"/>
              </w:rPr>
              <w:t>纸质财政票据管理：考虑到基层医疗机构目前实际情况，采购人医疗收费电子票据信息管理系统应提供纸质财政票据相关管理功能，主要包含纸质票据申领、入库、分发、申退和作废等功能。</w:t>
            </w:r>
          </w:p>
          <w:p>
            <w:pPr>
              <w:numPr>
                <w:ilvl w:val="0"/>
                <w:numId w:val="4"/>
              </w:numPr>
              <w:spacing w:line="276" w:lineRule="auto"/>
              <w:rPr>
                <w:rFonts w:ascii="宋体" w:hAnsi="宋体" w:cs="宋体"/>
                <w:color w:val="auto"/>
                <w:szCs w:val="21"/>
                <w:highlight w:val="none"/>
              </w:rPr>
            </w:pPr>
            <w:r>
              <w:rPr>
                <w:rFonts w:hint="eastAsia" w:ascii="宋体" w:hAnsi="宋体" w:cs="宋体"/>
                <w:color w:val="auto"/>
                <w:szCs w:val="21"/>
                <w:highlight w:val="none"/>
              </w:rPr>
              <w:t>财政票据核销：按照广西壮族自治区财政票据管理中心管理要求及各级财政票据管理中心要求， 开票单位需及时将超过核销周期的已开具的旧票进行核销，才能领取新票保证业务延续。医疗收费电子票据信息管理系统须提供数据上报核销功能，即包含电子票也含纸质票，方便医疗机构及时进行数据核销，核销过程中确保业务数据准确无误。</w:t>
            </w:r>
          </w:p>
          <w:p>
            <w:pPr>
              <w:numPr>
                <w:ilvl w:val="0"/>
                <w:numId w:val="4"/>
              </w:numPr>
              <w:spacing w:line="276" w:lineRule="auto"/>
              <w:rPr>
                <w:rFonts w:ascii="宋体" w:hAnsi="宋体" w:cs="宋体"/>
                <w:color w:val="auto"/>
                <w:szCs w:val="21"/>
                <w:highlight w:val="none"/>
              </w:rPr>
            </w:pPr>
            <w:r>
              <w:rPr>
                <w:rFonts w:hint="eastAsia" w:ascii="宋体" w:hAnsi="宋体" w:cs="宋体"/>
                <w:color w:val="auto"/>
                <w:szCs w:val="21"/>
                <w:highlight w:val="none"/>
              </w:rPr>
              <w:t>财政票据销毁：按照财政部文件要求，纸质财政票据保管期限最低为5年、财政电子票据最低为30年，基层医疗机构需要对已经超过保管期限的财政票据进行销毁，提高资源使用效率。医疗收费电子票据信息管理系统须提供票据销毁功能，方便业务人员及时销毁已经过保管期限的财政票据。</w:t>
            </w:r>
          </w:p>
          <w:p>
            <w:pPr>
              <w:numPr>
                <w:ilvl w:val="0"/>
                <w:numId w:val="4"/>
              </w:numPr>
              <w:spacing w:line="276" w:lineRule="auto"/>
              <w:rPr>
                <w:rFonts w:ascii="宋体" w:hAnsi="宋体" w:cs="宋体"/>
                <w:color w:val="auto"/>
                <w:szCs w:val="21"/>
                <w:highlight w:val="none"/>
              </w:rPr>
            </w:pPr>
            <w:r>
              <w:rPr>
                <w:rFonts w:hint="eastAsia" w:ascii="宋体" w:hAnsi="宋体" w:cs="宋体"/>
                <w:color w:val="auto"/>
                <w:szCs w:val="21"/>
                <w:highlight w:val="none"/>
              </w:rPr>
              <w:t>纸质票据印制计划申报：按照广西壮族自治区财政票据管理中心要求和各级财政票据管理中心要求，纸质财政票据印制需要通过系统进行印制计划上报，方便汇总全区财政票据印制计划，有计划的安排印制。医疗收费电子票据信息管理系统须提供财政票据印制计划填写上报，方便基层医疗机构在过渡时期及时将本年计划用票情况上报。</w:t>
            </w:r>
          </w:p>
          <w:p>
            <w:pPr>
              <w:numPr>
                <w:ilvl w:val="0"/>
                <w:numId w:val="4"/>
              </w:numPr>
              <w:spacing w:line="276" w:lineRule="auto"/>
              <w:rPr>
                <w:rFonts w:ascii="宋体" w:hAnsi="宋体" w:cs="宋体"/>
                <w:color w:val="auto"/>
                <w:szCs w:val="21"/>
                <w:highlight w:val="none"/>
              </w:rPr>
            </w:pPr>
            <w:r>
              <w:rPr>
                <w:rFonts w:hint="eastAsia" w:ascii="宋体" w:hAnsi="宋体" w:cs="宋体"/>
                <w:color w:val="auto"/>
                <w:szCs w:val="21"/>
                <w:highlight w:val="none"/>
              </w:rPr>
              <w:t>电子票据记账：通过基层医疗机构业务系统接口实现电子票据入账。入账后通过医疗收费电子票据信息管理系统接口向广西壮族自治区财政电子票据公共服务平台进行入账反馈。支持电子票据汇总单记账：基层医疗机构财务人员通过医疗收费电子票据信息管理系统定时或手动生成电子票据汇总单。</w:t>
            </w:r>
          </w:p>
          <w:p>
            <w:pPr>
              <w:numPr>
                <w:ilvl w:val="0"/>
                <w:numId w:val="4"/>
              </w:numPr>
              <w:spacing w:line="276" w:lineRule="auto"/>
              <w:rPr>
                <w:rFonts w:ascii="宋体" w:hAnsi="宋体" w:cs="宋体"/>
                <w:color w:val="auto"/>
                <w:szCs w:val="21"/>
                <w:highlight w:val="none"/>
              </w:rPr>
            </w:pPr>
            <w:r>
              <w:rPr>
                <w:rFonts w:hint="eastAsia" w:ascii="宋体" w:hAnsi="宋体" w:cs="宋体"/>
                <w:color w:val="auto"/>
                <w:szCs w:val="21"/>
                <w:highlight w:val="none"/>
              </w:rPr>
              <w:t>对账管理：由医疗机构HIS业务系统提供收费结算数据与医疗收费电子票据信息管理系统的开票数据信息进行对账，其中对账方式可分为系统之间自动对账和手动打印汇总单对账。</w:t>
            </w:r>
          </w:p>
          <w:p>
            <w:pPr>
              <w:numPr>
                <w:ilvl w:val="0"/>
                <w:numId w:val="4"/>
              </w:numPr>
              <w:spacing w:line="276" w:lineRule="auto"/>
              <w:rPr>
                <w:rFonts w:ascii="宋体" w:hAnsi="宋体" w:cs="宋体"/>
                <w:color w:val="auto"/>
                <w:szCs w:val="21"/>
                <w:highlight w:val="none"/>
              </w:rPr>
            </w:pPr>
            <w:r>
              <w:rPr>
                <w:rFonts w:hint="eastAsia" w:ascii="宋体" w:hAnsi="宋体" w:cs="宋体"/>
                <w:color w:val="auto"/>
                <w:szCs w:val="21"/>
                <w:highlight w:val="none"/>
              </w:rPr>
              <w:t>相关业务数据统计报表查询，医疗收费电子票据信息管理系统应提供基本的统计报表，包含包括库存结余表、票据领发情况、票据作废情况、票据领用存情况、单位领入情况表、票据分发情况表、开票明细表、开票汇总表、单位收费情况表、收费员汇总表、缴款渠道汇总表、住院处日报明细表等，同时支持按照基层医疗机构业务人员需要增加相关报表。</w:t>
            </w:r>
          </w:p>
          <w:p>
            <w:pPr>
              <w:numPr>
                <w:ilvl w:val="0"/>
                <w:numId w:val="4"/>
              </w:numPr>
              <w:spacing w:line="276" w:lineRule="auto"/>
              <w:rPr>
                <w:rFonts w:ascii="宋体" w:hAnsi="宋体" w:cs="宋体"/>
                <w:color w:val="auto"/>
                <w:szCs w:val="21"/>
                <w:highlight w:val="none"/>
              </w:rPr>
            </w:pPr>
            <w:r>
              <w:rPr>
                <w:rFonts w:hint="eastAsia" w:ascii="宋体" w:hAnsi="宋体" w:cs="宋体"/>
                <w:color w:val="auto"/>
                <w:szCs w:val="21"/>
                <w:highlight w:val="none"/>
              </w:rPr>
              <w:t>基础信息维护及管理等功能，采购人医疗收费电子票据信息管理系统应提供此功能，方便基层医疗机构业务管理人员维护系统信息，包含开票点、用户、票据种类、收费项目等基础信息增加删除或变动操作。</w:t>
            </w:r>
          </w:p>
          <w:p>
            <w:pPr>
              <w:numPr>
                <w:ilvl w:val="0"/>
                <w:numId w:val="4"/>
              </w:numPr>
              <w:spacing w:line="276" w:lineRule="auto"/>
              <w:rPr>
                <w:rFonts w:ascii="宋体" w:hAnsi="宋体" w:cs="宋体"/>
                <w:color w:val="auto"/>
                <w:szCs w:val="21"/>
                <w:highlight w:val="none"/>
              </w:rPr>
            </w:pPr>
            <w:r>
              <w:rPr>
                <w:rFonts w:hint="eastAsia" w:ascii="宋体" w:hAnsi="宋体" w:cs="宋体"/>
                <w:color w:val="auto"/>
                <w:szCs w:val="21"/>
                <w:highlight w:val="none"/>
              </w:rPr>
              <w:t>日志跟踪查询功能，采购人医疗收费电子票据信息管理系统应提供对应日志操作记录，方面异常问题排查和解决。</w:t>
            </w:r>
          </w:p>
          <w:p>
            <w:pPr>
              <w:pStyle w:val="12"/>
              <w:numPr>
                <w:ilvl w:val="0"/>
                <w:numId w:val="4"/>
              </w:numPr>
              <w:spacing w:line="276" w:lineRule="auto"/>
              <w:rPr>
                <w:rFonts w:hAnsi="宋体" w:cs="宋体"/>
                <w:color w:val="auto"/>
                <w:kern w:val="2"/>
                <w:sz w:val="21"/>
                <w:highlight w:val="none"/>
              </w:rPr>
            </w:pPr>
            <w:r>
              <w:rPr>
                <w:rFonts w:hint="eastAsia" w:hAnsi="宋体" w:cs="宋体"/>
                <w:color w:val="auto"/>
                <w:kern w:val="2"/>
                <w:sz w:val="21"/>
                <w:highlight w:val="none"/>
              </w:rPr>
              <w:t>参数设置：（1）基础参数设置，各基层医疗机构可自定义设置对应的业务流程单据是否启用审核流程，可设置审核流程的单据包括（不限于）期初库存、票据下发、库存作废、手工开票、退票申请等；可自定义设置库存预警设置，库存预警池设置包括票据类型、预警数量；可自定义设置电子票据清单显示设置，电子票据清单设置应包括票据类型、票据代码、限定数量；可自定义设置预警时间设置，包括审验到期预警天数、汇缴到期预警天数。（2）产品参数设置，医疗收费电子票据信息管理系统可做到界面可视化各类参数设置，其中包括（但不限于）电子票打印次数限制、是否启用电子票换开纸质票年度限制、是否启用电子票换开专用机打票、是否限制电子票汇缴后不能做后续业务、是否限制电子票入账后续业务、是否限制项目标准编码不能为空、首页库存预警提示阀值、医保类型值设置、清单明细是否返回、是否开启医保总金额等于票面总金额判断、机打票是否打印清单、是否开启预交金功能、预交金二维码显示规则、预交金退费项描述、预交金退费凭证备注添加凭证代码、票据自动下发（包括开票点票据手动或自动发放方式、开票点单笔下发数额）等。</w:t>
            </w:r>
          </w:p>
          <w:p>
            <w:pPr>
              <w:pStyle w:val="12"/>
              <w:numPr>
                <w:ilvl w:val="0"/>
                <w:numId w:val="4"/>
              </w:numPr>
              <w:spacing w:line="276" w:lineRule="auto"/>
              <w:rPr>
                <w:rFonts w:hAnsi="宋体" w:cs="宋体"/>
                <w:color w:val="auto"/>
                <w:kern w:val="2"/>
                <w:sz w:val="21"/>
                <w:highlight w:val="none"/>
              </w:rPr>
            </w:pPr>
            <w:r>
              <w:rPr>
                <w:rFonts w:hint="eastAsia" w:hAnsi="宋体" w:cs="宋体"/>
                <w:color w:val="auto"/>
                <w:kern w:val="2"/>
                <w:sz w:val="21"/>
                <w:highlight w:val="none"/>
              </w:rPr>
              <w:t>任务调度管理：采购人医疗收费电子票据信息管理系统必须提供可视化界面的任务调度管理，（1）运行报表，应能体现任务数量、调度次数等调度报表可视化内容；（2）调度日志，以列表方式展现出每个任务执行情况，包括任务的执行处理器、执行器触发时间、执行结果等；（3）任务管理，可自定义新增执行器，包括独立部署基础资料同步、库存预警、医疗日结、同步（开票数据下载）、待办事项刷新、预交金日结、预交金月结、批量上传任务等作业处理器，且包括任务的路由策略、阻塞处理策略、失败处理策略、任务描述等关键指标处理。</w:t>
            </w:r>
          </w:p>
          <w:p>
            <w:pPr>
              <w:spacing w:line="276" w:lineRule="auto"/>
              <w:rPr>
                <w:rFonts w:ascii="宋体" w:hAnsi="宋体" w:cs="宋体"/>
                <w:b/>
                <w:color w:val="auto"/>
                <w:szCs w:val="21"/>
                <w:highlight w:val="none"/>
              </w:rPr>
            </w:pPr>
            <w:r>
              <w:rPr>
                <w:rFonts w:hint="eastAsia" w:ascii="宋体" w:hAnsi="宋体" w:cs="宋体"/>
                <w:b/>
                <w:color w:val="auto"/>
                <w:szCs w:val="21"/>
                <w:highlight w:val="none"/>
              </w:rPr>
              <w:t>（四）数据分析需求</w:t>
            </w:r>
          </w:p>
          <w:p>
            <w:pPr>
              <w:numPr>
                <w:ilvl w:val="0"/>
                <w:numId w:val="5"/>
              </w:numPr>
              <w:spacing w:line="276" w:lineRule="auto"/>
              <w:rPr>
                <w:rFonts w:ascii="宋体" w:hAnsi="宋体" w:cs="宋体"/>
                <w:color w:val="auto"/>
                <w:szCs w:val="21"/>
                <w:highlight w:val="none"/>
              </w:rPr>
            </w:pPr>
            <w:r>
              <w:rPr>
                <w:rFonts w:hint="eastAsia" w:ascii="宋体" w:hAnsi="宋体" w:cs="宋体"/>
                <w:color w:val="auto"/>
                <w:szCs w:val="21"/>
                <w:highlight w:val="none"/>
              </w:rPr>
              <w:t>医疗服务分析：分析基层医疗机构的就诊情况（门诊、住院、体检），根据此数据分析可以优化配置各基层医疗机构资源（如长期超过该基层医疗机构最大的接诊量，则可考虑增加医疗人员扩建医疗场所等），提升医疗质量管理。同时对门急诊人次、住院人次、体检人次增减率的情况进行监控，在异常增减率出现时及时预警，便于上级主管部门及时向基层医疗机构了解增减率异常的原因。</w:t>
            </w:r>
          </w:p>
          <w:p>
            <w:pPr>
              <w:numPr>
                <w:ilvl w:val="0"/>
                <w:numId w:val="5"/>
              </w:numPr>
              <w:spacing w:line="276" w:lineRule="auto"/>
              <w:rPr>
                <w:rFonts w:ascii="宋体" w:hAnsi="宋体" w:cs="宋体"/>
                <w:color w:val="auto"/>
                <w:szCs w:val="21"/>
                <w:highlight w:val="none"/>
              </w:rPr>
            </w:pPr>
            <w:r>
              <w:rPr>
                <w:rFonts w:hint="eastAsia" w:ascii="宋体" w:hAnsi="宋体" w:cs="宋体"/>
                <w:color w:val="auto"/>
                <w:szCs w:val="21"/>
                <w:highlight w:val="none"/>
              </w:rPr>
              <w:t>用药管理：为加强基层医疗机构药事管理工作，促进临床合理用药，保障人民群众用药的安全性、经济性、有效性、避免和减少药物不良反应，全面提高医疗质量，根据《处方管理办法》、《抗菌药物临床应用指导原则》、《医疗机构药事管理暂行规定》等法律法规，结合基层医疗机构的实际情况，制定临床合理用药管理制度。医疗机构用药监控目标：药比不能超过38.5%，住院患者抗菌药物使用不超过60%。</w:t>
            </w:r>
          </w:p>
          <w:p>
            <w:pPr>
              <w:numPr>
                <w:ilvl w:val="0"/>
                <w:numId w:val="5"/>
              </w:numPr>
              <w:spacing w:line="276" w:lineRule="auto"/>
              <w:rPr>
                <w:rFonts w:ascii="宋体" w:hAnsi="宋体" w:cs="宋体"/>
                <w:color w:val="auto"/>
                <w:szCs w:val="21"/>
                <w:highlight w:val="none"/>
              </w:rPr>
            </w:pPr>
            <w:r>
              <w:rPr>
                <w:rFonts w:hint="eastAsia" w:ascii="宋体" w:hAnsi="宋体" w:cs="宋体"/>
                <w:color w:val="auto"/>
                <w:szCs w:val="21"/>
                <w:highlight w:val="none"/>
              </w:rPr>
              <w:t>医疗机构收入情况分析：基层医疗机构业务收入是反映基层医疗机构运营的经济效益、管理水平高低的重要指标之一，它不仅体现了医护人员、行政管理、后勤人员劳动的经济成果，也体现了基层医疗机构在当今医疗市场激烈竞争中的地位。通过统计分析所管辖医疗机构收入情况包括门急诊收入、住院收入、体检收入以及收入增长率及收入构成，有利于上级主管部门及时了解基层医疗机构的收入情况，对基层医疗机构决算和财务收支情况进行审计监督，有利于对基层医疗机构财务管理工作，指导基层医疗机构的内部审计工作，提高基层医疗机构经营管理水平服。</w:t>
            </w:r>
          </w:p>
          <w:p>
            <w:pPr>
              <w:numPr>
                <w:ilvl w:val="0"/>
                <w:numId w:val="5"/>
              </w:numPr>
              <w:spacing w:line="276" w:lineRule="auto"/>
              <w:rPr>
                <w:rFonts w:ascii="宋体" w:hAnsi="宋体" w:cs="宋体"/>
                <w:color w:val="auto"/>
                <w:szCs w:val="21"/>
                <w:highlight w:val="none"/>
              </w:rPr>
            </w:pPr>
            <w:r>
              <w:rPr>
                <w:rFonts w:hint="eastAsia" w:ascii="宋体" w:hAnsi="宋体" w:cs="宋体"/>
                <w:color w:val="auto"/>
                <w:szCs w:val="21"/>
                <w:highlight w:val="none"/>
              </w:rPr>
              <w:t>医疗负担：通过收集各基层医疗机构门急诊、住院费用数据，分析门诊及住院患者均次费用及变化趋势。并对均次费用中药品费占比、卫生材料费占比、检查费占比等情况的分析，了解医疗负担中各项目的占比情况。根据结果引导患者合理流向，严控过度消费，降低费用负担水平，实现医疗费用负担与增长更趋均衡合理。同时可为政府加大医疗保障力度，加大政府投入,提高对经济困难人群的医疗补助,减轻医疗负担，作为参考依据。</w:t>
            </w:r>
          </w:p>
          <w:p>
            <w:pPr>
              <w:numPr>
                <w:ilvl w:val="0"/>
                <w:numId w:val="5"/>
              </w:numPr>
              <w:spacing w:line="276" w:lineRule="auto"/>
              <w:rPr>
                <w:rFonts w:ascii="宋体" w:hAnsi="宋体" w:cs="宋体"/>
                <w:color w:val="auto"/>
                <w:szCs w:val="21"/>
                <w:highlight w:val="none"/>
              </w:rPr>
            </w:pPr>
            <w:r>
              <w:rPr>
                <w:rFonts w:hint="eastAsia" w:ascii="宋体" w:hAnsi="宋体" w:cs="宋体"/>
                <w:color w:val="auto"/>
                <w:szCs w:val="21"/>
                <w:highlight w:val="none"/>
              </w:rPr>
              <w:t>医疗保障：统计门急诊、住院患者医疗保障总费用情况。包括医保患者就诊人次、医保患者费用情况，有助于了解基本医疗保障水平的现状。对政府增加卫生医疗保障措施，完善医疗保障制度。</w:t>
            </w:r>
          </w:p>
          <w:p>
            <w:pPr>
              <w:numPr>
                <w:ilvl w:val="0"/>
                <w:numId w:val="5"/>
              </w:numPr>
              <w:spacing w:line="276" w:lineRule="auto"/>
              <w:rPr>
                <w:rFonts w:ascii="宋体" w:hAnsi="宋体" w:cs="宋体"/>
                <w:color w:val="auto"/>
                <w:szCs w:val="21"/>
                <w:highlight w:val="none"/>
              </w:rPr>
            </w:pPr>
            <w:r>
              <w:rPr>
                <w:rFonts w:hint="eastAsia" w:ascii="宋体" w:hAnsi="宋体" w:cs="宋体"/>
                <w:color w:val="auto"/>
                <w:szCs w:val="21"/>
                <w:highlight w:val="none"/>
              </w:rPr>
              <w:t>监督分析和统计查询：深入挖掘基层医疗机构现有医疗信息资源的数据价值，在数据信息一体化建设的前提下，整合医疗电子票据信息，建设医疗收费电子票据信息管理系统。提供数据采集、数据整理、数据质量检查、数据应用监管、数据分析建模等功能，整理形成医疗数据资源目录，并提供数据信息公开与共享应用管理流程，结合数据脱敏与数据权限管理等功能，形成医疗收费电子票据信息管理系统，方便基层医疗机构相关进行医疗票据使用情况、医疗资源分配情况等内容的查询与公开监督。</w:t>
            </w:r>
          </w:p>
          <w:p>
            <w:pPr>
              <w:spacing w:line="276" w:lineRule="auto"/>
              <w:rPr>
                <w:rFonts w:ascii="宋体" w:hAnsi="宋体" w:cs="宋体"/>
                <w:b/>
                <w:color w:val="auto"/>
                <w:szCs w:val="21"/>
                <w:highlight w:val="none"/>
              </w:rPr>
            </w:pPr>
            <w:r>
              <w:rPr>
                <w:rFonts w:hint="eastAsia" w:ascii="宋体" w:hAnsi="宋体" w:cs="宋体"/>
                <w:b/>
                <w:color w:val="auto"/>
                <w:szCs w:val="21"/>
                <w:highlight w:val="none"/>
              </w:rPr>
              <w:t>（五） 财政电子票据通知及获取</w:t>
            </w:r>
          </w:p>
          <w:p>
            <w:pPr>
              <w:spacing w:line="276" w:lineRule="auto"/>
              <w:rPr>
                <w:rFonts w:ascii="宋体" w:hAnsi="宋体" w:cs="宋体"/>
                <w:color w:val="auto"/>
                <w:szCs w:val="21"/>
                <w:highlight w:val="none"/>
              </w:rPr>
            </w:pPr>
            <w:r>
              <w:rPr>
                <w:rFonts w:hint="eastAsia" w:ascii="宋体" w:hAnsi="宋体" w:cs="宋体"/>
                <w:color w:val="auto"/>
                <w:szCs w:val="21"/>
                <w:highlight w:val="none"/>
              </w:rPr>
              <w:t>1.电子票据通知：</w:t>
            </w:r>
          </w:p>
          <w:p>
            <w:pPr>
              <w:numPr>
                <w:ilvl w:val="0"/>
                <w:numId w:val="6"/>
              </w:numPr>
              <w:spacing w:line="276" w:lineRule="auto"/>
              <w:rPr>
                <w:rFonts w:ascii="宋体" w:hAnsi="宋体" w:cs="宋体"/>
                <w:color w:val="auto"/>
                <w:szCs w:val="21"/>
                <w:highlight w:val="none"/>
              </w:rPr>
            </w:pPr>
            <w:r>
              <w:rPr>
                <w:rFonts w:hint="eastAsia" w:ascii="宋体" w:hAnsi="宋体" w:cs="宋体"/>
                <w:color w:val="auto"/>
                <w:szCs w:val="21"/>
                <w:highlight w:val="none"/>
              </w:rPr>
              <w:t>直接打印告知单：窗口收费员可以打印告知单交给患者，患者可登录广西壮族自治区财政电子票据公共服务平台查验网站进行查验真伪。考虑到各类缴款人实际需求和基层医疗机构节约成本需求，防止电子票据“乱打印”的现象，基层医疗机构按需仅提供一次打印。</w:t>
            </w:r>
          </w:p>
          <w:p>
            <w:pPr>
              <w:numPr>
                <w:ilvl w:val="0"/>
                <w:numId w:val="6"/>
              </w:numPr>
              <w:spacing w:line="276" w:lineRule="auto"/>
              <w:rPr>
                <w:rFonts w:ascii="宋体" w:hAnsi="宋体" w:cs="宋体"/>
                <w:color w:val="auto"/>
                <w:szCs w:val="21"/>
                <w:highlight w:val="none"/>
              </w:rPr>
            </w:pPr>
            <w:r>
              <w:rPr>
                <w:rFonts w:hint="eastAsia" w:ascii="宋体" w:hAnsi="宋体" w:cs="宋体"/>
                <w:color w:val="auto"/>
                <w:szCs w:val="21"/>
                <w:highlight w:val="none"/>
              </w:rPr>
              <w:t>基层医疗机构公众号/生活号通知：缴款人需要提前关注基层医疗机构公众号、生活号，医疗收费电子票据信息管理系统开具电子票据成功后，通过基层医疗机构业务系统向基层医疗机构公众号、生活号推送电子票据信息。</w:t>
            </w:r>
          </w:p>
          <w:p>
            <w:pPr>
              <w:numPr>
                <w:ilvl w:val="0"/>
                <w:numId w:val="6"/>
              </w:numPr>
              <w:spacing w:line="276" w:lineRule="auto"/>
              <w:rPr>
                <w:rFonts w:ascii="宋体" w:hAnsi="宋体" w:cs="宋体"/>
                <w:color w:val="auto"/>
                <w:szCs w:val="21"/>
                <w:highlight w:val="none"/>
              </w:rPr>
            </w:pPr>
            <w:r>
              <w:rPr>
                <w:rFonts w:hint="eastAsia" w:ascii="宋体" w:hAnsi="宋体" w:cs="宋体"/>
                <w:color w:val="auto"/>
                <w:szCs w:val="21"/>
                <w:highlight w:val="none"/>
              </w:rPr>
              <w:t>采购人专用APP（如有）通知：医疗收费电子票据信息管理系统开具电子票据成功，通过基层医疗机构业务系统向基层医疗机构专用APP推送电子票据信息。</w:t>
            </w:r>
          </w:p>
          <w:p>
            <w:pPr>
              <w:pStyle w:val="12"/>
              <w:numPr>
                <w:ilvl w:val="0"/>
                <w:numId w:val="6"/>
              </w:numPr>
              <w:spacing w:line="276" w:lineRule="auto"/>
              <w:rPr>
                <w:rFonts w:hAnsi="宋体" w:cs="宋体"/>
                <w:color w:val="auto"/>
                <w:kern w:val="2"/>
                <w:sz w:val="21"/>
                <w:highlight w:val="none"/>
              </w:rPr>
            </w:pPr>
            <w:r>
              <w:rPr>
                <w:rFonts w:hint="eastAsia" w:hAnsi="宋体" w:cs="宋体"/>
                <w:color w:val="auto"/>
                <w:kern w:val="2"/>
                <w:sz w:val="21"/>
                <w:highlight w:val="none"/>
              </w:rPr>
              <w:t>采购人短信、邮件通知：医疗收费电子票据信息管理系统应提供短信、邮件自定义格式发送。短信配置可设置运营商、状态是否启用、短信内容自定义配置等信息；邮件配置包括是否可自定义配置、服务地址、端口、邮箱账号、密码、状态是否启用、自定义配置等内容。</w:t>
            </w:r>
          </w:p>
          <w:p>
            <w:pPr>
              <w:spacing w:line="276" w:lineRule="auto"/>
              <w:rPr>
                <w:rFonts w:ascii="宋体" w:hAnsi="宋体" w:cs="宋体"/>
                <w:color w:val="auto"/>
                <w:szCs w:val="21"/>
                <w:highlight w:val="none"/>
              </w:rPr>
            </w:pPr>
            <w:r>
              <w:rPr>
                <w:rFonts w:hint="eastAsia" w:ascii="宋体" w:hAnsi="宋体" w:cs="宋体"/>
                <w:color w:val="auto"/>
                <w:szCs w:val="21"/>
                <w:highlight w:val="none"/>
              </w:rPr>
              <w:t>2.缴款人取票服务：</w:t>
            </w:r>
          </w:p>
          <w:p>
            <w:pPr>
              <w:numPr>
                <w:ilvl w:val="0"/>
                <w:numId w:val="7"/>
              </w:numPr>
              <w:spacing w:line="276" w:lineRule="auto"/>
              <w:rPr>
                <w:rFonts w:ascii="宋体" w:hAnsi="宋体" w:cs="宋体"/>
                <w:color w:val="auto"/>
                <w:szCs w:val="21"/>
                <w:highlight w:val="none"/>
              </w:rPr>
            </w:pPr>
            <w:r>
              <w:rPr>
                <w:rFonts w:hint="eastAsia" w:ascii="宋体" w:hAnsi="宋体" w:cs="宋体"/>
                <w:color w:val="auto"/>
                <w:szCs w:val="21"/>
                <w:highlight w:val="none"/>
              </w:rPr>
              <w:t>财政服务网站取票：患者可通过登录广西壮族自治区财政厅建设的广西壮族自治区财政电子票据公共服务平台，根据电子票据相关要素获取电子票据，可以根据需要下载打印。</w:t>
            </w:r>
          </w:p>
          <w:p>
            <w:pPr>
              <w:numPr>
                <w:ilvl w:val="0"/>
                <w:numId w:val="7"/>
              </w:numPr>
              <w:spacing w:line="276" w:lineRule="auto"/>
              <w:rPr>
                <w:rFonts w:ascii="宋体" w:hAnsi="宋体" w:cs="宋体"/>
                <w:color w:val="auto"/>
                <w:szCs w:val="21"/>
                <w:highlight w:val="none"/>
              </w:rPr>
            </w:pPr>
            <w:r>
              <w:rPr>
                <w:rFonts w:hint="eastAsia" w:ascii="宋体" w:hAnsi="宋体" w:cs="宋体"/>
                <w:color w:val="auto"/>
                <w:szCs w:val="21"/>
                <w:highlight w:val="none"/>
              </w:rPr>
              <w:t>基层医疗机构公众号/生活号取票：缴款人可通过注册或关注基层医疗机构公众号、生活号，查看电子票据通知信息，通过取票小程序，获取电子票据。根据需要选择发送到邮箱、微信卡包、本地。</w:t>
            </w:r>
          </w:p>
          <w:p>
            <w:pPr>
              <w:numPr>
                <w:ilvl w:val="0"/>
                <w:numId w:val="7"/>
              </w:numPr>
              <w:spacing w:line="276" w:lineRule="auto"/>
              <w:rPr>
                <w:rFonts w:ascii="宋体" w:hAnsi="宋体" w:cs="宋体"/>
                <w:color w:val="auto"/>
                <w:szCs w:val="21"/>
                <w:highlight w:val="none"/>
              </w:rPr>
            </w:pPr>
            <w:r>
              <w:rPr>
                <w:rFonts w:hint="eastAsia" w:ascii="宋体" w:hAnsi="宋体" w:cs="宋体"/>
                <w:color w:val="auto"/>
                <w:szCs w:val="21"/>
                <w:highlight w:val="none"/>
              </w:rPr>
              <w:t>基层医疗机构专用APP：缴款人可通过安装基层医疗机构专用APP，根据已发送的电子票据通知记录，通过基层医疗机构专用APP，获取电子票据。</w:t>
            </w:r>
          </w:p>
          <w:p>
            <w:pPr>
              <w:numPr>
                <w:ilvl w:val="0"/>
                <w:numId w:val="7"/>
              </w:numPr>
              <w:spacing w:line="276" w:lineRule="auto"/>
              <w:rPr>
                <w:rFonts w:ascii="宋体" w:hAnsi="宋体" w:cs="宋体"/>
                <w:color w:val="auto"/>
                <w:szCs w:val="21"/>
                <w:highlight w:val="none"/>
              </w:rPr>
            </w:pPr>
            <w:r>
              <w:rPr>
                <w:rFonts w:hint="eastAsia" w:ascii="宋体" w:hAnsi="宋体" w:cs="宋体"/>
                <w:color w:val="auto"/>
                <w:szCs w:val="21"/>
                <w:highlight w:val="none"/>
              </w:rPr>
              <w:t>基层医疗机构通码扫码取票：单位使用微信扫描二维码，输入身份证号/手机号/医保卡号/就诊卡号等信息，查看电子票据信息，通过取票小程序，获取电子票据。根据需要选择发送到邮箱、微信卡包、本地。</w:t>
            </w:r>
          </w:p>
          <w:p>
            <w:pPr>
              <w:numPr>
                <w:ilvl w:val="0"/>
                <w:numId w:val="7"/>
              </w:numPr>
              <w:spacing w:line="276" w:lineRule="auto"/>
              <w:rPr>
                <w:rFonts w:ascii="宋体" w:hAnsi="宋体" w:cs="宋体"/>
                <w:color w:val="auto"/>
                <w:szCs w:val="21"/>
                <w:highlight w:val="none"/>
              </w:rPr>
            </w:pPr>
            <w:r>
              <w:rPr>
                <w:rFonts w:hint="eastAsia" w:ascii="宋体" w:hAnsi="宋体" w:cs="宋体"/>
                <w:color w:val="auto"/>
                <w:szCs w:val="21"/>
                <w:highlight w:val="none"/>
              </w:rPr>
              <w:t>提供接口和查询服务程序，患者可通过基层医疗机构设置的自助机使用就诊卡或者身份证识别读取票据信息，打印电子票据板式文件。</w:t>
            </w:r>
          </w:p>
          <w:p>
            <w:pPr>
              <w:pStyle w:val="12"/>
              <w:numPr>
                <w:ilvl w:val="0"/>
                <w:numId w:val="7"/>
              </w:numPr>
              <w:spacing w:line="276" w:lineRule="auto"/>
              <w:rPr>
                <w:rFonts w:hAnsi="宋体" w:cs="宋体"/>
                <w:color w:val="auto"/>
                <w:kern w:val="2"/>
                <w:sz w:val="21"/>
                <w:highlight w:val="none"/>
              </w:rPr>
            </w:pPr>
            <w:r>
              <w:rPr>
                <w:rFonts w:hint="eastAsia" w:hAnsi="宋体" w:cs="宋体"/>
                <w:color w:val="auto"/>
                <w:kern w:val="2"/>
                <w:sz w:val="21"/>
                <w:highlight w:val="none"/>
              </w:rPr>
              <w:t>取票小程序应提供以下功能，a.扫码查票，通过扫码获取或查看电子票据；b.手工查票，可选择票据类型，通过票据代码、票据号码、校验码信息查找电子票；c.预交金，可按住院日期展示各医疗机构的预交金凭证信息；d.票夹，可按开票日期、票据状态信息展示取到的电子票信息并可展示详细电子票据内容；e.自动取票，可通过进入各基层医疗机构后按照真实姓名、用户编码（手机号/就诊卡号/身份证号）自动获取电子票据。</w:t>
            </w:r>
          </w:p>
          <w:p>
            <w:pPr>
              <w:spacing w:line="276" w:lineRule="auto"/>
              <w:rPr>
                <w:rFonts w:ascii="宋体" w:hAnsi="宋体" w:cs="宋体"/>
                <w:b/>
                <w:color w:val="auto"/>
                <w:szCs w:val="21"/>
                <w:highlight w:val="none"/>
              </w:rPr>
            </w:pPr>
            <w:r>
              <w:rPr>
                <w:rFonts w:hint="eastAsia" w:ascii="宋体" w:hAnsi="宋体" w:cs="宋体"/>
                <w:b/>
                <w:color w:val="auto"/>
                <w:szCs w:val="21"/>
                <w:highlight w:val="none"/>
              </w:rPr>
              <w:t>四. 接口开发及联调需求：</w:t>
            </w:r>
          </w:p>
          <w:p>
            <w:pPr>
              <w:numPr>
                <w:ilvl w:val="0"/>
                <w:numId w:val="8"/>
              </w:numPr>
              <w:spacing w:line="276" w:lineRule="auto"/>
              <w:rPr>
                <w:rFonts w:ascii="宋体" w:hAnsi="宋体" w:cs="宋体"/>
                <w:color w:val="auto"/>
                <w:szCs w:val="21"/>
                <w:highlight w:val="none"/>
              </w:rPr>
            </w:pPr>
            <w:r>
              <w:rPr>
                <w:rFonts w:hint="eastAsia" w:ascii="宋体" w:hAnsi="宋体" w:cs="宋体"/>
                <w:color w:val="auto"/>
                <w:szCs w:val="21"/>
                <w:highlight w:val="none"/>
              </w:rPr>
              <w:t>医院HIS业务系统接口：医疗机构门诊、住院等绝大部分日常业务操作在采购人基层医疗机构HIS业务系统中完成，所以门诊、住院电子票据的业务数据均来源于HIS业务系统的结算数据；医疗收费电子票据信息管理系统需提供与HIS系统的数据交换接口，实现HIS缴费业务数据的自动传输、电子票据的自动生成等。</w:t>
            </w:r>
          </w:p>
          <w:p>
            <w:pPr>
              <w:numPr>
                <w:ilvl w:val="0"/>
                <w:numId w:val="8"/>
              </w:numPr>
              <w:spacing w:line="276" w:lineRule="auto"/>
              <w:rPr>
                <w:rFonts w:ascii="宋体" w:hAnsi="宋体" w:cs="宋体"/>
                <w:color w:val="auto"/>
                <w:szCs w:val="21"/>
                <w:highlight w:val="none"/>
              </w:rPr>
            </w:pPr>
            <w:r>
              <w:rPr>
                <w:rFonts w:hint="eastAsia" w:ascii="宋体" w:hAnsi="宋体" w:cs="宋体"/>
                <w:color w:val="auto"/>
                <w:szCs w:val="21"/>
                <w:highlight w:val="none"/>
              </w:rPr>
              <w:t>单位业务系统接口：医疗收费电子票据信息管理系统需开发与基层医疗机构业务系统的数据交换接口，实现缴费业务数据的自动传输、电子票据的自动生成等。</w:t>
            </w:r>
          </w:p>
          <w:p>
            <w:pPr>
              <w:numPr>
                <w:ilvl w:val="0"/>
                <w:numId w:val="8"/>
              </w:numPr>
              <w:spacing w:line="276" w:lineRule="auto"/>
              <w:rPr>
                <w:rFonts w:ascii="宋体" w:hAnsi="宋体" w:cs="宋体"/>
                <w:color w:val="auto"/>
                <w:szCs w:val="21"/>
                <w:highlight w:val="none"/>
              </w:rPr>
            </w:pPr>
            <w:r>
              <w:rPr>
                <w:rFonts w:hint="eastAsia" w:ascii="宋体" w:hAnsi="宋体" w:cs="宋体"/>
                <w:color w:val="auto"/>
                <w:szCs w:val="21"/>
                <w:highlight w:val="none"/>
              </w:rPr>
              <w:t>与广西壮族自治区财政票据电子化管理系统数据交换：通过交换服务从广西壮族自治区财政票据电子化管理系统进行基础信息下载、票据库存信息同步、开票信息上传、电子票据本身上传的定时数据交换等。</w:t>
            </w:r>
          </w:p>
          <w:p>
            <w:pPr>
              <w:numPr>
                <w:ilvl w:val="0"/>
                <w:numId w:val="8"/>
              </w:numPr>
              <w:spacing w:line="276" w:lineRule="auto"/>
              <w:rPr>
                <w:rFonts w:ascii="宋体" w:hAnsi="宋体" w:cs="宋体"/>
                <w:color w:val="auto"/>
                <w:szCs w:val="21"/>
                <w:highlight w:val="none"/>
              </w:rPr>
            </w:pPr>
            <w:r>
              <w:rPr>
                <w:rFonts w:hint="eastAsia" w:ascii="宋体" w:hAnsi="宋体" w:cs="宋体"/>
                <w:color w:val="auto"/>
                <w:szCs w:val="21"/>
                <w:highlight w:val="none"/>
              </w:rPr>
              <w:t>医疗机构在线开票系统个性化开发：财务会计的开票业务，如：资金往来票据、捐赠票据、非税收入票据等由医疗收费电子票据信息管理系统开具并实现自动记账反馈。</w:t>
            </w:r>
          </w:p>
          <w:p>
            <w:pPr>
              <w:numPr>
                <w:ilvl w:val="0"/>
                <w:numId w:val="8"/>
              </w:numPr>
              <w:spacing w:line="276" w:lineRule="auto"/>
              <w:rPr>
                <w:rFonts w:ascii="宋体" w:hAnsi="宋体" w:cs="宋体"/>
                <w:color w:val="auto"/>
                <w:szCs w:val="21"/>
                <w:highlight w:val="none"/>
              </w:rPr>
            </w:pPr>
            <w:r>
              <w:rPr>
                <w:rFonts w:hint="eastAsia" w:ascii="宋体" w:hAnsi="宋体" w:cs="宋体"/>
                <w:color w:val="auto"/>
                <w:szCs w:val="21"/>
                <w:highlight w:val="none"/>
              </w:rPr>
              <w:t>接口授权：考虑到采购人所辖基层医疗机构较多，系统必须提供统一的授权管理，方便采购人集中管理接入单位，确保系统高效稳定运行</w:t>
            </w:r>
          </w:p>
          <w:p>
            <w:pPr>
              <w:spacing w:line="276" w:lineRule="auto"/>
              <w:rPr>
                <w:rFonts w:ascii="宋体" w:hAnsi="宋体" w:cs="宋体"/>
                <w:b/>
                <w:color w:val="auto"/>
                <w:szCs w:val="21"/>
                <w:highlight w:val="none"/>
              </w:rPr>
            </w:pPr>
            <w:r>
              <w:rPr>
                <w:rFonts w:hint="eastAsia" w:ascii="宋体" w:hAnsi="宋体" w:cs="宋体"/>
                <w:b/>
                <w:color w:val="auto"/>
                <w:szCs w:val="21"/>
                <w:highlight w:val="none"/>
              </w:rPr>
              <w:t>五、构建电子票据档案需求：</w:t>
            </w:r>
          </w:p>
          <w:p>
            <w:pPr>
              <w:spacing w:line="276"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　　财政电子票据应是XML文件格式，为让患者直观阅览，XML格式的电子票据在展示时显示为PNG图片格式。传统的电子档案系统采用所见即所得的查看模式，打开XML文件及出现网页代码式的阅览；为适应财政电子票据的存档、查阅等相关要求，根据电子票据的格式特殊性，系统应实现XML与PNG格式的自动转换，打开XML文件显示PNG图片模式，给用户提供直观展示服务。系统功能包括：</w:t>
            </w:r>
          </w:p>
          <w:p>
            <w:pPr>
              <w:numPr>
                <w:ilvl w:val="0"/>
                <w:numId w:val="9"/>
              </w:numPr>
              <w:spacing w:line="276" w:lineRule="auto"/>
              <w:rPr>
                <w:rFonts w:ascii="宋体" w:hAnsi="宋体" w:cs="宋体"/>
                <w:color w:val="auto"/>
                <w:szCs w:val="21"/>
                <w:highlight w:val="none"/>
              </w:rPr>
            </w:pPr>
            <w:r>
              <w:rPr>
                <w:rFonts w:hint="eastAsia" w:ascii="宋体" w:hAnsi="宋体" w:cs="宋体"/>
                <w:color w:val="auto"/>
                <w:szCs w:val="21"/>
                <w:highlight w:val="none"/>
              </w:rPr>
              <w:t>电子票据接收：医疗收费电子票据信息管理系统通过财政提供的电子票据服务平台之间的接口，按照全国统一信用代码定时（或实时）接收电子票据信息。</w:t>
            </w:r>
          </w:p>
          <w:p>
            <w:pPr>
              <w:numPr>
                <w:ilvl w:val="0"/>
                <w:numId w:val="9"/>
              </w:numPr>
              <w:spacing w:line="276" w:lineRule="auto"/>
              <w:rPr>
                <w:rFonts w:ascii="宋体" w:hAnsi="宋体" w:cs="宋体"/>
                <w:color w:val="auto"/>
                <w:szCs w:val="21"/>
                <w:highlight w:val="none"/>
              </w:rPr>
            </w:pPr>
            <w:r>
              <w:rPr>
                <w:rFonts w:hint="eastAsia" w:ascii="宋体" w:hAnsi="宋体" w:cs="宋体"/>
                <w:color w:val="auto"/>
                <w:szCs w:val="21"/>
                <w:highlight w:val="none"/>
              </w:rPr>
              <w:t>电子票据归档：对于接收到的电子票据，医疗收费电子票据信息管理系统会按照日期、票据种类等条件进行自动归档。</w:t>
            </w:r>
          </w:p>
          <w:p>
            <w:pPr>
              <w:numPr>
                <w:ilvl w:val="0"/>
                <w:numId w:val="9"/>
              </w:numPr>
              <w:spacing w:line="276" w:lineRule="auto"/>
              <w:rPr>
                <w:rFonts w:ascii="宋体" w:hAnsi="宋体" w:cs="宋体"/>
                <w:color w:val="auto"/>
                <w:szCs w:val="21"/>
                <w:highlight w:val="none"/>
              </w:rPr>
            </w:pPr>
            <w:r>
              <w:rPr>
                <w:rFonts w:hint="eastAsia" w:ascii="宋体" w:hAnsi="宋体" w:cs="宋体"/>
                <w:color w:val="auto"/>
                <w:szCs w:val="21"/>
                <w:highlight w:val="none"/>
              </w:rPr>
              <w:t>电子票据查看：基层医疗机构对于已经入账的电子票据信息可通过医疗收费电子票据信息管理系统接口查看相应的电子票据信息。</w:t>
            </w:r>
          </w:p>
          <w:p>
            <w:pPr>
              <w:numPr>
                <w:ilvl w:val="0"/>
                <w:numId w:val="9"/>
              </w:numPr>
              <w:spacing w:line="276" w:lineRule="auto"/>
              <w:rPr>
                <w:rFonts w:ascii="宋体" w:hAnsi="宋体" w:cs="宋体"/>
                <w:color w:val="auto"/>
                <w:szCs w:val="21"/>
                <w:highlight w:val="none"/>
              </w:rPr>
            </w:pPr>
            <w:r>
              <w:rPr>
                <w:rFonts w:hint="eastAsia" w:ascii="宋体" w:hAnsi="宋体" w:cs="宋体"/>
                <w:color w:val="auto"/>
                <w:szCs w:val="21"/>
                <w:highlight w:val="none"/>
              </w:rPr>
              <w:t>电子票据入账反馈：基层医疗机构财务系统对于符合入账要求的电子票据进行入账。财务人员获取医疗收费电子票据信息管理系统的电子票据汇总单，进行记账。记账成功后，财务系统可调用电子档案反馈记账结果信息（凭证号）</w:t>
            </w:r>
          </w:p>
          <w:p>
            <w:pPr>
              <w:spacing w:line="276" w:lineRule="auto"/>
              <w:rPr>
                <w:rFonts w:ascii="宋体" w:hAnsi="宋体" w:cs="宋体"/>
                <w:b/>
                <w:color w:val="auto"/>
                <w:szCs w:val="21"/>
                <w:highlight w:val="none"/>
              </w:rPr>
            </w:pPr>
            <w:r>
              <w:rPr>
                <w:rFonts w:hint="eastAsia" w:ascii="宋体" w:hAnsi="宋体" w:cs="宋体"/>
                <w:b/>
                <w:color w:val="auto"/>
                <w:szCs w:val="21"/>
                <w:highlight w:val="none"/>
              </w:rPr>
              <w:t>六、系统性能需求：</w:t>
            </w:r>
          </w:p>
          <w:p>
            <w:pPr>
              <w:numPr>
                <w:ilvl w:val="0"/>
                <w:numId w:val="10"/>
              </w:numPr>
              <w:spacing w:line="276" w:lineRule="auto"/>
              <w:rPr>
                <w:rFonts w:ascii="宋体" w:hAnsi="宋体" w:cs="宋体"/>
                <w:color w:val="auto"/>
                <w:szCs w:val="21"/>
                <w:highlight w:val="none"/>
              </w:rPr>
            </w:pPr>
            <w:r>
              <w:rPr>
                <w:rFonts w:hint="eastAsia" w:ascii="宋体" w:hAnsi="宋体" w:cs="宋体"/>
                <w:color w:val="auto"/>
                <w:szCs w:val="21"/>
                <w:highlight w:val="none"/>
              </w:rPr>
              <w:t>高效性：系统的响应时间迅速，必须保证系统使用的高效性，系统能够支持2000并发用户数以上，系统的日签发能力 15000 张以上。</w:t>
            </w:r>
          </w:p>
          <w:p>
            <w:pPr>
              <w:numPr>
                <w:ilvl w:val="0"/>
                <w:numId w:val="10"/>
              </w:numPr>
              <w:spacing w:line="276" w:lineRule="auto"/>
              <w:rPr>
                <w:rFonts w:ascii="宋体" w:hAnsi="宋体" w:cs="宋体"/>
                <w:color w:val="auto"/>
                <w:szCs w:val="21"/>
                <w:highlight w:val="none"/>
              </w:rPr>
            </w:pPr>
            <w:r>
              <w:rPr>
                <w:rFonts w:hint="eastAsia" w:ascii="宋体" w:hAnsi="宋体" w:cs="宋体"/>
                <w:color w:val="auto"/>
                <w:szCs w:val="21"/>
                <w:highlight w:val="none"/>
              </w:rPr>
              <w:t>可用性:系统所提供的各项功能必须可实现所要求的对应业务功能需要，并具有可恢复性操作的功能。</w:t>
            </w:r>
          </w:p>
          <w:p>
            <w:pPr>
              <w:numPr>
                <w:ilvl w:val="0"/>
                <w:numId w:val="10"/>
              </w:numPr>
              <w:spacing w:line="276" w:lineRule="auto"/>
              <w:rPr>
                <w:rFonts w:ascii="宋体" w:hAnsi="宋体" w:cs="宋体"/>
                <w:color w:val="auto"/>
                <w:szCs w:val="21"/>
                <w:highlight w:val="none"/>
              </w:rPr>
            </w:pPr>
            <w:r>
              <w:rPr>
                <w:rFonts w:hint="eastAsia" w:ascii="宋体" w:hAnsi="宋体" w:cs="宋体"/>
                <w:color w:val="auto"/>
                <w:szCs w:val="21"/>
                <w:highlight w:val="none"/>
              </w:rPr>
              <w:t>简便可操作：系统界面简单美观，菜单按钮易辨认。</w:t>
            </w:r>
          </w:p>
          <w:p>
            <w:pPr>
              <w:numPr>
                <w:ilvl w:val="0"/>
                <w:numId w:val="10"/>
              </w:numPr>
              <w:spacing w:line="276" w:lineRule="auto"/>
              <w:rPr>
                <w:rFonts w:ascii="宋体" w:hAnsi="宋体" w:cs="宋体"/>
                <w:color w:val="auto"/>
                <w:szCs w:val="21"/>
                <w:highlight w:val="none"/>
              </w:rPr>
            </w:pPr>
            <w:r>
              <w:rPr>
                <w:rFonts w:hint="eastAsia" w:ascii="宋体" w:hAnsi="宋体" w:cs="宋体"/>
                <w:color w:val="auto"/>
                <w:szCs w:val="21"/>
                <w:highlight w:val="none"/>
              </w:rPr>
              <w:t>开放性：系统应具有开放的数据结构设计，系统结构设计灵活、开放。对成果数据实行标准化管理，规范化存储，为相关业务应用提供扩展的可能，另一方面，数据库设计合理、规范。系统为其他软件开发提供开放的数据接口，满足数据的共享和交换要求。</w:t>
            </w:r>
          </w:p>
          <w:p>
            <w:pPr>
              <w:numPr>
                <w:ilvl w:val="0"/>
                <w:numId w:val="10"/>
              </w:numPr>
              <w:spacing w:line="276" w:lineRule="auto"/>
              <w:rPr>
                <w:rFonts w:ascii="宋体" w:hAnsi="宋体" w:cs="宋体"/>
                <w:color w:val="auto"/>
                <w:szCs w:val="21"/>
                <w:highlight w:val="none"/>
              </w:rPr>
            </w:pPr>
            <w:r>
              <w:rPr>
                <w:rFonts w:hint="eastAsia" w:ascii="宋体" w:hAnsi="宋体" w:cs="宋体"/>
                <w:color w:val="auto"/>
                <w:szCs w:val="21"/>
                <w:highlight w:val="none"/>
              </w:rPr>
              <w:t>可靠性：系统必须正常稳定运行，保证所处理事务、数据的完整性。系统平均年故障时间少于5 天；具有较强的灾难恢复能力，平均故障修复时间少于24 小时。</w:t>
            </w:r>
          </w:p>
          <w:p>
            <w:pPr>
              <w:numPr>
                <w:ilvl w:val="0"/>
                <w:numId w:val="10"/>
              </w:numPr>
              <w:spacing w:line="276" w:lineRule="auto"/>
              <w:rPr>
                <w:rFonts w:ascii="宋体" w:hAnsi="宋体" w:cs="宋体"/>
                <w:color w:val="auto"/>
                <w:szCs w:val="21"/>
                <w:highlight w:val="none"/>
              </w:rPr>
            </w:pPr>
            <w:r>
              <w:rPr>
                <w:rFonts w:hint="eastAsia" w:ascii="宋体" w:hAnsi="宋体" w:cs="宋体"/>
                <w:color w:val="auto"/>
                <w:szCs w:val="21"/>
                <w:highlight w:val="none"/>
              </w:rPr>
              <w:t>标准性：系统数据应标准化、规范化，按照分层数据，软件构件化实现。</w:t>
            </w:r>
          </w:p>
          <w:p>
            <w:pPr>
              <w:numPr>
                <w:ilvl w:val="0"/>
                <w:numId w:val="10"/>
              </w:numPr>
              <w:spacing w:line="276" w:lineRule="auto"/>
              <w:rPr>
                <w:rFonts w:ascii="宋体" w:hAnsi="宋体" w:cs="宋体"/>
                <w:color w:val="auto"/>
                <w:szCs w:val="21"/>
                <w:highlight w:val="none"/>
              </w:rPr>
            </w:pPr>
            <w:r>
              <w:rPr>
                <w:rFonts w:hint="eastAsia" w:ascii="宋体" w:hAnsi="宋体" w:cs="宋体"/>
                <w:color w:val="auto"/>
                <w:szCs w:val="21"/>
                <w:highlight w:val="none"/>
              </w:rPr>
              <w:t>兼容性：系统提供其他系统能兼容的、完备的数据输入、输出接口。</w:t>
            </w:r>
          </w:p>
          <w:p>
            <w:pPr>
              <w:numPr>
                <w:ilvl w:val="0"/>
                <w:numId w:val="10"/>
              </w:numPr>
              <w:spacing w:line="276" w:lineRule="auto"/>
              <w:rPr>
                <w:rFonts w:ascii="宋体" w:hAnsi="宋体" w:cs="宋体"/>
                <w:color w:val="auto"/>
                <w:szCs w:val="21"/>
                <w:highlight w:val="none"/>
              </w:rPr>
            </w:pPr>
            <w:r>
              <w:rPr>
                <w:rFonts w:hint="eastAsia" w:ascii="宋体" w:hAnsi="宋体" w:cs="宋体"/>
                <w:color w:val="auto"/>
                <w:szCs w:val="21"/>
                <w:highlight w:val="none"/>
              </w:rPr>
              <w:t>安全性：保证数据和系统的安全性。要有管理员身份认证机制、数据加密机制。</w:t>
            </w:r>
          </w:p>
          <w:p>
            <w:pPr>
              <w:numPr>
                <w:ilvl w:val="0"/>
                <w:numId w:val="10"/>
              </w:numPr>
              <w:spacing w:line="276" w:lineRule="auto"/>
              <w:rPr>
                <w:rFonts w:ascii="宋体" w:hAnsi="宋体" w:cs="宋体"/>
                <w:color w:val="auto"/>
                <w:szCs w:val="21"/>
                <w:highlight w:val="none"/>
              </w:rPr>
            </w:pPr>
            <w:r>
              <w:rPr>
                <w:rFonts w:hint="eastAsia" w:ascii="宋体" w:hAnsi="宋体" w:cs="宋体"/>
                <w:color w:val="auto"/>
                <w:szCs w:val="21"/>
                <w:highlight w:val="none"/>
              </w:rPr>
              <w:t>可维护性：系统管理模块进行数据备份、日志等管理、维护。对系统所涉及到的各项应用及管理必须是可管理和维护的。</w:t>
            </w:r>
          </w:p>
          <w:p>
            <w:pPr>
              <w:numPr>
                <w:ilvl w:val="0"/>
                <w:numId w:val="10"/>
              </w:numPr>
              <w:spacing w:line="276" w:lineRule="auto"/>
              <w:rPr>
                <w:rFonts w:ascii="宋体" w:hAnsi="宋体" w:cs="宋体"/>
                <w:color w:val="auto"/>
                <w:szCs w:val="21"/>
                <w:highlight w:val="none"/>
              </w:rPr>
            </w:pPr>
            <w:r>
              <w:rPr>
                <w:rFonts w:hint="eastAsia" w:ascii="宋体" w:hAnsi="宋体" w:cs="宋体"/>
                <w:color w:val="auto"/>
                <w:szCs w:val="21"/>
                <w:highlight w:val="none"/>
              </w:rPr>
              <w:t>可扩展性：考虑到系统建设是一个循序渐进、不断扩充的过程,系统要采用积木式结构,组件化设计，整体构架要考虑系统间的无缝连接,为今后系统扩展和集成留有扩充余量。</w:t>
            </w:r>
          </w:p>
          <w:p>
            <w:pPr>
              <w:spacing w:line="276" w:lineRule="auto"/>
              <w:rPr>
                <w:rFonts w:ascii="宋体" w:hAnsi="宋体" w:cs="宋体"/>
                <w:b/>
                <w:color w:val="auto"/>
                <w:szCs w:val="21"/>
                <w:highlight w:val="none"/>
              </w:rPr>
            </w:pPr>
            <w:r>
              <w:rPr>
                <w:rFonts w:hint="eastAsia" w:ascii="宋体" w:hAnsi="宋体" w:cs="宋体"/>
                <w:b/>
                <w:color w:val="auto"/>
                <w:szCs w:val="21"/>
                <w:highlight w:val="none"/>
              </w:rPr>
              <w:t>七、部署需求：</w:t>
            </w:r>
          </w:p>
          <w:p>
            <w:pPr>
              <w:spacing w:line="276" w:lineRule="auto"/>
              <w:ind w:left="420" w:hanging="420" w:hangingChars="200"/>
              <w:rPr>
                <w:rFonts w:ascii="宋体" w:hAnsi="宋体" w:cs="宋体"/>
                <w:color w:val="auto"/>
                <w:szCs w:val="21"/>
                <w:highlight w:val="none"/>
              </w:rPr>
            </w:pPr>
            <w:r>
              <w:rPr>
                <w:rFonts w:hint="eastAsia" w:ascii="宋体" w:hAnsi="宋体" w:cs="宋体"/>
                <w:color w:val="auto"/>
                <w:szCs w:val="21"/>
                <w:highlight w:val="none"/>
              </w:rPr>
              <w:t>　　在采购方提供的硬件网络环境中部署医疗收费电子票据信息管理系统，与基层医疗机构的业务系统和广西财政票据电子化管理系统对接，实现基层医疗机构的电子票据全流程管理。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0" w:type="dxa"/>
            <w:gridSpan w:val="6"/>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r>
              <w:rPr>
                <w:rFonts w:hint="eastAsia" w:ascii="宋体" w:hAnsi="宋体" w:cs="宋体"/>
                <w:b/>
                <w:color w:val="auto"/>
                <w:szCs w:val="21"/>
                <w:highlight w:val="none"/>
              </w:rPr>
              <w:t>二、商务条款要求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报价要求</w:t>
            </w:r>
          </w:p>
        </w:tc>
        <w:tc>
          <w:tcPr>
            <w:tcW w:w="7767"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color w:val="auto"/>
                <w:szCs w:val="21"/>
                <w:highlight w:val="none"/>
              </w:rPr>
            </w:pPr>
            <w:r>
              <w:rPr>
                <w:rFonts w:hint="eastAsia" w:ascii="宋体" w:hAnsi="宋体" w:cs="宋体"/>
                <w:color w:val="auto"/>
                <w:szCs w:val="21"/>
                <w:highlight w:val="none"/>
              </w:rPr>
              <w:t>本项目为交钥匙工程，报价包括定制软件开发、运输、安装、调试、初验、培训等工作，项目实施的整体管理、协调直至通过竣工验收交付采购人使用。自竣工验收合格之日算起，成交人需对项目提供一年的免费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Cs w:val="21"/>
                <w:highlight w:val="none"/>
              </w:rPr>
            </w:pPr>
            <w:r>
              <w:rPr>
                <w:rFonts w:hint="eastAsia" w:ascii="宋体" w:hAnsi="宋体" w:cs="宋体"/>
                <w:b/>
                <w:color w:val="auto"/>
                <w:szCs w:val="21"/>
                <w:highlight w:val="none"/>
              </w:rPr>
              <w:t>交付使用期限</w:t>
            </w:r>
          </w:p>
          <w:p>
            <w:pPr>
              <w:spacing w:line="360" w:lineRule="exact"/>
              <w:jc w:val="center"/>
              <w:rPr>
                <w:rFonts w:ascii="宋体" w:hAnsi="宋体" w:cs="宋体"/>
                <w:b/>
                <w:color w:val="auto"/>
                <w:szCs w:val="21"/>
                <w:highlight w:val="none"/>
              </w:rPr>
            </w:pPr>
            <w:r>
              <w:rPr>
                <w:rFonts w:hint="eastAsia" w:ascii="宋体" w:hAnsi="宋体" w:cs="宋体"/>
                <w:b/>
                <w:color w:val="auto"/>
                <w:kern w:val="0"/>
                <w:szCs w:val="21"/>
                <w:highlight w:val="none"/>
              </w:rPr>
              <w:t>及</w:t>
            </w:r>
            <w:r>
              <w:rPr>
                <w:rFonts w:hint="eastAsia" w:ascii="宋体" w:hAnsi="宋体" w:cs="宋体"/>
                <w:b/>
                <w:color w:val="auto"/>
                <w:szCs w:val="21"/>
                <w:highlight w:val="none"/>
              </w:rPr>
              <w:t>地点</w:t>
            </w:r>
          </w:p>
        </w:tc>
        <w:tc>
          <w:tcPr>
            <w:tcW w:w="7767"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color w:val="auto"/>
                <w:kern w:val="0"/>
                <w:szCs w:val="21"/>
                <w:highlight w:val="none"/>
              </w:rPr>
            </w:pPr>
            <w:r>
              <w:rPr>
                <w:rFonts w:hint="eastAsia" w:ascii="宋体" w:hAnsi="宋体" w:cs="宋体"/>
                <w:color w:val="auto"/>
                <w:kern w:val="0"/>
                <w:szCs w:val="21"/>
                <w:highlight w:val="none"/>
              </w:rPr>
              <w:t>交付使用期限：自合同签订之日起30个工作日。</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项目实施地点：平南县采购人指定地点。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Cs w:val="21"/>
                <w:highlight w:val="none"/>
              </w:rPr>
            </w:pPr>
            <w:r>
              <w:rPr>
                <w:rFonts w:hint="eastAsia" w:ascii="宋体" w:hAnsi="宋体" w:cs="宋体"/>
                <w:b/>
                <w:color w:val="auto"/>
                <w:szCs w:val="21"/>
                <w:highlight w:val="none"/>
              </w:rPr>
              <w:t>付款方式</w:t>
            </w:r>
          </w:p>
        </w:tc>
        <w:tc>
          <w:tcPr>
            <w:tcW w:w="7767"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color w:val="auto"/>
                <w:szCs w:val="21"/>
                <w:highlight w:val="none"/>
              </w:rPr>
            </w:pPr>
            <w:r>
              <w:rPr>
                <w:rFonts w:hint="eastAsia" w:ascii="宋体" w:hAnsi="宋体" w:cs="宋体"/>
                <w:color w:val="auto"/>
                <w:szCs w:val="21"/>
                <w:highlight w:val="none"/>
              </w:rPr>
              <w:t>合同签订后，</w:t>
            </w:r>
            <w:r>
              <w:rPr>
                <w:rFonts w:hint="eastAsia" w:ascii="宋体" w:hAnsi="宋体" w:cs="宋体"/>
                <w:bCs/>
                <w:snapToGrid w:val="0"/>
                <w:color w:val="auto"/>
                <w:kern w:val="0"/>
                <w:szCs w:val="21"/>
                <w:highlight w:val="none"/>
              </w:rPr>
              <w:t>项目完成全部服务单位上线后</w:t>
            </w:r>
            <w:r>
              <w:rPr>
                <w:rFonts w:hint="eastAsia" w:ascii="宋体" w:hAnsi="宋体" w:cs="宋体"/>
                <w:color w:val="auto"/>
                <w:szCs w:val="21"/>
                <w:highlight w:val="none"/>
              </w:rPr>
              <w:t>15个工作日内甲方向乙方支付合同金额的50%，系统正常运行3个月后向乙方支付合同金额45%，剩余5%在质保期满后30个工作日内支付。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Cs w:val="21"/>
                <w:highlight w:val="none"/>
              </w:rPr>
            </w:pPr>
            <w:r>
              <w:rPr>
                <w:rFonts w:hint="eastAsia" w:ascii="宋体" w:hAnsi="宋体" w:cs="宋体"/>
                <w:b/>
                <w:color w:val="auto"/>
                <w:kern w:val="0"/>
                <w:szCs w:val="21"/>
                <w:highlight w:val="none"/>
                <w:lang w:val="zh-CN"/>
              </w:rPr>
              <w:t>售后服务要求</w:t>
            </w:r>
          </w:p>
        </w:tc>
        <w:tc>
          <w:tcPr>
            <w:tcW w:w="7767" w:type="dxa"/>
            <w:gridSpan w:val="3"/>
            <w:tcBorders>
              <w:top w:val="single" w:color="auto" w:sz="4" w:space="0"/>
              <w:left w:val="single" w:color="auto" w:sz="4" w:space="0"/>
              <w:bottom w:val="single" w:color="auto" w:sz="4" w:space="0"/>
              <w:right w:val="single" w:color="auto" w:sz="4" w:space="0"/>
            </w:tcBorders>
          </w:tcPr>
          <w:p>
            <w:pPr>
              <w:pStyle w:val="8"/>
              <w:rPr>
                <w:rFonts w:ascii="宋体" w:hAnsi="宋体" w:cs="宋体"/>
                <w:color w:val="auto"/>
                <w:szCs w:val="21"/>
                <w:highlight w:val="none"/>
              </w:rPr>
            </w:pPr>
            <w:r>
              <w:rPr>
                <w:rFonts w:hint="eastAsia" w:ascii="宋体" w:hAnsi="宋体" w:cs="宋体"/>
                <w:color w:val="auto"/>
                <w:szCs w:val="21"/>
                <w:highlight w:val="none"/>
              </w:rPr>
              <w:t>1、质保期:供应商在完成系统的开发、上线和项目终验之日起，开始提供系统终验后一年的免费质量保证和技术服务；</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2、质保期内服务内容提供包括但不限于故障排除、性能调优、技术咨询、系统升级等服务内容；及时、高效地解决在软件使用过程中遇到的故障、操作失误等相关需求。</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3、质保期内服务方式提供包括但不限于上门、电话、远程、定期巡查等方式的系统支持服务及系统数据备份，并生成巡检和备份报告。</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4、服务响应时间：</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▲（1）提供7×24小时本地化技术服务支持。系统出现故障时，项目实施期间驻场技术人员须在半小时内响应，其它维护力量1 小时内到达采购人指定现场，4 小时内解决故障并恢复系统运行。</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（2）供应商须在响应文件中提供在重大节日、重大活动期间提供技术保障和服务保障的方案，并按方案要求提供保障工作。</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（3）成交人应制定软件运行维护、升级管理的详细方案，并由现场驻点人员按方案定期记录和实施升级服务，成交人需要保证每个月不少于1 次定期系统维护，并出具巡检及维护报告。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知识产权要求</w:t>
            </w:r>
          </w:p>
        </w:tc>
        <w:tc>
          <w:tcPr>
            <w:tcW w:w="7767"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color w:val="auto"/>
                <w:szCs w:val="21"/>
                <w:highlight w:val="none"/>
              </w:rPr>
            </w:pPr>
            <w:r>
              <w:rPr>
                <w:rFonts w:hint="eastAsia" w:ascii="宋体" w:hAnsi="宋体" w:cs="宋体"/>
                <w:color w:val="auto"/>
                <w:szCs w:val="21"/>
                <w:highlight w:val="none"/>
              </w:rPr>
              <w:t>本项目所定制开发的软件系统及开发取得的成果的所有权归采购人所有，成交人在项目建设过程中所完成的各种文件、电子文档以及其他相关资料和文件，其所有权和知识产权均归采购人所有，未经许可，成交人不得以任何形式转让或提供给第三方。</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为确保系统安全而进行的数据加密口令和密钥，成交方应在设置或修改2小时内告知采购方项目负责人。项目验收后，应移交所有数据加密口令和密钥。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238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其他要求</w:t>
            </w:r>
          </w:p>
        </w:tc>
        <w:tc>
          <w:tcPr>
            <w:tcW w:w="7767"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color w:val="auto"/>
                <w:szCs w:val="21"/>
                <w:highlight w:val="none"/>
              </w:rPr>
            </w:pPr>
            <w:r>
              <w:rPr>
                <w:rFonts w:hint="eastAsia" w:ascii="宋体" w:hAnsi="宋体" w:cs="宋体"/>
                <w:color w:val="auto"/>
                <w:szCs w:val="21"/>
                <w:highlight w:val="none"/>
              </w:rPr>
              <w:t>1.本项目所采购货物如需执行国家相关标准、行业标准、地方标准要求时，应执行。</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2.合同签订期：自成交通知书发出之日起 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238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highlight w:val="none"/>
              </w:rPr>
            </w:pPr>
            <w:r>
              <w:rPr>
                <w:rFonts w:hint="eastAsia" w:ascii="宋体" w:hAnsi="宋体" w:cs="宋体"/>
                <w:b/>
                <w:color w:val="auto"/>
                <w:szCs w:val="21"/>
                <w:highlight w:val="none"/>
              </w:rPr>
              <w:t>现场演示</w:t>
            </w:r>
          </w:p>
        </w:tc>
        <w:tc>
          <w:tcPr>
            <w:tcW w:w="7767"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color w:val="auto"/>
                <w:szCs w:val="21"/>
                <w:highlight w:val="none"/>
              </w:rPr>
            </w:pPr>
            <w:r>
              <w:rPr>
                <w:rFonts w:hint="eastAsia" w:ascii="宋体" w:hAnsi="宋体" w:cs="宋体"/>
                <w:color w:val="auto"/>
                <w:szCs w:val="21"/>
                <w:highlight w:val="none"/>
              </w:rPr>
              <w:t>各供应商根据本分标提供的“平南县医疗收费电子票据信息管理系统系统”自行选择是否进行现场演示，演示所需的相关配套设备、配件和线材由供应商自行准备，本项作为加分项，如供应商不提供演示，样品演示分为0分，但不会造成该供应商竞标无效。演示内容：详见第四章评审程序、评审方法和评审标准A分标系统演示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238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color w:val="auto"/>
                <w:szCs w:val="21"/>
                <w:highlight w:val="none"/>
              </w:rPr>
            </w:pPr>
            <w:r>
              <w:rPr>
                <w:rFonts w:hint="eastAsia" w:ascii="宋体" w:hAnsi="宋体" w:cs="宋体"/>
                <w:color w:val="auto"/>
                <w:szCs w:val="21"/>
                <w:highlight w:val="none"/>
              </w:rPr>
              <w:t>演示要求</w:t>
            </w:r>
          </w:p>
        </w:tc>
        <w:tc>
          <w:tcPr>
            <w:tcW w:w="776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现场演示要求</w:t>
            </w:r>
          </w:p>
          <w:p>
            <w:pPr>
              <w:ind w:left="283" w:hanging="283" w:hangingChars="135"/>
              <w:rPr>
                <w:rFonts w:ascii="宋体" w:hAnsi="宋体" w:cs="宋体"/>
                <w:color w:val="auto"/>
                <w:szCs w:val="21"/>
                <w:highlight w:val="none"/>
              </w:rPr>
            </w:pPr>
            <w:r>
              <w:rPr>
                <w:rFonts w:hint="eastAsia" w:ascii="宋体" w:hAnsi="宋体" w:cs="宋体"/>
                <w:color w:val="auto"/>
                <w:szCs w:val="21"/>
                <w:highlight w:val="none"/>
              </w:rPr>
              <w:t>1、以磋商小组通知的演示时间和演示地点(演示地点为样品递交地点)为准，供应商接通知后应在20分钟内达到演示现场，自行调试演示样品（机），并自备演示所需的一切用品，在指定地点对样品（机）进行演示。</w:t>
            </w:r>
          </w:p>
          <w:p>
            <w:pPr>
              <w:ind w:left="283" w:hanging="283" w:hangingChars="135"/>
              <w:rPr>
                <w:rFonts w:ascii="宋体" w:hAnsi="宋体" w:cs="宋体"/>
                <w:color w:val="auto"/>
                <w:szCs w:val="21"/>
                <w:highlight w:val="none"/>
              </w:rPr>
            </w:pPr>
            <w:r>
              <w:rPr>
                <w:rFonts w:hint="eastAsia" w:ascii="宋体" w:hAnsi="宋体" w:cs="宋体"/>
                <w:color w:val="auto"/>
                <w:szCs w:val="21"/>
                <w:highlight w:val="none"/>
              </w:rPr>
              <w:t>2、演示要求及说明：由磋商小组要求供应商根据磋商文件货物需求中要求的主要功能进行演示，供应商必须按磋商小组的要求进行演示。</w:t>
            </w:r>
          </w:p>
          <w:p>
            <w:pPr>
              <w:ind w:left="283" w:hanging="283" w:hangingChars="135"/>
              <w:rPr>
                <w:rFonts w:ascii="宋体" w:hAnsi="宋体" w:cs="宋体"/>
                <w:color w:val="auto"/>
                <w:szCs w:val="21"/>
                <w:highlight w:val="none"/>
              </w:rPr>
            </w:pPr>
            <w:r>
              <w:rPr>
                <w:rFonts w:hint="eastAsia" w:ascii="宋体" w:hAnsi="宋体" w:cs="宋体"/>
                <w:color w:val="auto"/>
                <w:szCs w:val="21"/>
                <w:highlight w:val="none"/>
              </w:rPr>
              <w:t>3、每家供应商的演示时间为30分钟以内，各供应商可以进入1至2人进行现场演示。具体演示时间以磋商小组通知为准。</w:t>
            </w:r>
          </w:p>
          <w:p>
            <w:pPr>
              <w:ind w:left="283" w:hanging="283" w:hangingChars="135"/>
              <w:rPr>
                <w:rFonts w:ascii="宋体" w:hAnsi="宋体" w:cs="宋体"/>
                <w:color w:val="auto"/>
                <w:szCs w:val="21"/>
                <w:highlight w:val="none"/>
              </w:rPr>
            </w:pPr>
            <w:r>
              <w:rPr>
                <w:rFonts w:hint="eastAsia" w:ascii="宋体" w:hAnsi="宋体" w:cs="宋体"/>
                <w:color w:val="auto"/>
                <w:szCs w:val="21"/>
                <w:highlight w:val="none"/>
              </w:rPr>
              <w:t>4、提交的软件及用于现场演示的所有设备和货物应与响应文件相符。</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5、现场演示内容详见：第四章评审程序、评审方法和评审标准A分标系统演示分内容。</w:t>
            </w:r>
          </w:p>
        </w:tc>
      </w:tr>
    </w:tbl>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B分标</w:t>
      </w:r>
    </w:p>
    <w:p>
      <w:pPr>
        <w:rPr>
          <w:b/>
          <w:bCs/>
          <w:color w:val="auto"/>
          <w:highlight w:val="none"/>
        </w:rPr>
      </w:pPr>
      <w:r>
        <w:rPr>
          <w:rFonts w:hint="eastAsia"/>
          <w:b/>
          <w:bCs/>
          <w:color w:val="auto"/>
          <w:highlight w:val="none"/>
        </w:rPr>
        <w:t>一、采购项目需求一览表</w:t>
      </w:r>
    </w:p>
    <w:tbl>
      <w:tblPr>
        <w:tblStyle w:val="21"/>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704"/>
        <w:gridCol w:w="690"/>
        <w:gridCol w:w="760"/>
        <w:gridCol w:w="4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15" w:type="dxa"/>
            <w:vAlign w:val="center"/>
          </w:tcPr>
          <w:p>
            <w:pPr>
              <w:wordWrap w:val="0"/>
              <w:adjustRightInd w:val="0"/>
              <w:snapToGrid w:val="0"/>
              <w:spacing w:line="360" w:lineRule="exact"/>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2704" w:type="dxa"/>
            <w:vAlign w:val="center"/>
          </w:tcPr>
          <w:p>
            <w:pPr>
              <w:wordWrap w:val="0"/>
              <w:adjustRightInd w:val="0"/>
              <w:snapToGrid w:val="0"/>
              <w:spacing w:line="360" w:lineRule="exact"/>
              <w:jc w:val="center"/>
              <w:rPr>
                <w:rFonts w:ascii="宋体" w:hAnsi="宋体" w:cs="宋体"/>
                <w:b/>
                <w:color w:val="auto"/>
                <w:szCs w:val="21"/>
                <w:highlight w:val="none"/>
              </w:rPr>
            </w:pPr>
            <w:r>
              <w:rPr>
                <w:rFonts w:hint="eastAsia" w:ascii="宋体" w:hAnsi="宋体" w:cs="宋体"/>
                <w:b/>
                <w:bCs/>
                <w:color w:val="auto"/>
                <w:kern w:val="0"/>
                <w:szCs w:val="21"/>
                <w:highlight w:val="none"/>
              </w:rPr>
              <w:t>货物名称</w:t>
            </w:r>
          </w:p>
        </w:tc>
        <w:tc>
          <w:tcPr>
            <w:tcW w:w="690" w:type="dxa"/>
          </w:tcPr>
          <w:p>
            <w:pPr>
              <w:wordWrap w:val="0"/>
              <w:adjustRightInd w:val="0"/>
              <w:snapToGrid w:val="0"/>
              <w:spacing w:line="360" w:lineRule="exact"/>
              <w:jc w:val="center"/>
              <w:rPr>
                <w:rFonts w:ascii="宋体" w:hAnsi="宋体" w:cs="宋体"/>
                <w:b/>
                <w:color w:val="auto"/>
                <w:szCs w:val="21"/>
                <w:highlight w:val="none"/>
              </w:rPr>
            </w:pPr>
            <w:r>
              <w:rPr>
                <w:rFonts w:hint="eastAsia" w:ascii="宋体" w:hAnsi="宋体" w:cs="宋体"/>
                <w:b/>
                <w:color w:val="auto"/>
                <w:szCs w:val="21"/>
                <w:highlight w:val="none"/>
              </w:rPr>
              <w:t>数量</w:t>
            </w:r>
          </w:p>
        </w:tc>
        <w:tc>
          <w:tcPr>
            <w:tcW w:w="760" w:type="dxa"/>
            <w:vAlign w:val="center"/>
          </w:tcPr>
          <w:p>
            <w:pPr>
              <w:wordWrap w:val="0"/>
              <w:adjustRightInd w:val="0"/>
              <w:snapToGrid w:val="0"/>
              <w:spacing w:line="360" w:lineRule="exact"/>
              <w:jc w:val="center"/>
              <w:rPr>
                <w:rFonts w:ascii="宋体" w:hAnsi="宋体" w:cs="宋体"/>
                <w:b/>
                <w:color w:val="auto"/>
                <w:szCs w:val="21"/>
                <w:highlight w:val="none"/>
              </w:rPr>
            </w:pPr>
            <w:r>
              <w:rPr>
                <w:rFonts w:hint="eastAsia" w:ascii="宋体" w:hAnsi="宋体" w:cs="宋体"/>
                <w:b/>
                <w:color w:val="auto"/>
                <w:szCs w:val="21"/>
                <w:highlight w:val="none"/>
              </w:rPr>
              <w:t>单位</w:t>
            </w:r>
          </w:p>
        </w:tc>
        <w:tc>
          <w:tcPr>
            <w:tcW w:w="4568" w:type="dxa"/>
            <w:vAlign w:val="center"/>
          </w:tcPr>
          <w:p>
            <w:pPr>
              <w:widowControl/>
              <w:jc w:val="center"/>
              <w:rPr>
                <w:rFonts w:ascii="宋体" w:hAnsi="宋体" w:cs="宋体"/>
                <w:b/>
                <w:color w:val="auto"/>
                <w:szCs w:val="21"/>
                <w:highlight w:val="none"/>
              </w:rPr>
            </w:pPr>
            <w:r>
              <w:rPr>
                <w:rFonts w:hint="eastAsia" w:ascii="宋体" w:hAnsi="宋体" w:cs="宋体"/>
                <w:b/>
                <w:color w:val="auto"/>
                <w:szCs w:val="21"/>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15" w:type="dxa"/>
            <w:vAlign w:val="center"/>
          </w:tcPr>
          <w:p>
            <w:pPr>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1</w:t>
            </w:r>
          </w:p>
        </w:tc>
        <w:tc>
          <w:tcPr>
            <w:tcW w:w="2704" w:type="dxa"/>
            <w:vAlign w:val="center"/>
          </w:tcPr>
          <w:p>
            <w:pPr>
              <w:widowControl/>
              <w:textAlignment w:val="center"/>
              <w:rPr>
                <w:rFonts w:ascii="宋体" w:hAnsi="宋体" w:cs="宋体"/>
                <w:color w:val="auto"/>
                <w:szCs w:val="21"/>
                <w:highlight w:val="none"/>
              </w:rPr>
            </w:pPr>
            <w:r>
              <w:rPr>
                <w:rFonts w:hint="eastAsia" w:ascii="宋体" w:hAnsi="宋体" w:cs="宋体"/>
                <w:color w:val="auto"/>
                <w:kern w:val="0"/>
                <w:szCs w:val="21"/>
                <w:highlight w:val="none"/>
              </w:rPr>
              <w:t>电子签名服务器</w:t>
            </w:r>
          </w:p>
        </w:tc>
        <w:tc>
          <w:tcPr>
            <w:tcW w:w="690" w:type="dxa"/>
            <w:vAlign w:val="center"/>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760" w:type="dxa"/>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568" w:type="dxa"/>
            <w:vAlign w:val="center"/>
          </w:tcPr>
          <w:p>
            <w:pPr>
              <w:spacing w:line="360" w:lineRule="exact"/>
              <w:jc w:val="left"/>
              <w:rPr>
                <w:rFonts w:ascii="宋体" w:hAnsi="宋体" w:cs="宋体"/>
                <w:color w:val="auto"/>
                <w:szCs w:val="21"/>
                <w:highlight w:val="none"/>
              </w:rPr>
            </w:pPr>
            <w:r>
              <w:rPr>
                <w:rFonts w:hint="eastAsia" w:ascii="宋体" w:hAnsi="宋体" w:cs="宋体"/>
                <w:b/>
                <w:color w:val="auto"/>
                <w:szCs w:val="21"/>
                <w:highlight w:val="none"/>
              </w:rPr>
              <w:t>▲</w:t>
            </w:r>
            <w:r>
              <w:rPr>
                <w:rFonts w:hint="eastAsia" w:ascii="宋体" w:hAnsi="宋体" w:cs="宋体"/>
                <w:color w:val="auto"/>
                <w:szCs w:val="21"/>
                <w:highlight w:val="none"/>
              </w:rPr>
              <w:t>1、数字签名性能≥ 4500次/秒，签名服务器需与广西财政厅使用的签名服务器兼容，能与“广西财政票据电子化管理系统”互联互通。</w:t>
            </w:r>
          </w:p>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要求系统严格遵循《中华人民共和国电子签名法》和相关国家标准，并基于标准的 PKI 体系架构。支持对数据、文件制作数字签名，签名结构符合 PKCS#7 标准，支持验证符合 PKCS#7 标准的 签名结果；支持对数据制作数字签名，签名结构符合 PKCS#1 标准； 支持通过证书导入、证书配置方式验证符合 PKCS#1 标准的签名结 果；支持对数据、文件制作数字信封，信封结构符合 PKCS#7 标准； 支持解密符合 PKCS#7 标准的信封结果；</w:t>
            </w:r>
          </w:p>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 xml:space="preserve"> 支持对签名、加密证书进行全面验证。可根据配置不同 CA 签发 的根证书，验证证书的信任域；根据系统时间，验证证书的有效期； 根据 CRL 或 OCSP 验证证书状态。证书状态验证方式包括，标准 OCSP 协议验证证书，连接 LDAP 服务器更新 CRL 验证，连接 WEB 服务器 更新 CRL 验证</w:t>
            </w:r>
            <w:r>
              <w:rPr>
                <w:rFonts w:hint="eastAsia" w:ascii="宋体" w:hAnsi="宋体" w:cs="宋体"/>
                <w:color w:val="auto"/>
                <w:szCs w:val="21"/>
                <w:highlight w:val="none"/>
              </w:rPr>
              <w:t>；</w:t>
            </w:r>
          </w:p>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支持多种操作系统：可支持多种主流的操作系统，如 Windows系列，Linux系列，Solaris、AIX、HP-UX 等 Unix 操作系统；</w:t>
            </w:r>
          </w:p>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5</w:t>
            </w:r>
            <w:r>
              <w:rPr>
                <w:rFonts w:ascii="宋体" w:hAnsi="宋体" w:cs="宋体"/>
                <w:color w:val="auto"/>
                <w:szCs w:val="21"/>
                <w:highlight w:val="none"/>
              </w:rPr>
              <w:t>、算法支持：支持 SM2 非对称算法、SM3 杂凑算法、SM4 对称算法、SM1对称算法等； 用户访问权限控制：具有用户管理功能，提高了密码设备自身的安全性；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15" w:type="dxa"/>
            <w:vAlign w:val="center"/>
          </w:tcPr>
          <w:p>
            <w:pPr>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2</w:t>
            </w:r>
          </w:p>
        </w:tc>
        <w:tc>
          <w:tcPr>
            <w:tcW w:w="2704" w:type="dxa"/>
            <w:vAlign w:val="center"/>
          </w:tcPr>
          <w:p>
            <w:pPr>
              <w:widowControl/>
              <w:textAlignment w:val="center"/>
              <w:rPr>
                <w:rFonts w:ascii="宋体" w:hAnsi="宋体" w:cs="宋体"/>
                <w:color w:val="auto"/>
                <w:szCs w:val="21"/>
                <w:highlight w:val="none"/>
              </w:rPr>
            </w:pPr>
            <w:r>
              <w:rPr>
                <w:rFonts w:hint="eastAsia" w:ascii="宋体" w:hAnsi="宋体" w:cs="宋体"/>
                <w:color w:val="auto"/>
                <w:kern w:val="0"/>
                <w:szCs w:val="21"/>
                <w:highlight w:val="none"/>
              </w:rPr>
              <w:t>虚拟化服务器（电子票据平台服务器、WEB服务器）</w:t>
            </w:r>
          </w:p>
        </w:tc>
        <w:tc>
          <w:tcPr>
            <w:tcW w:w="690" w:type="dxa"/>
            <w:vAlign w:val="center"/>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60" w:type="dxa"/>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568" w:type="dxa"/>
            <w:vAlign w:val="center"/>
          </w:tcPr>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1、2路服务器，</w:t>
            </w:r>
            <w:r>
              <w:rPr>
                <w:rFonts w:hint="eastAsia" w:ascii="宋体" w:hAnsi="宋体" w:cs="宋体"/>
                <w:color w:val="auto"/>
                <w:szCs w:val="21"/>
                <w:highlight w:val="none"/>
                <w:lang w:eastAsia="zh-CN"/>
              </w:rPr>
              <w:t>相当于</w:t>
            </w:r>
            <w:r>
              <w:rPr>
                <w:rFonts w:hint="eastAsia" w:ascii="宋体" w:hAnsi="宋体" w:cs="宋体"/>
                <w:color w:val="auto"/>
                <w:szCs w:val="21"/>
                <w:highlight w:val="none"/>
              </w:rPr>
              <w:t>CPU 5218 16核*2同等级别或以上参考品牌型号，主频2.3C以上;内存-32GB DDR4-2666MHz*4;存储2.5英寸 SAS1.2T*3,双交流电源模块，双GE电口双10G光口，raid缓存卡，上架导轨</w:t>
            </w:r>
            <w:r>
              <w:rPr>
                <w:rFonts w:ascii="宋体" w:hAnsi="宋体" w:cs="宋体"/>
                <w:color w:val="auto"/>
                <w:szCs w:val="21"/>
                <w:highlight w:val="none"/>
              </w:rPr>
              <w:t xml:space="preserve"> </w:t>
            </w:r>
          </w:p>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操作系统支持：</w:t>
            </w:r>
            <w:r>
              <w:rPr>
                <w:rFonts w:hint="eastAsia" w:ascii="宋体" w:hAnsi="宋体" w:cs="宋体"/>
                <w:color w:val="auto"/>
                <w:szCs w:val="21"/>
                <w:highlight w:val="none"/>
              </w:rPr>
              <w:t>linux   CentOS-6.7或6.9及正版授权</w:t>
            </w:r>
            <w:r>
              <w:rPr>
                <w:rFonts w:ascii="宋体" w:hAnsi="宋体" w:cs="宋体"/>
                <w:color w:val="auto"/>
                <w:szCs w:val="21"/>
                <w:highlight w:val="none"/>
              </w:rPr>
              <w:t xml:space="preserve"> ； </w:t>
            </w:r>
          </w:p>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 xml:space="preserve">vmware for linux </w:t>
            </w:r>
            <w:r>
              <w:rPr>
                <w:rFonts w:hint="eastAsia" w:ascii="宋体" w:hAnsi="宋体" w:cs="宋体"/>
                <w:color w:val="auto"/>
                <w:szCs w:val="21"/>
                <w:highlight w:val="none"/>
              </w:rPr>
              <w:t>6.0或</w:t>
            </w:r>
            <w:r>
              <w:rPr>
                <w:rFonts w:ascii="宋体" w:hAnsi="宋体" w:cs="宋体"/>
                <w:color w:val="auto"/>
                <w:szCs w:val="21"/>
                <w:highlight w:val="none"/>
              </w:rPr>
              <w:t>6.5</w:t>
            </w:r>
          </w:p>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服务：3 年全国上门有限保修服务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15" w:type="dxa"/>
            <w:vAlign w:val="center"/>
          </w:tcPr>
          <w:p>
            <w:pPr>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3</w:t>
            </w:r>
          </w:p>
        </w:tc>
        <w:tc>
          <w:tcPr>
            <w:tcW w:w="2704" w:type="dxa"/>
            <w:vAlign w:val="center"/>
          </w:tcPr>
          <w:p>
            <w:pPr>
              <w:widowControl/>
              <w:textAlignment w:val="center"/>
              <w:rPr>
                <w:rFonts w:ascii="宋体" w:hAnsi="宋体" w:cs="宋体"/>
                <w:color w:val="auto"/>
                <w:szCs w:val="21"/>
                <w:highlight w:val="none"/>
              </w:rPr>
            </w:pPr>
            <w:r>
              <w:rPr>
                <w:rFonts w:hint="eastAsia" w:ascii="宋体" w:hAnsi="宋体" w:cs="宋体"/>
                <w:color w:val="auto"/>
                <w:kern w:val="0"/>
                <w:szCs w:val="21"/>
                <w:highlight w:val="none"/>
              </w:rPr>
              <w:t>数据库服务器</w:t>
            </w:r>
          </w:p>
        </w:tc>
        <w:tc>
          <w:tcPr>
            <w:tcW w:w="690" w:type="dxa"/>
            <w:vAlign w:val="center"/>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60" w:type="dxa"/>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568" w:type="dxa"/>
            <w:vAlign w:val="center"/>
          </w:tcPr>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1、4路服务器，</w:t>
            </w:r>
            <w:r>
              <w:rPr>
                <w:rFonts w:hint="eastAsia" w:ascii="宋体" w:hAnsi="宋体" w:cs="宋体"/>
                <w:color w:val="auto"/>
                <w:szCs w:val="21"/>
                <w:highlight w:val="none"/>
                <w:lang w:eastAsia="zh-CN"/>
              </w:rPr>
              <w:t>相当于</w:t>
            </w:r>
            <w:r>
              <w:rPr>
                <w:rFonts w:hint="eastAsia" w:ascii="宋体" w:hAnsi="宋体" w:cs="宋体"/>
                <w:color w:val="auto"/>
                <w:szCs w:val="21"/>
                <w:highlight w:val="none"/>
              </w:rPr>
              <w:t>CPU 6132（2.6GHz/14-core/19.25MB）同等级别或以上参考品牌型号处理器*4;2T*4;内存-32GB DDR4-2666MHz*2;存储2.5英寸 SAS1.2T*4,双交流电源模块，四GE电口双10G光口，raid缓存卡，上架导轨</w:t>
            </w:r>
          </w:p>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操作系统支持：</w:t>
            </w:r>
            <w:r>
              <w:rPr>
                <w:rFonts w:hint="eastAsia" w:ascii="宋体" w:hAnsi="宋体" w:cs="宋体"/>
                <w:color w:val="auto"/>
                <w:szCs w:val="21"/>
                <w:highlight w:val="none"/>
              </w:rPr>
              <w:t>linux   CentOS-6.7或6.9及正版授权</w:t>
            </w:r>
          </w:p>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 xml:space="preserve"> 3、</w:t>
            </w:r>
            <w:r>
              <w:rPr>
                <w:rFonts w:ascii="宋体" w:hAnsi="宋体" w:cs="宋体"/>
                <w:color w:val="auto"/>
                <w:szCs w:val="21"/>
                <w:highlight w:val="none"/>
              </w:rPr>
              <w:t>服务：3 年全国上门有限保修服务.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15" w:type="dxa"/>
            <w:vAlign w:val="center"/>
          </w:tcPr>
          <w:p>
            <w:pPr>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4</w:t>
            </w:r>
          </w:p>
        </w:tc>
        <w:tc>
          <w:tcPr>
            <w:tcW w:w="2704" w:type="dxa"/>
            <w:vAlign w:val="center"/>
          </w:tcPr>
          <w:p>
            <w:pPr>
              <w:widowControl/>
              <w:textAlignment w:val="center"/>
              <w:rPr>
                <w:rFonts w:ascii="宋体" w:hAnsi="宋体" w:cs="宋体"/>
                <w:color w:val="auto"/>
                <w:szCs w:val="21"/>
                <w:highlight w:val="none"/>
              </w:rPr>
            </w:pPr>
            <w:r>
              <w:rPr>
                <w:rFonts w:hint="eastAsia" w:ascii="宋体" w:hAnsi="宋体" w:cs="宋体"/>
                <w:color w:val="auto"/>
                <w:kern w:val="0"/>
                <w:szCs w:val="21"/>
                <w:highlight w:val="none"/>
              </w:rPr>
              <w:t>文件系统服务器</w:t>
            </w:r>
          </w:p>
        </w:tc>
        <w:tc>
          <w:tcPr>
            <w:tcW w:w="690" w:type="dxa"/>
            <w:vAlign w:val="center"/>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60" w:type="dxa"/>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568" w:type="dxa"/>
            <w:vAlign w:val="center"/>
          </w:tcPr>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1、2路服务器，</w:t>
            </w:r>
            <w:r>
              <w:rPr>
                <w:rFonts w:hint="eastAsia" w:ascii="宋体" w:hAnsi="宋体" w:cs="宋体"/>
                <w:color w:val="auto"/>
                <w:szCs w:val="21"/>
                <w:highlight w:val="none"/>
                <w:lang w:eastAsia="zh-CN"/>
              </w:rPr>
              <w:t>相当于</w:t>
            </w:r>
            <w:r>
              <w:rPr>
                <w:rFonts w:hint="eastAsia" w:ascii="宋体" w:hAnsi="宋体" w:cs="宋体"/>
                <w:color w:val="auto"/>
                <w:szCs w:val="21"/>
                <w:highlight w:val="none"/>
              </w:rPr>
              <w:t>CPU 4114 10核*2同等级别或以上参考品牌型号，主频2.2以上;内存-32GB DDR4-2666MHz*2;存储3.5英寸 SAS 6T*2,双交流电源模块，双GE电口双10G光口，raid缓存卡</w:t>
            </w:r>
          </w:p>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操作系统支持：</w:t>
            </w:r>
            <w:r>
              <w:rPr>
                <w:rFonts w:hint="eastAsia" w:ascii="宋体" w:hAnsi="宋体" w:cs="宋体"/>
                <w:color w:val="auto"/>
                <w:szCs w:val="21"/>
                <w:highlight w:val="none"/>
              </w:rPr>
              <w:t>linux   CentOS-6.7或6.9及正版授权</w:t>
            </w:r>
          </w:p>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 xml:space="preserve"> 3、</w:t>
            </w:r>
            <w:r>
              <w:rPr>
                <w:rFonts w:ascii="宋体" w:hAnsi="宋体" w:cs="宋体"/>
                <w:color w:val="auto"/>
                <w:szCs w:val="21"/>
                <w:highlight w:val="none"/>
              </w:rPr>
              <w:t>服务：3 年全国上门有限保修服务.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15" w:type="dxa"/>
            <w:vAlign w:val="center"/>
          </w:tcPr>
          <w:p>
            <w:pPr>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5</w:t>
            </w:r>
          </w:p>
        </w:tc>
        <w:tc>
          <w:tcPr>
            <w:tcW w:w="2704" w:type="dxa"/>
            <w:vAlign w:val="center"/>
          </w:tcPr>
          <w:p>
            <w:pPr>
              <w:widowControl/>
              <w:textAlignment w:val="center"/>
              <w:rPr>
                <w:rFonts w:ascii="宋体" w:hAnsi="宋体" w:cs="宋体"/>
                <w:color w:val="auto"/>
                <w:szCs w:val="21"/>
                <w:highlight w:val="none"/>
              </w:rPr>
            </w:pPr>
            <w:r>
              <w:rPr>
                <w:rFonts w:hint="eastAsia" w:ascii="宋体" w:hAnsi="宋体" w:cs="宋体"/>
                <w:color w:val="auto"/>
                <w:kern w:val="0"/>
                <w:szCs w:val="21"/>
                <w:highlight w:val="none"/>
              </w:rPr>
              <w:t>核心交换机</w:t>
            </w:r>
          </w:p>
        </w:tc>
        <w:tc>
          <w:tcPr>
            <w:tcW w:w="690" w:type="dxa"/>
            <w:vAlign w:val="center"/>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60" w:type="dxa"/>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568" w:type="dxa"/>
            <w:vAlign w:val="center"/>
          </w:tcPr>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以太网交换机主机，交换路由引擎模块，一块48端口千兆以太网电接口业务板，一块24端口千兆以太网电接口(RJ45)+4端口万兆以太网光接口业务板，交流电源模块，300W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15" w:type="dxa"/>
            <w:vAlign w:val="center"/>
          </w:tcPr>
          <w:p>
            <w:pPr>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6</w:t>
            </w:r>
          </w:p>
        </w:tc>
        <w:tc>
          <w:tcPr>
            <w:tcW w:w="2704" w:type="dxa"/>
            <w:vAlign w:val="center"/>
          </w:tcPr>
          <w:p>
            <w:pPr>
              <w:widowControl/>
              <w:textAlignment w:val="center"/>
              <w:rPr>
                <w:rFonts w:ascii="宋体" w:hAnsi="宋体" w:cs="宋体"/>
                <w:color w:val="auto"/>
                <w:szCs w:val="21"/>
                <w:highlight w:val="none"/>
              </w:rPr>
            </w:pPr>
            <w:r>
              <w:rPr>
                <w:rFonts w:hint="eastAsia" w:ascii="宋体" w:hAnsi="宋体" w:cs="宋体"/>
                <w:color w:val="auto"/>
                <w:kern w:val="0"/>
                <w:szCs w:val="21"/>
                <w:highlight w:val="none"/>
              </w:rPr>
              <w:t>机柜</w:t>
            </w:r>
          </w:p>
        </w:tc>
        <w:tc>
          <w:tcPr>
            <w:tcW w:w="690" w:type="dxa"/>
            <w:vAlign w:val="center"/>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60" w:type="dxa"/>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4568" w:type="dxa"/>
            <w:vAlign w:val="center"/>
          </w:tcPr>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42U服务器机柜(含PDU排插)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15" w:type="dxa"/>
            <w:vAlign w:val="center"/>
          </w:tcPr>
          <w:p>
            <w:pPr>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7</w:t>
            </w:r>
          </w:p>
        </w:tc>
        <w:tc>
          <w:tcPr>
            <w:tcW w:w="2704" w:type="dxa"/>
            <w:vAlign w:val="center"/>
          </w:tcPr>
          <w:p>
            <w:pPr>
              <w:widowControl/>
              <w:textAlignment w:val="center"/>
              <w:rPr>
                <w:rFonts w:ascii="宋体" w:hAnsi="宋体" w:cs="宋体"/>
                <w:color w:val="auto"/>
                <w:szCs w:val="21"/>
                <w:highlight w:val="none"/>
              </w:rPr>
            </w:pPr>
            <w:r>
              <w:rPr>
                <w:rFonts w:hint="eastAsia" w:ascii="宋体" w:hAnsi="宋体" w:cs="宋体"/>
                <w:color w:val="auto"/>
                <w:kern w:val="0"/>
                <w:szCs w:val="21"/>
                <w:highlight w:val="none"/>
              </w:rPr>
              <w:t>网闸</w:t>
            </w:r>
          </w:p>
        </w:tc>
        <w:tc>
          <w:tcPr>
            <w:tcW w:w="690" w:type="dxa"/>
            <w:vAlign w:val="center"/>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60" w:type="dxa"/>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4568" w:type="dxa"/>
            <w:vAlign w:val="center"/>
          </w:tcPr>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硬件:采用2+1硬件架构，内外端机+专用传输隔离部件，2U高设备，≥64G SSD固态硬盘，内端机有≥5个千兆电口+2个千兆光口+1个管理口，外端机有≥5个千兆电口+2个千兆光口+1个HA口。性能:网络吞吐量为≥700Mbps,系统整体时延&lt;1ms,并发连接数≥20000。功能:内外端机为TCP/IP网络协议的终点，内外端机之间采用专用硬件和专用协议进行连接；支持只能通过内端机上的管理口对网闸进行配置，支持上网访问、邮件访问、文件传输、文件同步、数据库访问等功能，支持视频传输模块，支持自定义专用协议，安全管理支持由安全管理员、系统管理员和安全审计员进行三权分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15" w:type="dxa"/>
            <w:vAlign w:val="center"/>
          </w:tcPr>
          <w:p>
            <w:pPr>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8</w:t>
            </w:r>
          </w:p>
        </w:tc>
        <w:tc>
          <w:tcPr>
            <w:tcW w:w="2704" w:type="dxa"/>
            <w:vAlign w:val="center"/>
          </w:tcPr>
          <w:p>
            <w:pPr>
              <w:widowControl/>
              <w:textAlignment w:val="center"/>
              <w:rPr>
                <w:rFonts w:ascii="宋体" w:hAnsi="宋体" w:cs="宋体"/>
                <w:color w:val="auto"/>
                <w:szCs w:val="21"/>
                <w:highlight w:val="none"/>
              </w:rPr>
            </w:pPr>
            <w:r>
              <w:rPr>
                <w:rFonts w:hint="eastAsia" w:ascii="宋体" w:hAnsi="宋体" w:cs="宋体"/>
                <w:color w:val="auto"/>
                <w:kern w:val="0"/>
                <w:szCs w:val="21"/>
                <w:highlight w:val="none"/>
              </w:rPr>
              <w:t>数据库审计</w:t>
            </w:r>
          </w:p>
        </w:tc>
        <w:tc>
          <w:tcPr>
            <w:tcW w:w="690" w:type="dxa"/>
            <w:vAlign w:val="center"/>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60" w:type="dxa"/>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4568" w:type="dxa"/>
            <w:vAlign w:val="center"/>
          </w:tcPr>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性能指标:单向数据库流量400M硬件指标: 1U,单电源，≥6个千兆电口+≥2个千兆光口，≥2TB SATA硬盘；内存≥8G，双电源，吞吐能力≥2000M，峰值事务处理能力≥20000(条/秒)，日志数量存储≥4亿条，支持≥12个数据库实例。能为用户提供完整的数据库审计分析、泄密轨迹分析、数据库访问关系可视、数据库攻击威胁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15" w:type="dxa"/>
            <w:vAlign w:val="center"/>
          </w:tcPr>
          <w:p>
            <w:pPr>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9</w:t>
            </w:r>
          </w:p>
        </w:tc>
        <w:tc>
          <w:tcPr>
            <w:tcW w:w="2704" w:type="dxa"/>
            <w:vAlign w:val="center"/>
          </w:tcPr>
          <w:p>
            <w:pPr>
              <w:widowControl/>
              <w:textAlignment w:val="center"/>
              <w:rPr>
                <w:rFonts w:ascii="宋体" w:hAnsi="宋体" w:cs="宋体"/>
                <w:color w:val="auto"/>
                <w:szCs w:val="21"/>
                <w:highlight w:val="none"/>
              </w:rPr>
            </w:pPr>
            <w:r>
              <w:rPr>
                <w:rFonts w:hint="eastAsia" w:ascii="宋体" w:hAnsi="宋体" w:cs="宋体"/>
                <w:color w:val="auto"/>
                <w:kern w:val="0"/>
                <w:szCs w:val="21"/>
                <w:highlight w:val="none"/>
              </w:rPr>
              <w:t>防火墙</w:t>
            </w:r>
          </w:p>
        </w:tc>
        <w:tc>
          <w:tcPr>
            <w:tcW w:w="690" w:type="dxa"/>
            <w:vAlign w:val="center"/>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60" w:type="dxa"/>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4568" w:type="dxa"/>
            <w:vAlign w:val="center"/>
          </w:tcPr>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多核AMP+架构，网络处理能力为8G，并发连接≥210万，每秒新建连接10万/秒， 标准2U机箱，单交流电源，标准配置6个10/100/1000M自适应电口，2个SFP插槽，支持1个扩展槽，1个Console口，配置64GB SSD固态硬盘，支持液晶屏；含应用控制、URL过滤、病毒防护、入侵防御、威胁情报检测功能模块 ；及3年全功能模块升级服务。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15" w:type="dxa"/>
            <w:vAlign w:val="center"/>
          </w:tcPr>
          <w:p>
            <w:pPr>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10</w:t>
            </w:r>
          </w:p>
        </w:tc>
        <w:tc>
          <w:tcPr>
            <w:tcW w:w="2704" w:type="dxa"/>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路由器</w:t>
            </w:r>
          </w:p>
        </w:tc>
        <w:tc>
          <w:tcPr>
            <w:tcW w:w="690" w:type="dxa"/>
            <w:vAlign w:val="center"/>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760" w:type="dxa"/>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4568" w:type="dxa"/>
            <w:vAlign w:val="center"/>
          </w:tcPr>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千兆综合业务网关(4GE(2Combo)+2SFP,支持HD,双交流电源)  IPV4转发性能：9～40Mpps；支持SATA HDD硬盘；支持SIC插槽； 1个机架高度（1RU）；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9437" w:type="dxa"/>
            <w:gridSpan w:val="5"/>
            <w:vAlign w:val="center"/>
          </w:tcPr>
          <w:p>
            <w:pPr>
              <w:tabs>
                <w:tab w:val="left" w:pos="180"/>
                <w:tab w:val="left" w:pos="1620"/>
              </w:tabs>
              <w:spacing w:line="30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二、采购预算：人民币柒拾万元整（￥700000.00），供应商的最终报价超过采购预算的，将导致其谈判被拒绝。</w:t>
            </w:r>
          </w:p>
          <w:p>
            <w:pPr>
              <w:tabs>
                <w:tab w:val="left" w:pos="180"/>
                <w:tab w:val="left" w:pos="1620"/>
              </w:tabs>
              <w:spacing w:line="44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三、核心产品：本表的核心产品为</w:t>
            </w:r>
            <w:r>
              <w:rPr>
                <w:rFonts w:hint="eastAsia" w:ascii="宋体" w:hAnsi="宋体" w:cs="宋体"/>
                <w:b/>
                <w:bCs/>
                <w:color w:val="auto"/>
                <w:szCs w:val="21"/>
                <w:highlight w:val="none"/>
                <w:u w:val="single"/>
              </w:rPr>
              <w:t>：电子签名服务器</w:t>
            </w:r>
          </w:p>
          <w:p>
            <w:pPr>
              <w:tabs>
                <w:tab w:val="left" w:pos="180"/>
                <w:tab w:val="left" w:pos="1620"/>
              </w:tabs>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四、商务条款:</w:t>
            </w:r>
          </w:p>
          <w:p>
            <w:pPr>
              <w:tabs>
                <w:tab w:val="left" w:pos="180"/>
                <w:tab w:val="left" w:pos="1620"/>
              </w:tabs>
              <w:spacing w:line="30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1.交货期：自合同签订之日起15个日历日交货安装并调试完毕。</w:t>
            </w:r>
          </w:p>
          <w:p>
            <w:pPr>
              <w:tabs>
                <w:tab w:val="left" w:pos="180"/>
                <w:tab w:val="left" w:pos="1620"/>
              </w:tabs>
              <w:spacing w:line="30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2.合同签订时间：自成交通知书发出之日起7个工作日内。</w:t>
            </w:r>
          </w:p>
          <w:p>
            <w:pPr>
              <w:tabs>
                <w:tab w:val="left" w:pos="180"/>
                <w:tab w:val="left" w:pos="1620"/>
              </w:tabs>
              <w:spacing w:line="30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3.交货地点：平南县采购人指定地点；</w:t>
            </w:r>
          </w:p>
          <w:p>
            <w:pPr>
              <w:tabs>
                <w:tab w:val="left" w:pos="180"/>
                <w:tab w:val="left" w:pos="1620"/>
              </w:tabs>
              <w:spacing w:line="30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4.付款方式：硬件安装调试验收合格完毕后15个工作日内支付50%合同款，硬件安装正常运行3个月后向乙方支付合同金额的45%，剩余5%在三年期满后30个工作日内支付。</w:t>
            </w:r>
          </w:p>
          <w:p>
            <w:pPr>
              <w:tabs>
                <w:tab w:val="left" w:pos="180"/>
                <w:tab w:val="left" w:pos="1620"/>
              </w:tabs>
              <w:spacing w:line="30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5.服务要求：</w:t>
            </w:r>
            <w:r>
              <w:rPr>
                <w:rFonts w:hint="eastAsia" w:ascii="宋体" w:hAnsi="宋体" w:cs="宋体"/>
                <w:color w:val="auto"/>
                <w:szCs w:val="21"/>
                <w:highlight w:val="none"/>
              </w:rPr>
              <w:tab/>
            </w:r>
          </w:p>
          <w:p>
            <w:pPr>
              <w:tabs>
                <w:tab w:val="left" w:pos="180"/>
                <w:tab w:val="left" w:pos="162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按厂家承诺实行“三包”，所有货物质保期为三年，三年内免费上门服务。（1）所有货物均免费送货上门，免费提供基本的使用、操作培训；（2）发生质量问题时接到通知后2小时内响应，24小时内到达现场处理；（3）定期回访；</w:t>
            </w:r>
          </w:p>
          <w:p>
            <w:pPr>
              <w:tabs>
                <w:tab w:val="left" w:pos="180"/>
                <w:tab w:val="left" w:pos="162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2、竞标报价包含货物、随配附件、备品备件、工具、运抵指定交货地点、安装、投放所需设备、委托培训费和售后服务、税金、检验、验收及所有的不定因素的风险等费用的总和；</w:t>
            </w:r>
          </w:p>
          <w:p>
            <w:pPr>
              <w:tabs>
                <w:tab w:val="left" w:pos="180"/>
                <w:tab w:val="left" w:pos="1620"/>
              </w:tabs>
              <w:spacing w:line="40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四、进口产品说明</w:t>
            </w:r>
          </w:p>
          <w:p>
            <w:pPr>
              <w:tabs>
                <w:tab w:val="left" w:pos="180"/>
                <w:tab w:val="left" w:pos="162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本项目货物不接受进口产品（即通过中国海关报关验放进入中国境内且产自关境外的产品）参与竞标，如有此类产品参与竞标的</w:t>
            </w:r>
            <w:r>
              <w:rPr>
                <w:rFonts w:hint="eastAsia" w:ascii="宋体" w:hAnsi="宋体" w:cs="宋体"/>
                <w:b/>
                <w:color w:val="auto"/>
                <w:szCs w:val="21"/>
                <w:highlight w:val="none"/>
              </w:rPr>
              <w:t>响应文件作无效处理</w:t>
            </w:r>
            <w:r>
              <w:rPr>
                <w:rFonts w:hint="eastAsia" w:ascii="宋体" w:hAnsi="宋体" w:cs="宋体"/>
                <w:color w:val="auto"/>
                <w:szCs w:val="21"/>
                <w:highlight w:val="none"/>
              </w:rPr>
              <w:t>。</w:t>
            </w:r>
          </w:p>
          <w:p>
            <w:pPr>
              <w:numPr>
                <w:ilvl w:val="0"/>
                <w:numId w:val="11"/>
              </w:numPr>
              <w:tabs>
                <w:tab w:val="left" w:pos="180"/>
                <w:tab w:val="left" w:pos="1620"/>
              </w:tabs>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验收标准</w:t>
            </w:r>
          </w:p>
          <w:p>
            <w:pPr>
              <w:tabs>
                <w:tab w:val="left" w:pos="180"/>
                <w:tab w:val="left" w:pos="1620"/>
              </w:tabs>
              <w:spacing w:line="400" w:lineRule="exact"/>
              <w:rPr>
                <w:rFonts w:ascii="宋体" w:hAnsi="宋体" w:cs="宋体"/>
                <w:color w:val="auto"/>
                <w:szCs w:val="21"/>
                <w:highlight w:val="none"/>
              </w:rPr>
            </w:pPr>
            <w:r>
              <w:rPr>
                <w:rFonts w:hint="eastAsia" w:ascii="宋体" w:hAnsi="宋体" w:cs="宋体"/>
                <w:color w:val="auto"/>
                <w:szCs w:val="21"/>
                <w:highlight w:val="none"/>
              </w:rPr>
              <w:t>1、中标人交货前应对产品作出全面检查和对验收文件进行整理列出清单，作为采购人收货验收和使用的技术条件依据，检验的结果应随货物交采购人。</w:t>
            </w:r>
          </w:p>
          <w:p>
            <w:pPr>
              <w:tabs>
                <w:tab w:val="left" w:pos="180"/>
                <w:tab w:val="left" w:pos="162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2、采购人对中标人所交货物及服务依照磋商文件上的技术规格要求和国家有关标准进行现场验收。 </w:t>
            </w:r>
          </w:p>
          <w:p>
            <w:pPr>
              <w:tabs>
                <w:tab w:val="left" w:pos="180"/>
                <w:tab w:val="left" w:pos="162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3、成交人所竞标产品，在质保期如有质量监督部门要求对产品进行检测、检验时，必须派出厂方代表协助检查，无论产品有无质量问题，成交人均应承担全部费用及相应的责任；</w:t>
            </w:r>
          </w:p>
          <w:p>
            <w:pPr>
              <w:tabs>
                <w:tab w:val="left" w:pos="180"/>
                <w:tab w:val="left" w:pos="162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4、交货时，所有产品均严格按签订的政府采购合同、供应商响应和承诺的技术参数及性能和国家有关标准进行验收，达不到要求的不予验收，视为产品验收不合格，采购单位可解除双方的供货合同。</w:t>
            </w:r>
          </w:p>
          <w:p>
            <w:pPr>
              <w:tabs>
                <w:tab w:val="left" w:pos="180"/>
                <w:tab w:val="left" w:pos="1620"/>
              </w:tabs>
              <w:spacing w:line="400" w:lineRule="exact"/>
              <w:ind w:firstLine="422" w:firstLineChars="200"/>
              <w:rPr>
                <w:rFonts w:ascii="宋体" w:hAnsi="宋体" w:cs="宋体"/>
                <w:color w:val="auto"/>
                <w:szCs w:val="21"/>
                <w:highlight w:val="none"/>
              </w:rPr>
            </w:pPr>
            <w:r>
              <w:rPr>
                <w:rFonts w:hint="eastAsia" w:ascii="宋体" w:hAnsi="宋体" w:cs="宋体"/>
                <w:b/>
                <w:bCs/>
                <w:color w:val="auto"/>
                <w:szCs w:val="21"/>
                <w:highlight w:val="none"/>
              </w:rPr>
              <w:t>六、其他要求：无。</w:t>
            </w:r>
          </w:p>
          <w:p>
            <w:pPr>
              <w:adjustRightInd w:val="0"/>
              <w:snapToGrid w:val="0"/>
              <w:spacing w:line="360" w:lineRule="exact"/>
              <w:ind w:firstLine="310" w:firstLineChars="147"/>
              <w:rPr>
                <w:rFonts w:ascii="宋体" w:hAnsi="宋体" w:cs="宋体"/>
                <w:b/>
                <w:color w:val="auto"/>
                <w:szCs w:val="21"/>
                <w:highlight w:val="none"/>
              </w:rPr>
            </w:pPr>
            <w:r>
              <w:rPr>
                <w:rFonts w:hint="eastAsia" w:ascii="宋体" w:hAnsi="宋体" w:cs="宋体"/>
                <w:b/>
                <w:color w:val="auto"/>
                <w:szCs w:val="21"/>
                <w:highlight w:val="none"/>
              </w:rPr>
              <w:t>说明：</w:t>
            </w:r>
          </w:p>
          <w:p>
            <w:pPr>
              <w:adjustRightInd w:val="0"/>
              <w:snapToGrid w:val="0"/>
              <w:spacing w:line="36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1.上表中的品牌型号、技术参数仅起参考作用，竞争性谈判供应商可选用其他品牌型号替代，但这些替代的产品要实质上相当于或优于参考品牌型号及其技术参数性能（配置）要求。否则，其谈判无效。</w:t>
            </w:r>
          </w:p>
          <w:p>
            <w:pPr>
              <w:adjustRightInd w:val="0"/>
              <w:snapToGrid w:val="0"/>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2.凡在“技术参数及性能（配置）要求”中表述为“标配”或“标准配置”的设备，竞争性谈判供应商应在谈判报价表中将其标配参数详细列明。</w:t>
            </w:r>
            <w:r>
              <w:rPr>
                <w:rFonts w:hint="eastAsia" w:ascii="宋体" w:hAnsi="宋体" w:cs="宋体"/>
                <w:bCs/>
                <w:color w:val="auto"/>
                <w:szCs w:val="21"/>
                <w:highlight w:val="none"/>
              </w:rPr>
              <w:t>谈判过程中有可能对</w:t>
            </w:r>
            <w:r>
              <w:rPr>
                <w:rFonts w:hint="eastAsia" w:ascii="宋体" w:hAnsi="宋体" w:cs="宋体"/>
                <w:color w:val="auto"/>
                <w:szCs w:val="21"/>
                <w:highlight w:val="none"/>
              </w:rPr>
              <w:t>采购需求中的技术、服务要求以及合同草案条款做实质性变动。</w:t>
            </w:r>
          </w:p>
          <w:p>
            <w:pPr>
              <w:adjustRightInd w:val="0"/>
              <w:snapToGrid w:val="0"/>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3.保修和服务要求：上述有要求的按上述要求；上述无要求的按国家规定实行三包。</w:t>
            </w:r>
          </w:p>
          <w:p>
            <w:pPr>
              <w:adjustRightInd w:val="0"/>
              <w:snapToGrid w:val="0"/>
              <w:spacing w:line="360" w:lineRule="exact"/>
              <w:ind w:firstLine="420" w:firstLineChars="200"/>
              <w:rPr>
                <w:rFonts w:ascii="宋体" w:hAnsi="宋体" w:cs="宋体"/>
                <w:bCs/>
                <w:color w:val="auto"/>
                <w:szCs w:val="21"/>
                <w:highlight w:val="none"/>
              </w:rPr>
            </w:pPr>
            <w:r>
              <w:rPr>
                <w:rFonts w:hint="eastAsia" w:ascii="宋体" w:hAnsi="宋体" w:cs="宋体"/>
                <w:color w:val="auto"/>
                <w:szCs w:val="21"/>
                <w:highlight w:val="none"/>
              </w:rPr>
              <w:t>4</w:t>
            </w:r>
            <w:r>
              <w:rPr>
                <w:rFonts w:hint="eastAsia" w:ascii="宋体" w:hAnsi="宋体" w:cs="宋体"/>
                <w:bCs/>
                <w:color w:val="auto"/>
                <w:szCs w:val="21"/>
                <w:highlight w:val="none"/>
              </w:rPr>
              <w:t>.谈判报价包括</w:t>
            </w:r>
            <w:r>
              <w:rPr>
                <w:rFonts w:hint="eastAsia" w:ascii="宋体" w:hAnsi="宋体" w:cs="宋体"/>
                <w:color w:val="auto"/>
                <w:highlight w:val="none"/>
              </w:rPr>
              <w:t>货物、服务、随配附件、备品备件、工具、货物运抵指定交货地点、安装、调试的各种费用和售后服务、税金及其它所有成本、费用的总和</w:t>
            </w:r>
            <w:r>
              <w:rPr>
                <w:rFonts w:hint="eastAsia" w:ascii="宋体" w:hAnsi="宋体" w:cs="宋体"/>
                <w:bCs/>
                <w:color w:val="auto"/>
                <w:szCs w:val="21"/>
                <w:highlight w:val="none"/>
              </w:rPr>
              <w:t>。</w:t>
            </w:r>
          </w:p>
          <w:p>
            <w:pPr>
              <w:adjustRightInd w:val="0"/>
              <w:snapToGrid w:val="0"/>
              <w:spacing w:line="360" w:lineRule="exact"/>
              <w:ind w:firstLine="422" w:firstLineChars="200"/>
              <w:rPr>
                <w:rFonts w:ascii="宋体" w:hAnsi="宋体" w:cs="宋体"/>
                <w:bCs/>
                <w:color w:val="auto"/>
                <w:szCs w:val="21"/>
                <w:highlight w:val="none"/>
              </w:rPr>
            </w:pPr>
            <w:r>
              <w:rPr>
                <w:rFonts w:hint="eastAsia" w:ascii="宋体" w:hAnsi="宋体" w:cs="宋体"/>
                <w:b/>
                <w:color w:val="auto"/>
                <w:szCs w:val="21"/>
                <w:highlight w:val="none"/>
              </w:rPr>
              <w:t>5.技术需求中带▲参数、要求≥或≤的参数、要求不低于的参数必须完全满足，否则视为实质不响应，谈判无效。</w:t>
            </w:r>
          </w:p>
          <w:p>
            <w:pPr>
              <w:spacing w:line="3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6.最终报价有时间限制，请竞争性谈判供应商事前准备好各分项报价</w:t>
            </w:r>
          </w:p>
        </w:tc>
      </w:tr>
    </w:tbl>
    <w:p>
      <w:pPr>
        <w:rPr>
          <w:color w:val="auto"/>
          <w:highlight w:val="none"/>
        </w:rPr>
      </w:pPr>
    </w:p>
    <w:p>
      <w:pPr>
        <w:pStyle w:val="2"/>
        <w:jc w:val="center"/>
        <w:rPr>
          <w:rFonts w:ascii="宋体" w:hAnsi="宋体" w:cs="宋体"/>
          <w:color w:val="auto"/>
          <w:highlight w:val="none"/>
        </w:rPr>
      </w:pPr>
      <w:r>
        <w:rPr>
          <w:rFonts w:hint="eastAsia" w:ascii="宋体" w:hAnsi="宋体" w:cs="宋体"/>
          <w:color w:val="auto"/>
          <w:highlight w:val="none"/>
        </w:rPr>
        <w:t>第四章  评审程序、评审方法和评审标准</w:t>
      </w:r>
      <w:bookmarkEnd w:id="66"/>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一、评审程序和评审方法</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（一）磋商小组成立</w:t>
      </w:r>
    </w:p>
    <w:p>
      <w:pPr>
        <w:spacing w:line="400" w:lineRule="exact"/>
        <w:ind w:firstLine="424" w:firstLineChars="202"/>
        <w:rPr>
          <w:rFonts w:ascii="宋体" w:hAnsi="宋体" w:cs="宋体"/>
          <w:color w:val="auto"/>
          <w:szCs w:val="21"/>
          <w:highlight w:val="none"/>
        </w:rPr>
      </w:pPr>
      <w:r>
        <w:rPr>
          <w:rFonts w:hint="eastAsia" w:ascii="宋体" w:hAnsi="宋体" w:cs="宋体"/>
          <w:color w:val="auto"/>
          <w:szCs w:val="21"/>
          <w:highlight w:val="none"/>
        </w:rPr>
        <w:t>1.磋商小组由采购人代表和评审专家共3人以上单数组成，具体人数见“供应商须知前附表”，其中评审专家人数不得少于磋商小组成员总数的2/3。采购人代表不得以评审专家身份参加本部门或本单位采购项目的评审。采购代理机构人员不得参加本机构代理的采购项目的评审。达到公开招标数额标准的货物或者服务采购项目，或者达到公开招标规模标准的政府采购工程，经批准采用竞争性磋商方式采购的，磋商小组由5人以上单数组成。</w:t>
      </w:r>
    </w:p>
    <w:p>
      <w:pPr>
        <w:spacing w:line="400" w:lineRule="exact"/>
        <w:ind w:firstLine="424" w:firstLineChars="202"/>
        <w:rPr>
          <w:rFonts w:ascii="宋体" w:hAnsi="宋体" w:cs="宋体"/>
          <w:color w:val="auto"/>
          <w:szCs w:val="21"/>
          <w:highlight w:val="none"/>
        </w:rPr>
      </w:pPr>
      <w:r>
        <w:rPr>
          <w:rFonts w:hint="eastAsia" w:ascii="宋体" w:hAnsi="宋体" w:cs="宋体"/>
          <w:color w:val="auto"/>
          <w:szCs w:val="21"/>
          <w:highlight w:val="none"/>
        </w:rPr>
        <w:t>2.评审专家应当从政府采购评审专家库内相关专业的专家名单中随机抽取。市场竞争不充分的科研项目，以及需要扶持的科技成果转化项目，以及情况特殊、通过随机方式难以确定合适的评审专家的项目，经主管预算单位同意，可以自行选定评审专家。技术复杂、专业性强的采购项目，评审专家中应当包含1名法律专家。</w:t>
      </w:r>
    </w:p>
    <w:p>
      <w:pPr>
        <w:spacing w:line="400" w:lineRule="exact"/>
        <w:ind w:firstLine="424" w:firstLineChars="202"/>
        <w:rPr>
          <w:rFonts w:ascii="宋体" w:hAnsi="宋体" w:cs="宋体"/>
          <w:color w:val="auto"/>
          <w:szCs w:val="21"/>
          <w:highlight w:val="none"/>
        </w:rPr>
      </w:pPr>
      <w:r>
        <w:rPr>
          <w:rFonts w:hint="eastAsia" w:ascii="宋体" w:hAnsi="宋体" w:cs="宋体"/>
          <w:color w:val="auto"/>
          <w:szCs w:val="21"/>
          <w:highlight w:val="none"/>
        </w:rPr>
        <w:t>3.响应文件的开启：具体详见“供应商须知前附表”。</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（二）响应文件评审程序</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4.资格审查</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4.1响应文件开启后，磋商小组依法对供应商的资格证明文件进行审查。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4.2资格审查标准为本竞争性磋商文件中载明对供应商资格要求的条件。资格审查采用合格制，凡符合竞争性磋商文件规定的供应商资格要求的响应文件均通过资格审查。</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4.3供应商有下列情形之一的，资格审查不通过，其响应文件按无效响应处理：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（1）未按竞争性磋商文件规定的方式获取本竞争性磋商文件的供应商；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（2）不具备竞争性磋商文件中规定的资格要求的；（注：其中信用查询规则见“供应商须知前附表”）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（3）响应文件未提供任一项“供应商须知前附表”资格证明文件规定的“必须提供”的文件资料的；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（4）响应文件提供的资格证明文件出现任一项不符合“供应商须知前附表”资格证明文件规定的“必须提供”的文件资料要求或者无效的。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4.4通过资格审查的合格供应商不足3家的，不得进入符合性审查环节，采购人或采购代理机构应当重新开展采购活动。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5.符合性审查</w:t>
      </w:r>
    </w:p>
    <w:p>
      <w:pPr>
        <w:spacing w:line="400" w:lineRule="exact"/>
        <w:ind w:firstLine="420" w:firstLineChars="200"/>
        <w:rPr>
          <w:rFonts w:ascii="宋体" w:hAnsi="宋体" w:cs="宋体"/>
          <w:color w:val="auto"/>
          <w:szCs w:val="21"/>
          <w:highlight w:val="none"/>
        </w:rPr>
      </w:pPr>
      <w:bookmarkStart w:id="67" w:name="_Hlk42528882"/>
      <w:r>
        <w:rPr>
          <w:rFonts w:hint="eastAsia" w:ascii="宋体" w:hAnsi="宋体" w:cs="宋体"/>
          <w:color w:val="auto"/>
          <w:szCs w:val="21"/>
          <w:highlight w:val="none"/>
        </w:rPr>
        <w:t>5.1由磋商小组对通过资格审查的合格供应商的响应文件的竞标报价、商务、技术等实质性要求进行符合性审查，以确定其是否满足竞争性磋商文件的实质性要求。</w:t>
      </w:r>
    </w:p>
    <w:bookmarkEnd w:id="67"/>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5.2磋商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20" w:firstLineChars="200"/>
        <w:rPr>
          <w:rFonts w:ascii="宋体" w:hAnsi="宋体" w:cs="宋体"/>
          <w:color w:val="auto"/>
          <w:spacing w:val="-6"/>
          <w:szCs w:val="21"/>
          <w:highlight w:val="none"/>
        </w:rPr>
      </w:pPr>
      <w:r>
        <w:rPr>
          <w:rFonts w:hint="eastAsia" w:ascii="宋体" w:hAnsi="宋体" w:cs="宋体"/>
          <w:color w:val="auto"/>
          <w:szCs w:val="21"/>
          <w:highlight w:val="none"/>
        </w:rPr>
        <w:t>5.3磋商小组要求供应商澄清、说明或者更正响应文件应当以书面形式作出。供应商的澄清、说明或者更正应当以书面形式按照磋商小组的要求作出明确的澄清、说明或者更正，未按磋商小组的要求作出明确澄清、说明或者更正的供应商的响应文件将按照</w:t>
      </w:r>
      <w:r>
        <w:rPr>
          <w:rFonts w:hint="eastAsia" w:ascii="宋体" w:hAnsi="宋体" w:cs="宋体"/>
          <w:color w:val="auto"/>
          <w:highlight w:val="none"/>
        </w:rPr>
        <w:t>有利于采购人</w:t>
      </w:r>
      <w:r>
        <w:rPr>
          <w:rFonts w:hint="eastAsia" w:ascii="宋体" w:hAnsi="宋体" w:cs="宋体"/>
          <w:color w:val="auto"/>
          <w:szCs w:val="21"/>
          <w:highlight w:val="none"/>
        </w:rPr>
        <w:t>的原则由磋商小组进行判定。供应商的澄清、说明或者更正应当由法定代表人或其授权代表签字或者加盖公章。由授权代表签字的，</w:t>
      </w:r>
      <w:r>
        <w:rPr>
          <w:rFonts w:hint="eastAsia" w:ascii="宋体" w:hAnsi="宋体" w:cs="宋体"/>
          <w:color w:val="auto"/>
          <w:spacing w:val="-6"/>
          <w:szCs w:val="21"/>
          <w:highlight w:val="none"/>
        </w:rPr>
        <w:t>应当附法定代表人授权书</w:t>
      </w:r>
      <w:r>
        <w:rPr>
          <w:rFonts w:hint="eastAsia" w:ascii="宋体" w:hAnsi="宋体" w:cs="宋体"/>
          <w:color w:val="auto"/>
          <w:szCs w:val="21"/>
          <w:highlight w:val="none"/>
        </w:rPr>
        <w:t>（若委托代理人为响应文件中承诺的授权委托代理人的，无须出示法定代表人授权委托书）</w:t>
      </w:r>
      <w:r>
        <w:rPr>
          <w:rFonts w:hint="eastAsia" w:ascii="宋体" w:hAnsi="宋体" w:cs="宋体"/>
          <w:color w:val="auto"/>
          <w:spacing w:val="-6"/>
          <w:szCs w:val="21"/>
          <w:highlight w:val="none"/>
        </w:rPr>
        <w:t>。供应商为自然人的，应当由本人签字并附身份证明。</w:t>
      </w:r>
    </w:p>
    <w:p>
      <w:pPr>
        <w:spacing w:line="400" w:lineRule="exact"/>
        <w:ind w:firstLine="396" w:firstLineChars="200"/>
        <w:rPr>
          <w:rFonts w:ascii="宋体" w:hAnsi="宋体" w:cs="宋体"/>
          <w:color w:val="auto"/>
          <w:szCs w:val="21"/>
          <w:highlight w:val="none"/>
        </w:rPr>
      </w:pPr>
      <w:r>
        <w:rPr>
          <w:rFonts w:hint="eastAsia" w:ascii="宋体" w:hAnsi="宋体" w:cs="宋体"/>
          <w:color w:val="auto"/>
          <w:spacing w:val="-6"/>
          <w:szCs w:val="21"/>
          <w:highlight w:val="none"/>
        </w:rPr>
        <w:t>5.4</w:t>
      </w:r>
      <w:r>
        <w:rPr>
          <w:rFonts w:hint="eastAsia" w:ascii="宋体" w:hAnsi="宋体" w:cs="宋体"/>
          <w:color w:val="auto"/>
          <w:szCs w:val="21"/>
          <w:highlight w:val="none"/>
        </w:rPr>
        <w:t xml:space="preserve">首次响应文件报价出现前后不一致的，按照下列规定修正：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（1）响应文件中报价表内容与响应文件中相应内容不一致的，以报价表为准；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（2）大写金额和小写金额不一致的，以大写金额为准；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（3）单价金额小数点或者百分比有明显错位的，以报价表的总价为准，并修改单价；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（4）总价金额与按单价汇总金额不一致的，以单价金额计算结果为准。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同时出现两种以上不一致的，按照以上（1）-（4）规定的顺序逐条进行修正。修正后的报价经供应商确认后产生约束力，供应商不确认的，其响应文件按无效响应处理。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5.5商务技术报价评审</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在评审时，如发现下列情形之一的，将被视为响应文件无效处理：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（1）商务技术评审</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1）提供响应文件正、副本数量不足的；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2）响应文件未按竞争性磋商文件要求签署、盖章的；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3）委托代理人未能出具有效身份证明或出具的身份证明与授权委托书中的信息不符的；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4）提交的磋商保证金无效的或未按照竞争性磋商文件的规定提交磋商保证金的；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响应文件未提供任一项“供应商须知前附表”第12.2条规定的“必须提供”或者“委托时必须提供”的文件资料的；响应文件提供的报价商务技术文件出现任一项不符合“供应商须知前附表”第12.2条规定的“必须提供”或者“委托时必须提供”的文件资料要求或者无效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6）商务条款中标“▲”的条款发生负偏离的或允许负偏离的条款数超过“供应商须知前附表”规定项数的或标明实质性的要求发生负偏离的；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7）未对竞标有效期作出响应或响应文件承诺的竞标有效期不满足竞争性磋商文件要求的；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8）响应文件的实质性内容未使用中文表述、使用计量单位不符合竞争性磋商文件要求的；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9）响应文件中的文件资料因填写不齐全或者内容虚假或者出现其他情形而导致被磋商小组认定无效的；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10）响应文件含有采购人不能接受的附加条件的；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11）属于“供应商须知正文”第7.7条和第7.9条（2）的情形的；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12）明显不满足竞争性磋商文件要求的技术规格、安全、质量标准，或者与竞争性磋商文件中标“▲”的技术需求或标明实质性的要求发生负偏离的；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13）技术需求允许负偏离的条款数超过“供应商须知前附表”规定项数的；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14）虚假竞标，或者出现其他情形而导致被磋商小组认定无效的；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15）竞标技术方案不明确，竞争性磋商文件未允许</w:t>
      </w:r>
      <w:r>
        <w:rPr>
          <w:rFonts w:hint="eastAsia" w:ascii="宋体" w:hAnsi="宋体" w:cs="宋体"/>
          <w:color w:val="auto"/>
          <w:highlight w:val="none"/>
        </w:rPr>
        <w:t>但响应文件中</w:t>
      </w:r>
      <w:r>
        <w:rPr>
          <w:rFonts w:hint="eastAsia" w:ascii="宋体" w:hAnsi="宋体" w:cs="宋体"/>
          <w:color w:val="auto"/>
          <w:szCs w:val="21"/>
          <w:highlight w:val="none"/>
        </w:rPr>
        <w:t>存在一个或一个以上备选（替代）竞标方案的；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16）未响应竞争性磋商文件实质性要求的；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17）法律、法规和竞争性磋商文件规定的其他无效情形。</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（2）报价评审</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响应文件未提供“供应商须知前附表”第12.2条规定中的“竞标报价表”的；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2）未采用人民币报价或者未按照竞争性磋商文件标明的币种报价的；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供应商未就所竞标分标进行报价或存在漏项报价；供应商未就所竞标分标的单项内容作唯一报价；供应商未就所竞标分标的全部内容作唯一总价报价；供应商响应文件中存在有选择、有条件报价的（竞争性磋商文件允许有备选方案或其他约定的除外）；</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4）竞标报价（包含首次报价、最后报价）超过所竞标分标规定的采购预算金额或者最高限价的（如本项目公布了最高限价）；</w:t>
      </w:r>
      <w:bookmarkStart w:id="68" w:name="_Hlk42596405"/>
      <w:r>
        <w:rPr>
          <w:rFonts w:hint="eastAsia" w:ascii="宋体" w:hAnsi="宋体" w:cs="宋体"/>
          <w:color w:val="auto"/>
          <w:szCs w:val="21"/>
          <w:highlight w:val="none"/>
        </w:rPr>
        <w:t>竞标报价（包含首次报价、最后报价）</w:t>
      </w:r>
      <w:bookmarkEnd w:id="68"/>
      <w:bookmarkStart w:id="69" w:name="_Hlk42596276"/>
      <w:r>
        <w:rPr>
          <w:rFonts w:hint="eastAsia" w:ascii="宋体" w:hAnsi="宋体" w:cs="宋体"/>
          <w:color w:val="auto"/>
          <w:szCs w:val="21"/>
          <w:highlight w:val="none"/>
        </w:rPr>
        <w:t>超过竞争性磋商文件分项采购预算金额或者最高限价的</w:t>
      </w:r>
      <w:bookmarkEnd w:id="69"/>
      <w:r>
        <w:rPr>
          <w:rFonts w:hint="eastAsia" w:ascii="宋体" w:hAnsi="宋体" w:cs="宋体"/>
          <w:color w:val="auto"/>
          <w:szCs w:val="21"/>
          <w:highlight w:val="none"/>
        </w:rPr>
        <w:t>（如本项目公布了最高限价）；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修正后的报价，供应商不确认的；或经供应商确认修正后的竞标报价（包含首次报价、最后报价）超过所竞标分标规定的采购预算金额或者最高限价的（如本项目公布了最高限价）；或经供应商确认修正后竞标报价（包含首次报价、最后报价）超过竞争性磋商文件分项采购预算金额或者最高限价的（如本项目公布了最高限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5.6磋商小组对响应文件进行评审，未实质性响应竞争性磋商文件的响应文件按无效处理，由磋商小组告知有关供应商。磋商小组从符合竞争性磋商文件规定的相应资格条件的供应商名单中确定不少于3家的供应商参加磋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5.7通过符合性审查的合格供应商不足3家的，不得进入磋商环节，采购人或采购代理机构应当重新开展采购活动。</w:t>
      </w:r>
    </w:p>
    <w:p>
      <w:pPr>
        <w:spacing w:line="400" w:lineRule="exact"/>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（三）磋商</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6.磋商小组按照“供应商须知前附表”确定的</w:t>
      </w:r>
      <w:r>
        <w:rPr>
          <w:rFonts w:hint="eastAsia" w:ascii="宋体" w:hAnsi="宋体" w:cs="宋体"/>
          <w:color w:val="auto"/>
          <w:szCs w:val="21"/>
          <w:highlight w:val="none"/>
        </w:rPr>
        <w:t>顺序，集中与单一供应商分别进行磋商，并给予所有参加磋商的供应商平等的磋商机会。符合磋商资格的供应商应当在接到磋商通知后规定时间内参加磋商，未在规定时间内参加磋商的视同放弃参加磋商权利，其响应文件按无效响应处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在磋商过程中，磋商小组可以根据磋商文件和磋商情况实质性变动采购需求中的技术、服务要求以及合同草案条款，但不得变动磋商文件中的其他内容。实质性变动的内容，须经采购人代表确认。可能实质性变动的内容详见“供应商须知前附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8.对竞争性磋商文件作出的实质性变动是竞争性磋商文件的有效组成部分，由磋商小组及时以书面形式同时通知所有参加磋商的供应商。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9. 供应商应当按照竞争性磋商文件的变动情况和磋商小组的要求重新提交响应文件，并由其法定代表人或授权代表签字或者加盖公章。由授权代表签字的，应当附法定代表人授权书（若委托代理人为响应文件中承诺的授权委托代理人的，无须出示法定代表人授权委托书）。供应商为自然人的，应当由本人签字并附身份证明。参加磋商的供应商未在规定时间内重新提交响应文件的，视同退出磋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10.磋商中，</w:t>
      </w:r>
      <w:r>
        <w:rPr>
          <w:rFonts w:hint="eastAsia" w:ascii="宋体" w:hAnsi="宋体" w:cs="宋体"/>
          <w:color w:val="auto"/>
          <w:spacing w:val="-6"/>
          <w:szCs w:val="21"/>
          <w:highlight w:val="none"/>
        </w:rPr>
        <w:t>磋商的任何一方不得透露与磋商有关的其他供应商的技术资料、价格和其他信息。</w:t>
      </w:r>
    </w:p>
    <w:p>
      <w:pPr>
        <w:widowControl/>
        <w:tabs>
          <w:tab w:val="left" w:pos="540"/>
        </w:tabs>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11.采购代理机构对磋商过程和重要磋商内容进行记录，磋商双方在记录上签字确认。</w:t>
      </w:r>
    </w:p>
    <w:p>
      <w:pPr>
        <w:widowControl/>
        <w:tabs>
          <w:tab w:val="left" w:pos="540"/>
        </w:tabs>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12.磋商过程中重新提交的响应文件，供应商可以在开启前补充、修改。</w:t>
      </w:r>
    </w:p>
    <w:p>
      <w:pPr>
        <w:widowControl/>
        <w:tabs>
          <w:tab w:val="left" w:pos="540"/>
        </w:tabs>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tabs>
          <w:tab w:val="left" w:pos="2835"/>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14. 对磋商过程提交的响应文件进行有效性、完整性和响应程度审查，通过审查的合格供应商不足3家的，除本章第13条的情形外，采购人或采购代理机构应当重新开展采购活动。</w:t>
      </w:r>
    </w:p>
    <w:p>
      <w:pPr>
        <w:widowControl/>
        <w:tabs>
          <w:tab w:val="left" w:pos="540"/>
        </w:tabs>
        <w:spacing w:line="400" w:lineRule="exact"/>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（四）最后报价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15.竞争性磋商文件能够详细列明采购标的的技术、服务要求的，磋商结束后，由磋商小组要求所有继续参加磋商的供应商在规定时间内密封提交最后报价，提交最后报价的供应商不得少于3家。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竞争性磋商文件不能详细列明采购标的的技术、服务要求，需经磋商由供应商提供最后设计方案或解决方案的，磋商结束后，由磋商小组按照少数服从多数的原则投票推荐3家以上供应商的设计方案或者解决方案，并要求其在规定时间内密封提交最后报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16. 最后报价是供应商响应文件的有效组成部分。符合《政府采购竞争性磋商采购方式管理暂行办法》（财库〔2014〕214号）第三条第四项“市场竞争不充分的科研项目，以及需要扶持的科技成果转化项目”和本章第13条情形的，提交最后报价的供应商可以为2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17.已经提交响应文件的供应商，在提交最后报价之前，可以根据磋商情况退出磋商，退出磋商的供应商的响应文件按无效响应处理。采购人、采购代理机构将退还退出磋商的供应商的保证金。</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18.供应商未在规定时间内提交最后报价的，视同退出磋商。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19.磋商小组收齐某一分标最后报价后统一开启，磋商小组对最后报价进行有效性、完整性和响应程度的审查。</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20.响应文件最后报价出现前后不一致的，按照本章第5.4条的规定修正。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21.修正后的报价出现下列情形的，按无效响应处理：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（1）供应商不确认的；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（2）经供应商确认修正后的竞标报价（包含首次报价、最后报价）超过所竞标分标规定的采购预算金额或者最高限价的（如本项目公布了最高限价）；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（3）经供应商确认修正后的竞标报价（包含首次报价、最后报价）超过分项采购预算金额或者最高限价的（如本项目公布了最高限价）。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22.经供应商确认修正后的最后报价作为评审及签订合同的依据。</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23.最后报价结束后，磋商小组不得再与供应商进行任何形式的商谈。</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（五）比较与评价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24.评审方法：综合评分法。</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25.经磋商确定最终采购需求和提交最后报价的供应商后，由磋商小组采用综合评分法对提交最后报价的供应商的响应文件和最后报价进行综合评分。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26.评审时，磋商小组各成员应当独立对每个有效响应的文件进行评价、打分，然后汇总每个供应商每项评分因素的得分。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（1）磋商小组按照竞争性磋商文件中规定的评审标准计算各供应商的报价得分。项目评审过程中，不得去掉最后报价中的最高报价和最低报价。</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（2）各供应商的得分为磋商小组所有成员的有效评分的算术平均数。</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27.评审价为供应商的最后报价进行政策性扣除后的价格，评审价只是作为评审时使用。最终成交供应商的成交金额等于最后报价（如有修正，以确认修正后的最后报价为准）。</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二、评审标准</w:t>
      </w:r>
    </w:p>
    <w:p>
      <w:pPr>
        <w:spacing w:line="400" w:lineRule="exact"/>
        <w:ind w:firstLine="420" w:firstLineChars="200"/>
        <w:rPr>
          <w:rFonts w:ascii="宋体" w:hAnsi="宋体" w:cs="宋体"/>
          <w:bCs/>
          <w:color w:val="auto"/>
          <w:highlight w:val="none"/>
        </w:rPr>
      </w:pPr>
      <w:r>
        <w:rPr>
          <w:rFonts w:hint="eastAsia" w:ascii="宋体" w:hAnsi="宋体" w:cs="宋体"/>
          <w:bCs/>
          <w:color w:val="auto"/>
          <w:highlight w:val="none"/>
        </w:rPr>
        <w:t>评审依据：磋商小组将以磋商响应文件为评审依据，对供应商的报价、技术、商务等方面内容按百分制打分。（计分方法按四舍五入取至百分位）</w:t>
      </w:r>
    </w:p>
    <w:p>
      <w:pPr>
        <w:spacing w:line="400" w:lineRule="exact"/>
        <w:ind w:firstLine="420" w:firstLineChars="200"/>
        <w:rPr>
          <w:rFonts w:ascii="宋体" w:hAnsi="宋体" w:cs="宋体"/>
          <w:bCs/>
          <w:color w:val="auto"/>
          <w:highlight w:val="none"/>
        </w:rPr>
      </w:pPr>
      <w:r>
        <w:rPr>
          <w:rFonts w:hint="eastAsia" w:ascii="宋体" w:hAnsi="宋体" w:cs="宋体"/>
          <w:bCs/>
          <w:color w:val="auto"/>
          <w:highlight w:val="none"/>
        </w:rPr>
        <w:t>A分标</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418"/>
        <w:gridCol w:w="628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dxa"/>
            <w:vAlign w:val="center"/>
          </w:tcPr>
          <w:p>
            <w:pPr>
              <w:widowControl/>
              <w:spacing w:line="40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418" w:type="dxa"/>
            <w:vAlign w:val="center"/>
          </w:tcPr>
          <w:p>
            <w:pPr>
              <w:widowControl/>
              <w:spacing w:line="40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评审因素</w:t>
            </w:r>
          </w:p>
        </w:tc>
        <w:tc>
          <w:tcPr>
            <w:tcW w:w="6288" w:type="dxa"/>
            <w:vAlign w:val="center"/>
          </w:tcPr>
          <w:p>
            <w:pPr>
              <w:widowControl/>
              <w:spacing w:line="40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评审因素具体内容</w:t>
            </w:r>
          </w:p>
        </w:tc>
        <w:tc>
          <w:tcPr>
            <w:tcW w:w="851" w:type="dxa"/>
            <w:vAlign w:val="center"/>
          </w:tcPr>
          <w:p>
            <w:pPr>
              <w:widowControl/>
              <w:spacing w:line="40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418"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价格分</w:t>
            </w:r>
          </w:p>
        </w:tc>
        <w:tc>
          <w:tcPr>
            <w:tcW w:w="6288" w:type="dxa"/>
          </w:tcPr>
          <w:p>
            <w:pPr>
              <w:spacing w:line="400" w:lineRule="exact"/>
              <w:rPr>
                <w:rFonts w:ascii="宋体" w:hAnsi="宋体" w:cs="宋体"/>
                <w:color w:val="auto"/>
                <w:highlight w:val="none"/>
              </w:rPr>
            </w:pPr>
            <w:r>
              <w:rPr>
                <w:rFonts w:hint="eastAsia" w:ascii="宋体" w:hAnsi="宋体" w:cs="宋体"/>
                <w:bCs/>
                <w:color w:val="auto"/>
                <w:highlight w:val="none"/>
              </w:rPr>
              <w:t>1.</w:t>
            </w:r>
            <w:r>
              <w:rPr>
                <w:rFonts w:hint="eastAsia" w:ascii="宋体" w:hAnsi="宋体" w:cs="宋体"/>
                <w:color w:val="auto"/>
                <w:highlight w:val="none"/>
              </w:rPr>
              <w:t>评审价为供应商的最后报价进行政策性扣除后的价格，评审价只是作为评审时使用。最终成交供应商的成交金额等于最后报价（如有修正，以确认修正后的最后报价为准）。</w:t>
            </w:r>
          </w:p>
          <w:p>
            <w:pPr>
              <w:pStyle w:val="12"/>
              <w:spacing w:line="400" w:lineRule="exact"/>
              <w:rPr>
                <w:rFonts w:hAnsi="宋体" w:cs="宋体"/>
                <w:color w:val="auto"/>
                <w:highlight w:val="none"/>
              </w:rPr>
            </w:pPr>
            <w:r>
              <w:rPr>
                <w:rFonts w:hint="eastAsia" w:hAnsi="宋体" w:cs="宋体"/>
                <w:bCs/>
                <w:color w:val="auto"/>
                <w:kern w:val="2"/>
                <w:sz w:val="21"/>
                <w:highlight w:val="none"/>
              </w:rPr>
              <w:t>2.政府采购政策性扣除计算方法</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按照《政府采购促进中小企业发展暂行办法》（财库〔2011〕181号）的规定，供应商为小型和微型企业，并在其响应文件中提供《中小企业声明函》，且其所竞标产品全部为小型和微型企业产品的，对其最后报价给予10%的扣除。</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（4）政策性扣除计算方法。</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供应商被评定为监狱企业或残疾人福利性单位或小型和微型企业且其所竞标全部产品为小型和微型企业产品的，该供应商的最后报价给予10%的扣除，扣除后的价格为评审价，即评审价=最后报价×（1-10%）。</w:t>
            </w:r>
          </w:p>
          <w:p>
            <w:pPr>
              <w:snapToGrid w:val="0"/>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（5）除上述情况外，评审价＝最后报价。</w:t>
            </w:r>
          </w:p>
          <w:p>
            <w:pPr>
              <w:pStyle w:val="12"/>
              <w:spacing w:line="400" w:lineRule="exact"/>
              <w:ind w:firstLine="420" w:firstLineChars="200"/>
              <w:rPr>
                <w:rFonts w:hAnsi="宋体" w:cs="宋体"/>
                <w:bCs/>
                <w:color w:val="auto"/>
                <w:kern w:val="2"/>
                <w:sz w:val="21"/>
                <w:highlight w:val="none"/>
              </w:rPr>
            </w:pPr>
            <w:r>
              <w:rPr>
                <w:rFonts w:hint="eastAsia" w:hAnsi="宋体" w:cs="宋体"/>
                <w:bCs/>
                <w:color w:val="auto"/>
                <w:kern w:val="2"/>
                <w:sz w:val="21"/>
                <w:highlight w:val="none"/>
              </w:rPr>
              <w:t>（6）以进入比较与评价环节的最低的评审价为基准价，基准价得分为</w:t>
            </w:r>
            <w:r>
              <w:rPr>
                <w:rFonts w:hint="eastAsia" w:hAnsi="宋体" w:cs="宋体"/>
                <w:bCs/>
                <w:color w:val="auto"/>
                <w:kern w:val="2"/>
                <w:sz w:val="21"/>
                <w:highlight w:val="none"/>
                <w:u w:val="single"/>
              </w:rPr>
              <w:t>10分</w:t>
            </w:r>
            <w:r>
              <w:rPr>
                <w:rFonts w:hint="eastAsia" w:hAnsi="宋体" w:cs="宋体"/>
                <w:bCs/>
                <w:color w:val="auto"/>
                <w:kern w:val="2"/>
                <w:sz w:val="21"/>
                <w:highlight w:val="none"/>
              </w:rPr>
              <w:t>。</w:t>
            </w:r>
          </w:p>
          <w:p>
            <w:pPr>
              <w:pStyle w:val="12"/>
              <w:spacing w:line="400" w:lineRule="exact"/>
              <w:ind w:firstLine="420" w:firstLineChars="200"/>
              <w:rPr>
                <w:rFonts w:hAnsi="宋体" w:cs="宋体"/>
                <w:bCs/>
                <w:color w:val="auto"/>
                <w:kern w:val="2"/>
                <w:sz w:val="21"/>
                <w:highlight w:val="none"/>
              </w:rPr>
            </w:pPr>
            <w:r>
              <w:rPr>
                <w:rFonts w:hint="eastAsia" w:hAnsi="宋体" w:cs="宋体"/>
                <w:bCs/>
                <w:color w:val="auto"/>
                <w:kern w:val="2"/>
                <w:sz w:val="21"/>
                <w:highlight w:val="none"/>
              </w:rPr>
              <w:t>（7）价格分计算公式：</w:t>
            </w:r>
          </w:p>
          <w:p>
            <w:pPr>
              <w:pStyle w:val="12"/>
              <w:spacing w:line="400" w:lineRule="exact"/>
              <w:ind w:firstLine="420" w:firstLineChars="200"/>
              <w:rPr>
                <w:rFonts w:hAnsi="宋体" w:cs="宋体"/>
                <w:bCs/>
                <w:color w:val="auto"/>
                <w:kern w:val="2"/>
                <w:sz w:val="21"/>
                <w:highlight w:val="none"/>
              </w:rPr>
            </w:pPr>
            <w:r>
              <w:rPr>
                <w:rFonts w:hint="eastAsia" w:hAnsi="宋体" w:cs="宋体"/>
                <w:bCs/>
                <w:color w:val="auto"/>
                <w:kern w:val="2"/>
                <w:sz w:val="21"/>
                <w:highlight w:val="none"/>
              </w:rPr>
              <w:t>报价得分=（基准价/评审价）×</w:t>
            </w:r>
            <w:r>
              <w:rPr>
                <w:rFonts w:hint="eastAsia" w:hAnsi="宋体" w:cs="宋体"/>
                <w:bCs/>
                <w:color w:val="auto"/>
                <w:kern w:val="2"/>
                <w:sz w:val="21"/>
                <w:highlight w:val="none"/>
                <w:u w:val="single"/>
              </w:rPr>
              <w:t xml:space="preserve"> 10分</w:t>
            </w:r>
          </w:p>
        </w:tc>
        <w:tc>
          <w:tcPr>
            <w:tcW w:w="851"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bCs/>
                <w:color w:val="auto"/>
                <w:kern w:val="0"/>
                <w:szCs w:val="21"/>
                <w:highlight w:val="none"/>
              </w:rPr>
              <w:t>2</w:t>
            </w:r>
          </w:p>
        </w:tc>
        <w:tc>
          <w:tcPr>
            <w:tcW w:w="1418"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bCs/>
                <w:color w:val="auto"/>
                <w:kern w:val="0"/>
                <w:szCs w:val="21"/>
                <w:highlight w:val="none"/>
              </w:rPr>
              <w:t>技术分</w:t>
            </w:r>
          </w:p>
        </w:tc>
        <w:tc>
          <w:tcPr>
            <w:tcW w:w="7139" w:type="dxa"/>
            <w:gridSpan w:val="2"/>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533" w:type="dxa"/>
            <w:vAlign w:val="center"/>
          </w:tcPr>
          <w:p>
            <w:pPr>
              <w:adjustRightInd w:val="0"/>
              <w:spacing w:line="400" w:lineRule="exact"/>
              <w:ind w:left="-105" w:leftChars="-50" w:right="-105" w:rightChars="-50"/>
              <w:jc w:val="center"/>
              <w:textAlignment w:val="baseline"/>
              <w:rPr>
                <w:rFonts w:ascii="宋体" w:hAnsi="宋体" w:cs="宋体"/>
                <w:bCs/>
                <w:color w:val="auto"/>
                <w:kern w:val="0"/>
                <w:szCs w:val="21"/>
                <w:highlight w:val="none"/>
              </w:rPr>
            </w:pPr>
            <w:r>
              <w:rPr>
                <w:rFonts w:hint="eastAsia" w:ascii="宋体" w:hAnsi="宋体" w:cs="宋体"/>
                <w:bCs/>
                <w:color w:val="auto"/>
                <w:kern w:val="0"/>
                <w:szCs w:val="21"/>
                <w:highlight w:val="none"/>
              </w:rPr>
              <w:t>2.1</w:t>
            </w:r>
          </w:p>
        </w:tc>
        <w:tc>
          <w:tcPr>
            <w:tcW w:w="1418" w:type="dxa"/>
            <w:vAlign w:val="center"/>
          </w:tcPr>
          <w:p>
            <w:pPr>
              <w:adjustRightInd w:val="0"/>
              <w:spacing w:line="400" w:lineRule="exact"/>
              <w:jc w:val="center"/>
              <w:textAlignment w:val="baseline"/>
              <w:rPr>
                <w:rFonts w:ascii="宋体" w:hAnsi="宋体" w:cs="宋体"/>
                <w:bCs/>
                <w:color w:val="auto"/>
                <w:kern w:val="0"/>
                <w:szCs w:val="21"/>
                <w:highlight w:val="none"/>
              </w:rPr>
            </w:pPr>
            <w:r>
              <w:rPr>
                <w:rFonts w:hint="eastAsia" w:ascii="宋体" w:hAnsi="宋体"/>
                <w:b/>
                <w:bCs/>
                <w:color w:val="auto"/>
                <w:kern w:val="0"/>
                <w:szCs w:val="21"/>
                <w:highlight w:val="none"/>
              </w:rPr>
              <w:t>系统建设技术方案分</w:t>
            </w:r>
          </w:p>
        </w:tc>
        <w:tc>
          <w:tcPr>
            <w:tcW w:w="6288" w:type="dxa"/>
            <w:vAlign w:val="center"/>
          </w:tcPr>
          <w:p>
            <w:pPr>
              <w:widowControl/>
              <w:spacing w:line="360" w:lineRule="exact"/>
              <w:ind w:firstLine="420" w:firstLineChars="200"/>
              <w:rPr>
                <w:rFonts w:ascii="宋体" w:hAnsi="宋体" w:cs="微软雅黑"/>
                <w:color w:val="auto"/>
                <w:szCs w:val="21"/>
                <w:highlight w:val="none"/>
              </w:rPr>
            </w:pPr>
            <w:r>
              <w:rPr>
                <w:rFonts w:hint="eastAsia" w:ascii="宋体" w:hAnsi="宋体" w:cs="微软雅黑"/>
                <w:color w:val="auto"/>
                <w:szCs w:val="21"/>
                <w:highlight w:val="none"/>
              </w:rPr>
              <w:t>一档（5分）：基本满足系统功能需求，能描述分析医疗收费电子票据信息管理系统基础数据、票据管理、开票管理、对账管理、归档管理、报表查询、预交金管理、数据核对、监管分析、接口管理十大模块，基本满足建设需求。</w:t>
            </w:r>
          </w:p>
          <w:p>
            <w:pPr>
              <w:widowControl/>
              <w:spacing w:line="360" w:lineRule="exact"/>
              <w:ind w:firstLine="420" w:firstLineChars="200"/>
              <w:rPr>
                <w:rFonts w:ascii="宋体" w:hAnsi="宋体" w:cs="微软雅黑"/>
                <w:color w:val="auto"/>
                <w:szCs w:val="21"/>
                <w:highlight w:val="none"/>
              </w:rPr>
            </w:pPr>
            <w:r>
              <w:rPr>
                <w:rFonts w:hint="eastAsia" w:ascii="宋体" w:hAnsi="宋体" w:cs="微软雅黑"/>
                <w:color w:val="auto"/>
                <w:szCs w:val="21"/>
                <w:highlight w:val="none"/>
              </w:rPr>
              <w:t>二档（14分）：在一档基础上，详细阐述医疗收费电子票据信息管理系统管理员业务功能如基础数据、系统管理、接口管理、系统配置等功能模块；票管员模块如票据管理、开票管理、对账管理、归档管理、报表统计、预交金管理、数据核对等功能模块。按照财政部【财综〔 2017 〕 32号】财政电子票据业务规范，医疗财政电子票据作为财政票据的一种，最终需要完成和省级财政票据管理系统的对接，可提供完整的技术保障方案，系统构架合理，基本满足系统功能需求。（每个功能及其子模块均须提供系统操作界面截图和描述介绍，同时提供省一级财政部门财政票据建设案例合同（包括但不限于合同封面页、采购标的物页、合同日期和金额页、签字盖章页及发票），（缺少对应材料该档不得分）</w:t>
            </w:r>
          </w:p>
          <w:p>
            <w:pPr>
              <w:widowControl/>
              <w:spacing w:line="360" w:lineRule="exact"/>
              <w:ind w:firstLine="420" w:firstLineChars="200"/>
              <w:rPr>
                <w:rFonts w:ascii="宋体" w:hAnsi="宋体" w:cs="微软雅黑"/>
                <w:color w:val="auto"/>
                <w:szCs w:val="21"/>
                <w:highlight w:val="none"/>
              </w:rPr>
            </w:pPr>
            <w:r>
              <w:rPr>
                <w:rFonts w:hint="eastAsia" w:ascii="宋体" w:hAnsi="宋体" w:cs="微软雅黑"/>
                <w:color w:val="auto"/>
                <w:szCs w:val="21"/>
                <w:highlight w:val="none"/>
              </w:rPr>
              <w:t>三档（25分）：在完全满足二档基础上，分析基层医疗机构和采购人的现状，建设内容、建设原则、业务功能架构、网络部署结构、业务流程、系统架构和技术需求，详细阐述系统的业务架构、技术架构、部署结构；合理设计系统多类应用的开发框架、开发语言、开发工具、设计工具、中间件应用和数据存储方式；有一定的质量控制措施，安全和应急保障措施；同时全面考虑系统安全及代码的可靠性，须提供供应商开发或所投的医疗收费电子票据信息管理系统与财政对接的系统满足中国网络安全审查技术与认证中心出具的IT产品信息安全认证证书（提供相关报告及机构认证证书复印件并加盖公章，缺少对应材料该档不得分）</w:t>
            </w:r>
          </w:p>
        </w:tc>
        <w:tc>
          <w:tcPr>
            <w:tcW w:w="851" w:type="dxa"/>
            <w:vAlign w:val="center"/>
          </w:tcPr>
          <w:p>
            <w:pPr>
              <w:spacing w:line="400" w:lineRule="exact"/>
              <w:jc w:val="center"/>
              <w:rPr>
                <w:rFonts w:ascii="宋体" w:hAnsi="宋体" w:cs="宋体"/>
                <w:color w:val="auto"/>
                <w:kern w:val="0"/>
                <w:szCs w:val="21"/>
                <w:highlight w:val="none"/>
              </w:rPr>
            </w:pPr>
            <w:r>
              <w:rPr>
                <w:rFonts w:hint="eastAsia" w:ascii="宋体" w:hAnsi="宋体"/>
                <w:b/>
                <w:bCs/>
                <w:color w:val="auto"/>
                <w:kern w:val="0"/>
                <w:szCs w:val="21"/>
                <w:highlight w:val="none"/>
              </w:rPr>
              <w:t>满分</w:t>
            </w:r>
            <w:r>
              <w:rPr>
                <w:rFonts w:ascii="宋体" w:hAnsi="宋体"/>
                <w:b/>
                <w:bCs/>
                <w:color w:val="auto"/>
                <w:kern w:val="0"/>
                <w:szCs w:val="21"/>
                <w:highlight w:val="none"/>
              </w:rPr>
              <w:t>25</w:t>
            </w:r>
            <w:r>
              <w:rPr>
                <w:rFonts w:hint="eastAsia" w:ascii="宋体" w:hAnsi="宋体"/>
                <w:b/>
                <w:bCs/>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33" w:type="dxa"/>
            <w:vAlign w:val="center"/>
          </w:tcPr>
          <w:p>
            <w:pPr>
              <w:adjustRightInd w:val="0"/>
              <w:spacing w:line="400" w:lineRule="exact"/>
              <w:ind w:left="-105" w:leftChars="-50" w:right="-105" w:rightChars="-50"/>
              <w:jc w:val="center"/>
              <w:textAlignment w:val="baseline"/>
              <w:rPr>
                <w:rFonts w:ascii="宋体" w:hAnsi="宋体" w:cs="宋体"/>
                <w:bCs/>
                <w:color w:val="auto"/>
                <w:kern w:val="0"/>
                <w:szCs w:val="21"/>
                <w:highlight w:val="none"/>
              </w:rPr>
            </w:pPr>
            <w:r>
              <w:rPr>
                <w:rFonts w:hint="eastAsia" w:ascii="宋体" w:hAnsi="宋体" w:cs="宋体"/>
                <w:bCs/>
                <w:color w:val="auto"/>
                <w:kern w:val="0"/>
                <w:szCs w:val="21"/>
                <w:highlight w:val="none"/>
              </w:rPr>
              <w:t>2.2</w:t>
            </w:r>
          </w:p>
        </w:tc>
        <w:tc>
          <w:tcPr>
            <w:tcW w:w="1418" w:type="dxa"/>
            <w:vAlign w:val="center"/>
          </w:tcPr>
          <w:p>
            <w:pPr>
              <w:adjustRightInd w:val="0"/>
              <w:spacing w:line="400" w:lineRule="exact"/>
              <w:jc w:val="center"/>
              <w:textAlignment w:val="baseline"/>
              <w:rPr>
                <w:rFonts w:ascii="宋体" w:hAnsi="宋体" w:cs="宋体"/>
                <w:bCs/>
                <w:color w:val="auto"/>
                <w:kern w:val="0"/>
                <w:szCs w:val="21"/>
                <w:highlight w:val="none"/>
              </w:rPr>
            </w:pPr>
            <w:r>
              <w:rPr>
                <w:rFonts w:hint="eastAsia" w:ascii="宋体" w:hAnsi="宋体"/>
                <w:b/>
                <w:bCs/>
                <w:color w:val="auto"/>
                <w:kern w:val="0"/>
                <w:szCs w:val="21"/>
                <w:highlight w:val="none"/>
              </w:rPr>
              <w:t>项目实施及</w:t>
            </w:r>
            <w:r>
              <w:rPr>
                <w:rFonts w:ascii="宋体" w:hAnsi="宋体"/>
                <w:b/>
                <w:bCs/>
                <w:color w:val="auto"/>
                <w:kern w:val="0"/>
                <w:szCs w:val="21"/>
                <w:highlight w:val="none"/>
              </w:rPr>
              <w:t>培训</w:t>
            </w:r>
            <w:r>
              <w:rPr>
                <w:rFonts w:hint="eastAsia" w:ascii="宋体" w:hAnsi="宋体"/>
                <w:b/>
                <w:bCs/>
                <w:color w:val="auto"/>
                <w:kern w:val="0"/>
                <w:szCs w:val="21"/>
                <w:highlight w:val="none"/>
              </w:rPr>
              <w:t>方案分</w:t>
            </w:r>
          </w:p>
        </w:tc>
        <w:tc>
          <w:tcPr>
            <w:tcW w:w="6288" w:type="dxa"/>
            <w:vAlign w:val="center"/>
          </w:tcPr>
          <w:p>
            <w:pPr>
              <w:pStyle w:val="12"/>
              <w:spacing w:line="400" w:lineRule="exact"/>
              <w:ind w:firstLine="420" w:firstLineChars="200"/>
              <w:rPr>
                <w:rFonts w:hAnsi="宋体" w:cs="微软雅黑"/>
                <w:color w:val="auto"/>
                <w:sz w:val="21"/>
                <w:szCs w:val="21"/>
                <w:highlight w:val="none"/>
              </w:rPr>
            </w:pPr>
            <w:r>
              <w:rPr>
                <w:rFonts w:hint="eastAsia" w:hAnsi="宋体" w:cs="微软雅黑"/>
                <w:color w:val="auto"/>
                <w:sz w:val="21"/>
                <w:szCs w:val="21"/>
                <w:highlight w:val="none"/>
              </w:rPr>
              <w:t>一档（5分）：方案一般，基本满足建设需求。</w:t>
            </w:r>
          </w:p>
          <w:p>
            <w:pPr>
              <w:pStyle w:val="12"/>
              <w:spacing w:line="400" w:lineRule="exact"/>
              <w:ind w:firstLine="420" w:firstLineChars="200"/>
              <w:rPr>
                <w:rFonts w:hAnsi="宋体" w:cs="微软雅黑"/>
                <w:color w:val="auto"/>
                <w:sz w:val="21"/>
                <w:szCs w:val="21"/>
                <w:highlight w:val="none"/>
              </w:rPr>
            </w:pPr>
            <w:r>
              <w:rPr>
                <w:rFonts w:hint="eastAsia" w:hAnsi="宋体" w:cs="微软雅黑"/>
                <w:color w:val="auto"/>
                <w:sz w:val="21"/>
                <w:szCs w:val="21"/>
                <w:highlight w:val="none"/>
              </w:rPr>
              <w:t>二档（9分）：能根据采购人管理的要求，充分考虑医疗机构的需求。以基层医疗机构预交金等业务为例，提出有针对性的系统设计和实施服务方案。详细阐述票管员模块如票据管理、开票管理、对账管理、归档管理、报表统计、预交金管理、数据核对等功能模块。（每个功能及其子模块均须提供系统操作界面截图和描述介绍，缺少对应材料该档不得分）。同时应充分证明该系统设计符合基层医疗机构和采购人使用诉求，稳定安全可靠，售后服务及时到位且具备一定软件服务交付能力。【须提供供应商或供应商所用系统开发商的医疗收费电子票据信息管理系统的用户使用证明及合同文件（包括但不限于合同封面页、采购标的物页、合同日期和金额页、签字盖章页、发票及上线报告）复印件加盖公章，缺少对应材料该档不得分；提供中国软件行业协会颁发的“软件服务商交付能力证书”达到二级或以上交付能力证书，缺少对应材料该档不得分】。</w:t>
            </w:r>
          </w:p>
          <w:p>
            <w:pPr>
              <w:pStyle w:val="12"/>
              <w:spacing w:line="400" w:lineRule="exact"/>
              <w:ind w:firstLine="420" w:firstLineChars="200"/>
              <w:rPr>
                <w:rFonts w:hAnsi="宋体" w:cs="微软雅黑"/>
                <w:color w:val="auto"/>
                <w:highlight w:val="none"/>
              </w:rPr>
            </w:pPr>
            <w:r>
              <w:rPr>
                <w:rFonts w:hint="eastAsia" w:hAnsi="宋体" w:cs="微软雅黑"/>
                <w:color w:val="auto"/>
                <w:sz w:val="21"/>
                <w:szCs w:val="21"/>
                <w:highlight w:val="none"/>
              </w:rPr>
              <w:t>三档（15分）：结合做过的实际上线案例经验，详细分析业务需求，提出合理可行的系统建设优化建议和解决措施，说明系统建设和实施培训过程中存在的关键问题和解决方案，包括系统建设的开发、测试、部署上线，以及财政部、自治区财政厅、归属财政局、采购人和医疗机构本身的要求。同时应充分考虑医疗收费电子票据信息管理系统和广西壮族自治区财政票据电子化管理系统的无缝连接，根据广西壮族自治区财政票据电子化管理系统协调推进工作要求提出对应的设计和实施方案。（为了响应国产化要求，须提供供应商或供应商所用系统开发商的财政电子票据管理系统与采购人现有的深圳金蝶天燕Apusic应用服务器产品兼容性认证，提供相关报告及机构认证证书复印件并加盖公章，缺少对应材料该档不得分）</w:t>
            </w:r>
          </w:p>
        </w:tc>
        <w:tc>
          <w:tcPr>
            <w:tcW w:w="851" w:type="dxa"/>
            <w:vAlign w:val="center"/>
          </w:tcPr>
          <w:p>
            <w:pPr>
              <w:spacing w:line="400" w:lineRule="exact"/>
              <w:jc w:val="center"/>
              <w:rPr>
                <w:rFonts w:ascii="宋体" w:hAnsi="宋体" w:cs="宋体"/>
                <w:color w:val="auto"/>
                <w:kern w:val="0"/>
                <w:szCs w:val="21"/>
                <w:highlight w:val="none"/>
              </w:rPr>
            </w:pPr>
            <w:r>
              <w:rPr>
                <w:rFonts w:hint="eastAsia" w:ascii="宋体" w:hAnsi="宋体"/>
                <w:b/>
                <w:color w:val="auto"/>
                <w:sz w:val="22"/>
                <w:highlight w:val="none"/>
              </w:rPr>
              <w:t>满分</w:t>
            </w:r>
            <w:r>
              <w:rPr>
                <w:rFonts w:ascii="宋体" w:hAnsi="宋体"/>
                <w:b/>
                <w:color w:val="auto"/>
                <w:sz w:val="22"/>
                <w:highlight w:val="none"/>
              </w:rPr>
              <w:t>1</w:t>
            </w:r>
            <w:r>
              <w:rPr>
                <w:rFonts w:hint="eastAsia" w:ascii="宋体" w:hAnsi="宋体"/>
                <w:b/>
                <w:color w:val="auto"/>
                <w:sz w:val="22"/>
                <w:highlight w:val="none"/>
                <w:lang w:val="en-US" w:eastAsia="zh-CN"/>
              </w:rPr>
              <w:t>5</w:t>
            </w:r>
            <w:bookmarkStart w:id="181" w:name="_GoBack"/>
            <w:bookmarkEnd w:id="181"/>
            <w:r>
              <w:rPr>
                <w:rFonts w:hint="eastAsia" w:ascii="宋体" w:hAnsi="宋体"/>
                <w:b/>
                <w:color w:val="auto"/>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33" w:type="dxa"/>
            <w:vAlign w:val="center"/>
          </w:tcPr>
          <w:p>
            <w:pPr>
              <w:adjustRightInd w:val="0"/>
              <w:spacing w:line="400" w:lineRule="exact"/>
              <w:ind w:left="-105" w:leftChars="-50" w:right="-105" w:rightChars="-50"/>
              <w:jc w:val="center"/>
              <w:textAlignment w:val="baseline"/>
              <w:rPr>
                <w:rFonts w:ascii="宋体" w:hAnsi="宋体" w:cs="宋体"/>
                <w:bCs/>
                <w:color w:val="auto"/>
                <w:kern w:val="0"/>
                <w:szCs w:val="21"/>
                <w:highlight w:val="none"/>
              </w:rPr>
            </w:pPr>
            <w:r>
              <w:rPr>
                <w:rFonts w:hint="eastAsia" w:ascii="宋体" w:hAnsi="宋体" w:cs="宋体"/>
                <w:bCs/>
                <w:color w:val="auto"/>
                <w:kern w:val="0"/>
                <w:szCs w:val="21"/>
                <w:highlight w:val="none"/>
              </w:rPr>
              <w:t>2.3</w:t>
            </w:r>
          </w:p>
        </w:tc>
        <w:tc>
          <w:tcPr>
            <w:tcW w:w="1418" w:type="dxa"/>
            <w:vAlign w:val="center"/>
          </w:tcPr>
          <w:p>
            <w:pPr>
              <w:adjustRightInd w:val="0"/>
              <w:snapToGrid w:val="0"/>
              <w:spacing w:line="400" w:lineRule="exact"/>
              <w:ind w:firstLine="105" w:firstLineChars="50"/>
              <w:rPr>
                <w:rFonts w:ascii="宋体" w:hAnsi="宋体" w:cs="宋体"/>
                <w:bCs/>
                <w:color w:val="auto"/>
                <w:szCs w:val="21"/>
                <w:highlight w:val="none"/>
              </w:rPr>
            </w:pPr>
            <w:r>
              <w:rPr>
                <w:rFonts w:hint="eastAsia" w:ascii="宋体" w:hAnsi="宋体" w:cs="宋体"/>
                <w:b/>
                <w:bCs w:val="0"/>
                <w:color w:val="auto"/>
                <w:szCs w:val="21"/>
                <w:highlight w:val="none"/>
              </w:rPr>
              <w:t>系统演示分</w:t>
            </w:r>
          </w:p>
        </w:tc>
        <w:tc>
          <w:tcPr>
            <w:tcW w:w="6288" w:type="dxa"/>
            <w:vAlign w:val="center"/>
          </w:tcPr>
          <w:p>
            <w:pPr>
              <w:widowControl/>
              <w:spacing w:line="400" w:lineRule="exact"/>
              <w:rPr>
                <w:rFonts w:ascii="宋体" w:hAnsi="宋体" w:cs="宋体"/>
                <w:bCs/>
                <w:color w:val="auto"/>
                <w:sz w:val="21"/>
                <w:szCs w:val="21"/>
                <w:highlight w:val="none"/>
              </w:rPr>
            </w:pPr>
            <w:r>
              <w:rPr>
                <w:rFonts w:hint="eastAsia" w:ascii="宋体" w:hAnsi="宋体" w:cs="宋体"/>
                <w:bCs/>
                <w:color w:val="auto"/>
                <w:sz w:val="21"/>
                <w:szCs w:val="21"/>
                <w:highlight w:val="none"/>
              </w:rPr>
              <w:t>演示说明：不能提供演示的则演示分为0分。演示时必须提供具备实时动态数据的医疗收费电子票据信息管理系统系统进行演示，不得使用静态页面系统、PPT或截图等方式进行演示，否则视为演示无效得0分。供应商在进行演示时，应先简述系统所含全部功能，并在演示过程中直接指出系统在界面直观友好、操作简便上的特点。</w:t>
            </w:r>
          </w:p>
          <w:p>
            <w:pPr>
              <w:widowControl/>
              <w:spacing w:line="400" w:lineRule="exact"/>
              <w:rPr>
                <w:rFonts w:ascii="宋体" w:hAnsi="宋体" w:cs="宋体"/>
                <w:bCs/>
                <w:color w:val="auto"/>
                <w:sz w:val="21"/>
                <w:szCs w:val="21"/>
                <w:highlight w:val="none"/>
              </w:rPr>
            </w:pPr>
            <w:r>
              <w:rPr>
                <w:rFonts w:hint="eastAsia" w:ascii="宋体" w:hAnsi="宋体" w:cs="宋体"/>
                <w:bCs/>
                <w:color w:val="auto"/>
                <w:sz w:val="21"/>
                <w:szCs w:val="21"/>
                <w:highlight w:val="none"/>
              </w:rPr>
              <w:t>主要演示：</w:t>
            </w:r>
          </w:p>
          <w:p>
            <w:pPr>
              <w:widowControl/>
              <w:spacing w:line="400" w:lineRule="exact"/>
              <w:rPr>
                <w:rFonts w:ascii="宋体" w:hAnsi="宋体" w:cs="宋体"/>
                <w:bCs/>
                <w:color w:val="auto"/>
                <w:sz w:val="21"/>
                <w:szCs w:val="21"/>
                <w:highlight w:val="none"/>
              </w:rPr>
            </w:pPr>
            <w:r>
              <w:rPr>
                <w:rFonts w:hint="eastAsia" w:ascii="宋体" w:hAnsi="宋体" w:cs="宋体"/>
                <w:bCs/>
                <w:color w:val="auto"/>
                <w:sz w:val="21"/>
                <w:szCs w:val="21"/>
                <w:highlight w:val="none"/>
              </w:rPr>
              <w:t>1、医疗机构票据申领、票据申退、票据开具及查验、票据审验、票据作废和销毁、单位票据期初库存导入、单位票据印制计划编制上报、单位票据印制计划调整、电子票据单笔和批量入账功能、系统参数设置、开票点管理、任务调度管理、接收授权管理；</w:t>
            </w:r>
          </w:p>
          <w:p>
            <w:pPr>
              <w:widowControl/>
              <w:spacing w:line="400" w:lineRule="exact"/>
              <w:rPr>
                <w:rFonts w:ascii="宋体" w:hAnsi="宋体" w:cs="宋体"/>
                <w:bCs/>
                <w:color w:val="auto"/>
                <w:sz w:val="21"/>
                <w:szCs w:val="21"/>
                <w:highlight w:val="none"/>
              </w:rPr>
            </w:pPr>
            <w:r>
              <w:rPr>
                <w:rFonts w:hint="eastAsia" w:ascii="宋体" w:hAnsi="宋体" w:cs="宋体"/>
                <w:bCs/>
                <w:color w:val="auto"/>
                <w:sz w:val="21"/>
                <w:szCs w:val="21"/>
                <w:highlight w:val="none"/>
              </w:rPr>
              <w:t>2、采购人监管分析及统计查询功能，包含：医疗机构用票总览、门诊/住院开票分析、医疗收入统计分析、医疗收费价格监管；</w:t>
            </w:r>
          </w:p>
          <w:p>
            <w:pPr>
              <w:widowControl/>
              <w:spacing w:line="400" w:lineRule="exact"/>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一档（6分）：简单描述系统功能，业务数据都是已经生成的，无任何实时动态数据演示。</w:t>
            </w:r>
          </w:p>
          <w:p>
            <w:pPr>
              <w:widowControl/>
              <w:spacing w:line="400" w:lineRule="exact"/>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二档（18分）：在一档的基础上能够详细描述系统功能和业务逻辑，能够提供具备实时动态数据的医疗收费电子票据信息管理系统演示，能演示以下基础数据管理功能：</w:t>
            </w:r>
          </w:p>
          <w:p>
            <w:pPr>
              <w:widowControl/>
              <w:spacing w:line="400" w:lineRule="exact"/>
              <w:rPr>
                <w:rFonts w:ascii="宋体" w:hAnsi="宋体" w:cs="宋体"/>
                <w:bCs/>
                <w:color w:val="auto"/>
                <w:sz w:val="21"/>
                <w:szCs w:val="21"/>
                <w:highlight w:val="none"/>
              </w:rPr>
            </w:pPr>
            <w:r>
              <w:rPr>
                <w:rFonts w:hint="eastAsia" w:ascii="宋体" w:hAnsi="宋体" w:cs="宋体"/>
                <w:bCs/>
                <w:color w:val="auto"/>
                <w:sz w:val="21"/>
                <w:szCs w:val="21"/>
                <w:highlight w:val="none"/>
              </w:rPr>
              <w:t>（1）票据申领功能：以具备实时动态数据的医疗收费电子票据信息管理系统作为展示系统，可通过用户登录系统，通过新增，填写申领人、联系电话、单位地址、票据编码、票据名称、数量等票据申领信息，通过系统数据上报功能，报送财政票据管理部门，财政票据管理部门进行审核出库后，单位通过系统进行入库确认操作，单位可以根据需要在申领界面查询历史以往数据及申领状态。</w:t>
            </w:r>
          </w:p>
          <w:p>
            <w:pPr>
              <w:widowControl/>
              <w:spacing w:line="400" w:lineRule="exact"/>
              <w:rPr>
                <w:rFonts w:ascii="宋体" w:hAnsi="宋体" w:cs="宋体"/>
                <w:bCs/>
                <w:color w:val="auto"/>
                <w:sz w:val="21"/>
                <w:szCs w:val="21"/>
                <w:highlight w:val="none"/>
              </w:rPr>
            </w:pPr>
            <w:r>
              <w:rPr>
                <w:rFonts w:hint="eastAsia" w:ascii="宋体" w:hAnsi="宋体" w:cs="宋体"/>
                <w:bCs/>
                <w:color w:val="auto"/>
                <w:sz w:val="21"/>
                <w:szCs w:val="21"/>
                <w:highlight w:val="none"/>
              </w:rPr>
              <w:t>（2）票据申退功能：以具备实时动态数据的医疗收费电子票据信息管理系统作为展示系统，1、演示开票点人员对于票管员已经下发入库的票据进行申退，申退给票管员，票管员可以实时根据单位开票情况及时重新分配各个开票点库存；2、演示因为财政出库失误导致票管员已经出库给开票点的入库票据回收给票管员，由票管员核对后申退给财政部门，由财政部门审批备案。</w:t>
            </w:r>
          </w:p>
          <w:p>
            <w:pPr>
              <w:widowControl/>
              <w:spacing w:line="400" w:lineRule="exact"/>
              <w:rPr>
                <w:rFonts w:ascii="宋体" w:hAnsi="宋体" w:cs="宋体"/>
                <w:bCs/>
                <w:color w:val="auto"/>
                <w:sz w:val="21"/>
                <w:szCs w:val="21"/>
                <w:highlight w:val="none"/>
              </w:rPr>
            </w:pPr>
            <w:r>
              <w:rPr>
                <w:rFonts w:hint="eastAsia" w:ascii="宋体" w:hAnsi="宋体" w:cs="宋体"/>
                <w:bCs/>
                <w:color w:val="auto"/>
                <w:sz w:val="21"/>
                <w:szCs w:val="21"/>
                <w:highlight w:val="none"/>
              </w:rPr>
              <w:t>（3）期初票据库存导入功能：以具备实时动态数据的医疗收费电子票据信息管理系统作为展示系统，票管员通过登录系统，对于已经和财政部门确认的单位旧的票据库存，通过在线录入或导入方式维护，维护后上报财政票据管理部门审核确认备案。单位可以根据需要在期初票据库存导入界面查询历史以往数据及财政库存确认状态。</w:t>
            </w:r>
          </w:p>
          <w:p>
            <w:pPr>
              <w:widowControl/>
              <w:spacing w:line="400" w:lineRule="exact"/>
              <w:rPr>
                <w:rFonts w:ascii="宋体" w:hAnsi="宋体" w:cs="宋体"/>
                <w:bCs/>
                <w:color w:val="auto"/>
                <w:sz w:val="21"/>
                <w:szCs w:val="21"/>
                <w:highlight w:val="none"/>
              </w:rPr>
            </w:pPr>
            <w:r>
              <w:rPr>
                <w:rFonts w:hint="eastAsia" w:ascii="宋体" w:hAnsi="宋体" w:cs="宋体"/>
                <w:bCs/>
                <w:color w:val="auto"/>
                <w:sz w:val="21"/>
                <w:szCs w:val="21"/>
                <w:highlight w:val="none"/>
              </w:rPr>
              <w:t>（4）票据印制计划编制功能：以具备实时动态数据的医疗收费电子票据信息管理系统作为展示系统，票管员通过登录系统按照财政部门要求上报本年度纸质票据印制计划，主要信息包含票据编码、票据名称、每季度票据印制数量及印制总量等信息，填写完成后通过上报功能，提交财政部门接收审核。单位可以根据需要在印制计划界面查询历史以往数据及财政接收审核状态。</w:t>
            </w:r>
          </w:p>
          <w:p>
            <w:pPr>
              <w:widowControl/>
              <w:spacing w:line="400" w:lineRule="exact"/>
              <w:rPr>
                <w:rFonts w:ascii="宋体" w:hAnsi="宋体" w:cs="宋体"/>
                <w:bCs/>
                <w:color w:val="auto"/>
                <w:sz w:val="21"/>
                <w:szCs w:val="21"/>
                <w:highlight w:val="none"/>
              </w:rPr>
            </w:pPr>
            <w:r>
              <w:rPr>
                <w:rFonts w:hint="eastAsia" w:ascii="宋体" w:hAnsi="宋体" w:cs="宋体"/>
                <w:bCs/>
                <w:color w:val="auto"/>
                <w:sz w:val="21"/>
                <w:szCs w:val="21"/>
                <w:highlight w:val="none"/>
              </w:rPr>
              <w:t>（5）票据印制计划调整功能：以具备实时动态数据的医疗收费电子票据信息管理系统作为展示系统，票管员通过登录系统按照财政部门要求对已上报本年度纸质票据印制计划进行调整（增加或减少），主要信息包含票据编码、票据名称、每季度票据印制数量及印制总量等信息，填写完成后通过上报功能，提交财政部门接收审核。单位可以根据需要在印制计划调整界面查询历史以往数据及财政接收审核状态。</w:t>
            </w:r>
          </w:p>
          <w:p>
            <w:pPr>
              <w:widowControl/>
              <w:spacing w:line="400" w:lineRule="exact"/>
              <w:rPr>
                <w:rFonts w:ascii="宋体" w:hAnsi="宋体" w:cs="宋体"/>
                <w:bCs/>
                <w:color w:val="auto"/>
                <w:sz w:val="21"/>
                <w:szCs w:val="21"/>
                <w:highlight w:val="none"/>
              </w:rPr>
            </w:pPr>
            <w:r>
              <w:rPr>
                <w:rFonts w:hint="eastAsia" w:ascii="宋体" w:hAnsi="宋体" w:cs="宋体"/>
                <w:bCs/>
                <w:color w:val="auto"/>
                <w:sz w:val="21"/>
                <w:szCs w:val="21"/>
                <w:highlight w:val="none"/>
              </w:rPr>
              <w:t>（6）系统参数设置：a.基础参数设置，基层医疗机构可自定义设置对应的业务流程单据是否启用审核流程，可设置审核流程的单据包括期初库存、票据下发、库存作废、手工开票、退票申请等；可自定义设置库存预警设置，库存预警池设置包括票据类型、预警数量；可自定义设置电子票据清单显示设置，电子票据清单设置应包括票据类型、票据代码、限定数量；可自定义设置预警时间设置，包括审验到期预警天数、汇缴到期预警天数。b.产品参数设置，医疗收费电子票据信息管理系统可做到界面可视化各类参数设置，其中包括电子票打印次数限制、是否启用电子票换开纸质票年度限制、是否启用电子票换开专用机打票、首页库存预警提示阀值、医保类型值设置、清单明细是否返回、是否开启医保总金额等于票面总金额判断、机打票是否打印清单、是否开启预交金功能、预交金二维码显示规则、预交金退费项描述、预交金退费凭证备注添加凭证代码、票据自动下发（包括开票点票据手动或自动发放方式、开票点单笔下发数额）。</w:t>
            </w:r>
          </w:p>
          <w:p>
            <w:pPr>
              <w:widowControl/>
              <w:spacing w:line="400" w:lineRule="exact"/>
              <w:rPr>
                <w:rFonts w:ascii="宋体" w:hAnsi="宋体" w:cs="宋体"/>
                <w:bCs/>
                <w:color w:val="auto"/>
                <w:sz w:val="21"/>
                <w:szCs w:val="21"/>
                <w:highlight w:val="none"/>
              </w:rPr>
            </w:pPr>
            <w:r>
              <w:rPr>
                <w:rFonts w:hint="eastAsia" w:ascii="宋体" w:hAnsi="宋体" w:cs="宋体"/>
                <w:bCs/>
                <w:color w:val="auto"/>
                <w:sz w:val="21"/>
                <w:szCs w:val="21"/>
                <w:highlight w:val="none"/>
              </w:rPr>
              <w:t>（7）开票点管理：基层医疗机构可自行设置多个开票点，每个开票点可以自定义设置收费项目，可以自定义设置票据种类，可设置基层医疗机构内不同开票点开具的票据中开票单位名称和电子签章可为不相同。</w:t>
            </w:r>
          </w:p>
          <w:p>
            <w:pPr>
              <w:widowControl/>
              <w:spacing w:line="400" w:lineRule="exact"/>
              <w:rPr>
                <w:rFonts w:ascii="宋体" w:hAnsi="宋体" w:cs="宋体"/>
                <w:bCs/>
                <w:color w:val="auto"/>
                <w:sz w:val="21"/>
                <w:szCs w:val="21"/>
                <w:highlight w:val="none"/>
              </w:rPr>
            </w:pPr>
            <w:r>
              <w:rPr>
                <w:rFonts w:hint="eastAsia" w:ascii="宋体" w:hAnsi="宋体" w:cs="宋体"/>
                <w:bCs/>
                <w:color w:val="auto"/>
                <w:sz w:val="21"/>
                <w:szCs w:val="21"/>
                <w:highlight w:val="none"/>
              </w:rPr>
              <w:t>（8）任务调度管理：采购人医疗收费电子票据信息管理系统必须提供可视化界面的任务调度管理，a.运行报表，应能体现任务数量、调度次数等调度报表可视化内容；b.调度日志，以列表方式展现出每个任务执行情况，包括任务的执行处理器、执行器触发时间、执行结果等；c.任务管理，可自定义新增执行器，包括独立部署基础资料同步、库存预警、医疗日结、同步（开票数据下载）、待办事项刷新、预交金日结、预交金月结、批量上传任务等作业处理器，且包括任务的路由策略、阻塞处理策略、失败处理策略、任务描述等关键指标处理。</w:t>
            </w:r>
          </w:p>
          <w:p>
            <w:pPr>
              <w:widowControl/>
              <w:spacing w:line="400" w:lineRule="exact"/>
              <w:rPr>
                <w:rFonts w:ascii="宋体" w:hAnsi="宋体" w:cs="宋体"/>
                <w:bCs/>
                <w:color w:val="auto"/>
                <w:sz w:val="21"/>
                <w:szCs w:val="21"/>
                <w:highlight w:val="none"/>
              </w:rPr>
            </w:pPr>
            <w:r>
              <w:rPr>
                <w:rFonts w:hint="eastAsia" w:ascii="宋体" w:hAnsi="宋体" w:cs="宋体"/>
                <w:bCs/>
                <w:color w:val="auto"/>
                <w:sz w:val="21"/>
                <w:szCs w:val="21"/>
                <w:highlight w:val="none"/>
              </w:rPr>
              <w:t>（9）接口授权管理: 采购人医疗收费电子票据信息管理系统必须提供可视化界面的接收授权管理，a.接入应用管理，采购人可以为每个单位设置对应的应用接入名称，方便识别不同的单位；b.不同单位采购人可以设置多个应该接入名称，采购人可以根据需要设置启用或者不启用对应的应用接入名称；c.采购人可以对单位设置的应用接入授权具体接口，严格控制接入单位接入接口数量；d.采购人对于已经有接入权限的接口可以设置接口字段权限，包含参数标志、是否必填、默认值等。</w:t>
            </w:r>
          </w:p>
          <w:p>
            <w:pPr>
              <w:widowControl/>
              <w:spacing w:line="400" w:lineRule="exact"/>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三档（20分）：在完全满足二档的基础上能够详细阐述系统功能和业务逻辑，能够提供具备实时动态数据的医疗收费电子票据信息管理系统演示，能演示以下业务处理功能：</w:t>
            </w:r>
          </w:p>
          <w:p>
            <w:pPr>
              <w:widowControl/>
              <w:spacing w:line="400" w:lineRule="exact"/>
              <w:rPr>
                <w:rFonts w:ascii="宋体" w:hAnsi="宋体" w:cs="宋体"/>
                <w:bCs/>
                <w:color w:val="auto"/>
                <w:sz w:val="21"/>
                <w:szCs w:val="21"/>
                <w:highlight w:val="none"/>
              </w:rPr>
            </w:pPr>
            <w:r>
              <w:rPr>
                <w:rFonts w:hint="eastAsia" w:ascii="宋体" w:hAnsi="宋体" w:cs="宋体"/>
                <w:bCs/>
                <w:color w:val="auto"/>
                <w:sz w:val="21"/>
                <w:szCs w:val="21"/>
                <w:highlight w:val="none"/>
              </w:rPr>
              <w:t>（1）基层医疗机构票据开具及查验功能：以具备实时动态数据的医疗收费电子票据信息管理系统作为展示系统，票据管理人员可以在线开具医疗门诊、住院、资金往来、捐赠、非税收入等票据种类，票据管理人员可以根据不同的业务模式，选择使用单笔录入或批量导入开具电子票据，演示单位先签名、财政后签名过程，演示开具出符合财政部规范标准的电子票据，通过互联网在线查验真伪，同时根据业务需要演示电子票据冲红及通过互联网在线查验冲红信息。单位可以根据需要在开具界面查询历史以往数据及电子票据状态。</w:t>
            </w:r>
          </w:p>
          <w:p>
            <w:pPr>
              <w:widowControl/>
              <w:spacing w:line="400" w:lineRule="exact"/>
              <w:rPr>
                <w:rFonts w:ascii="宋体" w:hAnsi="宋体" w:cs="宋体"/>
                <w:bCs/>
                <w:color w:val="auto"/>
                <w:sz w:val="21"/>
                <w:szCs w:val="21"/>
                <w:highlight w:val="none"/>
              </w:rPr>
            </w:pPr>
            <w:r>
              <w:rPr>
                <w:rFonts w:hint="eastAsia" w:ascii="宋体" w:hAnsi="宋体" w:cs="宋体"/>
                <w:bCs/>
                <w:color w:val="auto"/>
                <w:sz w:val="21"/>
                <w:szCs w:val="21"/>
                <w:highlight w:val="none"/>
              </w:rPr>
              <w:t>（2）票据审验功能：以具备实时动态数据的医疗收费电子票据信息管理系统作为展示系统，票管员对于超过审验周期或者按照财政部门要求进行审验的数据，需要上报数据进行审验，数据上报审验票管员可以根据需要自行选择上报截止日期内的审验数据，包含已开票数据、收缴信息、已冲红或作废数据、已冲销数据等，财政部门接收到审验数据后，进行审验，单位可以根据需要在审验界面查询历史以往数据及审验状态。</w:t>
            </w:r>
          </w:p>
          <w:p>
            <w:pPr>
              <w:widowControl/>
              <w:spacing w:line="400" w:lineRule="exact"/>
              <w:rPr>
                <w:rFonts w:ascii="宋体" w:hAnsi="宋体" w:cs="宋体"/>
                <w:bCs/>
                <w:color w:val="auto"/>
                <w:sz w:val="21"/>
                <w:szCs w:val="21"/>
                <w:highlight w:val="none"/>
              </w:rPr>
            </w:pPr>
            <w:r>
              <w:rPr>
                <w:rFonts w:hint="eastAsia" w:ascii="宋体" w:hAnsi="宋体" w:cs="宋体"/>
                <w:bCs/>
                <w:color w:val="auto"/>
                <w:sz w:val="21"/>
                <w:szCs w:val="21"/>
                <w:highlight w:val="none"/>
              </w:rPr>
              <w:t>（3）票据作废和销毁功能：以具备实时动态数据的医疗收费电子票据信息管理系统作为展示系统，展示票管员因为开票点人员失误造成的票据丢失或者开具空白票据后，票管员作废库存，同时对于已经作废的库存及时上报财政备案。票管员对于开票人员反馈的丢失或者空白票据进行库存作废，作废后通过票据销毁申请，上报财政部门进行审核备案，防止因为信息传递不及时造成的损失，单位可以根据需要在作废或销毁界面查询历史以往数据及财政销毁备案状态。</w:t>
            </w:r>
          </w:p>
          <w:p>
            <w:pPr>
              <w:widowControl/>
              <w:spacing w:line="400" w:lineRule="exact"/>
              <w:rPr>
                <w:rFonts w:ascii="宋体" w:hAnsi="宋体" w:cs="宋体"/>
                <w:bCs/>
                <w:color w:val="auto"/>
                <w:szCs w:val="21"/>
                <w:highlight w:val="none"/>
              </w:rPr>
            </w:pPr>
            <w:r>
              <w:rPr>
                <w:rFonts w:hint="eastAsia" w:ascii="宋体" w:hAnsi="宋体" w:cs="宋体"/>
                <w:bCs/>
                <w:color w:val="auto"/>
                <w:szCs w:val="21"/>
                <w:highlight w:val="none"/>
              </w:rPr>
              <w:t>（4）演示财政电子票据线下归档入账功能：1：财政电子票据是单位财务收支和会计核算的原始凭证，是财政、审计等部门进行监督检查的重要依据。同时按照【财综〔 2017 〕 32号】业务流程，财政部门、开票单位、缴款人需分别进行归档。需现场演示将开具的电子票据三方归档。2：缴款人获取财政电子票据后，并将票据提供至对应报销机构，报销机构对电子票据进行查验，下载电子票据生成报销依据。需现场演示将电子票据提供给报销机构，报销机构财务系统输入电子票据进行查验、下载，生成相关记账凭证。</w:t>
            </w:r>
          </w:p>
          <w:p>
            <w:pPr>
              <w:widowControl/>
              <w:spacing w:line="400" w:lineRule="exact"/>
              <w:rPr>
                <w:rFonts w:ascii="宋体" w:hAnsi="宋体" w:cs="宋体"/>
                <w:bCs/>
                <w:color w:val="auto"/>
                <w:szCs w:val="21"/>
                <w:highlight w:val="none"/>
              </w:rPr>
            </w:pPr>
            <w:r>
              <w:rPr>
                <w:rFonts w:hint="eastAsia" w:ascii="宋体" w:hAnsi="宋体" w:cs="宋体"/>
                <w:bCs/>
                <w:color w:val="auto"/>
                <w:szCs w:val="21"/>
                <w:highlight w:val="none"/>
              </w:rPr>
              <w:t>（5）演示采购人作为监管机构，监管分析大数据利用功能，主要包含1、医疗机构用票总览：以具备实时动态数据的医疗收费电子票据信息管理系统通过动态数据展示医疗机构开票量前TOP10，可以按照医疗机构类型分别展示，通过统计分析形成动态数据对比数据，例如开票占比分析、开票趋势分析等；2、门诊/住院开票分析：以具备实时动态数据的医疗收费电子票据信息管理系统通过动态数据展示下属医疗机构门诊/住院开票情况，统计分析医疗机构业务科室就诊量排行前TOP10，通过统计分析形成动态数据展示，例如门诊均次费用趋势分析、票面支付信息等;3、医疗收入统计分析: 以具备实时动态数据的医疗收费电子票据信息管理系统通过动态数据展示医疗机构收入情况，通过大数据分析利用筛选医疗机构前TOP5名单，通过统计分析形成动态数据对比展示，例如医疗机构药品收入占比TOP5、门诊/住院项目收入占比等；4、医疗收费价格监管：以具备实时动态数据的医疗收费电子票据信息管理系统通过动态数据展示医疗机构违规开票收费情况，通过大数据分析利用筛选医疗机构异常收费项目。</w:t>
            </w:r>
          </w:p>
        </w:tc>
        <w:tc>
          <w:tcPr>
            <w:tcW w:w="851" w:type="dxa"/>
            <w:vAlign w:val="center"/>
          </w:tcPr>
          <w:p>
            <w:pPr>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33"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418" w:type="dxa"/>
            <w:vAlign w:val="center"/>
          </w:tcPr>
          <w:p>
            <w:pPr>
              <w:widowControl/>
              <w:spacing w:line="400" w:lineRule="exact"/>
              <w:jc w:val="center"/>
              <w:rPr>
                <w:rFonts w:ascii="宋体" w:hAnsi="宋体" w:cs="宋体"/>
                <w:bCs/>
                <w:color w:val="auto"/>
                <w:highlight w:val="none"/>
              </w:rPr>
            </w:pPr>
            <w:r>
              <w:rPr>
                <w:rFonts w:hint="eastAsia" w:ascii="宋体" w:hAnsi="宋体" w:cs="宋体"/>
                <w:bCs/>
                <w:color w:val="auto"/>
                <w:highlight w:val="none"/>
              </w:rPr>
              <w:t>商务分</w:t>
            </w:r>
          </w:p>
        </w:tc>
        <w:tc>
          <w:tcPr>
            <w:tcW w:w="7139" w:type="dxa"/>
            <w:gridSpan w:val="2"/>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3" w:type="dxa"/>
            <w:vAlign w:val="center"/>
          </w:tcPr>
          <w:p>
            <w:pPr>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3.1</w:t>
            </w:r>
          </w:p>
        </w:tc>
        <w:tc>
          <w:tcPr>
            <w:tcW w:w="1418" w:type="dxa"/>
            <w:vAlign w:val="center"/>
          </w:tcPr>
          <w:p>
            <w:pPr>
              <w:widowControl/>
              <w:spacing w:line="400" w:lineRule="exact"/>
              <w:jc w:val="center"/>
              <w:rPr>
                <w:rFonts w:ascii="宋体" w:hAnsi="宋体" w:cs="宋体"/>
                <w:color w:val="auto"/>
                <w:kern w:val="0"/>
                <w:szCs w:val="21"/>
                <w:highlight w:val="none"/>
              </w:rPr>
            </w:pPr>
            <w:r>
              <w:rPr>
                <w:rFonts w:hint="eastAsia" w:ascii="宋体" w:hAnsi="宋体" w:cs="宋体"/>
                <w:b/>
                <w:bCs/>
                <w:color w:val="auto"/>
                <w:kern w:val="0"/>
                <w:szCs w:val="21"/>
                <w:highlight w:val="none"/>
              </w:rPr>
              <w:t>售后服务</w:t>
            </w:r>
          </w:p>
        </w:tc>
        <w:tc>
          <w:tcPr>
            <w:tcW w:w="6288" w:type="dxa"/>
          </w:tcPr>
          <w:p>
            <w:pPr>
              <w:spacing w:line="400" w:lineRule="exact"/>
              <w:ind w:firstLine="420" w:firstLineChars="200"/>
              <w:rPr>
                <w:rFonts w:ascii="宋体" w:hAnsi="宋体" w:cs="宋体"/>
                <w:bCs/>
                <w:color w:val="auto"/>
                <w:highlight w:val="none"/>
              </w:rPr>
            </w:pPr>
            <w:r>
              <w:rPr>
                <w:rFonts w:hint="eastAsia" w:ascii="宋体" w:hAnsi="宋体" w:cs="宋体"/>
                <w:bCs/>
                <w:color w:val="auto"/>
                <w:highlight w:val="none"/>
              </w:rPr>
              <w:t>一档（3分）：供应商提供的售后服务方案简单，基本满足项目要求。</w:t>
            </w:r>
          </w:p>
          <w:p>
            <w:pPr>
              <w:spacing w:line="400" w:lineRule="exact"/>
              <w:ind w:firstLine="420" w:firstLineChars="200"/>
              <w:rPr>
                <w:rFonts w:ascii="宋体" w:hAnsi="宋体" w:cs="宋体"/>
                <w:bCs/>
                <w:color w:val="auto"/>
                <w:highlight w:val="none"/>
              </w:rPr>
            </w:pPr>
            <w:r>
              <w:rPr>
                <w:rFonts w:hint="eastAsia" w:ascii="宋体" w:hAnsi="宋体" w:cs="宋体"/>
                <w:bCs/>
                <w:color w:val="auto"/>
                <w:highlight w:val="none"/>
              </w:rPr>
              <w:t>二档（6分）：供应商提供的售后服务方案内容完整，可行性较强，售后服务人员组织结构较合理、维护体系较健全的，投入售后服务团队合理配备具备专业知识的技术人员≥3人，其中项目经理≥1人（具有有效的信息系统项目管理师高级资质），安全工程师≥1人（具有有效的国家信息安全测评注册信息安全专业人员证书（CISP）），软件架构师≥1人（具有有效的软件架构师专业人员资格认证证书）。</w:t>
            </w:r>
          </w:p>
          <w:p>
            <w:pPr>
              <w:spacing w:line="400" w:lineRule="exact"/>
              <w:ind w:firstLine="420" w:firstLineChars="200"/>
              <w:rPr>
                <w:rFonts w:ascii="宋体" w:hAnsi="宋体" w:cs="宋体"/>
                <w:bCs/>
                <w:color w:val="auto"/>
                <w:highlight w:val="none"/>
              </w:rPr>
            </w:pPr>
            <w:r>
              <w:rPr>
                <w:rFonts w:hint="eastAsia" w:ascii="宋体" w:hAnsi="宋体" w:cs="宋体"/>
                <w:bCs/>
                <w:color w:val="auto"/>
                <w:highlight w:val="none"/>
              </w:rPr>
              <w:t>三档（10）：</w:t>
            </w:r>
            <w:r>
              <w:rPr>
                <w:rFonts w:hint="eastAsia" w:ascii="宋体" w:hAnsi="宋体" w:cs="宋体"/>
                <w:bCs/>
                <w:color w:val="auto"/>
                <w:highlight w:val="none"/>
                <w:lang w:eastAsia="zh-CN"/>
              </w:rPr>
              <w:t>在满足二档的基础上</w:t>
            </w:r>
            <w:r>
              <w:rPr>
                <w:rFonts w:hint="eastAsia" w:ascii="宋体" w:hAnsi="宋体" w:cs="宋体"/>
                <w:bCs/>
                <w:color w:val="auto"/>
                <w:highlight w:val="none"/>
              </w:rPr>
              <w:t>供应商提供详细的售后服务方案，内容完整可行，售后服务人员组织结构合理、维护体系健全，技术支持保障到位，具有快速的服务及应急相应机制，支持力度高的，配备充足的运维服务人员≥7人,其中运维工程师≥4人（具有有效的系统集成项目管理工程师证书（中级以上资质）</w:t>
            </w:r>
          </w:p>
        </w:tc>
        <w:tc>
          <w:tcPr>
            <w:tcW w:w="851" w:type="dxa"/>
            <w:vAlign w:val="center"/>
          </w:tcPr>
          <w:p>
            <w:pPr>
              <w:spacing w:line="400" w:lineRule="exact"/>
              <w:jc w:val="center"/>
              <w:rPr>
                <w:rFonts w:ascii="宋体" w:hAnsi="宋体" w:cs="宋体"/>
                <w:color w:val="auto"/>
                <w:kern w:val="0"/>
                <w:szCs w:val="21"/>
                <w:highlight w:val="none"/>
              </w:rPr>
            </w:pPr>
            <w:r>
              <w:rPr>
                <w:rFonts w:hint="eastAsia" w:ascii="宋体" w:hAnsi="宋体"/>
                <w:b/>
                <w:color w:val="auto"/>
                <w:sz w:val="22"/>
                <w:highlight w:val="none"/>
              </w:rPr>
              <w:t>满分</w:t>
            </w:r>
            <w:r>
              <w:rPr>
                <w:rFonts w:ascii="宋体" w:hAnsi="宋体"/>
                <w:b/>
                <w:color w:val="auto"/>
                <w:sz w:val="22"/>
                <w:highlight w:val="none"/>
              </w:rPr>
              <w:t>10</w:t>
            </w:r>
            <w:r>
              <w:rPr>
                <w:rFonts w:hint="eastAsia" w:ascii="宋体" w:hAnsi="宋体"/>
                <w:b/>
                <w:color w:val="auto"/>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533" w:type="dxa"/>
            <w:vAlign w:val="center"/>
          </w:tcPr>
          <w:p>
            <w:pPr>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3.2</w:t>
            </w:r>
          </w:p>
        </w:tc>
        <w:tc>
          <w:tcPr>
            <w:tcW w:w="1418" w:type="dxa"/>
            <w:vAlign w:val="center"/>
          </w:tcPr>
          <w:p>
            <w:pPr>
              <w:widowControl/>
              <w:spacing w:line="400" w:lineRule="exact"/>
              <w:jc w:val="center"/>
              <w:rPr>
                <w:rFonts w:ascii="宋体" w:hAnsi="宋体" w:cs="宋体"/>
                <w:bCs/>
                <w:color w:val="auto"/>
                <w:highlight w:val="none"/>
              </w:rPr>
            </w:pPr>
            <w:r>
              <w:rPr>
                <w:rFonts w:hint="eastAsia" w:ascii="宋体" w:hAnsi="宋体" w:cs="宋体"/>
                <w:b/>
                <w:bCs w:val="0"/>
                <w:color w:val="auto"/>
                <w:highlight w:val="none"/>
              </w:rPr>
              <w:t>供应商资质、项目建设人员资质、业绩分</w:t>
            </w:r>
          </w:p>
        </w:tc>
        <w:tc>
          <w:tcPr>
            <w:tcW w:w="6288" w:type="dxa"/>
          </w:tcPr>
          <w:p>
            <w:pPr>
              <w:spacing w:line="400" w:lineRule="exact"/>
              <w:rPr>
                <w:rFonts w:ascii="宋体" w:hAnsi="宋体" w:cs="宋体"/>
                <w:bCs/>
                <w:color w:val="auto"/>
                <w:highlight w:val="none"/>
              </w:rPr>
            </w:pPr>
            <w:r>
              <w:rPr>
                <w:rFonts w:hint="eastAsia" w:ascii="宋体" w:hAnsi="宋体" w:cs="宋体"/>
                <w:bCs/>
                <w:color w:val="auto"/>
                <w:highlight w:val="none"/>
              </w:rPr>
              <w:t>a.为了统一规范财政电子票据管理，按照财政部标准及规范完成项目建设，供应商可提供自2017年以来医疗收费电子票据管理平台类似项目案例，并提供合同证明材料的，达到3个的得6分（未达到不得分），达到6个的得9分，达到9个的得13分，最多得13分。</w:t>
            </w:r>
          </w:p>
          <w:p>
            <w:pPr>
              <w:spacing w:line="400" w:lineRule="exact"/>
              <w:rPr>
                <w:rFonts w:ascii="宋体" w:hAnsi="宋体" w:cs="宋体"/>
                <w:bCs/>
                <w:color w:val="auto"/>
                <w:highlight w:val="none"/>
              </w:rPr>
            </w:pPr>
            <w:r>
              <w:rPr>
                <w:rFonts w:hint="eastAsia" w:ascii="宋体" w:hAnsi="宋体" w:cs="宋体"/>
                <w:bCs/>
                <w:color w:val="auto"/>
                <w:highlight w:val="none"/>
              </w:rPr>
              <w:t>b.供应商通过ISO9001国际质量管理体系认定的、ISO27001信息安全管理体系认证的（响应文件提供有效证书复印件，并加盖供应商公章为评审依据，否则不得分）每有一个得0.5分，满分1分。</w:t>
            </w:r>
          </w:p>
          <w:p>
            <w:pPr>
              <w:spacing w:line="400" w:lineRule="exact"/>
              <w:rPr>
                <w:rFonts w:ascii="宋体" w:hAnsi="宋体" w:cs="宋体"/>
                <w:bCs/>
                <w:color w:val="auto"/>
                <w:highlight w:val="none"/>
              </w:rPr>
            </w:pPr>
            <w:r>
              <w:rPr>
                <w:rFonts w:hint="eastAsia" w:ascii="宋体" w:hAnsi="宋体" w:cs="宋体"/>
                <w:bCs/>
                <w:color w:val="auto"/>
                <w:highlight w:val="none"/>
              </w:rPr>
              <w:t>c.供应商具备ITSS信息系统运行维护三级及以上资质的（响应文件提供证书复印件并加盖供应商公章为评标依据，否则不得分），得0.5分。</w:t>
            </w:r>
          </w:p>
          <w:p>
            <w:pPr>
              <w:spacing w:line="400" w:lineRule="exact"/>
              <w:rPr>
                <w:rFonts w:ascii="宋体" w:hAnsi="宋体" w:cs="宋体"/>
                <w:bCs/>
                <w:color w:val="auto"/>
                <w:highlight w:val="none"/>
              </w:rPr>
            </w:pPr>
            <w:r>
              <w:rPr>
                <w:rFonts w:hint="eastAsia" w:ascii="宋体" w:hAnsi="宋体" w:cs="宋体"/>
                <w:bCs/>
                <w:color w:val="auto"/>
                <w:highlight w:val="none"/>
              </w:rPr>
              <w:t>d.供应商通过CMMI3级资质认证的得0.5分，通过CMMI4级资质认证得1.5分，通过CMMI5级资质认证得2.5分（响应文件需提供证书复印件并加盖供应商公章为评标依据，否则不得分），本项满分2.5分。</w:t>
            </w:r>
          </w:p>
          <w:p>
            <w:pPr>
              <w:spacing w:line="400" w:lineRule="exact"/>
              <w:rPr>
                <w:rFonts w:ascii="宋体" w:hAnsi="宋体" w:cs="宋体"/>
                <w:bCs/>
                <w:color w:val="auto"/>
                <w:highlight w:val="none"/>
              </w:rPr>
            </w:pPr>
            <w:r>
              <w:rPr>
                <w:rFonts w:hint="eastAsia" w:ascii="宋体" w:hAnsi="宋体" w:cs="宋体"/>
                <w:bCs/>
                <w:color w:val="auto"/>
                <w:highlight w:val="none"/>
              </w:rPr>
              <w:t>e.供应商有财政票据电子化（或电子票类）软件系统软件著作权证书或专利证书的，每个得0.5分，满分2分。（响应文件需提供计算机软件著作权证书或专利证书复印件并加盖供应商公章为评标依据，否则不得分）。</w:t>
            </w:r>
          </w:p>
          <w:p>
            <w:pPr>
              <w:spacing w:line="400" w:lineRule="exact"/>
              <w:rPr>
                <w:rFonts w:ascii="宋体" w:hAnsi="宋体" w:cs="宋体"/>
                <w:bCs/>
                <w:color w:val="auto"/>
                <w:highlight w:val="none"/>
              </w:rPr>
            </w:pPr>
            <w:r>
              <w:rPr>
                <w:rFonts w:hint="eastAsia" w:ascii="宋体" w:hAnsi="宋体" w:cs="宋体"/>
                <w:bCs/>
                <w:color w:val="auto"/>
                <w:highlight w:val="none"/>
              </w:rPr>
              <w:t>f.供应商拟参与本项目的工程师中具有有效的国家信息安全测评注册信息安全专业人员证书（CISP）的得0.5分，软件架构师专业人员资格认证证书得0.5分，满分1分。（须在响应文件中提供上述拟参与人员的相关证书及供应商为其依法缴纳的近连续三个月或近一个季度社保证明。所有证明材料复印件均加盖供应商公章。）</w:t>
            </w:r>
          </w:p>
        </w:tc>
        <w:tc>
          <w:tcPr>
            <w:tcW w:w="851" w:type="dxa"/>
            <w:vAlign w:val="center"/>
          </w:tcPr>
          <w:p>
            <w:pPr>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239" w:type="dxa"/>
            <w:gridSpan w:val="3"/>
          </w:tcPr>
          <w:p>
            <w:pPr>
              <w:pStyle w:val="12"/>
              <w:spacing w:line="400" w:lineRule="exact"/>
              <w:ind w:firstLine="420" w:firstLineChars="200"/>
              <w:rPr>
                <w:rFonts w:hAnsi="宋体" w:cs="宋体"/>
                <w:bCs/>
                <w:color w:val="auto"/>
                <w:kern w:val="2"/>
                <w:sz w:val="21"/>
                <w:highlight w:val="none"/>
              </w:rPr>
            </w:pPr>
            <w:r>
              <w:rPr>
                <w:rFonts w:hint="eastAsia" w:hAnsi="宋体" w:cs="宋体"/>
                <w:bCs/>
                <w:color w:val="auto"/>
                <w:kern w:val="2"/>
                <w:sz w:val="21"/>
                <w:highlight w:val="none"/>
              </w:rPr>
              <w:t>总得分＝1＋2＋3</w:t>
            </w:r>
          </w:p>
        </w:tc>
        <w:tc>
          <w:tcPr>
            <w:tcW w:w="851" w:type="dxa"/>
            <w:vAlign w:val="center"/>
          </w:tcPr>
          <w:p>
            <w:pPr>
              <w:widowControl/>
              <w:spacing w:line="400" w:lineRule="exact"/>
              <w:jc w:val="center"/>
              <w:rPr>
                <w:rFonts w:ascii="宋体" w:hAnsi="宋体" w:cs="宋体"/>
                <w:color w:val="auto"/>
                <w:kern w:val="0"/>
                <w:szCs w:val="21"/>
                <w:highlight w:val="none"/>
              </w:rPr>
            </w:pPr>
          </w:p>
        </w:tc>
      </w:tr>
    </w:tbl>
    <w:p>
      <w:pPr>
        <w:spacing w:line="400" w:lineRule="exact"/>
        <w:ind w:firstLine="422" w:firstLineChars="200"/>
        <w:rPr>
          <w:rFonts w:ascii="宋体" w:hAnsi="宋体" w:cs="宋体"/>
          <w:b/>
          <w:color w:val="auto"/>
          <w:highlight w:val="none"/>
        </w:rPr>
      </w:pPr>
      <w:r>
        <w:rPr>
          <w:rFonts w:hint="eastAsia" w:ascii="宋体" w:hAnsi="宋体" w:cs="宋体"/>
          <w:b/>
          <w:color w:val="auto"/>
          <w:highlight w:val="none"/>
        </w:rPr>
        <w:t>B分标</w:t>
      </w:r>
    </w:p>
    <w:tbl>
      <w:tblPr>
        <w:tblStyle w:val="21"/>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320"/>
        <w:gridCol w:w="1518"/>
        <w:gridCol w:w="6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color w:val="auto"/>
                <w:szCs w:val="21"/>
                <w:highlight w:val="none"/>
              </w:rPr>
            </w:pPr>
            <w:r>
              <w:rPr>
                <w:rFonts w:hint="eastAsia" w:ascii="宋体" w:hAnsi="宋体" w:cs="宋体"/>
                <w:b/>
                <w:color w:val="auto"/>
                <w:szCs w:val="21"/>
                <w:highlight w:val="none"/>
              </w:rPr>
              <w:t>序号</w:t>
            </w:r>
          </w:p>
        </w:tc>
        <w:tc>
          <w:tcPr>
            <w:tcW w:w="15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color w:val="auto"/>
                <w:szCs w:val="21"/>
                <w:highlight w:val="none"/>
              </w:rPr>
            </w:pPr>
            <w:r>
              <w:rPr>
                <w:rFonts w:hint="eastAsia" w:ascii="宋体" w:hAnsi="宋体" w:cs="宋体"/>
                <w:b/>
                <w:color w:val="auto"/>
                <w:szCs w:val="21"/>
                <w:highlight w:val="none"/>
              </w:rPr>
              <w:t>评分因素</w:t>
            </w:r>
          </w:p>
        </w:tc>
        <w:tc>
          <w:tcPr>
            <w:tcW w:w="60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color w:val="auto"/>
                <w:szCs w:val="21"/>
                <w:highlight w:val="none"/>
              </w:rPr>
            </w:pPr>
            <w:r>
              <w:rPr>
                <w:rFonts w:hint="eastAsia" w:ascii="宋体" w:hAnsi="宋体" w:cs="宋体"/>
                <w:b/>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1</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价格分</w:t>
            </w:r>
          </w:p>
          <w:p>
            <w:pPr>
              <w:adjustRightInd w:val="0"/>
              <w:spacing w:line="360" w:lineRule="exact"/>
              <w:jc w:val="center"/>
              <w:textAlignment w:val="baseline"/>
              <w:rPr>
                <w:rFonts w:ascii="宋体" w:hAnsi="宋体" w:cs="宋体"/>
                <w:color w:val="auto"/>
                <w:szCs w:val="21"/>
                <w:highlight w:val="none"/>
              </w:rPr>
            </w:pPr>
            <w:r>
              <w:rPr>
                <w:rFonts w:hint="eastAsia" w:ascii="宋体" w:hAnsi="宋体" w:cs="宋体"/>
                <w:b/>
                <w:color w:val="auto"/>
                <w:szCs w:val="21"/>
                <w:highlight w:val="none"/>
              </w:rPr>
              <w:t>（30分）</w:t>
            </w:r>
          </w:p>
        </w:tc>
        <w:tc>
          <w:tcPr>
            <w:tcW w:w="15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color w:val="auto"/>
                <w:szCs w:val="21"/>
                <w:highlight w:val="none"/>
              </w:rPr>
            </w:pPr>
            <w:r>
              <w:rPr>
                <w:rFonts w:hint="eastAsia" w:ascii="宋体" w:hAnsi="宋体" w:cs="宋体"/>
                <w:color w:val="auto"/>
                <w:szCs w:val="21"/>
                <w:highlight w:val="none"/>
              </w:rPr>
              <w:t>磋商报价</w:t>
            </w:r>
          </w:p>
        </w:tc>
        <w:tc>
          <w:tcPr>
            <w:tcW w:w="60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highlight w:val="none"/>
              </w:rPr>
            </w:pPr>
            <w:r>
              <w:rPr>
                <w:rFonts w:hint="eastAsia" w:ascii="宋体" w:hAnsi="宋体" w:cs="宋体"/>
                <w:bCs/>
                <w:color w:val="auto"/>
                <w:highlight w:val="none"/>
              </w:rPr>
              <w:t>1.</w:t>
            </w:r>
            <w:r>
              <w:rPr>
                <w:rFonts w:hint="eastAsia" w:ascii="宋体" w:hAnsi="宋体" w:cs="宋体"/>
                <w:color w:val="auto"/>
                <w:highlight w:val="none"/>
              </w:rPr>
              <w:t>评审价为供应商的最后报价进行政策性扣除后的价格，评审价只是作为评审时使用。最终成交供应商的成交金额等于最后报价（如有修正，以确认修正后的最后报价为准）。</w:t>
            </w:r>
          </w:p>
          <w:p>
            <w:pPr>
              <w:pStyle w:val="12"/>
              <w:spacing w:line="400" w:lineRule="exact"/>
              <w:rPr>
                <w:rFonts w:hAnsi="宋体" w:cs="宋体"/>
                <w:color w:val="auto"/>
                <w:highlight w:val="none"/>
              </w:rPr>
            </w:pPr>
            <w:r>
              <w:rPr>
                <w:rFonts w:hint="eastAsia" w:hAnsi="宋体" w:cs="宋体"/>
                <w:bCs/>
                <w:color w:val="auto"/>
                <w:kern w:val="2"/>
                <w:sz w:val="21"/>
                <w:highlight w:val="none"/>
              </w:rPr>
              <w:t>2.政府采购政策性扣除计算方法</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按照《政府采购促进中小企业发展暂行办法》（财库〔2011〕181号）的规定，供应商为小型和微型企业，并在其响应文件中提供《中小企业声明函》，且其所竞标产品全部为小型和微型企业产品的，对其最后报价给予10%的扣除。</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（4）政策性扣除计算方法。</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供应商被评定为监狱企业或残疾人福利性单位或小型和微型企业且其所竞标全部产品为小型和微型企业产品的，该供应商的最后报价给予10%的扣除，扣除后的价格为评审价，即评审价=最后报价×（1-10%）。</w:t>
            </w:r>
          </w:p>
          <w:p>
            <w:pPr>
              <w:snapToGrid w:val="0"/>
              <w:spacing w:line="400" w:lineRule="exact"/>
              <w:ind w:firstLine="420" w:firstLineChars="200"/>
              <w:jc w:val="left"/>
              <w:rPr>
                <w:rFonts w:ascii="宋体" w:hAnsi="宋体" w:cs="宋体"/>
                <w:color w:val="auto"/>
                <w:highlight w:val="none"/>
              </w:rPr>
            </w:pPr>
            <w:r>
              <w:rPr>
                <w:rFonts w:hint="eastAsia" w:ascii="宋体" w:hAnsi="宋体" w:cs="宋体"/>
                <w:color w:val="auto"/>
                <w:highlight w:val="none"/>
              </w:rPr>
              <w:t>（5）除上述情况外，评审价＝最后报价。</w:t>
            </w:r>
          </w:p>
          <w:p>
            <w:pPr>
              <w:pStyle w:val="12"/>
              <w:spacing w:line="400" w:lineRule="exact"/>
              <w:ind w:firstLine="420" w:firstLineChars="200"/>
              <w:rPr>
                <w:rFonts w:hAnsi="宋体" w:cs="宋体"/>
                <w:bCs/>
                <w:color w:val="auto"/>
                <w:kern w:val="2"/>
                <w:sz w:val="21"/>
                <w:highlight w:val="none"/>
              </w:rPr>
            </w:pPr>
            <w:r>
              <w:rPr>
                <w:rFonts w:hint="eastAsia" w:hAnsi="宋体" w:cs="宋体"/>
                <w:bCs/>
                <w:color w:val="auto"/>
                <w:kern w:val="2"/>
                <w:sz w:val="21"/>
                <w:highlight w:val="none"/>
              </w:rPr>
              <w:t>（6）以进入比较与评价环节的最低的评审价为基准价，基准价得分为</w:t>
            </w:r>
            <w:r>
              <w:rPr>
                <w:rFonts w:hint="eastAsia" w:hAnsi="宋体" w:cs="宋体"/>
                <w:bCs/>
                <w:color w:val="auto"/>
                <w:kern w:val="2"/>
                <w:sz w:val="21"/>
                <w:highlight w:val="none"/>
                <w:u w:val="single"/>
              </w:rPr>
              <w:t>30分</w:t>
            </w:r>
            <w:r>
              <w:rPr>
                <w:rFonts w:hint="eastAsia" w:hAnsi="宋体" w:cs="宋体"/>
                <w:bCs/>
                <w:color w:val="auto"/>
                <w:kern w:val="2"/>
                <w:sz w:val="21"/>
                <w:highlight w:val="none"/>
              </w:rPr>
              <w:t>。</w:t>
            </w:r>
          </w:p>
          <w:p>
            <w:pPr>
              <w:pStyle w:val="12"/>
              <w:spacing w:line="400" w:lineRule="exact"/>
              <w:ind w:firstLine="420" w:firstLineChars="200"/>
              <w:rPr>
                <w:rFonts w:hAnsi="宋体" w:cs="宋体"/>
                <w:bCs/>
                <w:color w:val="auto"/>
                <w:kern w:val="2"/>
                <w:sz w:val="21"/>
                <w:highlight w:val="none"/>
              </w:rPr>
            </w:pPr>
            <w:r>
              <w:rPr>
                <w:rFonts w:hint="eastAsia" w:hAnsi="宋体" w:cs="宋体"/>
                <w:bCs/>
                <w:color w:val="auto"/>
                <w:kern w:val="2"/>
                <w:sz w:val="21"/>
                <w:highlight w:val="none"/>
              </w:rPr>
              <w:t>（7）价格分计算公式：</w:t>
            </w:r>
          </w:p>
          <w:p>
            <w:pPr>
              <w:spacing w:line="360" w:lineRule="exact"/>
              <w:ind w:firstLine="420" w:firstLineChars="200"/>
              <w:rPr>
                <w:rFonts w:ascii="宋体" w:hAnsi="宋体" w:cs="宋体"/>
                <w:b/>
                <w:color w:val="auto"/>
                <w:szCs w:val="21"/>
                <w:highlight w:val="none"/>
              </w:rPr>
            </w:pPr>
            <w:r>
              <w:rPr>
                <w:rFonts w:hint="eastAsia" w:hAnsi="宋体" w:cs="宋体"/>
                <w:bCs/>
                <w:color w:val="auto"/>
                <w:highlight w:val="none"/>
              </w:rPr>
              <w:t>报价得分=（基准价/评审价）×</w:t>
            </w:r>
            <w:r>
              <w:rPr>
                <w:rFonts w:hint="eastAsia" w:hAnsi="宋体" w:cs="宋体"/>
                <w:bCs/>
                <w:color w:val="auto"/>
                <w:highlight w:val="none"/>
                <w:u w:val="single"/>
              </w:rPr>
              <w:t xml:space="preserve">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2</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bCs/>
                <w:color w:val="auto"/>
                <w:highlight w:val="none"/>
              </w:rPr>
              <w:t>技术分</w:t>
            </w:r>
          </w:p>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（满分25分）</w:t>
            </w:r>
          </w:p>
        </w:tc>
        <w:tc>
          <w:tcPr>
            <w:tcW w:w="1518" w:type="dxa"/>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rFonts w:ascii="宋体" w:hAnsi="宋体" w:cs="宋体"/>
                <w:color w:val="auto"/>
                <w:szCs w:val="21"/>
                <w:highlight w:val="none"/>
              </w:rPr>
            </w:pPr>
            <w:r>
              <w:rPr>
                <w:rFonts w:hint="eastAsia" w:ascii="宋体" w:hAnsi="宋体" w:cs="宋体"/>
                <w:b/>
                <w:bCs w:val="0"/>
                <w:color w:val="auto"/>
                <w:highlight w:val="none"/>
              </w:rPr>
              <w:t>货物参数及性能分</w:t>
            </w:r>
            <w:r>
              <w:rPr>
                <w:rFonts w:hint="eastAsia" w:ascii="宋体" w:hAnsi="宋体" w:cs="宋体"/>
                <w:color w:val="auto"/>
                <w:szCs w:val="21"/>
                <w:highlight w:val="none"/>
              </w:rPr>
              <w:t>（满分25分）</w:t>
            </w:r>
          </w:p>
        </w:tc>
        <w:tc>
          <w:tcPr>
            <w:tcW w:w="6087" w:type="dxa"/>
            <w:tcBorders>
              <w:top w:val="single" w:color="auto" w:sz="4" w:space="0"/>
              <w:left w:val="single" w:color="auto" w:sz="4" w:space="0"/>
              <w:right w:val="single" w:color="auto" w:sz="4" w:space="0"/>
            </w:tcBorders>
            <w:vAlign w:val="center"/>
          </w:tcPr>
          <w:p>
            <w:pPr>
              <w:pStyle w:val="12"/>
              <w:spacing w:line="360" w:lineRule="exact"/>
              <w:ind w:firstLine="422"/>
              <w:jc w:val="left"/>
              <w:rPr>
                <w:rFonts w:hAnsi="宋体" w:cs="宋体"/>
                <w:bCs/>
                <w:color w:val="auto"/>
                <w:sz w:val="21"/>
                <w:szCs w:val="21"/>
                <w:highlight w:val="none"/>
              </w:rPr>
            </w:pPr>
            <w:r>
              <w:rPr>
                <w:rFonts w:hint="eastAsia" w:hAnsi="宋体" w:cs="宋体"/>
                <w:bCs/>
                <w:color w:val="auto"/>
                <w:sz w:val="21"/>
                <w:szCs w:val="21"/>
                <w:highlight w:val="none"/>
              </w:rPr>
              <w:t>本项基本分为20分。</w:t>
            </w:r>
          </w:p>
          <w:p>
            <w:pPr>
              <w:pStyle w:val="12"/>
              <w:spacing w:line="360" w:lineRule="exact"/>
              <w:ind w:firstLine="422"/>
              <w:jc w:val="left"/>
              <w:rPr>
                <w:rFonts w:hAnsi="宋体" w:cs="宋体"/>
                <w:bCs/>
                <w:color w:val="auto"/>
                <w:sz w:val="21"/>
                <w:szCs w:val="21"/>
                <w:highlight w:val="none"/>
              </w:rPr>
            </w:pPr>
            <w:r>
              <w:rPr>
                <w:rFonts w:hint="eastAsia" w:hAnsi="宋体" w:cs="宋体"/>
                <w:bCs/>
                <w:color w:val="auto"/>
                <w:sz w:val="21"/>
                <w:szCs w:val="21"/>
                <w:highlight w:val="none"/>
              </w:rPr>
              <w:t>（1）在基本分基础上一般性技术参数有正偏离的每1项加1分。</w:t>
            </w:r>
          </w:p>
          <w:p>
            <w:pPr>
              <w:pStyle w:val="12"/>
              <w:spacing w:line="360" w:lineRule="exact"/>
              <w:ind w:firstLine="422"/>
              <w:jc w:val="left"/>
              <w:rPr>
                <w:rFonts w:hAnsi="宋体" w:cs="宋体"/>
                <w:bCs/>
                <w:color w:val="auto"/>
                <w:sz w:val="21"/>
                <w:szCs w:val="21"/>
                <w:highlight w:val="none"/>
              </w:rPr>
            </w:pPr>
            <w:r>
              <w:rPr>
                <w:rFonts w:hint="eastAsia" w:hAnsi="宋体" w:cs="宋体"/>
                <w:bCs/>
                <w:color w:val="auto"/>
                <w:sz w:val="21"/>
                <w:szCs w:val="21"/>
                <w:highlight w:val="none"/>
              </w:rPr>
              <w:t>（2）一般性技术参数有负偏离的每1项扣1分，最多扣完本项分值（在磋商文件允许偏离的项数内）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3</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bCs/>
                <w:color w:val="auto"/>
                <w:highlight w:val="none"/>
              </w:rPr>
              <w:t>项目组织实施方案分</w:t>
            </w:r>
            <w:r>
              <w:rPr>
                <w:rFonts w:hint="eastAsia" w:ascii="宋体" w:hAnsi="宋体" w:cs="宋体"/>
                <w:b/>
                <w:color w:val="auto"/>
                <w:szCs w:val="21"/>
                <w:highlight w:val="none"/>
              </w:rPr>
              <w:t>（满分15分）</w:t>
            </w:r>
          </w:p>
        </w:tc>
        <w:tc>
          <w:tcPr>
            <w:tcW w:w="1518" w:type="dxa"/>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rFonts w:ascii="宋体" w:hAnsi="宋体" w:cs="宋体"/>
                <w:color w:val="auto"/>
                <w:szCs w:val="21"/>
                <w:highlight w:val="none"/>
              </w:rPr>
            </w:pPr>
            <w:r>
              <w:rPr>
                <w:rFonts w:hint="eastAsia" w:ascii="宋体" w:hAnsi="宋体" w:cs="宋体"/>
                <w:b/>
                <w:bCs/>
                <w:color w:val="auto"/>
                <w:highlight w:val="none"/>
              </w:rPr>
              <w:t>项目组织实施方案</w:t>
            </w:r>
          </w:p>
        </w:tc>
        <w:tc>
          <w:tcPr>
            <w:tcW w:w="6087" w:type="dxa"/>
            <w:tcBorders>
              <w:top w:val="single" w:color="auto" w:sz="4" w:space="0"/>
              <w:left w:val="single" w:color="auto" w:sz="4" w:space="0"/>
              <w:right w:val="single" w:color="auto" w:sz="4" w:space="0"/>
            </w:tcBorders>
            <w:vAlign w:val="center"/>
          </w:tcPr>
          <w:p>
            <w:pPr>
              <w:pStyle w:val="12"/>
              <w:snapToGrid w:val="0"/>
              <w:spacing w:line="360" w:lineRule="exact"/>
              <w:ind w:firstLine="420" w:firstLineChars="200"/>
              <w:jc w:val="left"/>
              <w:rPr>
                <w:rFonts w:hAnsi="宋体" w:cs="宋体"/>
                <w:color w:val="auto"/>
                <w:sz w:val="21"/>
                <w:szCs w:val="21"/>
                <w:highlight w:val="none"/>
              </w:rPr>
            </w:pPr>
            <w:r>
              <w:rPr>
                <w:rFonts w:hint="eastAsia" w:hAnsi="宋体" w:cs="宋体"/>
                <w:color w:val="auto"/>
                <w:sz w:val="21"/>
                <w:szCs w:val="21"/>
                <w:highlight w:val="none"/>
              </w:rPr>
              <w:t xml:space="preserve">根据响应文件提供的项目实施安装方案，内容包括项目技术方案、项目管理机构、实施人员队伍及技术水平、物流管理、项目实施质量、安装实施计划等。由评委在相应档次内独立打分。 </w:t>
            </w:r>
          </w:p>
          <w:p>
            <w:pPr>
              <w:pStyle w:val="12"/>
              <w:snapToGrid w:val="0"/>
              <w:spacing w:line="360" w:lineRule="exact"/>
              <w:ind w:firstLine="420" w:firstLineChars="200"/>
              <w:jc w:val="left"/>
              <w:rPr>
                <w:rFonts w:hAnsi="宋体" w:cs="宋体"/>
                <w:color w:val="auto"/>
                <w:sz w:val="21"/>
                <w:szCs w:val="21"/>
                <w:highlight w:val="none"/>
              </w:rPr>
            </w:pPr>
            <w:r>
              <w:rPr>
                <w:rFonts w:hint="eastAsia" w:hAnsi="宋体" w:cs="宋体"/>
                <w:color w:val="auto"/>
                <w:sz w:val="21"/>
                <w:szCs w:val="21"/>
                <w:highlight w:val="none"/>
              </w:rPr>
              <w:t>一档（2分）：基本满足磋商文件要求。</w:t>
            </w:r>
          </w:p>
          <w:p>
            <w:pPr>
              <w:pStyle w:val="12"/>
              <w:snapToGrid w:val="0"/>
              <w:spacing w:line="360" w:lineRule="exact"/>
              <w:ind w:firstLine="420" w:firstLineChars="200"/>
              <w:jc w:val="left"/>
              <w:rPr>
                <w:rFonts w:hAnsi="宋体" w:cs="宋体"/>
                <w:color w:val="auto"/>
                <w:sz w:val="21"/>
                <w:szCs w:val="21"/>
                <w:highlight w:val="none"/>
              </w:rPr>
            </w:pPr>
            <w:r>
              <w:rPr>
                <w:rFonts w:hint="eastAsia" w:hAnsi="宋体" w:cs="宋体"/>
                <w:color w:val="auto"/>
                <w:sz w:val="21"/>
                <w:szCs w:val="21"/>
                <w:highlight w:val="none"/>
              </w:rPr>
              <w:t>二档（5分）：项目实施细节可行但不完善，合理性不足，没有详细实施办法、项目实施队伍能力不能体现、人员安排人数相对较少，无详细的运输配送方案。</w:t>
            </w:r>
          </w:p>
          <w:p>
            <w:pPr>
              <w:pStyle w:val="12"/>
              <w:snapToGrid w:val="0"/>
              <w:spacing w:line="360" w:lineRule="exact"/>
              <w:ind w:firstLine="420" w:firstLineChars="200"/>
              <w:jc w:val="left"/>
              <w:rPr>
                <w:rFonts w:hAnsi="宋体" w:cs="宋体"/>
                <w:color w:val="auto"/>
                <w:sz w:val="21"/>
                <w:szCs w:val="21"/>
                <w:highlight w:val="none"/>
              </w:rPr>
            </w:pPr>
            <w:r>
              <w:rPr>
                <w:rFonts w:hint="eastAsia" w:hAnsi="宋体" w:cs="宋体"/>
                <w:color w:val="auto"/>
                <w:sz w:val="21"/>
                <w:szCs w:val="21"/>
                <w:highlight w:val="none"/>
              </w:rPr>
              <w:t>三档（10分）：项目实施细节合理、相对完善，有详细实施办法、能体现项目实施队伍能力、人员安排人数能满足本次项目需求，有较详细的运输配送方案，有较详细的供配货方案。</w:t>
            </w:r>
          </w:p>
          <w:p>
            <w:pPr>
              <w:pStyle w:val="12"/>
              <w:snapToGrid w:val="0"/>
              <w:spacing w:line="360" w:lineRule="exact"/>
              <w:ind w:firstLine="420" w:firstLineChars="200"/>
              <w:jc w:val="left"/>
              <w:rPr>
                <w:rFonts w:hAnsi="宋体" w:cs="宋体"/>
                <w:color w:val="auto"/>
                <w:sz w:val="21"/>
                <w:szCs w:val="21"/>
                <w:highlight w:val="none"/>
              </w:rPr>
            </w:pPr>
            <w:r>
              <w:rPr>
                <w:rFonts w:hint="eastAsia" w:hAnsi="宋体" w:cs="宋体"/>
                <w:color w:val="auto"/>
                <w:sz w:val="21"/>
                <w:szCs w:val="21"/>
                <w:highlight w:val="none"/>
              </w:rPr>
              <w:t>四档（15分）：项目实施细节科学合理、切合实际，较完善，有清晰科学的实施办法、项目实施队伍能力较强、人员安排人数较多，优于本次项目需求，有详细的运输配送方案，有详细的供配货方案、供货期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restart"/>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4</w:t>
            </w:r>
          </w:p>
        </w:tc>
        <w:tc>
          <w:tcPr>
            <w:tcW w:w="1320" w:type="dxa"/>
            <w:vMerge w:val="restart"/>
            <w:tcBorders>
              <w:top w:val="single" w:color="auto" w:sz="4" w:space="0"/>
              <w:left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售后服务分（满分18分）</w:t>
            </w:r>
          </w:p>
        </w:tc>
        <w:tc>
          <w:tcPr>
            <w:tcW w:w="15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color w:val="auto"/>
                <w:szCs w:val="21"/>
                <w:highlight w:val="none"/>
              </w:rPr>
            </w:pPr>
            <w:r>
              <w:rPr>
                <w:rFonts w:hint="eastAsia" w:ascii="宋体" w:hAnsi="宋体" w:cs="宋体"/>
                <w:b/>
                <w:bCs/>
                <w:color w:val="auto"/>
                <w:szCs w:val="21"/>
                <w:highlight w:val="none"/>
              </w:rPr>
              <w:t>售后服务方案</w:t>
            </w:r>
            <w:r>
              <w:rPr>
                <w:rFonts w:hint="eastAsia" w:ascii="宋体" w:hAnsi="宋体" w:cs="宋体"/>
                <w:color w:val="auto"/>
                <w:szCs w:val="21"/>
                <w:highlight w:val="none"/>
              </w:rPr>
              <w:t>（满分12分）</w:t>
            </w:r>
          </w:p>
        </w:tc>
        <w:tc>
          <w:tcPr>
            <w:tcW w:w="6087" w:type="dxa"/>
            <w:tcBorders>
              <w:top w:val="single" w:color="auto" w:sz="4" w:space="0"/>
              <w:left w:val="single" w:color="auto" w:sz="4" w:space="0"/>
              <w:bottom w:val="single" w:color="auto" w:sz="4" w:space="0"/>
              <w:right w:val="single" w:color="auto" w:sz="4" w:space="0"/>
            </w:tcBorders>
            <w:vAlign w:val="center"/>
          </w:tcPr>
          <w:p>
            <w:pPr>
              <w:pStyle w:val="12"/>
              <w:spacing w:line="370" w:lineRule="exact"/>
              <w:ind w:firstLine="420" w:firstLineChars="200"/>
              <w:jc w:val="left"/>
              <w:rPr>
                <w:rFonts w:hAnsi="宋体" w:cs="宋体"/>
                <w:color w:val="auto"/>
                <w:sz w:val="21"/>
                <w:szCs w:val="21"/>
                <w:highlight w:val="none"/>
              </w:rPr>
            </w:pPr>
            <w:r>
              <w:rPr>
                <w:rFonts w:hint="eastAsia" w:hAnsi="宋体" w:cs="宋体"/>
                <w:color w:val="auto"/>
                <w:sz w:val="21"/>
                <w:szCs w:val="21"/>
                <w:highlight w:val="none"/>
              </w:rPr>
              <w:t>（1）对供应商的响应文件中售后服务承诺书内容的完整性、可行性、到达故障现场时间、故障出现解决方案、定期维护（注明时间）、免费技术培训方案、质保期外维修方案、承诺本地化售后服务措施、其他优惠措施、安装要求及方案等方面，由评委在相应档次内独立打分。</w:t>
            </w:r>
          </w:p>
          <w:p>
            <w:pPr>
              <w:widowControl/>
              <w:spacing w:line="37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一档（4分）：售后服务方案粗略简单, 基本能满足采购要求，</w:t>
            </w:r>
            <w:r>
              <w:rPr>
                <w:rFonts w:hint="eastAsia" w:ascii="宋体" w:hAnsi="宋体" w:cs="宋体"/>
                <w:color w:val="auto"/>
                <w:kern w:val="0"/>
                <w:sz w:val="21"/>
                <w:szCs w:val="21"/>
                <w:highlight w:val="none"/>
              </w:rPr>
              <w:t>有免费培训计划、定期回访的，</w:t>
            </w:r>
            <w:r>
              <w:rPr>
                <w:rFonts w:hint="eastAsia" w:ascii="宋体" w:hAnsi="宋体" w:cs="宋体"/>
                <w:color w:val="auto"/>
                <w:sz w:val="21"/>
                <w:szCs w:val="21"/>
                <w:highlight w:val="none"/>
              </w:rPr>
              <w:t>到达故障现场时间仅满足磋商文件要求；</w:t>
            </w:r>
          </w:p>
          <w:p>
            <w:pPr>
              <w:widowControl/>
              <w:spacing w:line="370" w:lineRule="exact"/>
              <w:ind w:firstLine="420" w:firstLineChars="200"/>
              <w:rPr>
                <w:rFonts w:ascii="宋体" w:hAnsi="宋体" w:cs="宋体"/>
                <w:color w:val="auto"/>
                <w:kern w:val="0"/>
                <w:sz w:val="21"/>
                <w:szCs w:val="21"/>
                <w:highlight w:val="none"/>
              </w:rPr>
            </w:pPr>
            <w:r>
              <w:rPr>
                <w:rFonts w:hint="eastAsia" w:ascii="宋体" w:hAnsi="宋体" w:cs="宋体"/>
                <w:color w:val="auto"/>
                <w:sz w:val="21"/>
                <w:szCs w:val="21"/>
                <w:highlight w:val="none"/>
              </w:rPr>
              <w:t>二档（8分）：售后服务方案比较详细，</w:t>
            </w:r>
            <w:r>
              <w:rPr>
                <w:rFonts w:hint="eastAsia" w:ascii="宋体" w:hAnsi="宋体" w:cs="宋体"/>
                <w:color w:val="auto"/>
                <w:kern w:val="0"/>
                <w:sz w:val="21"/>
                <w:szCs w:val="21"/>
                <w:highlight w:val="none"/>
              </w:rPr>
              <w:t>有良好的免费培训计划、培训场地（供应商提供），定期回访的，同时</w:t>
            </w:r>
            <w:r>
              <w:rPr>
                <w:rFonts w:hint="eastAsia" w:ascii="宋体" w:hAnsi="宋体" w:cs="宋体"/>
                <w:color w:val="auto"/>
                <w:sz w:val="21"/>
                <w:szCs w:val="21"/>
                <w:highlight w:val="none"/>
              </w:rPr>
              <w:t>到达故障现场时间优于磋商文件要求</w:t>
            </w:r>
            <w:r>
              <w:rPr>
                <w:rFonts w:hint="eastAsia" w:ascii="宋体" w:hAnsi="宋体" w:cs="宋体"/>
                <w:color w:val="auto"/>
                <w:kern w:val="0"/>
                <w:sz w:val="21"/>
                <w:szCs w:val="21"/>
                <w:highlight w:val="none"/>
              </w:rPr>
              <w:t>，</w:t>
            </w:r>
            <w:r>
              <w:rPr>
                <w:rFonts w:hint="eastAsia" w:ascii="宋体" w:hAnsi="宋体" w:cs="宋体"/>
                <w:color w:val="auto"/>
                <w:sz w:val="21"/>
                <w:szCs w:val="21"/>
                <w:highlight w:val="none"/>
              </w:rPr>
              <w:t>有明确的项目实施保障措施，承诺有本地化售后服务措施等</w:t>
            </w:r>
            <w:r>
              <w:rPr>
                <w:rFonts w:hint="eastAsia" w:ascii="宋体" w:hAnsi="宋体" w:cs="宋体"/>
                <w:color w:val="auto"/>
                <w:kern w:val="0"/>
                <w:sz w:val="21"/>
                <w:szCs w:val="21"/>
                <w:highlight w:val="none"/>
              </w:rPr>
              <w:t>；</w:t>
            </w:r>
          </w:p>
          <w:p>
            <w:pPr>
              <w:widowControl/>
              <w:spacing w:line="37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三档（12分）：售后服务方案内容翔实，可行性强，科学合理，</w:t>
            </w:r>
            <w:r>
              <w:rPr>
                <w:rFonts w:hint="eastAsia" w:ascii="宋体" w:hAnsi="宋体" w:cs="宋体"/>
                <w:color w:val="auto"/>
                <w:kern w:val="0"/>
                <w:sz w:val="21"/>
                <w:szCs w:val="21"/>
                <w:highlight w:val="none"/>
              </w:rPr>
              <w:t>有优秀的免费培训计划、培训场地（供应商提供），定期回访的，同时</w:t>
            </w:r>
            <w:r>
              <w:rPr>
                <w:rFonts w:hint="eastAsia" w:ascii="宋体" w:hAnsi="宋体" w:cs="宋体"/>
                <w:color w:val="auto"/>
                <w:sz w:val="21"/>
                <w:szCs w:val="21"/>
                <w:highlight w:val="none"/>
              </w:rPr>
              <w:t>到达故障现场时间优于磋商文件要求</w:t>
            </w:r>
            <w:r>
              <w:rPr>
                <w:rFonts w:hint="eastAsia" w:ascii="宋体" w:hAnsi="宋体" w:cs="宋体"/>
                <w:color w:val="auto"/>
                <w:kern w:val="0"/>
                <w:sz w:val="21"/>
                <w:szCs w:val="21"/>
                <w:highlight w:val="none"/>
              </w:rPr>
              <w:t>，有具体</w:t>
            </w:r>
            <w:r>
              <w:rPr>
                <w:rFonts w:hint="eastAsia" w:ascii="宋体" w:hAnsi="宋体" w:cs="宋体"/>
                <w:color w:val="auto"/>
                <w:sz w:val="21"/>
                <w:szCs w:val="21"/>
                <w:highlight w:val="none"/>
              </w:rPr>
              <w:t>质保期外维修方案，</w:t>
            </w:r>
            <w:r>
              <w:rPr>
                <w:rFonts w:hint="eastAsia" w:ascii="宋体" w:hAnsi="宋体" w:cs="宋体"/>
                <w:color w:val="auto"/>
                <w:kern w:val="0"/>
                <w:sz w:val="21"/>
                <w:szCs w:val="21"/>
                <w:highlight w:val="none"/>
              </w:rPr>
              <w:t>保证售后服务工作有序进行，</w:t>
            </w:r>
            <w:r>
              <w:rPr>
                <w:rFonts w:hint="eastAsia" w:ascii="宋体" w:hAnsi="宋体" w:cs="宋体"/>
                <w:color w:val="auto"/>
                <w:sz w:val="21"/>
                <w:szCs w:val="21"/>
                <w:highlight w:val="none"/>
              </w:rPr>
              <w:t>优于采购要求，培训人员经验丰富、有明确可靠的项目实施保障措施，承诺有本地化售后服务且措施详细，合理等</w:t>
            </w:r>
            <w:r>
              <w:rPr>
                <w:rFonts w:hint="eastAsia" w:ascii="宋体" w:hAnsi="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tcBorders>
              <w:left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p>
        </w:tc>
        <w:tc>
          <w:tcPr>
            <w:tcW w:w="1320" w:type="dxa"/>
            <w:vMerge w:val="continue"/>
            <w:tcBorders>
              <w:left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p>
        </w:tc>
        <w:tc>
          <w:tcPr>
            <w:tcW w:w="1518" w:type="dxa"/>
            <w:tcBorders>
              <w:top w:val="single" w:color="auto" w:sz="4" w:space="0"/>
              <w:left w:val="single" w:color="auto" w:sz="4" w:space="0"/>
              <w:bottom w:val="single" w:color="auto" w:sz="4" w:space="0"/>
              <w:right w:val="single" w:color="auto" w:sz="4" w:space="0"/>
            </w:tcBorders>
            <w:vAlign w:val="center"/>
          </w:tcPr>
          <w:p>
            <w:pPr>
              <w:spacing w:line="410" w:lineRule="exact"/>
              <w:jc w:val="center"/>
              <w:rPr>
                <w:rFonts w:ascii="宋体" w:hAnsi="宋体" w:cs="宋体"/>
                <w:b/>
                <w:bCs/>
                <w:color w:val="auto"/>
                <w:szCs w:val="21"/>
                <w:highlight w:val="none"/>
              </w:rPr>
            </w:pPr>
            <w:r>
              <w:rPr>
                <w:rFonts w:hint="eastAsia" w:ascii="宋体" w:hAnsi="宋体" w:cs="宋体"/>
                <w:b/>
                <w:bCs/>
                <w:color w:val="auto"/>
                <w:szCs w:val="21"/>
                <w:highlight w:val="none"/>
              </w:rPr>
              <w:t>质保期</w:t>
            </w:r>
          </w:p>
          <w:p>
            <w:pPr>
              <w:adjustRightInd w:val="0"/>
              <w:spacing w:line="360" w:lineRule="exact"/>
              <w:jc w:val="center"/>
              <w:textAlignment w:val="baseline"/>
              <w:rPr>
                <w:rFonts w:ascii="宋体" w:hAnsi="宋体" w:cs="宋体"/>
                <w:color w:val="auto"/>
                <w:szCs w:val="21"/>
                <w:highlight w:val="none"/>
              </w:rPr>
            </w:pPr>
            <w:r>
              <w:rPr>
                <w:rFonts w:hint="eastAsia" w:ascii="宋体" w:hAnsi="宋体" w:cs="宋体"/>
                <w:color w:val="auto"/>
                <w:szCs w:val="21"/>
                <w:highlight w:val="none"/>
              </w:rPr>
              <w:t>（满分</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分）</w:t>
            </w:r>
          </w:p>
        </w:tc>
        <w:tc>
          <w:tcPr>
            <w:tcW w:w="6087" w:type="dxa"/>
            <w:tcBorders>
              <w:top w:val="single" w:color="auto" w:sz="4" w:space="0"/>
              <w:left w:val="single" w:color="auto" w:sz="4" w:space="0"/>
              <w:bottom w:val="single" w:color="auto" w:sz="4" w:space="0"/>
              <w:right w:val="single" w:color="auto" w:sz="4" w:space="0"/>
            </w:tcBorders>
            <w:vAlign w:val="center"/>
          </w:tcPr>
          <w:p>
            <w:pPr>
              <w:widowControl/>
              <w:spacing w:line="370" w:lineRule="exact"/>
              <w:ind w:firstLine="420" w:firstLineChars="200"/>
              <w:rPr>
                <w:rFonts w:ascii="宋体" w:hAnsi="宋体" w:cs="宋体"/>
                <w:color w:val="auto"/>
                <w:szCs w:val="21"/>
                <w:highlight w:val="none"/>
              </w:rPr>
            </w:pPr>
            <w:r>
              <w:rPr>
                <w:rFonts w:hint="eastAsia" w:ascii="宋体" w:hAnsi="宋体" w:cs="宋体"/>
                <w:bCs/>
                <w:color w:val="auto"/>
                <w:szCs w:val="21"/>
                <w:highlight w:val="none"/>
              </w:rPr>
              <w:t>响应文件中针对本项目采购内容承诺的质保期每超过磋商文件要求一年的，加</w:t>
            </w:r>
            <w:r>
              <w:rPr>
                <w:rFonts w:hint="eastAsia" w:ascii="宋体" w:hAnsi="宋体" w:cs="宋体"/>
                <w:color w:val="auto"/>
                <w:szCs w:val="21"/>
                <w:highlight w:val="none"/>
                <w:u w:val="single"/>
              </w:rPr>
              <w:t>1</w:t>
            </w:r>
            <w:r>
              <w:rPr>
                <w:rFonts w:hint="eastAsia" w:ascii="宋体" w:hAnsi="宋体" w:cs="宋体"/>
                <w:bCs/>
                <w:color w:val="auto"/>
                <w:szCs w:val="21"/>
                <w:highlight w:val="none"/>
              </w:rPr>
              <w:t>分</w:t>
            </w:r>
            <w:r>
              <w:rPr>
                <w:rFonts w:hint="eastAsia" w:ascii="宋体" w:hAnsi="宋体" w:cs="宋体"/>
                <w:color w:val="auto"/>
                <w:kern w:val="0"/>
                <w:szCs w:val="21"/>
                <w:highlight w:val="none"/>
              </w:rPr>
              <w:t>（以提供投标供应商保修服务承诺书为准）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tcBorders>
              <w:left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p>
        </w:tc>
        <w:tc>
          <w:tcPr>
            <w:tcW w:w="1320" w:type="dxa"/>
            <w:vMerge w:val="continue"/>
            <w:tcBorders>
              <w:left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p>
        </w:tc>
        <w:tc>
          <w:tcPr>
            <w:tcW w:w="151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cs="宋体"/>
                <w:b/>
                <w:bCs/>
                <w:color w:val="auto"/>
                <w:kern w:val="2"/>
                <w:sz w:val="21"/>
                <w:highlight w:val="none"/>
              </w:rPr>
            </w:pPr>
            <w:r>
              <w:rPr>
                <w:rFonts w:hint="eastAsia" w:hAnsi="宋体" w:cs="宋体"/>
                <w:b/>
                <w:bCs/>
                <w:color w:val="auto"/>
                <w:kern w:val="2"/>
                <w:sz w:val="21"/>
                <w:highlight w:val="none"/>
              </w:rPr>
              <w:t>备用机</w:t>
            </w:r>
          </w:p>
          <w:p>
            <w:pPr>
              <w:adjustRightInd w:val="0"/>
              <w:spacing w:line="360" w:lineRule="exact"/>
              <w:jc w:val="center"/>
              <w:textAlignment w:val="baseline"/>
              <w:rPr>
                <w:rFonts w:ascii="宋体" w:hAnsi="宋体" w:cs="宋体"/>
                <w:color w:val="auto"/>
                <w:szCs w:val="21"/>
                <w:highlight w:val="none"/>
              </w:rPr>
            </w:pPr>
            <w:r>
              <w:rPr>
                <w:rFonts w:hint="eastAsia" w:ascii="宋体" w:hAnsi="宋体" w:cs="宋体"/>
                <w:color w:val="auto"/>
                <w:highlight w:val="none"/>
              </w:rPr>
              <w:t>（满分</w:t>
            </w:r>
            <w:r>
              <w:rPr>
                <w:rFonts w:hint="eastAsia" w:ascii="宋体" w:hAnsi="宋体" w:cs="宋体"/>
                <w:color w:val="auto"/>
                <w:highlight w:val="none"/>
                <w:u w:val="single"/>
              </w:rPr>
              <w:t xml:space="preserve"> 2 </w:t>
            </w:r>
            <w:r>
              <w:rPr>
                <w:rFonts w:hint="eastAsia" w:ascii="宋体" w:hAnsi="宋体" w:cs="宋体"/>
                <w:color w:val="auto"/>
                <w:highlight w:val="none"/>
              </w:rPr>
              <w:t>分）</w:t>
            </w:r>
          </w:p>
        </w:tc>
        <w:tc>
          <w:tcPr>
            <w:tcW w:w="6087" w:type="dxa"/>
            <w:tcBorders>
              <w:top w:val="single" w:color="auto" w:sz="4" w:space="0"/>
              <w:left w:val="single" w:color="auto" w:sz="4" w:space="0"/>
              <w:bottom w:val="single" w:color="auto" w:sz="4" w:space="0"/>
              <w:right w:val="single" w:color="auto" w:sz="4" w:space="0"/>
            </w:tcBorders>
            <w:vAlign w:val="center"/>
          </w:tcPr>
          <w:p>
            <w:pPr>
              <w:widowControl/>
              <w:spacing w:line="370" w:lineRule="exact"/>
              <w:ind w:firstLine="420" w:firstLineChars="200"/>
              <w:rPr>
                <w:rFonts w:ascii="宋体" w:hAnsi="宋体" w:cs="宋体"/>
                <w:bCs/>
                <w:color w:val="auto"/>
                <w:szCs w:val="21"/>
                <w:highlight w:val="none"/>
              </w:rPr>
            </w:pPr>
            <w:r>
              <w:rPr>
                <w:rFonts w:hint="eastAsia" w:ascii="宋体" w:hAnsi="宋体" w:cs="宋体"/>
                <w:bCs/>
                <w:color w:val="auto"/>
                <w:highlight w:val="none"/>
              </w:rPr>
              <w:t>响应文件中针对本项目采购内容承诺在设备经维修后</w:t>
            </w:r>
            <w:r>
              <w:rPr>
                <w:rFonts w:hint="eastAsia" w:ascii="宋体" w:hAnsi="宋体" w:cs="宋体"/>
                <w:bCs/>
                <w:color w:val="auto"/>
                <w:highlight w:val="none"/>
                <w:u w:val="single"/>
              </w:rPr>
              <w:t xml:space="preserve"> 8 </w:t>
            </w:r>
            <w:r>
              <w:rPr>
                <w:rFonts w:hint="eastAsia" w:ascii="宋体" w:hAnsi="宋体" w:cs="宋体"/>
                <w:bCs/>
                <w:color w:val="auto"/>
                <w:highlight w:val="none"/>
              </w:rPr>
              <w:t>小时后仍不能正常使用，提供同等档次的备用机给采购人使用的，每台得</w:t>
            </w:r>
            <w:r>
              <w:rPr>
                <w:rFonts w:hint="eastAsia" w:ascii="宋体" w:hAnsi="宋体" w:cs="宋体"/>
                <w:color w:val="auto"/>
                <w:highlight w:val="none"/>
                <w:u w:val="single"/>
              </w:rPr>
              <w:t xml:space="preserve"> 0.5 </w:t>
            </w:r>
            <w:r>
              <w:rPr>
                <w:rFonts w:hint="eastAsia" w:ascii="宋体" w:hAnsi="宋体" w:cs="宋体"/>
                <w:bCs/>
                <w:color w:val="auto"/>
                <w:highlight w:val="none"/>
              </w:rPr>
              <w:t>分，满分</w:t>
            </w:r>
            <w:r>
              <w:rPr>
                <w:rFonts w:hint="eastAsia" w:ascii="宋体" w:hAnsi="宋体" w:cs="宋体"/>
                <w:color w:val="auto"/>
                <w:highlight w:val="none"/>
                <w:u w:val="single"/>
              </w:rPr>
              <w:t xml:space="preserve"> 2 </w:t>
            </w:r>
            <w:r>
              <w:rPr>
                <w:rFonts w:hint="eastAsia" w:ascii="宋体" w:hAnsi="宋体" w:cs="宋体"/>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vMerge w:val="continue"/>
            <w:tcBorders>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p>
        </w:tc>
        <w:tc>
          <w:tcPr>
            <w:tcW w:w="1320" w:type="dxa"/>
            <w:vMerge w:val="continue"/>
            <w:tcBorders>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p>
        </w:tc>
        <w:tc>
          <w:tcPr>
            <w:tcW w:w="151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cs="宋体"/>
                <w:b/>
                <w:bCs/>
                <w:color w:val="auto"/>
                <w:kern w:val="2"/>
                <w:sz w:val="21"/>
                <w:highlight w:val="none"/>
              </w:rPr>
            </w:pPr>
            <w:r>
              <w:rPr>
                <w:rFonts w:hint="eastAsia" w:hAnsi="宋体" w:cs="宋体"/>
                <w:b/>
                <w:bCs/>
                <w:color w:val="auto"/>
                <w:kern w:val="2"/>
                <w:sz w:val="21"/>
                <w:highlight w:val="none"/>
              </w:rPr>
              <w:t>保修期外</w:t>
            </w:r>
          </w:p>
          <w:p>
            <w:pPr>
              <w:pStyle w:val="12"/>
              <w:spacing w:line="360" w:lineRule="exact"/>
              <w:jc w:val="center"/>
              <w:rPr>
                <w:rFonts w:hAnsi="宋体" w:cs="宋体"/>
                <w:b/>
                <w:bCs/>
                <w:color w:val="auto"/>
                <w:kern w:val="2"/>
                <w:sz w:val="21"/>
                <w:highlight w:val="none"/>
              </w:rPr>
            </w:pPr>
            <w:r>
              <w:rPr>
                <w:rFonts w:hint="eastAsia" w:hAnsi="宋体" w:cs="宋体"/>
                <w:b/>
                <w:bCs/>
                <w:color w:val="auto"/>
                <w:kern w:val="2"/>
                <w:sz w:val="21"/>
                <w:highlight w:val="none"/>
              </w:rPr>
              <w:t>零配件</w:t>
            </w:r>
          </w:p>
          <w:p>
            <w:pPr>
              <w:adjustRightInd w:val="0"/>
              <w:spacing w:line="360" w:lineRule="exact"/>
              <w:jc w:val="center"/>
              <w:textAlignment w:val="baseline"/>
              <w:rPr>
                <w:rFonts w:ascii="宋体" w:hAnsi="宋体" w:cs="宋体"/>
                <w:color w:val="auto"/>
                <w:highlight w:val="none"/>
              </w:rPr>
            </w:pPr>
            <w:r>
              <w:rPr>
                <w:rFonts w:hint="eastAsia" w:ascii="宋体" w:hAnsi="宋体" w:cs="宋体"/>
                <w:color w:val="auto"/>
                <w:highlight w:val="none"/>
              </w:rPr>
              <w:t>（满分</w:t>
            </w:r>
            <w:r>
              <w:rPr>
                <w:rFonts w:hint="eastAsia" w:ascii="宋体" w:hAnsi="宋体" w:cs="宋体"/>
                <w:color w:val="auto"/>
                <w:highlight w:val="none"/>
                <w:u w:val="single"/>
              </w:rPr>
              <w:t xml:space="preserve"> 2 </w:t>
            </w:r>
            <w:r>
              <w:rPr>
                <w:rFonts w:hint="eastAsia" w:ascii="宋体" w:hAnsi="宋体" w:cs="宋体"/>
                <w:color w:val="auto"/>
                <w:highlight w:val="none"/>
              </w:rPr>
              <w:t>分）</w:t>
            </w:r>
          </w:p>
        </w:tc>
        <w:tc>
          <w:tcPr>
            <w:tcW w:w="6087" w:type="dxa"/>
            <w:tcBorders>
              <w:top w:val="single" w:color="auto" w:sz="4" w:space="0"/>
              <w:left w:val="single" w:color="auto" w:sz="4" w:space="0"/>
              <w:bottom w:val="single" w:color="auto" w:sz="4" w:space="0"/>
              <w:right w:val="single" w:color="auto" w:sz="4" w:space="0"/>
            </w:tcBorders>
            <w:vAlign w:val="center"/>
          </w:tcPr>
          <w:p>
            <w:pPr>
              <w:widowControl/>
              <w:spacing w:line="370" w:lineRule="exact"/>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响应文件中承诺在保修期外，零配件价格比投标报价每优惠1%得</w:t>
            </w:r>
            <w:r>
              <w:rPr>
                <w:rFonts w:hint="eastAsia" w:ascii="宋体" w:hAnsi="宋体" w:cs="宋体"/>
                <w:color w:val="auto"/>
                <w:sz w:val="21"/>
                <w:szCs w:val="21"/>
                <w:highlight w:val="none"/>
                <w:u w:val="single"/>
              </w:rPr>
              <w:t xml:space="preserve"> 0.5 </w:t>
            </w:r>
            <w:r>
              <w:rPr>
                <w:rFonts w:hint="eastAsia" w:ascii="宋体" w:hAnsi="宋体" w:cs="宋体"/>
                <w:bCs/>
                <w:color w:val="auto"/>
                <w:sz w:val="21"/>
                <w:szCs w:val="21"/>
                <w:highlight w:val="none"/>
              </w:rPr>
              <w:t>分，满分</w:t>
            </w:r>
            <w:r>
              <w:rPr>
                <w:rFonts w:hint="eastAsia" w:ascii="宋体" w:hAnsi="宋体" w:cs="宋体"/>
                <w:color w:val="auto"/>
                <w:sz w:val="21"/>
                <w:szCs w:val="21"/>
                <w:highlight w:val="none"/>
                <w:u w:val="single"/>
              </w:rPr>
              <w:t xml:space="preserve"> 2 </w:t>
            </w:r>
            <w:r>
              <w:rPr>
                <w:rFonts w:hint="eastAsia" w:ascii="宋体" w:hAnsi="宋体" w:cs="宋体"/>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5</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bCs/>
                <w:color w:val="auto"/>
                <w:highlight w:val="none"/>
              </w:rPr>
              <w:t>信誉及业绩分</w:t>
            </w:r>
            <w:r>
              <w:rPr>
                <w:rFonts w:hint="eastAsia" w:ascii="宋体" w:hAnsi="宋体" w:cs="宋体"/>
                <w:b/>
                <w:color w:val="auto"/>
                <w:szCs w:val="21"/>
                <w:highlight w:val="none"/>
              </w:rPr>
              <w:t>（满分10分）</w:t>
            </w:r>
          </w:p>
        </w:tc>
        <w:tc>
          <w:tcPr>
            <w:tcW w:w="15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color w:val="auto"/>
                <w:szCs w:val="21"/>
                <w:highlight w:val="none"/>
              </w:rPr>
            </w:pPr>
            <w:r>
              <w:rPr>
                <w:rFonts w:hint="eastAsia" w:ascii="宋体" w:hAnsi="宋体" w:cs="宋体"/>
                <w:b/>
                <w:bCs/>
                <w:color w:val="auto"/>
                <w:highlight w:val="none"/>
              </w:rPr>
              <w:t>信誉及业绩</w:t>
            </w:r>
          </w:p>
        </w:tc>
        <w:tc>
          <w:tcPr>
            <w:tcW w:w="6087" w:type="dxa"/>
            <w:tcBorders>
              <w:top w:val="single" w:color="auto" w:sz="4" w:space="0"/>
              <w:left w:val="single" w:color="auto" w:sz="4" w:space="0"/>
              <w:bottom w:val="single" w:color="auto" w:sz="4" w:space="0"/>
              <w:right w:val="single" w:color="auto" w:sz="4" w:space="0"/>
            </w:tcBorders>
            <w:vAlign w:val="center"/>
          </w:tcPr>
          <w:p>
            <w:pPr>
              <w:spacing w:line="370" w:lineRule="exact"/>
              <w:ind w:firstLine="283" w:firstLineChars="135"/>
              <w:rPr>
                <w:rFonts w:ascii="宋体" w:hAnsi="宋体" w:cs="宋体"/>
                <w:color w:val="auto"/>
                <w:sz w:val="21"/>
                <w:szCs w:val="21"/>
                <w:highlight w:val="none"/>
              </w:rPr>
            </w:pPr>
            <w:r>
              <w:rPr>
                <w:rFonts w:hint="eastAsia" w:ascii="宋体" w:hAnsi="宋体" w:cs="宋体"/>
                <w:color w:val="auto"/>
                <w:sz w:val="21"/>
                <w:szCs w:val="21"/>
                <w:highlight w:val="none"/>
              </w:rPr>
              <w:t>（1）投标产品的生产企业通过ISO9001质量管理体系认证、ISO14001环境管理体系认证、SA8000社会道德责任标准等证书的每一项得1分，满分3分。</w:t>
            </w:r>
          </w:p>
          <w:p>
            <w:pPr>
              <w:pStyle w:val="12"/>
              <w:spacing w:line="370" w:lineRule="exact"/>
              <w:ind w:firstLine="283" w:firstLineChars="135"/>
              <w:jc w:val="left"/>
              <w:rPr>
                <w:rFonts w:hAnsi="宋体" w:cs="宋体"/>
                <w:bCs/>
                <w:color w:val="auto"/>
                <w:sz w:val="21"/>
                <w:szCs w:val="21"/>
                <w:highlight w:val="none"/>
              </w:rPr>
            </w:pPr>
            <w:r>
              <w:rPr>
                <w:rFonts w:hint="eastAsia" w:hAnsi="宋体" w:cs="宋体"/>
                <w:color w:val="auto"/>
                <w:sz w:val="21"/>
                <w:szCs w:val="21"/>
                <w:highlight w:val="none"/>
              </w:rPr>
              <w:t>（2）供应商自2017年以来完成类似项目业绩的（响应文件中提供相关合同或中标通知书复印件</w:t>
            </w:r>
            <w:r>
              <w:rPr>
                <w:rFonts w:hint="eastAsia" w:hAnsi="宋体" w:cs="宋体"/>
                <w:bCs/>
                <w:color w:val="auto"/>
                <w:sz w:val="21"/>
                <w:szCs w:val="21"/>
                <w:highlight w:val="none"/>
                <w:lang w:val="zh-CN"/>
              </w:rPr>
              <w:t>，合同原件备查）。</w:t>
            </w:r>
            <w:r>
              <w:rPr>
                <w:rFonts w:hint="eastAsia" w:hAnsi="宋体" w:cs="宋体"/>
                <w:color w:val="auto"/>
                <w:sz w:val="21"/>
                <w:szCs w:val="21"/>
                <w:highlight w:val="none"/>
              </w:rPr>
              <w:t>每有一项得1分，</w:t>
            </w:r>
            <w:r>
              <w:rPr>
                <w:rFonts w:hint="eastAsia" w:hAnsi="宋体" w:cs="宋体"/>
                <w:bCs/>
                <w:color w:val="auto"/>
                <w:sz w:val="21"/>
                <w:szCs w:val="21"/>
                <w:highlight w:val="none"/>
                <w:lang w:val="zh-CN"/>
              </w:rPr>
              <w:t>满分</w:t>
            </w:r>
            <w:r>
              <w:rPr>
                <w:rFonts w:hint="eastAsia" w:hAnsi="宋体" w:cs="宋体"/>
                <w:bCs/>
                <w:color w:val="auto"/>
                <w:sz w:val="21"/>
                <w:szCs w:val="21"/>
                <w:highlight w:val="none"/>
              </w:rPr>
              <w:t>7</w:t>
            </w:r>
            <w:r>
              <w:rPr>
                <w:rFonts w:hint="eastAsia" w:hAnsi="宋体" w:cs="宋体"/>
                <w:bCs/>
                <w:color w:val="auto"/>
                <w:sz w:val="21"/>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6</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b/>
                <w:color w:val="auto"/>
                <w:szCs w:val="21"/>
                <w:highlight w:val="none"/>
              </w:rPr>
            </w:pPr>
            <w:r>
              <w:rPr>
                <w:rFonts w:hint="eastAsia" w:ascii="宋体" w:hAnsi="宋体" w:cs="宋体"/>
                <w:b/>
                <w:color w:val="auto"/>
                <w:szCs w:val="21"/>
                <w:highlight w:val="none"/>
              </w:rPr>
              <w:t>政策功能分（满分2分）</w:t>
            </w:r>
          </w:p>
        </w:tc>
        <w:tc>
          <w:tcPr>
            <w:tcW w:w="15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宋体" w:hAnsi="宋体" w:cs="宋体"/>
                <w:color w:val="auto"/>
                <w:szCs w:val="21"/>
                <w:highlight w:val="none"/>
              </w:rPr>
            </w:pPr>
            <w:r>
              <w:rPr>
                <w:rFonts w:hint="eastAsia" w:ascii="宋体" w:hAnsi="宋体" w:cs="宋体"/>
                <w:b/>
                <w:bCs/>
                <w:color w:val="auto"/>
                <w:szCs w:val="21"/>
                <w:highlight w:val="none"/>
              </w:rPr>
              <w:t>节能、环保及区内产品</w:t>
            </w:r>
          </w:p>
        </w:tc>
        <w:tc>
          <w:tcPr>
            <w:tcW w:w="608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rPr>
                <w:rFonts w:hAnsi="宋体" w:cs="宋体"/>
                <w:bCs/>
                <w:color w:val="auto"/>
                <w:kern w:val="2"/>
                <w:sz w:val="21"/>
                <w:szCs w:val="21"/>
                <w:highlight w:val="none"/>
              </w:rPr>
            </w:pPr>
            <w:r>
              <w:rPr>
                <w:rFonts w:hint="eastAsia" w:hAnsi="宋体" w:cs="宋体"/>
                <w:bCs/>
                <w:color w:val="auto"/>
                <w:kern w:val="2"/>
                <w:sz w:val="21"/>
                <w:szCs w:val="21"/>
                <w:highlight w:val="none"/>
              </w:rPr>
              <w:t>（1）属于财政部《节能产品政府采购品目清单》内优先采购（清单内未标注“★”的品目）的产品[响应文件中提供有效的认证证书复印件及品目清单（标注出投标产品在品目清单中所属的品目），并加盖供应商公章]，根据其所占项目（或分标）预算金额比例得0至</w:t>
            </w:r>
            <w:r>
              <w:rPr>
                <w:rFonts w:hint="eastAsia" w:hAnsi="宋体" w:cs="宋体"/>
                <w:bCs/>
                <w:color w:val="auto"/>
                <w:kern w:val="2"/>
                <w:sz w:val="21"/>
                <w:szCs w:val="21"/>
                <w:highlight w:val="none"/>
                <w:u w:val="single"/>
              </w:rPr>
              <w:t xml:space="preserve"> 1 </w:t>
            </w:r>
            <w:r>
              <w:rPr>
                <w:rFonts w:hint="eastAsia" w:hAnsi="宋体" w:cs="宋体"/>
                <w:bCs/>
                <w:color w:val="auto"/>
                <w:kern w:val="2"/>
                <w:sz w:val="21"/>
                <w:szCs w:val="21"/>
                <w:highlight w:val="none"/>
              </w:rPr>
              <w:t>分，满分</w:t>
            </w:r>
            <w:r>
              <w:rPr>
                <w:rFonts w:hint="eastAsia" w:hAnsi="宋体" w:cs="宋体"/>
                <w:bCs/>
                <w:color w:val="auto"/>
                <w:kern w:val="2"/>
                <w:sz w:val="21"/>
                <w:szCs w:val="21"/>
                <w:highlight w:val="none"/>
                <w:u w:val="single"/>
              </w:rPr>
              <w:t>1</w:t>
            </w:r>
            <w:r>
              <w:rPr>
                <w:rFonts w:hint="eastAsia" w:hAnsi="宋体" w:cs="宋体"/>
                <w:bCs/>
                <w:color w:val="auto"/>
                <w:kern w:val="2"/>
                <w:sz w:val="21"/>
                <w:szCs w:val="21"/>
                <w:highlight w:val="none"/>
              </w:rPr>
              <w:t>分。</w:t>
            </w:r>
          </w:p>
          <w:p>
            <w:pPr>
              <w:pStyle w:val="12"/>
              <w:spacing w:line="360" w:lineRule="exact"/>
              <w:rPr>
                <w:rFonts w:hAnsi="宋体" w:cs="宋体"/>
                <w:bCs/>
                <w:color w:val="auto"/>
                <w:kern w:val="2"/>
                <w:sz w:val="21"/>
                <w:szCs w:val="21"/>
                <w:highlight w:val="none"/>
              </w:rPr>
            </w:pPr>
            <w:r>
              <w:rPr>
                <w:rFonts w:hint="eastAsia" w:hAnsi="宋体" w:cs="宋体"/>
                <w:bCs/>
                <w:color w:val="auto"/>
                <w:kern w:val="2"/>
                <w:sz w:val="21"/>
                <w:szCs w:val="21"/>
                <w:highlight w:val="none"/>
              </w:rPr>
              <w:t>（2）属于财政部《环境标志产品政府采购品目清单》内的产品[响应文件中提供有效的认证证书复印件及品目清单（标注出投标产品在品目清单中所属的品目），并加盖供应商公章]，根据其所占项目（或分标）预算金额比例得0至</w:t>
            </w:r>
            <w:r>
              <w:rPr>
                <w:rFonts w:hint="eastAsia" w:hAnsi="宋体" w:cs="宋体"/>
                <w:bCs/>
                <w:color w:val="auto"/>
                <w:kern w:val="2"/>
                <w:sz w:val="21"/>
                <w:szCs w:val="21"/>
                <w:highlight w:val="none"/>
                <w:u w:val="single"/>
              </w:rPr>
              <w:t>1</w:t>
            </w:r>
            <w:r>
              <w:rPr>
                <w:rFonts w:hint="eastAsia" w:hAnsi="宋体" w:cs="宋体"/>
                <w:bCs/>
                <w:color w:val="auto"/>
                <w:kern w:val="2"/>
                <w:sz w:val="21"/>
                <w:szCs w:val="21"/>
                <w:highlight w:val="none"/>
              </w:rPr>
              <w:t>分，满分</w:t>
            </w:r>
            <w:r>
              <w:rPr>
                <w:rFonts w:hint="eastAsia" w:hAnsi="宋体" w:cs="宋体"/>
                <w:bCs/>
                <w:color w:val="auto"/>
                <w:kern w:val="2"/>
                <w:sz w:val="21"/>
                <w:szCs w:val="21"/>
                <w:highlight w:val="none"/>
                <w:u w:val="single"/>
              </w:rPr>
              <w:t>1</w:t>
            </w:r>
            <w:r>
              <w:rPr>
                <w:rFonts w:hint="eastAsia" w:hAnsi="宋体" w:cs="宋体"/>
                <w:bCs/>
                <w:color w:val="auto"/>
                <w:kern w:val="2"/>
                <w:sz w:val="21"/>
                <w:szCs w:val="21"/>
                <w:highlight w:val="none"/>
              </w:rPr>
              <w:t>分；</w:t>
            </w:r>
          </w:p>
          <w:p>
            <w:pPr>
              <w:pStyle w:val="12"/>
              <w:spacing w:line="340" w:lineRule="exact"/>
              <w:rPr>
                <w:rFonts w:hAnsi="宋体" w:cs="宋体"/>
                <w:bCs/>
                <w:color w:val="auto"/>
                <w:sz w:val="21"/>
                <w:szCs w:val="21"/>
                <w:highlight w:val="none"/>
              </w:rPr>
            </w:pPr>
            <w:r>
              <w:rPr>
                <w:rFonts w:hint="eastAsia" w:hAnsi="宋体" w:cs="宋体"/>
                <w:bCs/>
                <w:color w:val="auto"/>
                <w:kern w:val="2"/>
                <w:sz w:val="21"/>
                <w:szCs w:val="21"/>
                <w:highlight w:val="none"/>
              </w:rPr>
              <w:t>（3）非节能、环境标志产品的不得分。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450" w:type="dxa"/>
            <w:gridSpan w:val="4"/>
            <w:tcBorders>
              <w:top w:val="single" w:color="auto" w:sz="4" w:space="0"/>
              <w:left w:val="single" w:color="auto" w:sz="4" w:space="0"/>
              <w:bottom w:val="single" w:color="auto" w:sz="4" w:space="0"/>
              <w:right w:val="single" w:color="auto" w:sz="4" w:space="0"/>
            </w:tcBorders>
            <w:vAlign w:val="center"/>
          </w:tcPr>
          <w:p>
            <w:pPr>
              <w:pStyle w:val="12"/>
              <w:spacing w:line="360" w:lineRule="exact"/>
              <w:ind w:firstLine="420"/>
              <w:rPr>
                <w:rFonts w:hAnsi="宋体" w:cs="宋体"/>
                <w:bCs/>
                <w:color w:val="auto"/>
                <w:highlight w:val="none"/>
              </w:rPr>
            </w:pPr>
            <w:r>
              <w:rPr>
                <w:rFonts w:hint="eastAsia" w:hAnsi="宋体" w:cs="宋体"/>
                <w:b/>
                <w:bCs/>
                <w:color w:val="auto"/>
                <w:sz w:val="21"/>
                <w:szCs w:val="21"/>
                <w:highlight w:val="none"/>
              </w:rPr>
              <w:t>总得分=1+2+3+4+5+6。</w:t>
            </w:r>
          </w:p>
        </w:tc>
      </w:tr>
    </w:tbl>
    <w:p>
      <w:pPr>
        <w:spacing w:line="400" w:lineRule="exact"/>
        <w:ind w:firstLine="422" w:firstLineChars="200"/>
        <w:rPr>
          <w:rFonts w:ascii="宋体" w:hAnsi="宋体" w:cs="宋体"/>
          <w:b/>
          <w:color w:val="auto"/>
          <w:highlight w:val="none"/>
        </w:rPr>
      </w:pPr>
    </w:p>
    <w:p>
      <w:pPr>
        <w:spacing w:line="400" w:lineRule="exact"/>
        <w:ind w:firstLine="422" w:firstLineChars="200"/>
        <w:rPr>
          <w:rFonts w:ascii="宋体" w:hAnsi="宋体" w:cs="宋体"/>
          <w:b/>
          <w:color w:val="auto"/>
          <w:highlight w:val="none"/>
        </w:rPr>
      </w:pPr>
      <w:r>
        <w:rPr>
          <w:rFonts w:hint="eastAsia" w:ascii="宋体" w:hAnsi="宋体" w:cs="宋体"/>
          <w:b/>
          <w:color w:val="auto"/>
          <w:highlight w:val="none"/>
        </w:rPr>
        <w:t>三、成交候选人推荐原则</w:t>
      </w:r>
    </w:p>
    <w:p>
      <w:pPr>
        <w:spacing w:line="400" w:lineRule="exact"/>
        <w:ind w:firstLine="420" w:firstLineChars="200"/>
        <w:rPr>
          <w:rFonts w:ascii="宋体" w:hAnsi="宋体" w:cs="宋体"/>
          <w:color w:val="auto"/>
          <w:szCs w:val="21"/>
          <w:highlight w:val="none"/>
        </w:rPr>
      </w:pPr>
      <w:r>
        <w:rPr>
          <w:rFonts w:hint="eastAsia" w:ascii="宋体" w:hAnsi="宋体" w:cs="宋体"/>
          <w:bCs/>
          <w:color w:val="auto"/>
          <w:szCs w:val="21"/>
          <w:highlight w:val="none"/>
        </w:rPr>
        <w:t>28.由磋商小组根据综合评分情况，按照评审得分由高到低顺序推荐3名以上成交候选供应商，并编写评审报告。符合本章第16条情形的，可以推荐2家成交候选供应商。评审得分相同的，按照最后报价（不计算价格折扣）由低到高的顺序推荐。评审得分且最后报价（不计算价格折扣）相同的，按照技术指标优劣顺序推荐（按技术得分由高到低排序，技术得分相同的按照技术需求偏离分由高到低排序）。评审得分、最后报价（不计算价格折扣）、技术得分、技术需求偏离分均相同的，由磋商小组随机抽取推荐。</w:t>
      </w:r>
    </w:p>
    <w:p>
      <w:pPr>
        <w:spacing w:line="400" w:lineRule="exact"/>
        <w:ind w:firstLine="420" w:firstLineChars="200"/>
        <w:rPr>
          <w:rFonts w:ascii="宋体" w:hAnsi="宋体" w:cs="宋体"/>
          <w:color w:val="auto"/>
          <w:highlight w:val="none"/>
        </w:rPr>
      </w:pPr>
    </w:p>
    <w:p>
      <w:pPr>
        <w:spacing w:line="400" w:lineRule="exact"/>
        <w:ind w:firstLine="420" w:firstLineChars="200"/>
        <w:rPr>
          <w:rFonts w:ascii="宋体" w:hAnsi="宋体" w:cs="宋体"/>
          <w:color w:val="auto"/>
          <w:highlight w:val="none"/>
        </w:rPr>
      </w:pPr>
    </w:p>
    <w:p>
      <w:pPr>
        <w:pStyle w:val="2"/>
        <w:rPr>
          <w:rFonts w:ascii="宋体" w:hAnsi="宋体" w:cs="宋体"/>
          <w:color w:val="auto"/>
          <w:highlight w:val="none"/>
        </w:rPr>
      </w:pPr>
    </w:p>
    <w:p>
      <w:pPr>
        <w:pStyle w:val="2"/>
        <w:jc w:val="center"/>
        <w:rPr>
          <w:rFonts w:ascii="宋体" w:hAnsi="宋体" w:cs="宋体"/>
          <w:color w:val="auto"/>
          <w:highlight w:val="none"/>
        </w:rPr>
      </w:pPr>
      <w:r>
        <w:rPr>
          <w:rFonts w:hint="eastAsia" w:ascii="宋体" w:hAnsi="宋体" w:cs="宋体"/>
          <w:color w:val="auto"/>
          <w:highlight w:val="none"/>
        </w:rPr>
        <w:br w:type="page"/>
      </w:r>
      <w:bookmarkStart w:id="70" w:name="_Toc44229897"/>
      <w:r>
        <w:rPr>
          <w:rFonts w:hint="eastAsia" w:ascii="宋体" w:hAnsi="宋体" w:cs="宋体"/>
          <w:color w:val="auto"/>
          <w:highlight w:val="none"/>
        </w:rPr>
        <w:t>第五章 响应文件格式</w:t>
      </w:r>
      <w:bookmarkEnd w:id="70"/>
    </w:p>
    <w:p>
      <w:pPr>
        <w:spacing w:line="240" w:lineRule="atLeast"/>
        <w:rPr>
          <w:rFonts w:ascii="宋体" w:hAnsi="宋体" w:cs="宋体"/>
          <w:b/>
          <w:color w:val="auto"/>
          <w:sz w:val="32"/>
          <w:szCs w:val="32"/>
          <w:highlight w:val="none"/>
        </w:rPr>
      </w:pPr>
    </w:p>
    <w:p>
      <w:pPr>
        <w:snapToGrid w:val="0"/>
        <w:spacing w:before="50" w:after="50"/>
        <w:outlineLvl w:val="1"/>
        <w:rPr>
          <w:rFonts w:ascii="宋体" w:hAnsi="宋体" w:cs="宋体"/>
          <w:b/>
          <w:bCs/>
          <w:color w:val="auto"/>
          <w:sz w:val="24"/>
          <w:highlight w:val="none"/>
        </w:rPr>
      </w:pPr>
    </w:p>
    <w:p>
      <w:pPr>
        <w:snapToGrid w:val="0"/>
        <w:spacing w:before="50" w:after="50"/>
        <w:outlineLvl w:val="1"/>
        <w:rPr>
          <w:rFonts w:ascii="宋体" w:hAnsi="宋体" w:cs="宋体"/>
          <w:b/>
          <w:bCs/>
          <w:color w:val="auto"/>
          <w:sz w:val="32"/>
          <w:szCs w:val="32"/>
          <w:highlight w:val="none"/>
        </w:rPr>
      </w:pPr>
      <w:bookmarkStart w:id="71" w:name="_Toc44229898"/>
      <w:r>
        <w:rPr>
          <w:rFonts w:hint="eastAsia" w:ascii="宋体" w:hAnsi="宋体" w:cs="宋体"/>
          <w:b/>
          <w:color w:val="auto"/>
          <w:sz w:val="32"/>
          <w:szCs w:val="32"/>
          <w:highlight w:val="none"/>
        </w:rPr>
        <w:t>（</w:t>
      </w:r>
      <w:bookmarkStart w:id="72" w:name="_Toc35611437"/>
      <w:bookmarkStart w:id="73" w:name="_Toc35611515"/>
      <w:r>
        <w:rPr>
          <w:rFonts w:hint="eastAsia" w:ascii="宋体" w:hAnsi="宋体" w:cs="宋体"/>
          <w:b/>
          <w:bCs/>
          <w:color w:val="auto"/>
          <w:sz w:val="32"/>
          <w:szCs w:val="32"/>
          <w:highlight w:val="none"/>
        </w:rPr>
        <w:t>响应文件外层包装封面格式</w:t>
      </w:r>
      <w:bookmarkEnd w:id="72"/>
      <w:bookmarkEnd w:id="73"/>
      <w:r>
        <w:rPr>
          <w:rFonts w:hint="eastAsia" w:ascii="宋体" w:hAnsi="宋体" w:cs="宋体"/>
          <w:b/>
          <w:color w:val="auto"/>
          <w:sz w:val="32"/>
          <w:szCs w:val="32"/>
          <w:highlight w:val="none"/>
        </w:rPr>
        <w:t xml:space="preserve"> ）</w:t>
      </w:r>
      <w:bookmarkEnd w:id="71"/>
    </w:p>
    <w:p>
      <w:pPr>
        <w:snapToGrid w:val="0"/>
        <w:spacing w:beforeLines="50" w:after="50"/>
        <w:rPr>
          <w:rFonts w:ascii="宋体" w:hAnsi="宋体" w:cs="宋体"/>
          <w:color w:val="auto"/>
          <w:sz w:val="24"/>
          <w:szCs w:val="20"/>
          <w:highlight w:val="none"/>
        </w:rPr>
      </w:pPr>
    </w:p>
    <w:p>
      <w:pPr>
        <w:snapToGrid w:val="0"/>
        <w:spacing w:beforeLines="50" w:after="50"/>
        <w:jc w:val="center"/>
        <w:rPr>
          <w:rFonts w:ascii="宋体" w:hAnsi="宋体" w:cs="宋体"/>
          <w:bCs/>
          <w:color w:val="auto"/>
          <w:sz w:val="24"/>
          <w:szCs w:val="20"/>
          <w:highlight w:val="none"/>
        </w:rPr>
      </w:pPr>
    </w:p>
    <w:p>
      <w:pPr>
        <w:snapToGrid w:val="0"/>
        <w:spacing w:beforeLines="50" w:after="50"/>
        <w:jc w:val="center"/>
        <w:rPr>
          <w:rFonts w:ascii="宋体" w:hAnsi="宋体" w:cs="宋体"/>
          <w:bCs/>
          <w:color w:val="auto"/>
          <w:sz w:val="44"/>
          <w:szCs w:val="44"/>
          <w:highlight w:val="none"/>
        </w:rPr>
      </w:pPr>
      <w:r>
        <w:rPr>
          <w:rFonts w:hint="eastAsia" w:ascii="宋体" w:hAnsi="宋体" w:cs="宋体"/>
          <w:bCs/>
          <w:color w:val="auto"/>
          <w:sz w:val="44"/>
          <w:szCs w:val="44"/>
          <w:highlight w:val="none"/>
        </w:rPr>
        <w:t>响  应  文  件</w:t>
      </w:r>
    </w:p>
    <w:p>
      <w:pPr>
        <w:snapToGrid w:val="0"/>
        <w:spacing w:beforeLines="50" w:after="50"/>
        <w:rPr>
          <w:rFonts w:ascii="宋体" w:hAnsi="宋体" w:cs="宋体"/>
          <w:bCs/>
          <w:color w:val="auto"/>
          <w:sz w:val="24"/>
          <w:szCs w:val="20"/>
          <w:highlight w:val="none"/>
        </w:rPr>
      </w:pPr>
    </w:p>
    <w:p>
      <w:pPr>
        <w:snapToGrid w:val="0"/>
        <w:spacing w:beforeLines="50" w:after="50"/>
        <w:rPr>
          <w:rFonts w:ascii="宋体" w:hAnsi="宋体" w:cs="宋体"/>
          <w:bCs/>
          <w:color w:val="auto"/>
          <w:sz w:val="24"/>
          <w:szCs w:val="20"/>
          <w:highlight w:val="none"/>
        </w:rPr>
      </w:pPr>
    </w:p>
    <w:p>
      <w:pPr>
        <w:snapToGrid w:val="0"/>
        <w:spacing w:beforeLines="50" w:after="50"/>
        <w:rPr>
          <w:rFonts w:ascii="宋体" w:hAnsi="宋体" w:cs="宋体"/>
          <w:bCs/>
          <w:color w:val="auto"/>
          <w:sz w:val="32"/>
          <w:szCs w:val="32"/>
          <w:highlight w:val="none"/>
        </w:rPr>
      </w:pPr>
    </w:p>
    <w:p>
      <w:pPr>
        <w:snapToGrid w:val="0"/>
        <w:spacing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项目名称：</w:t>
      </w:r>
    </w:p>
    <w:p>
      <w:pPr>
        <w:snapToGrid w:val="0"/>
        <w:spacing w:beforeLines="50" w:after="50"/>
        <w:ind w:firstLine="480" w:firstLineChars="150"/>
        <w:rPr>
          <w:rFonts w:ascii="宋体" w:hAnsi="宋体" w:cs="宋体"/>
          <w:bCs/>
          <w:color w:val="auto"/>
          <w:sz w:val="32"/>
          <w:szCs w:val="32"/>
          <w:highlight w:val="none"/>
        </w:rPr>
      </w:pPr>
    </w:p>
    <w:p>
      <w:pPr>
        <w:snapToGrid w:val="0"/>
        <w:spacing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项目编号：</w:t>
      </w:r>
    </w:p>
    <w:p>
      <w:pPr>
        <w:snapToGrid w:val="0"/>
        <w:spacing w:beforeLines="50" w:after="50"/>
        <w:ind w:firstLine="480" w:firstLineChars="150"/>
        <w:rPr>
          <w:rFonts w:ascii="宋体" w:hAnsi="宋体" w:cs="宋体"/>
          <w:bCs/>
          <w:color w:val="auto"/>
          <w:sz w:val="32"/>
          <w:szCs w:val="32"/>
          <w:highlight w:val="none"/>
        </w:rPr>
      </w:pPr>
    </w:p>
    <w:p>
      <w:pPr>
        <w:snapToGrid w:val="0"/>
        <w:spacing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所竞分标（如有则填写，无分标时填写“无”或留空）：</w:t>
      </w:r>
    </w:p>
    <w:p>
      <w:pPr>
        <w:snapToGrid w:val="0"/>
        <w:spacing w:beforeLines="50" w:after="50"/>
        <w:rPr>
          <w:rFonts w:ascii="宋体" w:hAnsi="宋体" w:cs="宋体"/>
          <w:bCs/>
          <w:color w:val="auto"/>
          <w:sz w:val="32"/>
          <w:szCs w:val="32"/>
          <w:highlight w:val="none"/>
        </w:rPr>
      </w:pPr>
    </w:p>
    <w:p>
      <w:pPr>
        <w:snapToGrid w:val="0"/>
        <w:spacing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供应商名称：</w:t>
      </w:r>
    </w:p>
    <w:p>
      <w:pPr>
        <w:snapToGrid w:val="0"/>
        <w:spacing w:beforeLines="50" w:after="50"/>
        <w:rPr>
          <w:rFonts w:ascii="宋体" w:hAnsi="宋体" w:cs="宋体"/>
          <w:bCs/>
          <w:color w:val="auto"/>
          <w:sz w:val="32"/>
          <w:szCs w:val="32"/>
          <w:highlight w:val="none"/>
        </w:rPr>
      </w:pPr>
    </w:p>
    <w:p>
      <w:pPr>
        <w:snapToGrid w:val="0"/>
        <w:spacing w:beforeLines="50" w:after="50"/>
        <w:ind w:firstLine="480" w:firstLineChars="150"/>
        <w:jc w:val="center"/>
        <w:rPr>
          <w:rFonts w:ascii="宋体" w:hAnsi="宋体" w:cs="宋体"/>
          <w:bCs/>
          <w:color w:val="auto"/>
          <w:sz w:val="32"/>
          <w:szCs w:val="32"/>
          <w:highlight w:val="none"/>
        </w:rPr>
      </w:pPr>
      <w:r>
        <w:rPr>
          <w:rFonts w:hint="eastAsia" w:ascii="宋体" w:hAnsi="宋体" w:cs="宋体"/>
          <w:bCs/>
          <w:color w:val="auto"/>
          <w:sz w:val="32"/>
          <w:szCs w:val="32"/>
          <w:highlight w:val="none"/>
        </w:rPr>
        <w:t>首次响应文件提交截止时间前不得启封</w:t>
      </w:r>
    </w:p>
    <w:p>
      <w:pPr>
        <w:snapToGrid w:val="0"/>
        <w:spacing w:beforeLines="50" w:after="50"/>
        <w:ind w:firstLine="5440" w:firstLineChars="1700"/>
        <w:jc w:val="center"/>
        <w:rPr>
          <w:rFonts w:ascii="宋体" w:hAnsi="宋体" w:cs="宋体"/>
          <w:bCs/>
          <w:color w:val="auto"/>
          <w:sz w:val="32"/>
          <w:szCs w:val="32"/>
          <w:highlight w:val="none"/>
        </w:rPr>
      </w:pPr>
    </w:p>
    <w:p>
      <w:pPr>
        <w:snapToGrid w:val="0"/>
        <w:spacing w:beforeLines="50" w:after="50"/>
        <w:ind w:firstLine="645"/>
        <w:jc w:val="center"/>
        <w:rPr>
          <w:rFonts w:ascii="宋体" w:hAnsi="宋体" w:cs="宋体"/>
          <w:bCs/>
          <w:color w:val="auto"/>
          <w:sz w:val="32"/>
          <w:szCs w:val="32"/>
          <w:highlight w:val="none"/>
        </w:rPr>
      </w:pPr>
      <w:r>
        <w:rPr>
          <w:rFonts w:hint="eastAsia" w:ascii="宋体" w:hAnsi="宋体" w:cs="宋体"/>
          <w:bCs/>
          <w:color w:val="auto"/>
          <w:sz w:val="32"/>
          <w:szCs w:val="32"/>
          <w:highlight w:val="none"/>
        </w:rPr>
        <w:t>年    月    日</w:t>
      </w:r>
    </w:p>
    <w:p>
      <w:pPr>
        <w:spacing w:line="240" w:lineRule="atLeast"/>
        <w:rPr>
          <w:rFonts w:ascii="宋体" w:hAnsi="宋体" w:cs="宋体"/>
          <w:bCs/>
          <w:color w:val="auto"/>
          <w:sz w:val="32"/>
          <w:szCs w:val="32"/>
          <w:highlight w:val="none"/>
        </w:rPr>
      </w:pPr>
      <w:r>
        <w:rPr>
          <w:rFonts w:hint="eastAsia" w:ascii="宋体" w:hAnsi="宋体" w:cs="宋体"/>
          <w:bCs/>
          <w:color w:val="auto"/>
          <w:sz w:val="24"/>
          <w:highlight w:val="none"/>
        </w:rPr>
        <w:br w:type="page"/>
      </w:r>
      <w:r>
        <w:rPr>
          <w:rFonts w:hint="eastAsia" w:ascii="宋体" w:hAnsi="宋体" w:cs="宋体"/>
          <w:b/>
          <w:bCs/>
          <w:color w:val="auto"/>
          <w:sz w:val="32"/>
          <w:szCs w:val="32"/>
          <w:highlight w:val="none"/>
        </w:rPr>
        <w:t>（响应文件封面格式）</w:t>
      </w:r>
    </w:p>
    <w:p>
      <w:pPr>
        <w:spacing w:line="240" w:lineRule="atLeast"/>
        <w:jc w:val="center"/>
        <w:rPr>
          <w:rFonts w:ascii="宋体" w:hAnsi="宋体" w:cs="宋体"/>
          <w:bCs/>
          <w:color w:val="auto"/>
          <w:sz w:val="24"/>
          <w:highlight w:val="none"/>
        </w:rPr>
      </w:pPr>
    </w:p>
    <w:p>
      <w:pPr>
        <w:spacing w:line="240" w:lineRule="atLeast"/>
        <w:jc w:val="center"/>
        <w:rPr>
          <w:rFonts w:ascii="宋体" w:hAnsi="宋体" w:cs="宋体"/>
          <w:bCs/>
          <w:color w:val="auto"/>
          <w:sz w:val="24"/>
          <w:highlight w:val="none"/>
        </w:rPr>
      </w:pPr>
    </w:p>
    <w:p>
      <w:pPr>
        <w:spacing w:line="240" w:lineRule="atLeast"/>
        <w:jc w:val="center"/>
        <w:rPr>
          <w:rFonts w:ascii="宋体" w:hAnsi="宋体" w:cs="宋体"/>
          <w:bCs/>
          <w:color w:val="auto"/>
          <w:sz w:val="24"/>
          <w:highlight w:val="none"/>
        </w:rPr>
      </w:pPr>
    </w:p>
    <w:p>
      <w:pPr>
        <w:spacing w:line="240" w:lineRule="atLeast"/>
        <w:jc w:val="center"/>
        <w:rPr>
          <w:rFonts w:ascii="宋体" w:hAnsi="宋体" w:cs="宋体"/>
          <w:bCs/>
          <w:color w:val="auto"/>
          <w:sz w:val="44"/>
          <w:szCs w:val="44"/>
          <w:highlight w:val="none"/>
        </w:rPr>
      </w:pPr>
    </w:p>
    <w:p>
      <w:pPr>
        <w:spacing w:line="240" w:lineRule="atLeast"/>
        <w:jc w:val="center"/>
        <w:rPr>
          <w:rFonts w:ascii="宋体" w:hAnsi="宋体" w:cs="宋体"/>
          <w:bCs/>
          <w:color w:val="auto"/>
          <w:sz w:val="44"/>
          <w:szCs w:val="44"/>
          <w:highlight w:val="none"/>
        </w:rPr>
      </w:pPr>
    </w:p>
    <w:p>
      <w:pPr>
        <w:spacing w:line="240" w:lineRule="atLeast"/>
        <w:jc w:val="center"/>
        <w:rPr>
          <w:rFonts w:ascii="宋体" w:hAnsi="宋体" w:cs="宋体"/>
          <w:b/>
          <w:color w:val="auto"/>
          <w:sz w:val="32"/>
          <w:szCs w:val="32"/>
          <w:highlight w:val="none"/>
        </w:rPr>
      </w:pPr>
      <w:r>
        <w:rPr>
          <w:rFonts w:hint="eastAsia" w:ascii="宋体" w:hAnsi="宋体" w:cs="宋体"/>
          <w:bCs/>
          <w:color w:val="auto"/>
          <w:sz w:val="44"/>
          <w:szCs w:val="44"/>
          <w:highlight w:val="none"/>
        </w:rPr>
        <w:t>响  应  文  件</w:t>
      </w:r>
      <w:r>
        <w:rPr>
          <w:rFonts w:hint="eastAsia" w:ascii="宋体" w:hAnsi="宋体" w:cs="宋体"/>
          <w:color w:val="auto"/>
          <w:szCs w:val="21"/>
          <w:highlight w:val="none"/>
        </w:rPr>
        <w:t>(封面)</w:t>
      </w:r>
    </w:p>
    <w:p>
      <w:pPr>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p>
    <w:p>
      <w:pPr>
        <w:spacing w:line="360" w:lineRule="auto"/>
        <w:jc w:val="left"/>
        <w:rPr>
          <w:rFonts w:ascii="宋体" w:hAnsi="宋体" w:cs="宋体"/>
          <w:color w:val="auto"/>
          <w:sz w:val="32"/>
          <w:szCs w:val="32"/>
          <w:highlight w:val="none"/>
        </w:rPr>
      </w:pPr>
    </w:p>
    <w:p>
      <w:pPr>
        <w:spacing w:line="360" w:lineRule="auto"/>
        <w:ind w:firstLine="640" w:firstLineChars="200"/>
        <w:jc w:val="left"/>
        <w:rPr>
          <w:rFonts w:ascii="宋体" w:hAnsi="宋体" w:cs="宋体"/>
          <w:color w:val="auto"/>
          <w:sz w:val="32"/>
          <w:szCs w:val="32"/>
          <w:highlight w:val="none"/>
          <w:u w:val="single"/>
        </w:rPr>
      </w:pPr>
      <w:r>
        <w:rPr>
          <w:rFonts w:hint="eastAsia" w:ascii="宋体" w:hAnsi="宋体" w:cs="宋体"/>
          <w:color w:val="auto"/>
          <w:sz w:val="32"/>
          <w:szCs w:val="32"/>
          <w:highlight w:val="none"/>
        </w:rPr>
        <w:t>项目编号：</w:t>
      </w:r>
    </w:p>
    <w:p>
      <w:pPr>
        <w:tabs>
          <w:tab w:val="left" w:pos="3240"/>
        </w:tabs>
        <w:spacing w:line="360" w:lineRule="auto"/>
        <w:ind w:firstLine="640" w:firstLineChars="200"/>
        <w:jc w:val="left"/>
        <w:rPr>
          <w:rFonts w:ascii="宋体" w:hAnsi="宋体" w:cs="宋体"/>
          <w:color w:val="auto"/>
          <w:sz w:val="32"/>
          <w:szCs w:val="32"/>
          <w:highlight w:val="none"/>
          <w:u w:val="single"/>
        </w:rPr>
      </w:pPr>
      <w:r>
        <w:rPr>
          <w:rFonts w:hint="eastAsia" w:ascii="宋体" w:hAnsi="宋体" w:cs="宋体"/>
          <w:color w:val="auto"/>
          <w:sz w:val="32"/>
          <w:szCs w:val="32"/>
          <w:highlight w:val="none"/>
        </w:rPr>
        <w:t>项目名称：</w:t>
      </w:r>
    </w:p>
    <w:p>
      <w:pPr>
        <w:spacing w:line="360" w:lineRule="auto"/>
        <w:ind w:firstLine="640" w:firstLineChars="200"/>
        <w:jc w:val="left"/>
        <w:rPr>
          <w:rFonts w:ascii="宋体" w:hAnsi="宋体" w:cs="宋体"/>
          <w:color w:val="auto"/>
          <w:sz w:val="32"/>
          <w:szCs w:val="32"/>
          <w:highlight w:val="none"/>
          <w:u w:val="single"/>
        </w:rPr>
      </w:pPr>
      <w:r>
        <w:rPr>
          <w:rFonts w:hint="eastAsia" w:ascii="宋体" w:hAnsi="宋体" w:cs="宋体"/>
          <w:color w:val="auto"/>
          <w:sz w:val="32"/>
          <w:szCs w:val="32"/>
          <w:highlight w:val="none"/>
        </w:rPr>
        <w:t>所竞分标</w:t>
      </w:r>
      <w:r>
        <w:rPr>
          <w:rFonts w:hint="eastAsia" w:ascii="宋体" w:hAnsi="宋体" w:cs="宋体"/>
          <w:bCs/>
          <w:color w:val="auto"/>
          <w:sz w:val="32"/>
          <w:szCs w:val="32"/>
          <w:highlight w:val="none"/>
        </w:rPr>
        <w:t>（如有则填写，无分标时填写“无”或留空）</w:t>
      </w:r>
      <w:r>
        <w:rPr>
          <w:rFonts w:hint="eastAsia" w:ascii="宋体" w:hAnsi="宋体" w:cs="宋体"/>
          <w:color w:val="auto"/>
          <w:sz w:val="32"/>
          <w:szCs w:val="32"/>
          <w:highlight w:val="none"/>
        </w:rPr>
        <w:t>：</w:t>
      </w:r>
    </w:p>
    <w:p>
      <w:pPr>
        <w:spacing w:line="360" w:lineRule="auto"/>
        <w:ind w:firstLine="640" w:firstLineChars="200"/>
        <w:jc w:val="left"/>
        <w:rPr>
          <w:rFonts w:ascii="宋体" w:hAnsi="宋体" w:cs="宋体"/>
          <w:color w:val="auto"/>
          <w:sz w:val="32"/>
          <w:szCs w:val="32"/>
          <w:highlight w:val="none"/>
          <w:u w:val="single"/>
        </w:rPr>
      </w:pPr>
      <w:r>
        <w:rPr>
          <w:rFonts w:hint="eastAsia" w:ascii="宋体" w:hAnsi="宋体" w:cs="宋体"/>
          <w:color w:val="auto"/>
          <w:sz w:val="32"/>
          <w:szCs w:val="32"/>
          <w:highlight w:val="none"/>
        </w:rPr>
        <w:t>供应商名称：</w:t>
      </w:r>
    </w:p>
    <w:p>
      <w:pPr>
        <w:snapToGrid w:val="0"/>
        <w:spacing w:beforeLines="50" w:after="50"/>
        <w:rPr>
          <w:rFonts w:ascii="宋体" w:hAnsi="宋体" w:cs="宋体"/>
          <w:color w:val="auto"/>
          <w:sz w:val="32"/>
          <w:szCs w:val="32"/>
          <w:highlight w:val="none"/>
        </w:rPr>
      </w:pPr>
    </w:p>
    <w:p>
      <w:pPr>
        <w:snapToGrid w:val="0"/>
        <w:spacing w:beforeLines="50" w:after="50"/>
        <w:rPr>
          <w:rFonts w:ascii="宋体" w:hAnsi="宋体" w:cs="宋体"/>
          <w:color w:val="auto"/>
          <w:sz w:val="32"/>
          <w:szCs w:val="32"/>
          <w:highlight w:val="none"/>
        </w:rPr>
      </w:pPr>
    </w:p>
    <w:p>
      <w:pPr>
        <w:snapToGrid w:val="0"/>
        <w:spacing w:beforeLines="50" w:after="50"/>
        <w:rPr>
          <w:rFonts w:ascii="宋体" w:hAnsi="宋体" w:cs="宋体"/>
          <w:color w:val="auto"/>
          <w:sz w:val="32"/>
          <w:szCs w:val="32"/>
          <w:highlight w:val="none"/>
        </w:rPr>
      </w:pPr>
    </w:p>
    <w:p>
      <w:pPr>
        <w:snapToGrid w:val="0"/>
        <w:spacing w:beforeLines="50" w:after="50"/>
        <w:jc w:val="center"/>
        <w:rPr>
          <w:rFonts w:ascii="宋体" w:hAnsi="宋体" w:cs="宋体"/>
          <w:bCs/>
          <w:color w:val="auto"/>
          <w:sz w:val="32"/>
          <w:szCs w:val="32"/>
          <w:highlight w:val="none"/>
        </w:rPr>
      </w:pPr>
      <w:r>
        <w:rPr>
          <w:rFonts w:hint="eastAsia" w:ascii="宋体" w:hAnsi="宋体" w:cs="宋体"/>
          <w:color w:val="auto"/>
          <w:sz w:val="32"/>
          <w:szCs w:val="32"/>
          <w:highlight w:val="none"/>
        </w:rPr>
        <w:t>年    月    日</w:t>
      </w: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napToGrid w:val="0"/>
        <w:spacing w:beforeLines="50" w:after="50"/>
        <w:outlineLvl w:val="1"/>
        <w:rPr>
          <w:rFonts w:ascii="宋体" w:hAnsi="宋体" w:cs="宋体"/>
          <w:b/>
          <w:bCs/>
          <w:color w:val="auto"/>
          <w:sz w:val="32"/>
          <w:szCs w:val="32"/>
          <w:highlight w:val="none"/>
        </w:rPr>
      </w:pPr>
      <w:bookmarkStart w:id="74" w:name="_Toc44229899"/>
      <w:bookmarkStart w:id="75" w:name="_Toc35611438"/>
      <w:bookmarkStart w:id="76" w:name="_Toc31728084"/>
      <w:bookmarkStart w:id="77" w:name="_Toc35611516"/>
      <w:bookmarkStart w:id="78" w:name="_Toc31723070"/>
      <w:r>
        <w:rPr>
          <w:rFonts w:hint="eastAsia" w:ascii="宋体" w:hAnsi="宋体" w:cs="宋体"/>
          <w:b/>
          <w:bCs/>
          <w:color w:val="auto"/>
          <w:sz w:val="32"/>
          <w:szCs w:val="32"/>
          <w:highlight w:val="none"/>
        </w:rPr>
        <w:t>一、资格证明文件格式</w:t>
      </w:r>
      <w:bookmarkEnd w:id="74"/>
      <w:bookmarkEnd w:id="75"/>
      <w:bookmarkEnd w:id="76"/>
      <w:bookmarkEnd w:id="77"/>
      <w:bookmarkEnd w:id="78"/>
    </w:p>
    <w:p>
      <w:pPr>
        <w:snapToGrid w:val="0"/>
        <w:spacing w:beforeLines="50" w:after="50"/>
        <w:jc w:val="left"/>
        <w:rPr>
          <w:rFonts w:ascii="宋体" w:hAnsi="宋体" w:cs="宋体"/>
          <w:b/>
          <w:color w:val="auto"/>
          <w:sz w:val="24"/>
          <w:highlight w:val="none"/>
        </w:rPr>
      </w:pPr>
      <w:r>
        <w:rPr>
          <w:rFonts w:hint="eastAsia" w:ascii="宋体" w:hAnsi="宋体" w:cs="宋体"/>
          <w:b/>
          <w:color w:val="auto"/>
          <w:sz w:val="32"/>
          <w:szCs w:val="32"/>
          <w:highlight w:val="none"/>
        </w:rPr>
        <w:t>1.资格证明文件封面格式：</w:t>
      </w:r>
    </w:p>
    <w:p>
      <w:pPr>
        <w:snapToGrid w:val="0"/>
        <w:spacing w:beforeLines="50" w:after="50"/>
        <w:rPr>
          <w:rFonts w:ascii="宋体" w:hAnsi="宋体" w:cs="宋体"/>
          <w:bCs/>
          <w:color w:val="auto"/>
          <w:sz w:val="32"/>
          <w:szCs w:val="20"/>
          <w:highlight w:val="none"/>
        </w:rPr>
      </w:pPr>
      <w:r>
        <w:rPr>
          <w:rFonts w:hint="eastAsia" w:ascii="宋体" w:hAnsi="宋体" w:cs="宋体"/>
          <w:bCs/>
          <w:color w:val="auto"/>
          <w:highlight w:val="none"/>
        </w:rPr>
        <w:t>正本/副本</w:t>
      </w:r>
    </w:p>
    <w:p>
      <w:pPr>
        <w:snapToGrid w:val="0"/>
        <w:spacing w:beforeLines="50" w:after="50"/>
        <w:rPr>
          <w:rFonts w:ascii="宋体" w:hAnsi="宋体" w:cs="宋体"/>
          <w:color w:val="auto"/>
          <w:sz w:val="24"/>
          <w:szCs w:val="20"/>
          <w:highlight w:val="none"/>
        </w:rPr>
      </w:pPr>
    </w:p>
    <w:p>
      <w:pPr>
        <w:snapToGrid w:val="0"/>
        <w:spacing w:beforeLines="50" w:after="50"/>
        <w:rPr>
          <w:rFonts w:ascii="宋体" w:hAnsi="宋体" w:cs="宋体"/>
          <w:color w:val="auto"/>
          <w:sz w:val="24"/>
          <w:szCs w:val="20"/>
          <w:highlight w:val="none"/>
        </w:rPr>
      </w:pPr>
    </w:p>
    <w:p>
      <w:pPr>
        <w:snapToGrid w:val="0"/>
        <w:spacing w:beforeLines="50" w:after="50"/>
        <w:jc w:val="center"/>
        <w:rPr>
          <w:rFonts w:ascii="宋体" w:hAnsi="宋体" w:cs="宋体"/>
          <w:bCs/>
          <w:color w:val="auto"/>
          <w:sz w:val="44"/>
          <w:szCs w:val="44"/>
          <w:highlight w:val="none"/>
        </w:rPr>
      </w:pPr>
      <w:r>
        <w:rPr>
          <w:rFonts w:hint="eastAsia" w:ascii="宋体" w:hAnsi="宋体" w:cs="宋体"/>
          <w:bCs/>
          <w:color w:val="auto"/>
          <w:sz w:val="44"/>
          <w:szCs w:val="44"/>
          <w:highlight w:val="none"/>
        </w:rPr>
        <w:t>资  格  证  明  文  件</w:t>
      </w:r>
    </w:p>
    <w:p>
      <w:pPr>
        <w:snapToGrid w:val="0"/>
        <w:spacing w:beforeLines="50" w:after="50"/>
        <w:rPr>
          <w:rFonts w:ascii="宋体" w:hAnsi="宋体" w:cs="宋体"/>
          <w:bCs/>
          <w:color w:val="auto"/>
          <w:sz w:val="24"/>
          <w:szCs w:val="20"/>
          <w:highlight w:val="none"/>
        </w:rPr>
      </w:pPr>
    </w:p>
    <w:p>
      <w:pPr>
        <w:snapToGrid w:val="0"/>
        <w:spacing w:beforeLines="50" w:after="50"/>
        <w:rPr>
          <w:rFonts w:ascii="宋体" w:hAnsi="宋体" w:cs="宋体"/>
          <w:bCs/>
          <w:color w:val="auto"/>
          <w:sz w:val="24"/>
          <w:szCs w:val="20"/>
          <w:highlight w:val="none"/>
        </w:rPr>
      </w:pPr>
    </w:p>
    <w:p>
      <w:pPr>
        <w:snapToGrid w:val="0"/>
        <w:spacing w:beforeLines="50" w:after="50"/>
        <w:rPr>
          <w:rFonts w:ascii="宋体" w:hAnsi="宋体" w:cs="宋体"/>
          <w:bCs/>
          <w:color w:val="auto"/>
          <w:sz w:val="24"/>
          <w:szCs w:val="20"/>
          <w:highlight w:val="none"/>
        </w:rPr>
      </w:pPr>
    </w:p>
    <w:p>
      <w:pPr>
        <w:snapToGrid w:val="0"/>
        <w:spacing w:beforeLines="50" w:after="50"/>
        <w:rPr>
          <w:rFonts w:ascii="宋体" w:hAnsi="宋体" w:cs="宋体"/>
          <w:bCs/>
          <w:color w:val="auto"/>
          <w:sz w:val="24"/>
          <w:szCs w:val="20"/>
          <w:highlight w:val="none"/>
        </w:rPr>
      </w:pPr>
    </w:p>
    <w:p>
      <w:pPr>
        <w:snapToGrid w:val="0"/>
        <w:spacing w:beforeLines="50" w:after="50"/>
        <w:rPr>
          <w:rFonts w:ascii="宋体" w:hAnsi="宋体" w:cs="宋体"/>
          <w:bCs/>
          <w:color w:val="auto"/>
          <w:sz w:val="24"/>
          <w:szCs w:val="20"/>
          <w:highlight w:val="none"/>
        </w:rPr>
      </w:pPr>
    </w:p>
    <w:p>
      <w:pPr>
        <w:snapToGrid w:val="0"/>
        <w:spacing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项目名称：</w:t>
      </w:r>
    </w:p>
    <w:p>
      <w:pPr>
        <w:snapToGrid w:val="0"/>
        <w:spacing w:beforeLines="50" w:after="50"/>
        <w:ind w:firstLine="720" w:firstLineChars="225"/>
        <w:rPr>
          <w:rFonts w:ascii="宋体" w:hAnsi="宋体" w:cs="宋体"/>
          <w:bCs/>
          <w:color w:val="auto"/>
          <w:sz w:val="32"/>
          <w:szCs w:val="32"/>
          <w:highlight w:val="none"/>
        </w:rPr>
      </w:pPr>
    </w:p>
    <w:p>
      <w:pPr>
        <w:snapToGrid w:val="0"/>
        <w:spacing w:beforeLines="50" w:after="50"/>
        <w:ind w:firstLine="720" w:firstLineChars="225"/>
        <w:rPr>
          <w:rFonts w:ascii="宋体" w:hAnsi="宋体" w:cs="宋体"/>
          <w:bCs/>
          <w:color w:val="auto"/>
          <w:sz w:val="32"/>
          <w:szCs w:val="32"/>
          <w:highlight w:val="none"/>
        </w:rPr>
      </w:pPr>
      <w:r>
        <w:rPr>
          <w:rFonts w:hint="eastAsia" w:ascii="宋体" w:hAnsi="宋体" w:cs="宋体"/>
          <w:bCs/>
          <w:color w:val="auto"/>
          <w:sz w:val="32"/>
          <w:szCs w:val="32"/>
          <w:highlight w:val="none"/>
        </w:rPr>
        <w:t>项目编号：</w:t>
      </w:r>
    </w:p>
    <w:p>
      <w:pPr>
        <w:snapToGrid w:val="0"/>
        <w:spacing w:beforeLines="50" w:after="50"/>
        <w:ind w:firstLine="720" w:firstLineChars="225"/>
        <w:rPr>
          <w:rFonts w:ascii="宋体" w:hAnsi="宋体" w:cs="宋体"/>
          <w:bCs/>
          <w:color w:val="auto"/>
          <w:sz w:val="32"/>
          <w:szCs w:val="32"/>
          <w:highlight w:val="none"/>
        </w:rPr>
      </w:pPr>
    </w:p>
    <w:p>
      <w:pPr>
        <w:snapToGrid w:val="0"/>
        <w:spacing w:beforeLines="50" w:after="50"/>
        <w:ind w:firstLine="720" w:firstLineChars="225"/>
        <w:rPr>
          <w:rFonts w:ascii="宋体" w:hAnsi="宋体" w:cs="宋体"/>
          <w:bCs/>
          <w:color w:val="auto"/>
          <w:sz w:val="32"/>
          <w:szCs w:val="32"/>
          <w:highlight w:val="none"/>
        </w:rPr>
      </w:pPr>
      <w:r>
        <w:rPr>
          <w:rFonts w:hint="eastAsia" w:ascii="宋体" w:hAnsi="宋体" w:cs="宋体"/>
          <w:bCs/>
          <w:color w:val="auto"/>
          <w:sz w:val="32"/>
          <w:szCs w:val="32"/>
          <w:highlight w:val="none"/>
        </w:rPr>
        <w:t>所竞分标（如有则填写，无分标时填写“无”或留空）：</w:t>
      </w:r>
    </w:p>
    <w:p>
      <w:pPr>
        <w:snapToGrid w:val="0"/>
        <w:spacing w:beforeLines="50" w:after="50"/>
        <w:ind w:firstLine="720" w:firstLineChars="225"/>
        <w:rPr>
          <w:rFonts w:ascii="宋体" w:hAnsi="宋体" w:cs="宋体"/>
          <w:bCs/>
          <w:color w:val="auto"/>
          <w:sz w:val="32"/>
          <w:szCs w:val="32"/>
          <w:highlight w:val="none"/>
        </w:rPr>
      </w:pPr>
    </w:p>
    <w:p>
      <w:pPr>
        <w:pStyle w:val="5"/>
        <w:snapToGrid w:val="0"/>
        <w:spacing w:before="50" w:after="50"/>
        <w:ind w:firstLine="720" w:firstLineChars="225"/>
        <w:rPr>
          <w:rFonts w:ascii="宋体" w:hAnsi="宋体" w:cs="宋体"/>
          <w:bCs/>
          <w:color w:val="auto"/>
          <w:sz w:val="32"/>
          <w:szCs w:val="32"/>
          <w:highlight w:val="none"/>
        </w:rPr>
      </w:pPr>
      <w:r>
        <w:rPr>
          <w:rFonts w:hint="eastAsia" w:ascii="宋体" w:hAnsi="宋体" w:cs="宋体"/>
          <w:bCs/>
          <w:color w:val="auto"/>
          <w:sz w:val="32"/>
          <w:szCs w:val="32"/>
          <w:highlight w:val="none"/>
        </w:rPr>
        <w:t>供应商名称：</w:t>
      </w:r>
    </w:p>
    <w:p>
      <w:pPr>
        <w:pStyle w:val="5"/>
        <w:snapToGrid w:val="0"/>
        <w:spacing w:before="50" w:after="50"/>
        <w:ind w:firstLine="720" w:firstLineChars="225"/>
        <w:rPr>
          <w:rFonts w:ascii="宋体" w:hAnsi="宋体" w:cs="宋体"/>
          <w:bCs/>
          <w:color w:val="auto"/>
          <w:sz w:val="32"/>
          <w:szCs w:val="32"/>
          <w:highlight w:val="none"/>
        </w:rPr>
      </w:pPr>
    </w:p>
    <w:p>
      <w:pPr>
        <w:pStyle w:val="5"/>
        <w:snapToGrid w:val="0"/>
        <w:spacing w:before="50" w:after="50"/>
        <w:ind w:firstLine="720" w:firstLineChars="225"/>
        <w:rPr>
          <w:rFonts w:ascii="宋体" w:hAnsi="宋体" w:cs="宋体"/>
          <w:bCs/>
          <w:color w:val="auto"/>
          <w:sz w:val="32"/>
          <w:szCs w:val="32"/>
          <w:highlight w:val="none"/>
        </w:rPr>
      </w:pPr>
    </w:p>
    <w:p>
      <w:pPr>
        <w:pStyle w:val="5"/>
        <w:snapToGrid w:val="0"/>
        <w:spacing w:before="50" w:after="50"/>
        <w:ind w:firstLine="720" w:firstLineChars="225"/>
        <w:rPr>
          <w:rFonts w:ascii="宋体" w:hAnsi="宋体" w:cs="宋体"/>
          <w:bCs/>
          <w:color w:val="auto"/>
          <w:sz w:val="32"/>
          <w:szCs w:val="32"/>
          <w:highlight w:val="none"/>
        </w:rPr>
      </w:pPr>
    </w:p>
    <w:p>
      <w:pPr>
        <w:pStyle w:val="5"/>
        <w:snapToGrid w:val="0"/>
        <w:spacing w:before="50" w:after="50"/>
        <w:ind w:firstLine="1280" w:firstLineChars="400"/>
        <w:rPr>
          <w:rFonts w:ascii="宋体" w:hAnsi="宋体" w:cs="宋体"/>
          <w:bCs/>
          <w:color w:val="auto"/>
          <w:sz w:val="32"/>
          <w:szCs w:val="32"/>
          <w:highlight w:val="none"/>
        </w:rPr>
      </w:pPr>
    </w:p>
    <w:p>
      <w:pPr>
        <w:snapToGrid w:val="0"/>
        <w:spacing w:beforeLines="50" w:after="50"/>
        <w:jc w:val="center"/>
        <w:rPr>
          <w:rFonts w:ascii="宋体" w:hAnsi="宋体" w:cs="宋体"/>
          <w:color w:val="auto"/>
          <w:sz w:val="32"/>
          <w:szCs w:val="32"/>
          <w:highlight w:val="none"/>
        </w:rPr>
      </w:pPr>
      <w:r>
        <w:rPr>
          <w:rFonts w:hint="eastAsia" w:ascii="宋体" w:hAnsi="宋体" w:cs="宋体"/>
          <w:color w:val="auto"/>
          <w:sz w:val="32"/>
          <w:szCs w:val="32"/>
          <w:highlight w:val="none"/>
        </w:rPr>
        <w:t>年    月    日</w:t>
      </w:r>
    </w:p>
    <w:p>
      <w:pPr>
        <w:snapToGrid w:val="0"/>
        <w:spacing w:beforeLines="50" w:after="50"/>
        <w:ind w:left="142"/>
        <w:jc w:val="left"/>
        <w:rPr>
          <w:rFonts w:ascii="宋体" w:hAnsi="宋体" w:cs="宋体"/>
          <w:b/>
          <w:bCs/>
          <w:color w:val="auto"/>
          <w:sz w:val="32"/>
          <w:szCs w:val="32"/>
          <w:highlight w:val="none"/>
        </w:rPr>
      </w:pPr>
      <w:r>
        <w:rPr>
          <w:rFonts w:hint="eastAsia" w:ascii="宋体" w:hAnsi="宋体" w:cs="宋体"/>
          <w:color w:val="auto"/>
          <w:sz w:val="24"/>
          <w:highlight w:val="none"/>
        </w:rPr>
        <w:br w:type="page"/>
      </w:r>
      <w:r>
        <w:rPr>
          <w:rFonts w:hint="eastAsia" w:ascii="宋体" w:hAnsi="宋体" w:cs="宋体"/>
          <w:b/>
          <w:bCs/>
          <w:color w:val="auto"/>
          <w:sz w:val="32"/>
          <w:szCs w:val="32"/>
          <w:highlight w:val="none"/>
        </w:rPr>
        <w:t>2.资格证明文件目录</w:t>
      </w:r>
    </w:p>
    <w:p>
      <w:pPr>
        <w:snapToGrid w:val="0"/>
        <w:spacing w:beforeLines="50" w:after="50"/>
        <w:ind w:firstLine="645"/>
        <w:rPr>
          <w:rFonts w:ascii="宋体" w:hAnsi="宋体" w:cs="宋体"/>
          <w:color w:val="auto"/>
          <w:sz w:val="32"/>
          <w:szCs w:val="32"/>
          <w:highlight w:val="none"/>
        </w:rPr>
      </w:pPr>
      <w:r>
        <w:rPr>
          <w:rFonts w:hint="eastAsia" w:ascii="宋体" w:hAnsi="宋体" w:cs="宋体"/>
          <w:color w:val="auto"/>
          <w:sz w:val="32"/>
          <w:szCs w:val="32"/>
          <w:highlight w:val="none"/>
        </w:rPr>
        <w:t>根据竞争性磋商文件规定及供应商提供的材料自行编写目录（部分格式后附）。</w:t>
      </w:r>
    </w:p>
    <w:p>
      <w:pPr>
        <w:snapToGrid w:val="0"/>
        <w:spacing w:beforeLines="50" w:after="50"/>
        <w:rPr>
          <w:rFonts w:ascii="宋体" w:hAnsi="宋体" w:cs="宋体"/>
          <w:color w:val="auto"/>
          <w:sz w:val="24"/>
          <w:szCs w:val="20"/>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20" w:lineRule="exact"/>
        <w:jc w:val="left"/>
        <w:rPr>
          <w:rFonts w:ascii="宋体" w:hAnsi="宋体" w:cs="宋体"/>
          <w:color w:val="auto"/>
          <w:szCs w:val="21"/>
          <w:highlight w:val="none"/>
        </w:rPr>
      </w:pPr>
      <w:r>
        <w:rPr>
          <w:rFonts w:hint="eastAsia" w:ascii="宋体" w:hAnsi="宋体" w:cs="宋体"/>
          <w:color w:val="auto"/>
          <w:szCs w:val="21"/>
          <w:highlight w:val="none"/>
        </w:rPr>
        <w:br w:type="page"/>
      </w:r>
    </w:p>
    <w:p>
      <w:pPr>
        <w:spacing w:line="32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竞标声明</w:t>
      </w:r>
    </w:p>
    <w:p>
      <w:pPr>
        <w:spacing w:line="320" w:lineRule="exact"/>
        <w:jc w:val="center"/>
        <w:rPr>
          <w:rFonts w:ascii="宋体" w:hAnsi="宋体" w:cs="宋体"/>
          <w:color w:val="auto"/>
          <w:sz w:val="24"/>
          <w:szCs w:val="20"/>
          <w:highlight w:val="none"/>
        </w:rPr>
      </w:pPr>
    </w:p>
    <w:p>
      <w:pPr>
        <w:spacing w:beforeLines="50" w:after="50" w:line="320" w:lineRule="exact"/>
        <w:contextualSpacing/>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云之龙招标集团有限公司</w:t>
      </w:r>
      <w:r>
        <w:rPr>
          <w:rFonts w:hint="eastAsia" w:ascii="宋体" w:hAnsi="宋体" w:cs="宋体"/>
          <w:color w:val="auto"/>
          <w:szCs w:val="21"/>
          <w:highlight w:val="none"/>
        </w:rPr>
        <w:t>：</w:t>
      </w:r>
    </w:p>
    <w:p>
      <w:pPr>
        <w:spacing w:beforeLines="50" w:after="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u w:val="single"/>
        </w:rPr>
        <w:t>（供应商名称）</w:t>
      </w:r>
      <w:r>
        <w:rPr>
          <w:rFonts w:hint="eastAsia" w:ascii="宋体" w:hAnsi="宋体" w:cs="宋体"/>
          <w:color w:val="auto"/>
          <w:szCs w:val="21"/>
          <w:highlight w:val="none"/>
        </w:rPr>
        <w:t>系中华人民共和国合法供应商，经营地址。</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我方愿意参加贵方组织的</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项目的竞标，为便于贵方公正、择优地确定成交供应商及其竞标产品和服务，我方就本次竞标有关事项郑重声明如下：</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1.我方向贵方提交的所有响应文件、资料都是准确的和真实的。</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3.在此，我方宣布同意如下：</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（1）将按竞争性磋商文件的约定履行合同责任和义务；</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（2）已详细审查全部竞争性磋商文件，包括澄清或更正公告（如有）；</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（3）同意提供按照贵方可能要求的与磋商有关的一切数据或资料；</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（4）响应竞争性磋商文件规定的竞标有效期。</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4.我方承诺符合《中华人民共和国政府采购法》第二十二条规定：</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（1）具有独立承担民事责任的能力；</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（2）具有良好的商业信誉和健全的财务会计制度；</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（3）具有履行合同所必需的设备和专业技术能力；</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（4）有依法缴纳税收和社会保障资金的良好记录；</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（5）参加政府采购活动前三年内，在经营活动中没有重大违法记录；</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（6）法律、行政法规规定的其他条件。</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5.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beforeLines="50"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6.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□我方本次响应文件</w:t>
      </w:r>
      <w:r>
        <w:rPr>
          <w:rFonts w:hint="eastAsia" w:ascii="宋体" w:hAnsi="宋体" w:cs="宋体"/>
          <w:color w:val="auto"/>
          <w:kern w:val="0"/>
          <w:szCs w:val="21"/>
          <w:highlight w:val="none"/>
        </w:rPr>
        <w:t>内容中</w:t>
      </w:r>
      <w:r>
        <w:rPr>
          <w:rFonts w:hint="eastAsia" w:ascii="宋体" w:hAnsi="宋体" w:cs="宋体"/>
          <w:color w:val="auto"/>
          <w:szCs w:val="21"/>
          <w:highlight w:val="none"/>
        </w:rPr>
        <w:t>未</w:t>
      </w:r>
      <w:r>
        <w:rPr>
          <w:rFonts w:hint="eastAsia" w:ascii="宋体" w:hAnsi="宋体" w:cs="宋体"/>
          <w:color w:val="auto"/>
          <w:kern w:val="0"/>
          <w:szCs w:val="21"/>
          <w:highlight w:val="none"/>
        </w:rPr>
        <w:t>涉及商业秘密；</w:t>
      </w:r>
    </w:p>
    <w:p>
      <w:pPr>
        <w:spacing w:line="320" w:lineRule="exac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□我方本次响应文件</w:t>
      </w:r>
      <w:r>
        <w:rPr>
          <w:rFonts w:hint="eastAsia" w:ascii="宋体" w:hAnsi="宋体" w:cs="宋体"/>
          <w:color w:val="auto"/>
          <w:kern w:val="0"/>
          <w:szCs w:val="21"/>
          <w:highlight w:val="none"/>
        </w:rPr>
        <w:t>涉及商业秘密的内容有：；</w:t>
      </w:r>
    </w:p>
    <w:p>
      <w:pPr>
        <w:pStyle w:val="12"/>
        <w:spacing w:line="320" w:lineRule="exact"/>
        <w:ind w:firstLine="420" w:firstLineChars="200"/>
        <w:contextualSpacing/>
        <w:rPr>
          <w:rFonts w:hAnsi="宋体" w:cs="宋体"/>
          <w:color w:val="auto"/>
          <w:sz w:val="21"/>
          <w:highlight w:val="none"/>
          <w:u w:val="single"/>
        </w:rPr>
      </w:pPr>
      <w:r>
        <w:rPr>
          <w:rFonts w:hint="eastAsia" w:hAnsi="宋体" w:cs="宋体"/>
          <w:color w:val="auto"/>
          <w:sz w:val="21"/>
          <w:highlight w:val="none"/>
        </w:rPr>
        <w:t>7.与本磋商有关的一切正式往来信函请寄：邮政编号：</w:t>
      </w:r>
    </w:p>
    <w:p>
      <w:pPr>
        <w:pStyle w:val="12"/>
        <w:spacing w:line="320" w:lineRule="exact"/>
        <w:ind w:firstLine="420" w:firstLineChars="200"/>
        <w:contextualSpacing/>
        <w:rPr>
          <w:rFonts w:hAnsi="宋体" w:cs="宋体"/>
          <w:color w:val="auto"/>
          <w:sz w:val="21"/>
          <w:highlight w:val="none"/>
        </w:rPr>
      </w:pPr>
      <w:r>
        <w:rPr>
          <w:rFonts w:hint="eastAsia" w:hAnsi="宋体" w:cs="宋体"/>
          <w:color w:val="auto"/>
          <w:sz w:val="21"/>
          <w:highlight w:val="none"/>
        </w:rPr>
        <w:t>电话/传真： 电子函件：</w:t>
      </w:r>
    </w:p>
    <w:p>
      <w:pPr>
        <w:pStyle w:val="11"/>
        <w:tabs>
          <w:tab w:val="left" w:pos="939"/>
        </w:tabs>
        <w:spacing w:line="320" w:lineRule="exact"/>
        <w:ind w:left="141" w:leftChars="67" w:firstLine="315" w:firstLineChars="150"/>
        <w:rPr>
          <w:rFonts w:ascii="宋体" w:hAnsi="宋体" w:cs="宋体"/>
          <w:color w:val="auto"/>
          <w:szCs w:val="21"/>
          <w:highlight w:val="none"/>
        </w:rPr>
      </w:pPr>
      <w:r>
        <w:rPr>
          <w:rFonts w:hint="eastAsia" w:ascii="宋体" w:hAnsi="宋体" w:cs="宋体"/>
          <w:color w:val="auto"/>
          <w:szCs w:val="21"/>
          <w:highlight w:val="none"/>
        </w:rPr>
        <w:t>开户银行：  帐号：</w:t>
      </w:r>
    </w:p>
    <w:p>
      <w:pPr>
        <w:pStyle w:val="11"/>
        <w:tabs>
          <w:tab w:val="left" w:pos="939"/>
        </w:tabs>
        <w:spacing w:line="320" w:lineRule="exact"/>
        <w:ind w:left="0" w:leftChars="0" w:firstLine="420" w:firstLineChars="200"/>
        <w:rPr>
          <w:rFonts w:ascii="宋体" w:hAnsi="宋体" w:cs="宋体"/>
          <w:color w:val="auto"/>
          <w:szCs w:val="21"/>
          <w:highlight w:val="none"/>
        </w:rPr>
      </w:pPr>
      <w:r>
        <w:rPr>
          <w:rFonts w:hint="eastAsia" w:ascii="宋体" w:hAnsi="宋体" w:cs="宋体"/>
          <w:color w:val="auto"/>
          <w:szCs w:val="21"/>
          <w:highlight w:val="none"/>
        </w:rPr>
        <w:t>8.以上事项如有虚假或隐瞒，我方愿意承担一切后果，并不再寻求任何旨在减轻或免除法律责任的辩解。</w:t>
      </w:r>
    </w:p>
    <w:p>
      <w:pPr>
        <w:pStyle w:val="11"/>
        <w:tabs>
          <w:tab w:val="left" w:pos="939"/>
        </w:tabs>
        <w:spacing w:line="320" w:lineRule="exact"/>
        <w:ind w:left="141" w:leftChars="67" w:firstLine="315" w:firstLineChars="150"/>
        <w:rPr>
          <w:rFonts w:ascii="宋体" w:hAnsi="宋体" w:cs="宋体"/>
          <w:color w:val="auto"/>
          <w:szCs w:val="21"/>
          <w:highlight w:val="none"/>
        </w:rPr>
      </w:pPr>
      <w:r>
        <w:rPr>
          <w:rFonts w:hint="eastAsia" w:ascii="宋体" w:hAnsi="宋体" w:cs="宋体"/>
          <w:color w:val="auto"/>
          <w:szCs w:val="21"/>
          <w:highlight w:val="none"/>
        </w:rPr>
        <w:t>特此承诺。</w:t>
      </w:r>
    </w:p>
    <w:p>
      <w:pPr>
        <w:spacing w:line="320" w:lineRule="exact"/>
        <w:ind w:firstLine="3780" w:firstLineChars="1800"/>
        <w:rPr>
          <w:rFonts w:ascii="宋体" w:hAnsi="宋体" w:cs="宋体"/>
          <w:color w:val="auto"/>
          <w:highlight w:val="none"/>
        </w:rPr>
      </w:pPr>
      <w:r>
        <w:rPr>
          <w:rFonts w:hint="eastAsia" w:ascii="宋体" w:hAnsi="宋体" w:cs="宋体"/>
          <w:color w:val="auto"/>
          <w:highlight w:val="none"/>
        </w:rPr>
        <w:t>法定代表人（签字）：</w:t>
      </w:r>
    </w:p>
    <w:p>
      <w:pPr>
        <w:spacing w:line="320" w:lineRule="exact"/>
        <w:ind w:firstLine="3780" w:firstLineChars="1800"/>
        <w:rPr>
          <w:rFonts w:ascii="宋体" w:hAnsi="宋体" w:cs="宋体"/>
          <w:color w:val="auto"/>
          <w:szCs w:val="21"/>
          <w:highlight w:val="none"/>
          <w:u w:val="single"/>
        </w:rPr>
      </w:pPr>
      <w:r>
        <w:rPr>
          <w:rFonts w:hint="eastAsia" w:ascii="宋体" w:hAnsi="宋体" w:cs="宋体"/>
          <w:color w:val="auto"/>
          <w:highlight w:val="none"/>
        </w:rPr>
        <w:t>供应商（盖公章）：</w:t>
      </w:r>
    </w:p>
    <w:p>
      <w:pPr>
        <w:wordWrap w:val="0"/>
        <w:spacing w:beforeLines="50" w:after="50" w:line="320" w:lineRule="exact"/>
        <w:ind w:right="482" w:firstLine="210" w:firstLineChars="100"/>
        <w:contextualSpacing/>
        <w:jc w:val="center"/>
        <w:rPr>
          <w:rFonts w:ascii="宋体" w:hAnsi="宋体" w:cs="宋体"/>
          <w:color w:val="auto"/>
          <w:szCs w:val="21"/>
          <w:highlight w:val="none"/>
        </w:rPr>
      </w:pPr>
      <w:r>
        <w:rPr>
          <w:rFonts w:hint="eastAsia" w:ascii="宋体" w:hAnsi="宋体" w:cs="宋体"/>
          <w:color w:val="auto"/>
          <w:highlight w:val="none"/>
        </w:rPr>
        <w:t xml:space="preserve"> 年    月    日 </w:t>
      </w:r>
    </w:p>
    <w:p>
      <w:pPr>
        <w:snapToGrid w:val="0"/>
        <w:spacing w:beforeLines="50" w:after="50"/>
        <w:jc w:val="center"/>
        <w:rPr>
          <w:rFonts w:ascii="宋体" w:hAnsi="宋体" w:cs="宋体"/>
          <w:b/>
          <w:color w:val="auto"/>
          <w:sz w:val="32"/>
          <w:szCs w:val="32"/>
          <w:highlight w:val="none"/>
        </w:rPr>
      </w:pPr>
    </w:p>
    <w:p>
      <w:pPr>
        <w:snapToGrid w:val="0"/>
        <w:spacing w:beforeLines="50" w:after="50"/>
        <w:jc w:val="center"/>
        <w:rPr>
          <w:rFonts w:ascii="宋体" w:hAnsi="宋体" w:cs="宋体"/>
          <w:b/>
          <w:color w:val="auto"/>
          <w:sz w:val="32"/>
          <w:szCs w:val="32"/>
          <w:highlight w:val="none"/>
        </w:rPr>
      </w:pPr>
    </w:p>
    <w:p>
      <w:pPr>
        <w:widowControl/>
        <w:jc w:val="center"/>
        <w:rPr>
          <w:color w:val="auto"/>
          <w:highlight w:val="none"/>
        </w:rPr>
      </w:pPr>
      <w:r>
        <w:rPr>
          <w:rFonts w:hint="eastAsia" w:ascii="宋体" w:hAnsi="宋体" w:cs="宋体"/>
          <w:b/>
          <w:color w:val="auto"/>
          <w:sz w:val="32"/>
          <w:szCs w:val="32"/>
          <w:highlight w:val="none"/>
        </w:rPr>
        <w:tab/>
      </w:r>
      <w:r>
        <w:rPr>
          <w:rFonts w:hint="eastAsia" w:ascii="宋体" w:hAnsi="宋体" w:cs="宋体"/>
          <w:b/>
          <w:color w:val="auto"/>
          <w:sz w:val="32"/>
          <w:szCs w:val="32"/>
          <w:highlight w:val="none"/>
        </w:rPr>
        <w:t>贵港市政府采购项目投标资格承诺函</w:t>
      </w:r>
    </w:p>
    <w:p>
      <w:pPr>
        <w:widowControl/>
        <w:spacing w:line="360" w:lineRule="auto"/>
        <w:ind w:firstLine="420" w:firstLineChars="200"/>
        <w:jc w:val="left"/>
        <w:rPr>
          <w:rFonts w:ascii="宋体" w:hAnsi="宋体" w:cs="宋体"/>
          <w:color w:val="auto"/>
          <w:kern w:val="0"/>
          <w:szCs w:val="21"/>
          <w:highlight w:val="none"/>
        </w:rPr>
      </w:pP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 xml:space="preserve">本公司郑重承诺，根据《中华人民共和国政府采购法》第二十二条的规定，本公司为参加政府采购活动的合格供应商。即本公司同时满足以下条件： </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 xml:space="preserve">1.具有独立承担民事责任的能力。 </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 xml:space="preserve">2.具有良好的商业信誉和健全的财务会计制度。 </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 xml:space="preserve">3.具有履行合同所必需的设备和专业技术能力。 </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 xml:space="preserve">4.有依法缴纳税收和社会保障资金的良好记录。 </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 xml:space="preserve">5. 提交响应文件截止日期前三年内，在经营活动中没有重大 </w:t>
      </w:r>
    </w:p>
    <w:p>
      <w:pPr>
        <w:widowControl/>
        <w:spacing w:line="360" w:lineRule="auto"/>
        <w:jc w:val="left"/>
        <w:rPr>
          <w:rFonts w:ascii="宋体" w:hAnsi="宋体" w:cs="宋体"/>
          <w:color w:val="auto"/>
          <w:szCs w:val="21"/>
          <w:highlight w:val="none"/>
        </w:rPr>
      </w:pPr>
      <w:r>
        <w:rPr>
          <w:rFonts w:hint="eastAsia" w:ascii="宋体" w:hAnsi="宋体" w:cs="宋体"/>
          <w:color w:val="auto"/>
          <w:kern w:val="0"/>
          <w:szCs w:val="21"/>
          <w:highlight w:val="none"/>
        </w:rPr>
        <w:t xml:space="preserve">违法记录。 </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 xml:space="preserve">本公司对上述承诺的真实性负责，并接受政府采购、税务、社会保障等监督管理部门、采购文件规定的资格审查机构、社会公众的监督和检查。如有虚假，将依法承担相应责任。 </w:t>
      </w:r>
    </w:p>
    <w:p>
      <w:pPr>
        <w:widowControl/>
        <w:spacing w:line="360" w:lineRule="auto"/>
        <w:jc w:val="right"/>
        <w:rPr>
          <w:rFonts w:ascii="宋体" w:hAnsi="宋体" w:cs="宋体"/>
          <w:color w:val="auto"/>
          <w:kern w:val="0"/>
          <w:szCs w:val="21"/>
          <w:highlight w:val="none"/>
        </w:rPr>
      </w:pPr>
    </w:p>
    <w:p>
      <w:pPr>
        <w:widowControl/>
        <w:spacing w:line="360" w:lineRule="auto"/>
        <w:jc w:val="right"/>
        <w:rPr>
          <w:rFonts w:ascii="宋体" w:hAnsi="宋体" w:cs="宋体"/>
          <w:color w:val="auto"/>
          <w:kern w:val="0"/>
          <w:szCs w:val="21"/>
          <w:highlight w:val="none"/>
        </w:rPr>
      </w:pPr>
    </w:p>
    <w:p>
      <w:pPr>
        <w:widowControl/>
        <w:spacing w:line="360" w:lineRule="auto"/>
        <w:jc w:val="right"/>
        <w:rPr>
          <w:rFonts w:ascii="宋体" w:hAnsi="宋体" w:cs="宋体"/>
          <w:color w:val="auto"/>
          <w:kern w:val="0"/>
          <w:szCs w:val="21"/>
          <w:highlight w:val="none"/>
        </w:rPr>
      </w:pPr>
    </w:p>
    <w:p>
      <w:pPr>
        <w:widowControl/>
        <w:spacing w:line="360" w:lineRule="auto"/>
        <w:jc w:val="right"/>
        <w:rPr>
          <w:rFonts w:ascii="宋体" w:hAnsi="宋体" w:cs="宋体"/>
          <w:color w:val="auto"/>
          <w:kern w:val="0"/>
          <w:szCs w:val="21"/>
          <w:highlight w:val="none"/>
        </w:rPr>
      </w:pPr>
    </w:p>
    <w:p>
      <w:pPr>
        <w:widowControl/>
        <w:spacing w:line="360" w:lineRule="auto"/>
        <w:jc w:val="center"/>
        <w:rPr>
          <w:rFonts w:ascii="宋体" w:hAnsi="宋体" w:cs="宋体"/>
          <w:color w:val="auto"/>
          <w:szCs w:val="21"/>
          <w:highlight w:val="none"/>
        </w:rPr>
      </w:pPr>
      <w:r>
        <w:rPr>
          <w:rFonts w:hint="eastAsia" w:ascii="宋体" w:hAnsi="宋体" w:cs="宋体"/>
          <w:color w:val="auto"/>
          <w:kern w:val="0"/>
          <w:szCs w:val="21"/>
          <w:highlight w:val="none"/>
        </w:rPr>
        <w:t xml:space="preserve">                                                          企业名称（盖章）： </w:t>
      </w:r>
    </w:p>
    <w:p>
      <w:pPr>
        <w:widowControl/>
        <w:spacing w:line="360" w:lineRule="auto"/>
        <w:jc w:val="center"/>
        <w:rPr>
          <w:rFonts w:ascii="宋体" w:hAnsi="宋体" w:cs="宋体"/>
          <w:color w:val="auto"/>
          <w:szCs w:val="21"/>
          <w:highlight w:val="none"/>
        </w:rPr>
      </w:pPr>
      <w:r>
        <w:rPr>
          <w:rFonts w:hint="eastAsia" w:ascii="宋体" w:hAnsi="宋体" w:cs="宋体"/>
          <w:color w:val="auto"/>
          <w:kern w:val="0"/>
          <w:szCs w:val="21"/>
          <w:highlight w:val="none"/>
        </w:rPr>
        <w:t xml:space="preserve">                                                             法定代表人（签名）： </w:t>
      </w:r>
    </w:p>
    <w:p>
      <w:pPr>
        <w:tabs>
          <w:tab w:val="left" w:pos="3484"/>
        </w:tabs>
        <w:snapToGrid w:val="0"/>
        <w:spacing w:beforeLines="50" w:after="50"/>
        <w:jc w:val="right"/>
        <w:rPr>
          <w:rFonts w:ascii="宋体" w:hAnsi="宋体" w:cs="宋体"/>
          <w:b/>
          <w:color w:val="auto"/>
          <w:sz w:val="32"/>
          <w:szCs w:val="32"/>
          <w:highlight w:val="none"/>
        </w:rPr>
      </w:pPr>
      <w:r>
        <w:rPr>
          <w:rFonts w:hint="eastAsia" w:ascii="宋体" w:hAnsi="宋体" w:cs="宋体"/>
          <w:color w:val="auto"/>
          <w:kern w:val="0"/>
          <w:szCs w:val="21"/>
          <w:highlight w:val="none"/>
        </w:rPr>
        <w:t>日期： 年 月 日</w:t>
      </w:r>
    </w:p>
    <w:p>
      <w:pPr>
        <w:snapToGrid w:val="0"/>
        <w:spacing w:beforeLines="50" w:after="50"/>
        <w:jc w:val="center"/>
        <w:rPr>
          <w:rFonts w:ascii="宋体" w:hAnsi="宋体" w:cs="宋体"/>
          <w:b/>
          <w:color w:val="auto"/>
          <w:sz w:val="32"/>
          <w:szCs w:val="32"/>
          <w:highlight w:val="none"/>
        </w:rPr>
      </w:pPr>
    </w:p>
    <w:p>
      <w:pPr>
        <w:snapToGrid w:val="0"/>
        <w:spacing w:beforeLines="50" w:after="50"/>
        <w:jc w:val="center"/>
        <w:rPr>
          <w:rFonts w:ascii="宋体" w:hAnsi="宋体" w:cs="宋体"/>
          <w:b/>
          <w:color w:val="auto"/>
          <w:sz w:val="32"/>
          <w:szCs w:val="32"/>
          <w:highlight w:val="none"/>
        </w:rPr>
      </w:pPr>
    </w:p>
    <w:p>
      <w:pPr>
        <w:snapToGrid w:val="0"/>
        <w:spacing w:beforeLines="50" w:after="50"/>
        <w:jc w:val="center"/>
        <w:rPr>
          <w:rFonts w:ascii="宋体" w:hAnsi="宋体" w:cs="宋体"/>
          <w:b/>
          <w:color w:val="auto"/>
          <w:sz w:val="32"/>
          <w:szCs w:val="32"/>
          <w:highlight w:val="none"/>
        </w:rPr>
      </w:pPr>
    </w:p>
    <w:p>
      <w:pPr>
        <w:snapToGrid w:val="0"/>
        <w:spacing w:beforeLines="50" w:after="50"/>
        <w:jc w:val="center"/>
        <w:rPr>
          <w:rFonts w:ascii="宋体" w:hAnsi="宋体" w:cs="宋体"/>
          <w:b/>
          <w:color w:val="auto"/>
          <w:sz w:val="32"/>
          <w:szCs w:val="32"/>
          <w:highlight w:val="none"/>
        </w:rPr>
      </w:pPr>
    </w:p>
    <w:p>
      <w:pPr>
        <w:snapToGrid w:val="0"/>
        <w:spacing w:beforeLines="50" w:after="50"/>
        <w:jc w:val="center"/>
        <w:rPr>
          <w:rFonts w:ascii="宋体" w:hAnsi="宋体" w:cs="宋体"/>
          <w:b/>
          <w:color w:val="auto"/>
          <w:sz w:val="32"/>
          <w:szCs w:val="32"/>
          <w:highlight w:val="none"/>
        </w:rPr>
      </w:pPr>
    </w:p>
    <w:p>
      <w:pPr>
        <w:snapToGrid w:val="0"/>
        <w:spacing w:beforeLines="50" w:after="50"/>
        <w:jc w:val="center"/>
        <w:rPr>
          <w:rFonts w:ascii="宋体" w:hAnsi="宋体" w:cs="宋体"/>
          <w:b/>
          <w:color w:val="auto"/>
          <w:sz w:val="32"/>
          <w:szCs w:val="32"/>
          <w:highlight w:val="none"/>
        </w:rPr>
      </w:pPr>
    </w:p>
    <w:p>
      <w:pPr>
        <w:snapToGrid w:val="0"/>
        <w:spacing w:beforeLines="50" w:after="50"/>
        <w:jc w:val="center"/>
        <w:rPr>
          <w:rFonts w:ascii="宋体" w:hAnsi="宋体" w:cs="宋体"/>
          <w:b/>
          <w:color w:val="auto"/>
          <w:sz w:val="32"/>
          <w:szCs w:val="32"/>
          <w:highlight w:val="none"/>
        </w:rPr>
      </w:pPr>
    </w:p>
    <w:p>
      <w:pPr>
        <w:snapToGrid w:val="0"/>
        <w:spacing w:beforeLines="50" w:after="50"/>
        <w:jc w:val="center"/>
        <w:rPr>
          <w:rFonts w:ascii="宋体" w:hAnsi="宋体" w:cs="宋体"/>
          <w:b/>
          <w:color w:val="auto"/>
          <w:sz w:val="32"/>
          <w:szCs w:val="32"/>
          <w:highlight w:val="none"/>
        </w:rPr>
      </w:pPr>
    </w:p>
    <w:p>
      <w:pPr>
        <w:snapToGrid w:val="0"/>
        <w:spacing w:beforeLines="50" w:after="50"/>
        <w:jc w:val="center"/>
        <w:rPr>
          <w:rFonts w:ascii="宋体" w:hAnsi="宋体" w:cs="宋体"/>
          <w:b/>
          <w:color w:val="auto"/>
          <w:sz w:val="32"/>
          <w:szCs w:val="32"/>
          <w:highlight w:val="none"/>
        </w:rPr>
      </w:pPr>
      <w:r>
        <w:rPr>
          <w:rFonts w:hint="eastAsia" w:ascii="宋体" w:hAnsi="宋体" w:cs="宋体"/>
          <w:b/>
          <w:color w:val="auto"/>
          <w:sz w:val="32"/>
          <w:szCs w:val="32"/>
          <w:highlight w:val="none"/>
        </w:rPr>
        <w:t>供应商直接控股、管理关系信息表</w:t>
      </w:r>
    </w:p>
    <w:p>
      <w:pPr>
        <w:snapToGrid w:val="0"/>
        <w:spacing w:beforeLines="50" w:after="50"/>
        <w:jc w:val="center"/>
        <w:rPr>
          <w:rFonts w:ascii="宋体" w:hAnsi="宋体" w:cs="宋体"/>
          <w:b/>
          <w:color w:val="auto"/>
          <w:sz w:val="32"/>
          <w:szCs w:val="32"/>
          <w:highlight w:val="none"/>
        </w:rPr>
      </w:pPr>
    </w:p>
    <w:p>
      <w:pPr>
        <w:snapToGrid w:val="0"/>
        <w:spacing w:beforeLines="50" w:after="50"/>
        <w:jc w:val="center"/>
        <w:rPr>
          <w:rFonts w:ascii="宋体" w:hAnsi="宋体" w:cs="宋体"/>
          <w:b/>
          <w:color w:val="auto"/>
          <w:sz w:val="32"/>
          <w:szCs w:val="32"/>
          <w:highlight w:val="none"/>
        </w:rPr>
      </w:pPr>
      <w:r>
        <w:rPr>
          <w:rFonts w:hint="eastAsia" w:ascii="宋体" w:hAnsi="宋体" w:cs="宋体"/>
          <w:b/>
          <w:color w:val="auto"/>
          <w:sz w:val="32"/>
          <w:szCs w:val="32"/>
          <w:highlight w:val="none"/>
        </w:rPr>
        <w:t>供应商直接控股股东信息表</w:t>
      </w:r>
    </w:p>
    <w:p>
      <w:pPr>
        <w:snapToGrid w:val="0"/>
        <w:spacing w:before="50" w:afterLines="50"/>
        <w:jc w:val="center"/>
        <w:rPr>
          <w:rFonts w:ascii="宋体" w:hAnsi="宋体" w:cs="宋体"/>
          <w:b/>
          <w:color w:val="auto"/>
          <w:sz w:val="32"/>
          <w:szCs w:val="32"/>
          <w:highlight w:val="none"/>
        </w:rPr>
      </w:pPr>
    </w:p>
    <w:tbl>
      <w:tblPr>
        <w:tblStyle w:val="21"/>
        <w:tblW w:w="0" w:type="auto"/>
        <w:jc w:val="center"/>
        <w:shd w:val="clear" w:color="auto" w:fill="FBFBFB"/>
        <w:tblLayout w:type="fixed"/>
        <w:tblCellMar>
          <w:top w:w="0" w:type="dxa"/>
          <w:left w:w="0" w:type="dxa"/>
          <w:bottom w:w="0" w:type="dxa"/>
          <w:right w:w="0" w:type="dxa"/>
        </w:tblCellMar>
      </w:tblPr>
      <w:tblGrid>
        <w:gridCol w:w="880"/>
        <w:gridCol w:w="2655"/>
        <w:gridCol w:w="1455"/>
        <w:gridCol w:w="4287"/>
        <w:gridCol w:w="870"/>
      </w:tblGrid>
      <w:tr>
        <w:tblPrEx>
          <w:shd w:val="clear" w:color="auto" w:fill="FBFBFB"/>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26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身份证号码或统一社会信用代码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备注</w:t>
            </w: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6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14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4287"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6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14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4287"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6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14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4287"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26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14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4287"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r>
    </w:tbl>
    <w:p>
      <w:pPr>
        <w:snapToGrid w:val="0"/>
        <w:jc w:val="left"/>
        <w:rPr>
          <w:rFonts w:ascii="宋体" w:hAnsi="宋体" w:cs="宋体"/>
          <w:color w:val="auto"/>
          <w:szCs w:val="21"/>
          <w:highlight w:val="none"/>
        </w:rPr>
      </w:pPr>
      <w:r>
        <w:rPr>
          <w:rFonts w:hint="eastAsia" w:ascii="宋体" w:hAnsi="宋体" w:cs="宋体"/>
          <w:color w:val="auto"/>
          <w:szCs w:val="21"/>
          <w:highlight w:val="none"/>
        </w:rPr>
        <w:t>注：</w:t>
      </w:r>
    </w:p>
    <w:p>
      <w:pPr>
        <w:snapToGri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2.本表所指的控股关系仅限于直接控股关系，不包括间接的控股关系。公司实际控制人与公司之间的关系不属于本表所指的直接控股关系。</w:t>
      </w:r>
    </w:p>
    <w:p>
      <w:pPr>
        <w:snapToGri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3.供应商不存在直接控股股东的，则填“无”。</w:t>
      </w:r>
    </w:p>
    <w:p>
      <w:pPr>
        <w:snapToGrid w:val="0"/>
        <w:jc w:val="left"/>
        <w:rPr>
          <w:rFonts w:ascii="宋体" w:hAnsi="宋体" w:cs="宋体"/>
          <w:color w:val="auto"/>
          <w:szCs w:val="21"/>
          <w:highlight w:val="none"/>
        </w:rPr>
      </w:pPr>
    </w:p>
    <w:p>
      <w:pPr>
        <w:snapToGrid w:val="0"/>
        <w:jc w:val="left"/>
        <w:rPr>
          <w:rFonts w:ascii="宋体" w:hAnsi="宋体" w:cs="宋体"/>
          <w:color w:val="auto"/>
          <w:szCs w:val="21"/>
          <w:highlight w:val="none"/>
        </w:rPr>
      </w:pPr>
    </w:p>
    <w:p>
      <w:pPr>
        <w:snapToGrid w:val="0"/>
        <w:jc w:val="left"/>
        <w:rPr>
          <w:rFonts w:ascii="宋体" w:hAnsi="宋体" w:cs="宋体"/>
          <w:color w:val="auto"/>
          <w:szCs w:val="21"/>
          <w:highlight w:val="none"/>
        </w:rPr>
      </w:pPr>
    </w:p>
    <w:p>
      <w:pPr>
        <w:snapToGrid w:val="0"/>
        <w:jc w:val="left"/>
        <w:rPr>
          <w:rFonts w:ascii="宋体" w:hAnsi="宋体" w:cs="宋体"/>
          <w:color w:val="auto"/>
          <w:szCs w:val="21"/>
          <w:highlight w:val="none"/>
        </w:rPr>
      </w:pPr>
    </w:p>
    <w:p>
      <w:pPr>
        <w:snapToGrid w:val="0"/>
        <w:spacing w:beforeLines="50"/>
        <w:ind w:right="480" w:firstLine="1680" w:firstLineChars="800"/>
        <w:rPr>
          <w:rFonts w:ascii="宋体" w:hAnsi="宋体" w:cs="宋体"/>
          <w:color w:val="auto"/>
          <w:szCs w:val="21"/>
          <w:highlight w:val="none"/>
          <w:u w:val="single"/>
        </w:rPr>
      </w:pPr>
      <w:r>
        <w:rPr>
          <w:rFonts w:hint="eastAsia" w:ascii="宋体" w:hAnsi="宋体" w:cs="宋体"/>
          <w:color w:val="auto"/>
          <w:szCs w:val="21"/>
          <w:highlight w:val="none"/>
        </w:rPr>
        <w:t>法定代表人或委托代理人签字：</w:t>
      </w:r>
    </w:p>
    <w:p>
      <w:pPr>
        <w:snapToGrid w:val="0"/>
        <w:spacing w:beforeLines="50" w:after="50"/>
        <w:ind w:right="480" w:firstLine="2625" w:firstLineChars="1250"/>
        <w:rPr>
          <w:rFonts w:ascii="宋体" w:hAnsi="宋体" w:cs="宋体"/>
          <w:color w:val="auto"/>
          <w:szCs w:val="21"/>
          <w:highlight w:val="none"/>
          <w:u w:val="single"/>
        </w:rPr>
      </w:pPr>
      <w:r>
        <w:rPr>
          <w:rFonts w:hint="eastAsia" w:ascii="宋体" w:hAnsi="宋体" w:cs="宋体"/>
          <w:color w:val="auto"/>
          <w:szCs w:val="21"/>
          <w:highlight w:val="none"/>
        </w:rPr>
        <w:t>供应商（盖公章 ）：</w:t>
      </w:r>
    </w:p>
    <w:p>
      <w:pPr>
        <w:snapToGrid w:val="0"/>
        <w:spacing w:beforeLines="50" w:after="50"/>
        <w:ind w:right="480" w:firstLine="4620" w:firstLineChars="2200"/>
        <w:rPr>
          <w:rFonts w:ascii="宋体" w:hAnsi="宋体" w:cs="宋体"/>
          <w:color w:val="auto"/>
          <w:szCs w:val="21"/>
          <w:highlight w:val="none"/>
        </w:rPr>
      </w:pPr>
      <w:r>
        <w:rPr>
          <w:rFonts w:hint="eastAsia" w:ascii="宋体" w:hAnsi="宋体" w:cs="宋体"/>
          <w:color w:val="auto"/>
          <w:szCs w:val="21"/>
          <w:highlight w:val="none"/>
        </w:rPr>
        <w:t>年    月    日</w:t>
      </w:r>
    </w:p>
    <w:p>
      <w:pPr>
        <w:snapToGrid w:val="0"/>
        <w:jc w:val="center"/>
        <w:rPr>
          <w:rFonts w:ascii="宋体" w:hAnsi="宋体" w:cs="宋体"/>
          <w:b/>
          <w:color w:val="auto"/>
          <w:sz w:val="28"/>
          <w:szCs w:val="28"/>
          <w:highlight w:val="none"/>
        </w:rPr>
      </w:pPr>
      <w:r>
        <w:rPr>
          <w:rFonts w:hint="eastAsia" w:ascii="宋体" w:hAnsi="宋体" w:cs="宋体"/>
          <w:b/>
          <w:color w:val="auto"/>
          <w:szCs w:val="21"/>
          <w:highlight w:val="none"/>
        </w:rPr>
        <w:br w:type="page"/>
      </w:r>
    </w:p>
    <w:p>
      <w:pPr>
        <w:snapToGrid w:val="0"/>
        <w:jc w:val="center"/>
        <w:rPr>
          <w:rFonts w:ascii="宋体" w:hAnsi="宋体" w:cs="宋体"/>
          <w:b/>
          <w:color w:val="auto"/>
          <w:sz w:val="32"/>
          <w:szCs w:val="32"/>
          <w:highlight w:val="none"/>
        </w:rPr>
      </w:pPr>
      <w:r>
        <w:rPr>
          <w:rFonts w:hint="eastAsia" w:ascii="宋体" w:hAnsi="宋体" w:cs="宋体"/>
          <w:b/>
          <w:color w:val="auto"/>
          <w:sz w:val="32"/>
          <w:szCs w:val="32"/>
          <w:highlight w:val="none"/>
        </w:rPr>
        <w:t>供应商直接管理关系信息表</w:t>
      </w:r>
    </w:p>
    <w:p>
      <w:pPr>
        <w:snapToGrid w:val="0"/>
        <w:jc w:val="center"/>
        <w:rPr>
          <w:rFonts w:ascii="宋体" w:hAnsi="宋体" w:cs="宋体"/>
          <w:b/>
          <w:color w:val="auto"/>
          <w:sz w:val="32"/>
          <w:szCs w:val="32"/>
          <w:highlight w:val="none"/>
        </w:rPr>
      </w:pPr>
    </w:p>
    <w:tbl>
      <w:tblPr>
        <w:tblStyle w:val="21"/>
        <w:tblW w:w="0" w:type="auto"/>
        <w:jc w:val="center"/>
        <w:shd w:val="clear" w:color="auto" w:fill="FBFBFB"/>
        <w:tblLayout w:type="fixed"/>
        <w:tblCellMar>
          <w:top w:w="0" w:type="dxa"/>
          <w:left w:w="0" w:type="dxa"/>
          <w:bottom w:w="0" w:type="dxa"/>
          <w:right w:w="0" w:type="dxa"/>
        </w:tblCellMar>
      </w:tblPr>
      <w:tblGrid>
        <w:gridCol w:w="808"/>
        <w:gridCol w:w="3600"/>
        <w:gridCol w:w="3555"/>
        <w:gridCol w:w="1689"/>
      </w:tblGrid>
      <w:tr>
        <w:tblPrEx>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360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备注</w:t>
            </w: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360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35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1689"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360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35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1689"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360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35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1689"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360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35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c>
          <w:tcPr>
            <w:tcW w:w="1689"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widowControl/>
              <w:wordWrap w:val="0"/>
              <w:spacing w:line="200" w:lineRule="atLeast"/>
              <w:jc w:val="center"/>
              <w:rPr>
                <w:rFonts w:ascii="宋体" w:hAnsi="宋体" w:cs="宋体"/>
                <w:color w:val="auto"/>
                <w:kern w:val="0"/>
                <w:szCs w:val="21"/>
                <w:highlight w:val="none"/>
              </w:rPr>
            </w:pPr>
          </w:p>
        </w:tc>
      </w:tr>
    </w:tbl>
    <w:p>
      <w:pPr>
        <w:snapToGrid w:val="0"/>
        <w:jc w:val="left"/>
        <w:rPr>
          <w:rFonts w:ascii="宋体" w:hAnsi="宋体" w:cs="宋体"/>
          <w:color w:val="auto"/>
          <w:szCs w:val="21"/>
          <w:highlight w:val="none"/>
        </w:rPr>
      </w:pPr>
      <w:r>
        <w:rPr>
          <w:rFonts w:hint="eastAsia" w:ascii="宋体" w:hAnsi="宋体" w:cs="宋体"/>
          <w:color w:val="auto"/>
          <w:szCs w:val="21"/>
          <w:highlight w:val="none"/>
        </w:rPr>
        <w:t>注：</w:t>
      </w:r>
    </w:p>
    <w:p>
      <w:pPr>
        <w:snapToGri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1.管理关系：是指不具有出资持股关系的其他单位之间存在的管理与被管理关系，如一些上下级关系的事业单位和团体组织。</w:t>
      </w:r>
    </w:p>
    <w:p>
      <w:pPr>
        <w:snapToGri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pacing w:val="-6"/>
          <w:szCs w:val="21"/>
          <w:highlight w:val="none"/>
        </w:rPr>
        <w:t>本表所指的管理关系仅限于直接管理关系，不包括间接的管理关系。</w:t>
      </w:r>
    </w:p>
    <w:p>
      <w:pPr>
        <w:snapToGrid w:val="0"/>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3.供应商不存在直接管理关系的，则填“无”。</w:t>
      </w:r>
    </w:p>
    <w:p>
      <w:pPr>
        <w:snapToGrid w:val="0"/>
        <w:jc w:val="left"/>
        <w:rPr>
          <w:rFonts w:ascii="宋体" w:hAnsi="宋体" w:cs="宋体"/>
          <w:color w:val="auto"/>
          <w:szCs w:val="21"/>
          <w:highlight w:val="none"/>
        </w:rPr>
      </w:pPr>
    </w:p>
    <w:p>
      <w:pPr>
        <w:snapToGrid w:val="0"/>
        <w:jc w:val="left"/>
        <w:rPr>
          <w:rFonts w:ascii="宋体" w:hAnsi="宋体" w:cs="宋体"/>
          <w:color w:val="auto"/>
          <w:szCs w:val="21"/>
          <w:highlight w:val="none"/>
        </w:rPr>
      </w:pPr>
    </w:p>
    <w:p>
      <w:pPr>
        <w:snapToGrid w:val="0"/>
        <w:jc w:val="left"/>
        <w:rPr>
          <w:rFonts w:ascii="宋体" w:hAnsi="宋体" w:cs="宋体"/>
          <w:color w:val="auto"/>
          <w:szCs w:val="21"/>
          <w:highlight w:val="none"/>
        </w:rPr>
      </w:pPr>
    </w:p>
    <w:p>
      <w:pPr>
        <w:snapToGrid w:val="0"/>
        <w:jc w:val="left"/>
        <w:rPr>
          <w:rFonts w:ascii="宋体" w:hAnsi="宋体" w:cs="宋体"/>
          <w:color w:val="auto"/>
          <w:szCs w:val="21"/>
          <w:highlight w:val="none"/>
        </w:rPr>
      </w:pPr>
    </w:p>
    <w:p>
      <w:pPr>
        <w:snapToGrid w:val="0"/>
        <w:jc w:val="left"/>
        <w:rPr>
          <w:rFonts w:ascii="宋体" w:hAnsi="宋体" w:cs="宋体"/>
          <w:color w:val="auto"/>
          <w:szCs w:val="21"/>
          <w:highlight w:val="none"/>
        </w:rPr>
      </w:pPr>
    </w:p>
    <w:p>
      <w:pPr>
        <w:snapToGrid w:val="0"/>
        <w:jc w:val="left"/>
        <w:rPr>
          <w:rFonts w:ascii="宋体" w:hAnsi="宋体" w:cs="宋体"/>
          <w:color w:val="auto"/>
          <w:szCs w:val="21"/>
          <w:highlight w:val="none"/>
        </w:rPr>
      </w:pPr>
    </w:p>
    <w:p>
      <w:pPr>
        <w:snapToGrid w:val="0"/>
        <w:spacing w:beforeLines="50"/>
        <w:ind w:right="480" w:firstLine="1890" w:firstLineChars="900"/>
        <w:rPr>
          <w:rFonts w:ascii="宋体" w:hAnsi="宋体" w:cs="宋体"/>
          <w:color w:val="auto"/>
          <w:szCs w:val="21"/>
          <w:highlight w:val="none"/>
          <w:u w:val="single"/>
        </w:rPr>
      </w:pPr>
      <w:r>
        <w:rPr>
          <w:rFonts w:hint="eastAsia" w:ascii="宋体" w:hAnsi="宋体" w:cs="宋体"/>
          <w:color w:val="auto"/>
          <w:szCs w:val="21"/>
          <w:highlight w:val="none"/>
        </w:rPr>
        <w:t>法定代表人或委托代理人签字：</w:t>
      </w:r>
    </w:p>
    <w:p>
      <w:pPr>
        <w:snapToGrid w:val="0"/>
        <w:spacing w:beforeLines="50" w:after="50"/>
        <w:ind w:right="480" w:firstLine="2940" w:firstLineChars="1400"/>
        <w:rPr>
          <w:rFonts w:ascii="宋体" w:hAnsi="宋体" w:cs="宋体"/>
          <w:color w:val="auto"/>
          <w:szCs w:val="21"/>
          <w:highlight w:val="none"/>
        </w:rPr>
      </w:pPr>
      <w:r>
        <w:rPr>
          <w:rFonts w:hint="eastAsia" w:ascii="宋体" w:hAnsi="宋体" w:cs="宋体"/>
          <w:color w:val="auto"/>
          <w:szCs w:val="21"/>
          <w:highlight w:val="none"/>
        </w:rPr>
        <w:t>供应商（盖公章）：</w:t>
      </w:r>
    </w:p>
    <w:p>
      <w:pPr>
        <w:snapToGrid w:val="0"/>
        <w:spacing w:beforeLines="50" w:after="50"/>
        <w:ind w:right="480" w:firstLine="210" w:firstLineChars="100"/>
        <w:jc w:val="center"/>
        <w:rPr>
          <w:rFonts w:ascii="宋体" w:hAnsi="宋体" w:cs="宋体"/>
          <w:color w:val="auto"/>
          <w:szCs w:val="21"/>
          <w:highlight w:val="none"/>
        </w:rPr>
      </w:pPr>
      <w:r>
        <w:rPr>
          <w:rFonts w:hint="eastAsia" w:ascii="宋体" w:hAnsi="宋体" w:cs="宋体"/>
          <w:color w:val="auto"/>
          <w:szCs w:val="21"/>
          <w:highlight w:val="none"/>
        </w:rPr>
        <w:t xml:space="preserve">                                        年    月    日</w:t>
      </w:r>
    </w:p>
    <w:p>
      <w:pPr>
        <w:snapToGrid w:val="0"/>
        <w:spacing w:beforeLines="50" w:after="50"/>
        <w:ind w:right="480" w:firstLine="280" w:firstLineChars="100"/>
        <w:rPr>
          <w:rFonts w:ascii="宋体" w:hAnsi="宋体" w:cs="宋体"/>
          <w:b/>
          <w:color w:val="auto"/>
          <w:sz w:val="32"/>
          <w:szCs w:val="32"/>
          <w:highlight w:val="none"/>
        </w:rPr>
      </w:pPr>
      <w:r>
        <w:rPr>
          <w:rFonts w:hint="eastAsia" w:ascii="宋体" w:hAnsi="宋体" w:cs="宋体"/>
          <w:color w:val="auto"/>
          <w:sz w:val="28"/>
          <w:szCs w:val="28"/>
          <w:highlight w:val="none"/>
        </w:rPr>
        <w:br w:type="page"/>
      </w:r>
      <w:r>
        <w:rPr>
          <w:rFonts w:hint="eastAsia" w:ascii="宋体" w:hAnsi="宋体" w:cs="宋体"/>
          <w:b/>
          <w:bCs/>
          <w:color w:val="auto"/>
          <w:sz w:val="32"/>
          <w:szCs w:val="32"/>
          <w:highlight w:val="none"/>
        </w:rPr>
        <w:t>二、</w:t>
      </w:r>
      <w:r>
        <w:rPr>
          <w:rFonts w:hint="eastAsia" w:ascii="宋体" w:hAnsi="宋体" w:cs="宋体"/>
          <w:b/>
          <w:color w:val="auto"/>
          <w:sz w:val="32"/>
          <w:szCs w:val="32"/>
          <w:highlight w:val="none"/>
        </w:rPr>
        <w:t xml:space="preserve">报价商务技术文件格式 </w:t>
      </w:r>
    </w:p>
    <w:p>
      <w:pPr>
        <w:snapToGrid w:val="0"/>
        <w:spacing w:beforeLines="50" w:after="50"/>
        <w:jc w:val="left"/>
        <w:rPr>
          <w:rFonts w:ascii="宋体" w:hAnsi="宋体" w:cs="宋体"/>
          <w:b/>
          <w:color w:val="auto"/>
          <w:sz w:val="32"/>
          <w:szCs w:val="32"/>
          <w:highlight w:val="none"/>
        </w:rPr>
      </w:pPr>
      <w:r>
        <w:rPr>
          <w:rFonts w:hint="eastAsia" w:ascii="宋体" w:hAnsi="宋体" w:cs="宋体"/>
          <w:b/>
          <w:color w:val="auto"/>
          <w:sz w:val="32"/>
          <w:szCs w:val="32"/>
          <w:highlight w:val="none"/>
        </w:rPr>
        <w:t>1.报价商务技术文件封面格式</w:t>
      </w:r>
    </w:p>
    <w:p>
      <w:pPr>
        <w:snapToGrid w:val="0"/>
        <w:spacing w:beforeLines="50" w:after="50"/>
        <w:rPr>
          <w:rFonts w:ascii="宋体" w:hAnsi="宋体" w:cs="宋体"/>
          <w:bCs/>
          <w:color w:val="auto"/>
          <w:sz w:val="32"/>
          <w:szCs w:val="20"/>
          <w:highlight w:val="none"/>
        </w:rPr>
      </w:pPr>
      <w:r>
        <w:rPr>
          <w:rFonts w:hint="eastAsia" w:ascii="宋体" w:hAnsi="宋体" w:cs="宋体"/>
          <w:bCs/>
          <w:color w:val="auto"/>
          <w:highlight w:val="none"/>
        </w:rPr>
        <w:t>正本/副本</w:t>
      </w:r>
    </w:p>
    <w:p>
      <w:pPr>
        <w:snapToGrid w:val="0"/>
        <w:spacing w:beforeLines="50" w:after="50"/>
        <w:rPr>
          <w:rFonts w:ascii="宋体" w:hAnsi="宋体" w:cs="宋体"/>
          <w:color w:val="auto"/>
          <w:sz w:val="24"/>
          <w:szCs w:val="20"/>
          <w:highlight w:val="none"/>
        </w:rPr>
      </w:pPr>
    </w:p>
    <w:p>
      <w:pPr>
        <w:snapToGrid w:val="0"/>
        <w:spacing w:beforeLines="50" w:after="50"/>
        <w:rPr>
          <w:rFonts w:ascii="宋体" w:hAnsi="宋体" w:cs="宋体"/>
          <w:color w:val="auto"/>
          <w:sz w:val="24"/>
          <w:szCs w:val="20"/>
          <w:highlight w:val="none"/>
        </w:rPr>
      </w:pPr>
    </w:p>
    <w:p>
      <w:pPr>
        <w:snapToGrid w:val="0"/>
        <w:spacing w:beforeLines="50" w:after="50"/>
        <w:rPr>
          <w:rFonts w:ascii="宋体" w:hAnsi="宋体" w:cs="宋体"/>
          <w:color w:val="auto"/>
          <w:sz w:val="24"/>
          <w:szCs w:val="20"/>
          <w:highlight w:val="none"/>
        </w:rPr>
      </w:pPr>
    </w:p>
    <w:p>
      <w:pPr>
        <w:snapToGrid w:val="0"/>
        <w:spacing w:beforeLines="50" w:after="50"/>
        <w:jc w:val="center"/>
        <w:rPr>
          <w:rFonts w:ascii="宋体" w:hAnsi="宋体" w:cs="宋体"/>
          <w:bCs/>
          <w:color w:val="auto"/>
          <w:sz w:val="44"/>
          <w:szCs w:val="44"/>
          <w:highlight w:val="none"/>
        </w:rPr>
      </w:pPr>
      <w:r>
        <w:rPr>
          <w:rFonts w:hint="eastAsia" w:ascii="宋体" w:hAnsi="宋体" w:cs="宋体"/>
          <w:bCs/>
          <w:color w:val="auto"/>
          <w:sz w:val="44"/>
          <w:szCs w:val="44"/>
          <w:highlight w:val="none"/>
        </w:rPr>
        <w:t>报  价  商  务  技  术  文  件</w:t>
      </w:r>
    </w:p>
    <w:p>
      <w:pPr>
        <w:snapToGrid w:val="0"/>
        <w:spacing w:beforeLines="50" w:after="50"/>
        <w:rPr>
          <w:rFonts w:ascii="宋体" w:hAnsi="宋体" w:cs="宋体"/>
          <w:bCs/>
          <w:color w:val="auto"/>
          <w:sz w:val="24"/>
          <w:szCs w:val="20"/>
          <w:highlight w:val="none"/>
        </w:rPr>
      </w:pPr>
    </w:p>
    <w:p>
      <w:pPr>
        <w:snapToGrid w:val="0"/>
        <w:spacing w:beforeLines="50" w:after="50"/>
        <w:rPr>
          <w:rFonts w:ascii="宋体" w:hAnsi="宋体" w:cs="宋体"/>
          <w:bCs/>
          <w:color w:val="auto"/>
          <w:sz w:val="24"/>
          <w:szCs w:val="20"/>
          <w:highlight w:val="none"/>
        </w:rPr>
      </w:pPr>
    </w:p>
    <w:p>
      <w:pPr>
        <w:snapToGrid w:val="0"/>
        <w:spacing w:beforeLines="50" w:after="50"/>
        <w:rPr>
          <w:rFonts w:ascii="宋体" w:hAnsi="宋体" w:cs="宋体"/>
          <w:bCs/>
          <w:color w:val="auto"/>
          <w:sz w:val="24"/>
          <w:szCs w:val="20"/>
          <w:highlight w:val="none"/>
        </w:rPr>
      </w:pPr>
    </w:p>
    <w:p>
      <w:pPr>
        <w:snapToGrid w:val="0"/>
        <w:spacing w:beforeLines="50" w:after="50"/>
        <w:rPr>
          <w:rFonts w:ascii="宋体" w:hAnsi="宋体" w:cs="宋体"/>
          <w:bCs/>
          <w:color w:val="auto"/>
          <w:sz w:val="24"/>
          <w:szCs w:val="20"/>
          <w:highlight w:val="none"/>
        </w:rPr>
      </w:pPr>
    </w:p>
    <w:p>
      <w:pPr>
        <w:snapToGrid w:val="0"/>
        <w:spacing w:beforeLines="50" w:after="50"/>
        <w:rPr>
          <w:rFonts w:ascii="宋体" w:hAnsi="宋体" w:cs="宋体"/>
          <w:bCs/>
          <w:color w:val="auto"/>
          <w:sz w:val="24"/>
          <w:szCs w:val="20"/>
          <w:highlight w:val="none"/>
        </w:rPr>
      </w:pPr>
    </w:p>
    <w:p>
      <w:pPr>
        <w:snapToGrid w:val="0"/>
        <w:spacing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项目名称：</w:t>
      </w:r>
    </w:p>
    <w:p>
      <w:pPr>
        <w:snapToGrid w:val="0"/>
        <w:spacing w:beforeLines="50" w:after="50"/>
        <w:ind w:firstLine="720" w:firstLineChars="225"/>
        <w:rPr>
          <w:rFonts w:ascii="宋体" w:hAnsi="宋体" w:cs="宋体"/>
          <w:bCs/>
          <w:color w:val="auto"/>
          <w:sz w:val="32"/>
          <w:szCs w:val="32"/>
          <w:highlight w:val="none"/>
        </w:rPr>
      </w:pPr>
    </w:p>
    <w:p>
      <w:pPr>
        <w:snapToGrid w:val="0"/>
        <w:spacing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项目编号：</w:t>
      </w:r>
    </w:p>
    <w:p>
      <w:pPr>
        <w:snapToGrid w:val="0"/>
        <w:spacing w:beforeLines="50" w:after="50"/>
        <w:ind w:firstLine="720" w:firstLineChars="225"/>
        <w:rPr>
          <w:rFonts w:ascii="宋体" w:hAnsi="宋体" w:cs="宋体"/>
          <w:bCs/>
          <w:color w:val="auto"/>
          <w:sz w:val="32"/>
          <w:szCs w:val="32"/>
          <w:highlight w:val="none"/>
        </w:rPr>
      </w:pPr>
    </w:p>
    <w:p>
      <w:pPr>
        <w:snapToGrid w:val="0"/>
        <w:spacing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所竞分标（如有则填写，无分标时填写“无”或留空）：</w:t>
      </w:r>
    </w:p>
    <w:p>
      <w:pPr>
        <w:snapToGrid w:val="0"/>
        <w:spacing w:beforeLines="50" w:after="50"/>
        <w:ind w:firstLine="720" w:firstLineChars="225"/>
        <w:rPr>
          <w:rFonts w:ascii="宋体" w:hAnsi="宋体" w:cs="宋体"/>
          <w:bCs/>
          <w:color w:val="auto"/>
          <w:sz w:val="32"/>
          <w:szCs w:val="32"/>
          <w:highlight w:val="none"/>
        </w:rPr>
      </w:pPr>
    </w:p>
    <w:p>
      <w:pPr>
        <w:pStyle w:val="5"/>
        <w:snapToGrid w:val="0"/>
        <w:spacing w:before="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供应商名称：</w:t>
      </w:r>
    </w:p>
    <w:p>
      <w:pPr>
        <w:pStyle w:val="5"/>
        <w:snapToGrid w:val="0"/>
        <w:spacing w:before="50" w:after="50"/>
        <w:ind w:firstLine="720" w:firstLineChars="225"/>
        <w:rPr>
          <w:rFonts w:ascii="宋体" w:hAnsi="宋体" w:cs="宋体"/>
          <w:bCs/>
          <w:color w:val="auto"/>
          <w:sz w:val="32"/>
          <w:szCs w:val="32"/>
          <w:highlight w:val="none"/>
        </w:rPr>
      </w:pPr>
    </w:p>
    <w:p>
      <w:pPr>
        <w:pStyle w:val="5"/>
        <w:snapToGrid w:val="0"/>
        <w:spacing w:before="50" w:after="50"/>
        <w:ind w:firstLine="720" w:firstLineChars="225"/>
        <w:rPr>
          <w:rFonts w:ascii="宋体" w:hAnsi="宋体" w:cs="宋体"/>
          <w:bCs/>
          <w:color w:val="auto"/>
          <w:sz w:val="32"/>
          <w:szCs w:val="32"/>
          <w:highlight w:val="none"/>
        </w:rPr>
      </w:pPr>
    </w:p>
    <w:p>
      <w:pPr>
        <w:pStyle w:val="5"/>
        <w:snapToGrid w:val="0"/>
        <w:spacing w:before="50" w:after="50"/>
        <w:ind w:firstLine="1280" w:firstLineChars="400"/>
        <w:rPr>
          <w:rFonts w:ascii="宋体" w:hAnsi="宋体" w:cs="宋体"/>
          <w:bCs/>
          <w:color w:val="auto"/>
          <w:sz w:val="32"/>
          <w:szCs w:val="32"/>
          <w:highlight w:val="none"/>
        </w:rPr>
      </w:pPr>
    </w:p>
    <w:p>
      <w:pPr>
        <w:snapToGrid w:val="0"/>
        <w:spacing w:beforeLines="50" w:after="50"/>
        <w:jc w:val="center"/>
        <w:rPr>
          <w:rFonts w:ascii="宋体" w:hAnsi="宋体" w:cs="宋体"/>
          <w:color w:val="auto"/>
          <w:sz w:val="32"/>
          <w:szCs w:val="32"/>
          <w:highlight w:val="none"/>
        </w:rPr>
      </w:pPr>
      <w:r>
        <w:rPr>
          <w:rFonts w:hint="eastAsia" w:ascii="宋体" w:hAnsi="宋体" w:cs="宋体"/>
          <w:color w:val="auto"/>
          <w:sz w:val="32"/>
          <w:szCs w:val="32"/>
          <w:highlight w:val="none"/>
        </w:rPr>
        <w:t>年    月    日</w:t>
      </w:r>
    </w:p>
    <w:p>
      <w:pPr>
        <w:snapToGrid w:val="0"/>
        <w:spacing w:beforeLines="50" w:after="50"/>
        <w:ind w:left="142"/>
        <w:jc w:val="left"/>
        <w:rPr>
          <w:rFonts w:ascii="宋体" w:hAnsi="宋体" w:cs="宋体"/>
          <w:b/>
          <w:bCs/>
          <w:color w:val="auto"/>
          <w:sz w:val="24"/>
          <w:highlight w:val="none"/>
        </w:rPr>
      </w:pPr>
      <w:r>
        <w:rPr>
          <w:rFonts w:hint="eastAsia" w:ascii="宋体" w:hAnsi="宋体" w:cs="宋体"/>
          <w:color w:val="auto"/>
          <w:sz w:val="24"/>
          <w:highlight w:val="none"/>
        </w:rPr>
        <w:br w:type="page"/>
      </w:r>
      <w:r>
        <w:rPr>
          <w:rFonts w:hint="eastAsia" w:ascii="宋体" w:hAnsi="宋体" w:cs="宋体"/>
          <w:b/>
          <w:bCs/>
          <w:color w:val="auto"/>
          <w:sz w:val="32"/>
          <w:szCs w:val="32"/>
          <w:highlight w:val="none"/>
        </w:rPr>
        <w:t>2.报价商务技术文件目录</w:t>
      </w:r>
    </w:p>
    <w:p>
      <w:pPr>
        <w:snapToGrid w:val="0"/>
        <w:spacing w:beforeLines="50" w:after="50"/>
        <w:ind w:firstLine="640" w:firstLineChars="200"/>
        <w:rPr>
          <w:rFonts w:ascii="宋体" w:hAnsi="宋体" w:cs="宋体"/>
          <w:color w:val="auto"/>
          <w:sz w:val="32"/>
          <w:szCs w:val="32"/>
          <w:highlight w:val="none"/>
        </w:rPr>
      </w:pPr>
      <w:r>
        <w:rPr>
          <w:rFonts w:hint="eastAsia" w:ascii="宋体" w:hAnsi="宋体" w:cs="宋体"/>
          <w:color w:val="auto"/>
          <w:sz w:val="32"/>
          <w:szCs w:val="32"/>
          <w:highlight w:val="none"/>
        </w:rPr>
        <w:t>根据竞争性磋商文件规定及供应商提供的材料自行编写目录（部分格式后附）。</w:t>
      </w:r>
    </w:p>
    <w:p>
      <w:pPr>
        <w:spacing w:line="400" w:lineRule="exact"/>
        <w:rPr>
          <w:rFonts w:ascii="宋体" w:hAnsi="宋体" w:cs="宋体"/>
          <w:color w:val="auto"/>
          <w:sz w:val="32"/>
          <w:szCs w:val="32"/>
          <w:highlight w:val="none"/>
        </w:rPr>
      </w:pPr>
    </w:p>
    <w:p>
      <w:pPr>
        <w:spacing w:line="520" w:lineRule="exact"/>
        <w:jc w:val="center"/>
        <w:rPr>
          <w:rFonts w:ascii="宋体" w:hAnsi="宋体" w:cs="宋体"/>
          <w:color w:val="auto"/>
          <w:sz w:val="32"/>
          <w:szCs w:val="32"/>
          <w:highlight w:val="none"/>
        </w:rPr>
      </w:pPr>
      <w:r>
        <w:rPr>
          <w:rFonts w:hint="eastAsia" w:ascii="宋体" w:hAnsi="宋体" w:cs="宋体"/>
          <w:color w:val="auto"/>
          <w:sz w:val="44"/>
          <w:szCs w:val="44"/>
          <w:highlight w:val="none"/>
        </w:rPr>
        <w:br w:type="page"/>
      </w:r>
      <w:r>
        <w:rPr>
          <w:rFonts w:hint="eastAsia" w:ascii="宋体" w:hAnsi="宋体" w:cs="宋体"/>
          <w:color w:val="auto"/>
          <w:sz w:val="44"/>
          <w:szCs w:val="44"/>
          <w:highlight w:val="none"/>
        </w:rPr>
        <w:t>无串通竞标行为的承诺函</w:t>
      </w:r>
    </w:p>
    <w:p>
      <w:pPr>
        <w:spacing w:line="400" w:lineRule="exact"/>
        <w:ind w:firstLine="640" w:firstLineChars="200"/>
        <w:rPr>
          <w:rFonts w:ascii="宋体" w:hAnsi="宋体" w:cs="宋体"/>
          <w:color w:val="auto"/>
          <w:sz w:val="32"/>
          <w:szCs w:val="32"/>
          <w:highlight w:val="none"/>
        </w:rPr>
      </w:pP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一、我方承诺无下列相互串通竞标的情形：</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1.不同供应商的响应文件由同一单位或者个人编制；或不同供应商报名的IP地址一致的；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2.不同供应商委托同一单位或者个人办理竞标事宜；</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3.不同供应商的响应文件载明的项目管理员为同一个人；</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4.不</w:t>
      </w:r>
      <w:r>
        <w:rPr>
          <w:rFonts w:hint="eastAsia" w:ascii="宋体" w:hAnsi="宋体" w:cs="宋体"/>
          <w:color w:val="auto"/>
          <w:spacing w:val="-6"/>
          <w:szCs w:val="21"/>
          <w:highlight w:val="none"/>
        </w:rPr>
        <w:t>同供应商的响应文件异常一致或竞标报价呈规律性差异；</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5.不同供应商的响应文件相互混装；</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6.不同供应商的磋商保证金从同一单位或者个人账户转出。</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二、我方承诺无下列恶意串通的情形：</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1.供应商直接或者间接从采购人或者采购代理机构处获得其他供应商的相关信息并修改其响应文件；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2.供应商按照采购人或者采购代理机构的授意撤换、修改响应文件；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3.供</w:t>
      </w:r>
      <w:r>
        <w:rPr>
          <w:rFonts w:hint="eastAsia" w:ascii="宋体" w:hAnsi="宋体" w:cs="宋体"/>
          <w:color w:val="auto"/>
          <w:spacing w:val="-6"/>
          <w:szCs w:val="21"/>
          <w:highlight w:val="none"/>
        </w:rPr>
        <w:t>应商之间协商报价、技术方案等响应文件的实质性内容；</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4.属于同一集团、协会、商会等组织成员的供应商按照该组织要求协同参加政府采购活动；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5.供应商之间事先约定一致抬高或者压低竞标报价，或者在竞争性磋商项目中事先约定轮流以高价位或者低价位成交，或者事先约定由某一特定供应商成交，然后再参加竞标；</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6.供应商之间商定部分供应商放弃参加政府采购活动或者放弃成交；</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7.供应商与采购人或者采购代理机构之间、供应商相互之间，为</w:t>
      </w:r>
      <w:r>
        <w:rPr>
          <w:rFonts w:hint="eastAsia" w:ascii="宋体" w:hAnsi="宋体" w:cs="宋体"/>
          <w:color w:val="auto"/>
          <w:spacing w:val="-6"/>
          <w:szCs w:val="21"/>
          <w:highlight w:val="none"/>
        </w:rPr>
        <w:t>谋求特定供应商成交或者排斥其他供应商的其他串通行为。</w:t>
      </w:r>
    </w:p>
    <w:p>
      <w:pPr>
        <w:spacing w:line="400" w:lineRule="exact"/>
        <w:ind w:firstLine="420" w:firstLineChars="200"/>
        <w:rPr>
          <w:rFonts w:ascii="宋体" w:hAnsi="宋体" w:cs="宋体"/>
          <w:color w:val="auto"/>
          <w:szCs w:val="21"/>
          <w:highlight w:val="none"/>
        </w:rPr>
      </w:pP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以上情形一经核查属实，我方愿意承担一切后果，并不再寻求任何旨在减轻或免除法律责任的辩解。</w:t>
      </w:r>
    </w:p>
    <w:p>
      <w:pPr>
        <w:spacing w:line="400" w:lineRule="exact"/>
        <w:ind w:firstLine="420" w:firstLineChars="200"/>
        <w:rPr>
          <w:rFonts w:ascii="宋体" w:hAnsi="宋体" w:cs="宋体"/>
          <w:color w:val="auto"/>
          <w:szCs w:val="21"/>
          <w:highlight w:val="none"/>
        </w:rPr>
      </w:pPr>
    </w:p>
    <w:p>
      <w:pPr>
        <w:spacing w:line="400" w:lineRule="exact"/>
        <w:ind w:firstLine="420" w:firstLineChars="200"/>
        <w:rPr>
          <w:rFonts w:ascii="宋体" w:hAnsi="宋体" w:cs="宋体"/>
          <w:color w:val="auto"/>
          <w:szCs w:val="21"/>
          <w:highlight w:val="none"/>
        </w:rPr>
      </w:pPr>
    </w:p>
    <w:p>
      <w:pPr>
        <w:spacing w:line="400" w:lineRule="exact"/>
        <w:ind w:firstLine="420" w:firstLineChars="200"/>
        <w:rPr>
          <w:rFonts w:ascii="宋体" w:hAnsi="宋体" w:cs="宋体"/>
          <w:color w:val="auto"/>
          <w:szCs w:val="21"/>
          <w:highlight w:val="none"/>
        </w:rPr>
      </w:pPr>
    </w:p>
    <w:p>
      <w:pPr>
        <w:spacing w:line="400" w:lineRule="exact"/>
        <w:ind w:firstLine="3150" w:firstLineChars="1500"/>
        <w:rPr>
          <w:rFonts w:ascii="宋体" w:hAnsi="宋体" w:cs="宋体"/>
          <w:color w:val="auto"/>
          <w:szCs w:val="21"/>
          <w:highlight w:val="none"/>
        </w:rPr>
      </w:pPr>
      <w:r>
        <w:rPr>
          <w:rFonts w:hint="eastAsia" w:ascii="宋体" w:hAnsi="宋体" w:cs="宋体"/>
          <w:color w:val="auto"/>
          <w:szCs w:val="21"/>
          <w:highlight w:val="none"/>
        </w:rPr>
        <w:t>供应商（盖公章）：</w:t>
      </w:r>
    </w:p>
    <w:p>
      <w:pPr>
        <w:spacing w:line="520" w:lineRule="exact"/>
        <w:ind w:firstLine="420" w:firstLineChars="200"/>
        <w:jc w:val="center"/>
        <w:rPr>
          <w:rFonts w:ascii="宋体" w:hAnsi="宋体" w:cs="宋体"/>
          <w:color w:val="auto"/>
          <w:szCs w:val="21"/>
          <w:highlight w:val="none"/>
        </w:rPr>
      </w:pPr>
      <w:r>
        <w:rPr>
          <w:rFonts w:hint="eastAsia" w:ascii="宋体" w:hAnsi="宋体" w:cs="宋体"/>
          <w:color w:val="auto"/>
          <w:szCs w:val="21"/>
          <w:highlight w:val="none"/>
        </w:rPr>
        <w:t xml:space="preserve">                               年   月   日</w:t>
      </w:r>
    </w:p>
    <w:p>
      <w:pPr>
        <w:spacing w:line="520" w:lineRule="exact"/>
        <w:jc w:val="center"/>
        <w:rPr>
          <w:rFonts w:ascii="宋体" w:hAnsi="宋体" w:cs="宋体"/>
          <w:bCs/>
          <w:color w:val="auto"/>
          <w:sz w:val="32"/>
          <w:szCs w:val="32"/>
          <w:highlight w:val="none"/>
        </w:rPr>
      </w:pPr>
      <w:r>
        <w:rPr>
          <w:rFonts w:hint="eastAsia" w:ascii="宋体" w:hAnsi="宋体" w:cs="宋体"/>
          <w:bCs/>
          <w:color w:val="auto"/>
          <w:sz w:val="44"/>
          <w:szCs w:val="44"/>
          <w:highlight w:val="none"/>
        </w:rPr>
        <w:br w:type="page"/>
      </w:r>
      <w:r>
        <w:rPr>
          <w:rFonts w:hint="eastAsia" w:ascii="宋体" w:hAnsi="宋体" w:cs="宋体"/>
          <w:bCs/>
          <w:color w:val="auto"/>
          <w:sz w:val="44"/>
          <w:szCs w:val="44"/>
          <w:highlight w:val="none"/>
        </w:rPr>
        <w:t>竞  标  报  价  表</w:t>
      </w:r>
    </w:p>
    <w:p>
      <w:pPr>
        <w:spacing w:line="440" w:lineRule="exact"/>
        <w:jc w:val="center"/>
        <w:rPr>
          <w:rFonts w:ascii="宋体" w:hAnsi="宋体" w:cs="宋体"/>
          <w:bCs/>
          <w:color w:val="auto"/>
          <w:sz w:val="32"/>
          <w:szCs w:val="32"/>
          <w:highlight w:val="none"/>
        </w:rPr>
      </w:pPr>
    </w:p>
    <w:p>
      <w:pPr>
        <w:snapToGrid w:val="0"/>
        <w:spacing w:before="50" w:after="50" w:line="440" w:lineRule="exact"/>
        <w:rPr>
          <w:rFonts w:ascii="宋体" w:hAnsi="宋体" w:cs="宋体"/>
          <w:color w:val="auto"/>
          <w:szCs w:val="21"/>
          <w:highlight w:val="none"/>
        </w:rPr>
      </w:pPr>
      <w:r>
        <w:rPr>
          <w:rFonts w:hint="eastAsia" w:ascii="宋体" w:hAnsi="宋体" w:cs="宋体"/>
          <w:color w:val="auto"/>
          <w:szCs w:val="21"/>
          <w:highlight w:val="none"/>
        </w:rPr>
        <w:t>项目名称：项目编号：</w:t>
      </w:r>
    </w:p>
    <w:p>
      <w:pPr>
        <w:snapToGrid w:val="0"/>
        <w:spacing w:before="50" w:after="50" w:line="440" w:lineRule="exact"/>
        <w:rPr>
          <w:rFonts w:ascii="宋体" w:hAnsi="宋体" w:cs="宋体"/>
          <w:color w:val="auto"/>
          <w:szCs w:val="21"/>
          <w:highlight w:val="none"/>
          <w:u w:val="single"/>
        </w:rPr>
      </w:pPr>
      <w:r>
        <w:rPr>
          <w:rFonts w:hint="eastAsia" w:ascii="宋体" w:hAnsi="宋体" w:cs="宋体"/>
          <w:color w:val="auto"/>
          <w:szCs w:val="21"/>
          <w:highlight w:val="none"/>
        </w:rPr>
        <w:t>分标（如有）：</w:t>
      </w:r>
      <w:r>
        <w:rPr>
          <w:rFonts w:hint="eastAsia" w:ascii="宋体" w:hAnsi="宋体" w:cs="宋体"/>
          <w:color w:val="auto"/>
          <w:szCs w:val="21"/>
          <w:highlight w:val="none"/>
          <w:u w:val="single"/>
        </w:rPr>
        <w:t xml:space="preserve">   A                                      </w:t>
      </w:r>
    </w:p>
    <w:p>
      <w:pPr>
        <w:snapToGrid w:val="0"/>
        <w:spacing w:before="50" w:after="50" w:line="440" w:lineRule="exact"/>
        <w:rPr>
          <w:rFonts w:ascii="宋体" w:hAnsi="宋体" w:cs="宋体"/>
          <w:color w:val="auto"/>
          <w:szCs w:val="21"/>
          <w:highlight w:val="none"/>
        </w:rPr>
      </w:pPr>
      <w:r>
        <w:rPr>
          <w:rFonts w:hint="eastAsia" w:ascii="宋体" w:hAnsi="宋体" w:cs="宋体"/>
          <w:color w:val="auto"/>
          <w:szCs w:val="21"/>
          <w:highlight w:val="none"/>
        </w:rPr>
        <w:t>供应商名称：                     单位：元</w:t>
      </w:r>
    </w:p>
    <w:tbl>
      <w:tblPr>
        <w:tblStyle w:val="21"/>
        <w:tblW w:w="101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5"/>
        <w:gridCol w:w="1334"/>
        <w:gridCol w:w="760"/>
        <w:gridCol w:w="5471"/>
        <w:gridCol w:w="17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序号</w:t>
            </w:r>
          </w:p>
        </w:tc>
        <w:tc>
          <w:tcPr>
            <w:tcW w:w="13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服务名称</w:t>
            </w:r>
          </w:p>
        </w:tc>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数量</w:t>
            </w:r>
          </w:p>
        </w:tc>
        <w:tc>
          <w:tcPr>
            <w:tcW w:w="547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服务期限</w:t>
            </w:r>
          </w:p>
        </w:tc>
        <w:tc>
          <w:tcPr>
            <w:tcW w:w="178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9"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334"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仿宋"/>
                <w:color w:val="auto"/>
                <w:szCs w:val="21"/>
                <w:highlight w:val="none"/>
              </w:rPr>
            </w:pPr>
          </w:p>
        </w:tc>
        <w:tc>
          <w:tcPr>
            <w:tcW w:w="760" w:type="dxa"/>
            <w:tcBorders>
              <w:top w:val="single" w:color="auto" w:sz="4" w:space="0"/>
              <w:left w:val="single" w:color="auto" w:sz="4" w:space="0"/>
              <w:right w:val="single" w:color="auto" w:sz="4" w:space="0"/>
            </w:tcBorders>
            <w:vAlign w:val="center"/>
          </w:tcPr>
          <w:p>
            <w:pPr>
              <w:snapToGrid w:val="0"/>
              <w:spacing w:before="50" w:after="50"/>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1项</w:t>
            </w:r>
          </w:p>
        </w:tc>
        <w:tc>
          <w:tcPr>
            <w:tcW w:w="5471" w:type="dxa"/>
            <w:tcBorders>
              <w:top w:val="single" w:color="auto" w:sz="4" w:space="0"/>
              <w:left w:val="single" w:color="auto" w:sz="4" w:space="0"/>
              <w:right w:val="single" w:color="auto" w:sz="4" w:space="0"/>
            </w:tcBorders>
            <w:vAlign w:val="center"/>
          </w:tcPr>
          <w:p>
            <w:pPr>
              <w:snapToGrid w:val="0"/>
              <w:spacing w:before="50" w:after="50"/>
              <w:rPr>
                <w:rFonts w:ascii="仿宋_GB2312" w:hAnsi="仿宋_GB2312" w:eastAsia="仿宋_GB2312" w:cs="仿宋_GB2312"/>
                <w:color w:val="auto"/>
                <w:sz w:val="24"/>
                <w:highlight w:val="none"/>
              </w:rPr>
            </w:pPr>
          </w:p>
        </w:tc>
        <w:tc>
          <w:tcPr>
            <w:tcW w:w="1782" w:type="dxa"/>
            <w:tcBorders>
              <w:top w:val="single" w:color="auto" w:sz="4" w:space="0"/>
              <w:left w:val="single" w:color="auto" w:sz="4" w:space="0"/>
              <w:right w:val="single" w:color="auto" w:sz="4" w:space="0"/>
            </w:tcBorders>
            <w:vAlign w:val="center"/>
          </w:tcPr>
          <w:p>
            <w:pPr>
              <w:snapToGrid w:val="0"/>
              <w:spacing w:before="50" w:after="50"/>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1019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_GB2312" w:hAnsi="仿宋_GB2312" w:eastAsia="仿宋_GB2312" w:cs="仿宋_GB2312"/>
                <w:color w:val="auto"/>
                <w:sz w:val="24"/>
                <w:highlight w:val="none"/>
              </w:rPr>
            </w:pPr>
            <w:r>
              <w:rPr>
                <w:rFonts w:hint="eastAsia" w:ascii="宋体" w:hAnsi="宋体" w:cs="仿宋"/>
                <w:color w:val="auto"/>
                <w:szCs w:val="21"/>
                <w:highlight w:val="none"/>
              </w:rPr>
              <w:t>投标总报价</w:t>
            </w:r>
            <w:r>
              <w:rPr>
                <w:rFonts w:hint="eastAsia" w:ascii="仿宋_GB2312" w:hAnsi="仿宋_GB2312" w:eastAsia="仿宋_GB2312" w:cs="仿宋_GB2312"/>
                <w:color w:val="auto"/>
                <w:sz w:val="24"/>
                <w:highlight w:val="none"/>
              </w:rPr>
              <w:t>：（大写） ￥</w:t>
            </w:r>
            <w:r>
              <w:rPr>
                <w:rFonts w:hint="eastAsia" w:ascii="仿宋_GB2312" w:hAnsi="仿宋_GB2312" w:eastAsia="仿宋_GB2312" w:cs="仿宋_GB2312"/>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1019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投标报价应包含但不限于人员的工资、社保费、加班费、福利费、服装费、人员培训费、税费、管理费、合理利润等，以及合同约定的义务而发生的其他费用。</w:t>
            </w:r>
          </w:p>
        </w:tc>
      </w:tr>
    </w:tbl>
    <w:p>
      <w:pPr>
        <w:snapToGrid w:val="0"/>
        <w:spacing w:before="50" w:after="50" w:line="440" w:lineRule="exact"/>
        <w:jc w:val="left"/>
        <w:rPr>
          <w:rFonts w:ascii="宋体" w:hAnsi="宋体" w:cs="宋体"/>
          <w:color w:val="auto"/>
          <w:szCs w:val="21"/>
          <w:highlight w:val="none"/>
        </w:rPr>
      </w:pPr>
      <w:r>
        <w:rPr>
          <w:rFonts w:hint="eastAsia" w:ascii="宋体" w:hAnsi="宋体" w:cs="宋体"/>
          <w:color w:val="auto"/>
          <w:szCs w:val="21"/>
          <w:highlight w:val="none"/>
        </w:rPr>
        <w:t xml:space="preserve">注: </w:t>
      </w:r>
    </w:p>
    <w:p>
      <w:pPr>
        <w:snapToGrid w:val="0"/>
        <w:spacing w:before="50" w:after="50"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1.供应商的报价表必须加盖供应商公章并由法定代表人或委托代理人签字，</w:t>
      </w:r>
      <w:r>
        <w:rPr>
          <w:rFonts w:hint="eastAsia" w:ascii="宋体" w:hAnsi="宋体" w:cs="宋体"/>
          <w:b/>
          <w:color w:val="auto"/>
          <w:szCs w:val="21"/>
          <w:highlight w:val="none"/>
        </w:rPr>
        <w:t>否则其响应文件按无效响应处理</w:t>
      </w:r>
      <w:r>
        <w:rPr>
          <w:rFonts w:hint="eastAsia" w:ascii="宋体" w:hAnsi="宋体" w:cs="宋体"/>
          <w:color w:val="auto"/>
          <w:szCs w:val="21"/>
          <w:highlight w:val="none"/>
        </w:rPr>
        <w:t>。</w:t>
      </w:r>
    </w:p>
    <w:p>
      <w:pPr>
        <w:snapToGrid w:val="0"/>
        <w:spacing w:before="50" w:after="50" w:line="440" w:lineRule="exact"/>
        <w:ind w:firstLine="420" w:firstLineChars="200"/>
        <w:jc w:val="left"/>
        <w:rPr>
          <w:rFonts w:ascii="宋体" w:hAnsi="宋体" w:cs="宋体"/>
          <w:b/>
          <w:color w:val="auto"/>
          <w:szCs w:val="21"/>
          <w:highlight w:val="none"/>
        </w:rPr>
      </w:pPr>
      <w:r>
        <w:rPr>
          <w:rFonts w:hint="eastAsia" w:ascii="宋体" w:hAnsi="宋体" w:cs="宋体"/>
          <w:bCs/>
          <w:color w:val="auto"/>
          <w:szCs w:val="21"/>
          <w:highlight w:val="none"/>
        </w:rPr>
        <w:t>2.</w:t>
      </w:r>
      <w:r>
        <w:rPr>
          <w:rFonts w:hint="eastAsia" w:ascii="宋体" w:hAnsi="宋体" w:cs="宋体"/>
          <w:color w:val="auto"/>
          <w:szCs w:val="21"/>
          <w:highlight w:val="none"/>
        </w:rPr>
        <w:t>报价一经涂改，应在涂改处加盖供应商公章或由法定代表人或委托代理人签字或盖章</w:t>
      </w:r>
      <w:r>
        <w:rPr>
          <w:rFonts w:hint="eastAsia" w:ascii="宋体" w:hAnsi="宋体" w:cs="宋体"/>
          <w:b/>
          <w:color w:val="auto"/>
          <w:szCs w:val="21"/>
          <w:highlight w:val="none"/>
        </w:rPr>
        <w:t>，否则其响应文件按无效响应处理。</w:t>
      </w:r>
    </w:p>
    <w:p>
      <w:pPr>
        <w:snapToGrid w:val="0"/>
        <w:spacing w:before="50" w:after="50"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3.如为联合体竞标，“供应商名称”处必须列明联合体各方名称，标注联合体牵头人名称，</w:t>
      </w:r>
      <w:r>
        <w:rPr>
          <w:rFonts w:hint="eastAsia" w:ascii="宋体" w:hAnsi="宋体" w:cs="宋体"/>
          <w:b/>
          <w:color w:val="auto"/>
          <w:szCs w:val="21"/>
          <w:highlight w:val="none"/>
        </w:rPr>
        <w:t>否则其响应文件按无效响应处理。</w:t>
      </w:r>
    </w:p>
    <w:p>
      <w:pPr>
        <w:snapToGrid w:val="0"/>
        <w:spacing w:before="50" w:after="50"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4.如为联合体竞标，盖章处须加盖联合体各方公章，</w:t>
      </w:r>
      <w:r>
        <w:rPr>
          <w:rFonts w:hint="eastAsia" w:ascii="宋体" w:hAnsi="宋体" w:cs="宋体"/>
          <w:b/>
          <w:color w:val="auto"/>
          <w:szCs w:val="21"/>
          <w:highlight w:val="none"/>
        </w:rPr>
        <w:t>否则其响应文件按无效响应处理。</w:t>
      </w:r>
    </w:p>
    <w:p>
      <w:pPr>
        <w:snapToGrid w:val="0"/>
        <w:spacing w:before="50" w:after="50"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spacing w:val="-6"/>
          <w:szCs w:val="21"/>
          <w:highlight w:val="none"/>
        </w:rPr>
        <w:t>如有多分标，分别列明各分标的报价表，</w:t>
      </w:r>
      <w:r>
        <w:rPr>
          <w:rFonts w:hint="eastAsia" w:ascii="宋体" w:hAnsi="宋体" w:cs="宋体"/>
          <w:b/>
          <w:color w:val="auto"/>
          <w:spacing w:val="-6"/>
          <w:szCs w:val="21"/>
          <w:highlight w:val="none"/>
        </w:rPr>
        <w:t>否则其响应文件按无效响应处理。</w:t>
      </w:r>
    </w:p>
    <w:p>
      <w:pPr>
        <w:snapToGrid w:val="0"/>
        <w:spacing w:before="50" w:after="50" w:line="440" w:lineRule="exact"/>
        <w:ind w:right="-817" w:rightChars="-389"/>
        <w:rPr>
          <w:rFonts w:ascii="宋体" w:hAnsi="宋体" w:cs="宋体"/>
          <w:color w:val="auto"/>
          <w:szCs w:val="21"/>
          <w:highlight w:val="none"/>
        </w:rPr>
      </w:pPr>
    </w:p>
    <w:p>
      <w:pPr>
        <w:snapToGrid w:val="0"/>
        <w:spacing w:before="50" w:after="50" w:line="440" w:lineRule="exact"/>
        <w:ind w:right="-817" w:rightChars="-389" w:firstLine="840" w:firstLineChars="400"/>
        <w:rPr>
          <w:rFonts w:ascii="宋体" w:hAnsi="宋体" w:cs="宋体"/>
          <w:color w:val="auto"/>
          <w:szCs w:val="21"/>
          <w:highlight w:val="none"/>
        </w:rPr>
      </w:pPr>
      <w:r>
        <w:rPr>
          <w:rFonts w:hint="eastAsia" w:ascii="宋体" w:hAnsi="宋体" w:cs="宋体"/>
          <w:color w:val="auto"/>
          <w:szCs w:val="21"/>
          <w:highlight w:val="none"/>
        </w:rPr>
        <w:t xml:space="preserve">法定代表人或委托代理人（签字）：                    </w:t>
      </w:r>
    </w:p>
    <w:p>
      <w:pPr>
        <w:snapToGrid w:val="0"/>
        <w:spacing w:before="50" w:after="50" w:line="440" w:lineRule="exact"/>
        <w:ind w:right="-817" w:rightChars="-389" w:firstLine="2310" w:firstLineChars="1100"/>
        <w:rPr>
          <w:rFonts w:ascii="宋体" w:hAnsi="宋体" w:cs="宋体"/>
          <w:color w:val="auto"/>
          <w:szCs w:val="21"/>
          <w:highlight w:val="none"/>
        </w:rPr>
      </w:pPr>
      <w:r>
        <w:rPr>
          <w:rFonts w:hint="eastAsia" w:ascii="宋体" w:hAnsi="宋体" w:cs="宋体"/>
          <w:color w:val="auto"/>
          <w:szCs w:val="21"/>
          <w:highlight w:val="none"/>
        </w:rPr>
        <w:t xml:space="preserve">供应商（盖公章）：      </w:t>
      </w:r>
    </w:p>
    <w:p>
      <w:pPr>
        <w:snapToGrid w:val="0"/>
        <w:spacing w:before="50" w:after="50" w:line="440" w:lineRule="exact"/>
        <w:ind w:right="-817" w:rightChars="-389" w:firstLine="3570" w:firstLineChars="1700"/>
        <w:rPr>
          <w:rFonts w:ascii="宋体" w:hAnsi="宋体" w:cs="宋体"/>
          <w:b/>
          <w:color w:val="auto"/>
          <w:szCs w:val="21"/>
          <w:highlight w:val="none"/>
        </w:rPr>
      </w:pPr>
      <w:r>
        <w:rPr>
          <w:rFonts w:hint="eastAsia" w:ascii="宋体" w:hAnsi="宋体" w:cs="宋体"/>
          <w:color w:val="auto"/>
          <w:szCs w:val="21"/>
          <w:highlight w:val="none"/>
        </w:rPr>
        <w:t>日期：   年   月   日</w:t>
      </w:r>
    </w:p>
    <w:p>
      <w:pPr>
        <w:spacing w:beforeLines="100" w:afterLines="50" w:line="520" w:lineRule="exact"/>
        <w:ind w:left="540"/>
        <w:jc w:val="center"/>
        <w:rPr>
          <w:rFonts w:ascii="宋体" w:hAnsi="宋体" w:cs="宋体"/>
          <w:b/>
          <w:color w:val="auto"/>
          <w:sz w:val="32"/>
          <w:szCs w:val="32"/>
          <w:highlight w:val="none"/>
        </w:rPr>
      </w:pPr>
    </w:p>
    <w:p>
      <w:pPr>
        <w:spacing w:beforeLines="100" w:afterLines="50" w:line="520" w:lineRule="exact"/>
        <w:ind w:left="540"/>
        <w:jc w:val="center"/>
        <w:rPr>
          <w:rFonts w:ascii="宋体" w:hAnsi="宋体" w:cs="宋体"/>
          <w:b/>
          <w:color w:val="auto"/>
          <w:sz w:val="32"/>
          <w:szCs w:val="32"/>
          <w:highlight w:val="none"/>
        </w:rPr>
      </w:pPr>
    </w:p>
    <w:p>
      <w:pPr>
        <w:spacing w:beforeLines="100" w:afterLines="50" w:line="520" w:lineRule="exact"/>
        <w:ind w:left="540"/>
        <w:jc w:val="center"/>
        <w:rPr>
          <w:rFonts w:ascii="宋体" w:hAnsi="宋体" w:cs="宋体"/>
          <w:b/>
          <w:color w:val="auto"/>
          <w:sz w:val="32"/>
          <w:szCs w:val="32"/>
          <w:highlight w:val="none"/>
        </w:rPr>
      </w:pPr>
    </w:p>
    <w:p>
      <w:pPr>
        <w:spacing w:beforeLines="100" w:afterLines="50" w:line="520" w:lineRule="exact"/>
        <w:ind w:left="540"/>
        <w:jc w:val="center"/>
        <w:rPr>
          <w:rFonts w:ascii="宋体" w:hAnsi="宋体" w:cs="宋体"/>
          <w:b/>
          <w:color w:val="auto"/>
          <w:sz w:val="32"/>
          <w:szCs w:val="32"/>
          <w:highlight w:val="none"/>
        </w:rPr>
      </w:pPr>
    </w:p>
    <w:p>
      <w:pPr>
        <w:spacing w:line="520" w:lineRule="exact"/>
        <w:jc w:val="center"/>
        <w:rPr>
          <w:rFonts w:ascii="宋体" w:hAnsi="宋体" w:cs="宋体"/>
          <w:bCs/>
          <w:color w:val="auto"/>
          <w:sz w:val="32"/>
          <w:szCs w:val="32"/>
          <w:highlight w:val="none"/>
        </w:rPr>
      </w:pPr>
      <w:r>
        <w:rPr>
          <w:rFonts w:hint="eastAsia" w:ascii="宋体" w:hAnsi="宋体" w:cs="宋体"/>
          <w:bCs/>
          <w:color w:val="auto"/>
          <w:sz w:val="44"/>
          <w:szCs w:val="44"/>
          <w:highlight w:val="none"/>
        </w:rPr>
        <w:t>竞  标  报  价  表</w:t>
      </w:r>
    </w:p>
    <w:p>
      <w:pPr>
        <w:spacing w:line="520" w:lineRule="exact"/>
        <w:jc w:val="center"/>
        <w:rPr>
          <w:rFonts w:ascii="宋体" w:hAnsi="宋体" w:cs="宋体"/>
          <w:bCs/>
          <w:color w:val="auto"/>
          <w:sz w:val="32"/>
          <w:szCs w:val="32"/>
          <w:highlight w:val="none"/>
        </w:rPr>
      </w:pPr>
    </w:p>
    <w:p>
      <w:pPr>
        <w:snapToGrid w:val="0"/>
        <w:spacing w:before="50" w:after="50" w:line="276" w:lineRule="auto"/>
        <w:rPr>
          <w:rFonts w:ascii="宋体" w:hAnsi="宋体" w:cs="宋体"/>
          <w:color w:val="auto"/>
          <w:sz w:val="24"/>
          <w:highlight w:val="none"/>
        </w:rPr>
      </w:pPr>
      <w:r>
        <w:rPr>
          <w:rFonts w:hint="eastAsia" w:ascii="宋体" w:hAnsi="宋体" w:cs="宋体"/>
          <w:color w:val="auto"/>
          <w:sz w:val="24"/>
          <w:highlight w:val="none"/>
        </w:rPr>
        <w:t>项目名称：项目编号：</w:t>
      </w:r>
    </w:p>
    <w:p>
      <w:pPr>
        <w:snapToGrid w:val="0"/>
        <w:spacing w:before="50" w:after="50" w:line="276" w:lineRule="auto"/>
        <w:rPr>
          <w:rFonts w:ascii="宋体" w:hAnsi="宋体" w:cs="宋体"/>
          <w:color w:val="auto"/>
          <w:sz w:val="24"/>
          <w:highlight w:val="none"/>
          <w:u w:val="single"/>
        </w:rPr>
      </w:pPr>
      <w:r>
        <w:rPr>
          <w:rFonts w:hint="eastAsia" w:ascii="宋体" w:hAnsi="宋体" w:cs="宋体"/>
          <w:color w:val="auto"/>
          <w:sz w:val="24"/>
          <w:highlight w:val="none"/>
        </w:rPr>
        <w:t>分标（如有）：</w:t>
      </w:r>
      <w:r>
        <w:rPr>
          <w:rFonts w:hint="eastAsia" w:ascii="宋体" w:hAnsi="宋体" w:cs="宋体"/>
          <w:color w:val="auto"/>
          <w:sz w:val="24"/>
          <w:highlight w:val="none"/>
          <w:u w:val="single"/>
        </w:rPr>
        <w:t xml:space="preserve">   B         </w:t>
      </w:r>
    </w:p>
    <w:p>
      <w:pPr>
        <w:snapToGrid w:val="0"/>
        <w:spacing w:before="50" w:after="50" w:line="276" w:lineRule="auto"/>
        <w:rPr>
          <w:rFonts w:ascii="宋体" w:hAnsi="宋体" w:cs="宋体"/>
          <w:color w:val="auto"/>
          <w:sz w:val="24"/>
          <w:highlight w:val="none"/>
        </w:rPr>
      </w:pPr>
      <w:r>
        <w:rPr>
          <w:rFonts w:hint="eastAsia" w:ascii="宋体" w:hAnsi="宋体" w:cs="宋体"/>
          <w:color w:val="auto"/>
          <w:sz w:val="24"/>
          <w:highlight w:val="none"/>
        </w:rPr>
        <w:t>供应商名称：                      单位：元</w:t>
      </w:r>
    </w:p>
    <w:tbl>
      <w:tblPr>
        <w:tblStyle w:val="21"/>
        <w:tblW w:w="94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7"/>
        <w:gridCol w:w="1065"/>
        <w:gridCol w:w="810"/>
        <w:gridCol w:w="1065"/>
        <w:gridCol w:w="1065"/>
        <w:gridCol w:w="1200"/>
        <w:gridCol w:w="1095"/>
        <w:gridCol w:w="780"/>
        <w:gridCol w:w="17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项号</w:t>
            </w: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货物</w:t>
            </w:r>
          </w:p>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名称</w:t>
            </w:r>
          </w:p>
        </w:tc>
        <w:tc>
          <w:tcPr>
            <w:tcW w:w="8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数量</w:t>
            </w:r>
          </w:p>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①</w:t>
            </w: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计量</w:t>
            </w:r>
          </w:p>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单位</w:t>
            </w: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产地</w:t>
            </w:r>
          </w:p>
        </w:tc>
        <w:tc>
          <w:tcPr>
            <w:tcW w:w="120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品牌及</w:t>
            </w:r>
          </w:p>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厂家</w:t>
            </w:r>
          </w:p>
        </w:tc>
        <w:tc>
          <w:tcPr>
            <w:tcW w:w="109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规格</w:t>
            </w:r>
          </w:p>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型号</w:t>
            </w:r>
          </w:p>
        </w:tc>
        <w:tc>
          <w:tcPr>
            <w:tcW w:w="78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单价</w:t>
            </w:r>
          </w:p>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②</w:t>
            </w:r>
          </w:p>
        </w:tc>
        <w:tc>
          <w:tcPr>
            <w:tcW w:w="17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竞标报价</w:t>
            </w:r>
          </w:p>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2</w:t>
            </w: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w:t>
            </w: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w:t>
            </w:r>
          </w:p>
        </w:tc>
        <w:tc>
          <w:tcPr>
            <w:tcW w:w="8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412" w:type="dxa"/>
            <w:gridSpan w:val="9"/>
            <w:tcBorders>
              <w:top w:val="single" w:color="auto" w:sz="4" w:space="0"/>
              <w:left w:val="single" w:color="auto" w:sz="4" w:space="0"/>
              <w:bottom w:val="single" w:color="auto" w:sz="4" w:space="0"/>
              <w:right w:val="single" w:color="auto" w:sz="4" w:space="0"/>
            </w:tcBorders>
            <w:vAlign w:val="center"/>
          </w:tcPr>
          <w:p>
            <w:pPr>
              <w:snapToGrid w:val="0"/>
              <w:spacing w:before="50" w:after="50" w:line="520" w:lineRule="exact"/>
              <w:rPr>
                <w:rFonts w:ascii="宋体" w:hAnsi="宋体" w:cs="宋体"/>
                <w:color w:val="auto"/>
                <w:sz w:val="24"/>
                <w:highlight w:val="none"/>
              </w:rPr>
            </w:pPr>
            <w:r>
              <w:rPr>
                <w:rFonts w:hint="eastAsia" w:ascii="宋体" w:hAnsi="宋体" w:cs="宋体"/>
                <w:color w:val="auto"/>
                <w:sz w:val="24"/>
                <w:highlight w:val="none"/>
              </w:rPr>
              <w:t>合计金额大写：人民币（￥）</w:t>
            </w:r>
          </w:p>
          <w:p>
            <w:pPr>
              <w:snapToGrid w:val="0"/>
              <w:spacing w:before="50" w:after="50" w:line="520" w:lineRule="exact"/>
              <w:rPr>
                <w:rFonts w:ascii="宋体" w:hAnsi="宋体" w:cs="宋体"/>
                <w:color w:val="auto"/>
                <w:sz w:val="24"/>
                <w:highlight w:val="none"/>
                <w:u w:val="single"/>
              </w:rPr>
            </w:pPr>
            <w:r>
              <w:rPr>
                <w:rFonts w:hint="eastAsia" w:ascii="宋体" w:hAnsi="宋体" w:cs="宋体"/>
                <w:color w:val="auto"/>
                <w:sz w:val="24"/>
                <w:highlight w:val="none"/>
                <w:u w:val="single"/>
              </w:rPr>
              <w:t>竞标货物中，属于优先采购节能产品总值为￥       （具体明细详见附表，附表格式自拟），占本竞标报价的比例为    %；属于优先采购环境标志产品总值为￥          （具体明细详见附表，附表格式自拟），占本竞标报价的比例为   %。</w:t>
            </w:r>
          </w:p>
        </w:tc>
      </w:tr>
    </w:tbl>
    <w:p>
      <w:pPr>
        <w:snapToGrid w:val="0"/>
        <w:spacing w:before="50" w:after="50" w:line="520" w:lineRule="exact"/>
        <w:jc w:val="left"/>
        <w:rPr>
          <w:rFonts w:ascii="宋体" w:hAnsi="宋体" w:cs="宋体"/>
          <w:color w:val="auto"/>
          <w:sz w:val="24"/>
          <w:highlight w:val="none"/>
        </w:rPr>
      </w:pPr>
      <w:r>
        <w:rPr>
          <w:rFonts w:hint="eastAsia" w:ascii="宋体" w:hAnsi="宋体" w:cs="宋体"/>
          <w:color w:val="auto"/>
          <w:sz w:val="24"/>
          <w:highlight w:val="none"/>
        </w:rPr>
        <w:t xml:space="preserve">注: </w:t>
      </w:r>
    </w:p>
    <w:p>
      <w:pPr>
        <w:snapToGrid w:val="0"/>
        <w:spacing w:before="50" w:after="5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1.供应商的报价表必须加盖供应商公章并由法定代表人（负责人或自然人）或委托代理人签字，</w:t>
      </w:r>
      <w:r>
        <w:rPr>
          <w:rFonts w:hint="eastAsia" w:ascii="宋体" w:hAnsi="宋体" w:cs="宋体"/>
          <w:b/>
          <w:color w:val="auto"/>
          <w:sz w:val="24"/>
          <w:highlight w:val="none"/>
        </w:rPr>
        <w:t>否则其响应文件作无效处理</w:t>
      </w:r>
      <w:r>
        <w:rPr>
          <w:rFonts w:hint="eastAsia" w:ascii="宋体" w:hAnsi="宋体" w:cs="宋体"/>
          <w:color w:val="auto"/>
          <w:sz w:val="24"/>
          <w:highlight w:val="none"/>
        </w:rPr>
        <w:t>。</w:t>
      </w:r>
    </w:p>
    <w:p>
      <w:pPr>
        <w:snapToGrid w:val="0"/>
        <w:spacing w:before="50" w:after="50"/>
        <w:ind w:firstLine="480" w:firstLineChars="200"/>
        <w:jc w:val="left"/>
        <w:rPr>
          <w:rFonts w:ascii="宋体" w:hAnsi="宋体" w:cs="宋体"/>
          <w:b/>
          <w:color w:val="auto"/>
          <w:sz w:val="24"/>
          <w:highlight w:val="none"/>
        </w:rPr>
      </w:pPr>
      <w:r>
        <w:rPr>
          <w:rFonts w:hint="eastAsia" w:ascii="宋体" w:hAnsi="宋体" w:cs="宋体"/>
          <w:bCs/>
          <w:color w:val="auto"/>
          <w:sz w:val="24"/>
          <w:highlight w:val="none"/>
        </w:rPr>
        <w:t>2.</w:t>
      </w:r>
      <w:r>
        <w:rPr>
          <w:rFonts w:hint="eastAsia" w:ascii="宋体" w:hAnsi="宋体" w:cs="宋体"/>
          <w:color w:val="auto"/>
          <w:sz w:val="24"/>
          <w:highlight w:val="none"/>
        </w:rPr>
        <w:t>报价一经涂改，应在涂改处加盖供应商公章或者由法定代表人或授权委托人签字或盖章</w:t>
      </w:r>
      <w:r>
        <w:rPr>
          <w:rFonts w:hint="eastAsia" w:ascii="宋体" w:hAnsi="宋体" w:cs="宋体"/>
          <w:b/>
          <w:color w:val="auto"/>
          <w:sz w:val="24"/>
          <w:highlight w:val="none"/>
        </w:rPr>
        <w:t>，否则其响应文件作无效处理。</w:t>
      </w:r>
    </w:p>
    <w:p>
      <w:pPr>
        <w:snapToGrid w:val="0"/>
        <w:spacing w:before="50" w:after="50"/>
        <w:ind w:firstLine="480" w:firstLineChars="200"/>
        <w:jc w:val="left"/>
        <w:rPr>
          <w:rFonts w:ascii="宋体" w:hAnsi="宋体" w:cs="宋体"/>
          <w:color w:val="auto"/>
          <w:sz w:val="24"/>
          <w:highlight w:val="none"/>
        </w:rPr>
      </w:pPr>
      <w:r>
        <w:rPr>
          <w:rFonts w:hint="eastAsia" w:ascii="宋体" w:hAnsi="宋体" w:cs="宋体"/>
          <w:color w:val="auto"/>
          <w:sz w:val="24"/>
          <w:highlight w:val="none"/>
        </w:rPr>
        <w:t>3.竞争性谈判文件中列明采购专用耗材的，应按竞争性谈判文件规定的耗材量或按耗材的常规试用量提供报价。</w:t>
      </w:r>
    </w:p>
    <w:p>
      <w:pPr>
        <w:snapToGrid w:val="0"/>
        <w:spacing w:before="50" w:after="50"/>
        <w:ind w:firstLine="480" w:firstLineChars="200"/>
        <w:jc w:val="left"/>
        <w:rPr>
          <w:rFonts w:ascii="宋体" w:hAnsi="宋体" w:cs="宋体"/>
          <w:color w:val="auto"/>
          <w:sz w:val="24"/>
          <w:highlight w:val="none"/>
        </w:rPr>
      </w:pPr>
      <w:r>
        <w:rPr>
          <w:rFonts w:hint="eastAsia" w:ascii="宋体" w:hAnsi="宋体" w:cs="宋体"/>
          <w:color w:val="auto"/>
          <w:sz w:val="24"/>
          <w:highlight w:val="none"/>
        </w:rPr>
        <w:t>4.如为联合体竞标,“供应商名称”处必须列明联合体各方名称，标注联合体牵头人名称，</w:t>
      </w:r>
      <w:r>
        <w:rPr>
          <w:rFonts w:hint="eastAsia" w:ascii="宋体" w:hAnsi="宋体" w:cs="宋体"/>
          <w:b/>
          <w:color w:val="auto"/>
          <w:sz w:val="24"/>
          <w:highlight w:val="none"/>
        </w:rPr>
        <w:t>否则其响应文件作无效处理。</w:t>
      </w:r>
    </w:p>
    <w:p>
      <w:pPr>
        <w:snapToGrid w:val="0"/>
        <w:spacing w:before="50" w:after="50"/>
        <w:ind w:firstLine="480" w:firstLineChars="200"/>
        <w:jc w:val="left"/>
        <w:rPr>
          <w:rFonts w:ascii="宋体" w:hAnsi="宋体" w:cs="宋体"/>
          <w:color w:val="auto"/>
          <w:sz w:val="24"/>
          <w:highlight w:val="none"/>
        </w:rPr>
      </w:pPr>
      <w:r>
        <w:rPr>
          <w:rFonts w:hint="eastAsia" w:ascii="宋体" w:hAnsi="宋体" w:cs="宋体"/>
          <w:color w:val="auto"/>
          <w:sz w:val="24"/>
          <w:highlight w:val="none"/>
        </w:rPr>
        <w:t>5.如为联合体竞标,盖章处须加盖联合体各方公章，</w:t>
      </w:r>
      <w:r>
        <w:rPr>
          <w:rFonts w:hint="eastAsia" w:ascii="宋体" w:hAnsi="宋体" w:cs="宋体"/>
          <w:b/>
          <w:color w:val="auto"/>
          <w:sz w:val="24"/>
          <w:highlight w:val="none"/>
        </w:rPr>
        <w:t>否则其响应文件作无效处理。</w:t>
      </w:r>
    </w:p>
    <w:p>
      <w:pPr>
        <w:snapToGrid w:val="0"/>
        <w:spacing w:before="50" w:after="50"/>
        <w:ind w:firstLine="480" w:firstLineChars="200"/>
        <w:rPr>
          <w:rFonts w:ascii="宋体" w:hAnsi="宋体" w:cs="宋体"/>
          <w:b/>
          <w:color w:val="auto"/>
          <w:sz w:val="24"/>
          <w:highlight w:val="none"/>
        </w:rPr>
      </w:pPr>
      <w:r>
        <w:rPr>
          <w:rFonts w:hint="eastAsia" w:ascii="宋体" w:hAnsi="宋体" w:cs="宋体"/>
          <w:color w:val="auto"/>
          <w:sz w:val="24"/>
          <w:highlight w:val="none"/>
        </w:rPr>
        <w:t>6.</w:t>
      </w:r>
      <w:r>
        <w:rPr>
          <w:rFonts w:hint="eastAsia" w:ascii="宋体" w:hAnsi="宋体" w:cs="宋体"/>
          <w:color w:val="auto"/>
          <w:spacing w:val="-6"/>
          <w:sz w:val="24"/>
          <w:highlight w:val="none"/>
        </w:rPr>
        <w:t>如有多分标，分别列明各分标的报价表，</w:t>
      </w:r>
      <w:r>
        <w:rPr>
          <w:rFonts w:hint="eastAsia" w:ascii="宋体" w:hAnsi="宋体" w:cs="宋体"/>
          <w:b/>
          <w:color w:val="auto"/>
          <w:spacing w:val="-6"/>
          <w:sz w:val="24"/>
          <w:highlight w:val="none"/>
        </w:rPr>
        <w:t>否则其响应文件作无效处理。</w:t>
      </w:r>
    </w:p>
    <w:p>
      <w:pPr>
        <w:snapToGrid w:val="0"/>
        <w:spacing w:before="50" w:after="50" w:line="520" w:lineRule="exact"/>
        <w:ind w:right="-817" w:rightChars="-389"/>
        <w:rPr>
          <w:rFonts w:ascii="宋体" w:hAnsi="宋体" w:cs="宋体"/>
          <w:color w:val="auto"/>
          <w:sz w:val="24"/>
          <w:highlight w:val="none"/>
        </w:rPr>
      </w:pPr>
      <w:r>
        <w:rPr>
          <w:rFonts w:hint="eastAsia" w:ascii="宋体" w:hAnsi="宋体" w:cs="宋体"/>
          <w:color w:val="auto"/>
          <w:sz w:val="24"/>
          <w:highlight w:val="none"/>
        </w:rPr>
        <w:t xml:space="preserve">法定代表人（负责人或自然人）或委托代理人（签字）：                    </w:t>
      </w:r>
    </w:p>
    <w:p>
      <w:pPr>
        <w:snapToGrid w:val="0"/>
        <w:spacing w:before="50" w:after="50" w:line="520" w:lineRule="exact"/>
        <w:ind w:right="-817" w:rightChars="-389" w:firstLine="2640" w:firstLineChars="1100"/>
        <w:rPr>
          <w:rFonts w:ascii="宋体" w:hAnsi="宋体" w:cs="宋体"/>
          <w:color w:val="auto"/>
          <w:sz w:val="24"/>
          <w:highlight w:val="none"/>
        </w:rPr>
      </w:pPr>
      <w:r>
        <w:rPr>
          <w:rFonts w:hint="eastAsia" w:ascii="宋体" w:hAnsi="宋体" w:cs="宋体"/>
          <w:color w:val="auto"/>
          <w:sz w:val="24"/>
          <w:highlight w:val="none"/>
        </w:rPr>
        <w:t xml:space="preserve">供应商（盖公章）：      </w:t>
      </w:r>
    </w:p>
    <w:p>
      <w:pPr>
        <w:snapToGrid w:val="0"/>
        <w:spacing w:before="50" w:after="50" w:line="520" w:lineRule="exact"/>
        <w:ind w:right="-817" w:rightChars="-389" w:firstLine="4080" w:firstLineChars="1700"/>
        <w:rPr>
          <w:rFonts w:ascii="宋体" w:hAnsi="宋体" w:cs="宋体"/>
          <w:b/>
          <w:color w:val="auto"/>
          <w:sz w:val="32"/>
          <w:szCs w:val="32"/>
          <w:highlight w:val="none"/>
        </w:rPr>
      </w:pPr>
      <w:r>
        <w:rPr>
          <w:rFonts w:hint="eastAsia" w:ascii="宋体" w:hAnsi="宋体" w:cs="宋体"/>
          <w:color w:val="auto"/>
          <w:sz w:val="24"/>
          <w:highlight w:val="none"/>
        </w:rPr>
        <w:t>日期：   年   月   日</w:t>
      </w:r>
    </w:p>
    <w:p>
      <w:pPr>
        <w:spacing w:beforeLines="100" w:afterLines="50" w:line="520" w:lineRule="exact"/>
        <w:ind w:left="540"/>
        <w:jc w:val="center"/>
        <w:rPr>
          <w:rFonts w:ascii="宋体" w:hAnsi="宋体" w:cs="宋体"/>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Cs/>
          <w:color w:val="auto"/>
          <w:sz w:val="44"/>
          <w:szCs w:val="44"/>
          <w:highlight w:val="none"/>
        </w:rPr>
        <w:t>法定代表人证明书</w:t>
      </w:r>
    </w:p>
    <w:p>
      <w:pPr>
        <w:spacing w:line="520" w:lineRule="exact"/>
        <w:ind w:left="540"/>
        <w:rPr>
          <w:rFonts w:ascii="宋体" w:hAnsi="宋体" w:cs="宋体"/>
          <w:color w:val="auto"/>
          <w:sz w:val="32"/>
          <w:szCs w:val="32"/>
          <w:highlight w:val="none"/>
        </w:rPr>
      </w:pPr>
    </w:p>
    <w:p>
      <w:pPr>
        <w:spacing w:line="520" w:lineRule="exact"/>
        <w:ind w:left="540"/>
        <w:rPr>
          <w:rFonts w:ascii="宋体" w:hAnsi="宋体" w:cs="宋体"/>
          <w:color w:val="auto"/>
          <w:szCs w:val="21"/>
          <w:highlight w:val="none"/>
        </w:rPr>
      </w:pPr>
      <w:r>
        <w:rPr>
          <w:rFonts w:hint="eastAsia" w:ascii="宋体" w:hAnsi="宋体" w:cs="宋体"/>
          <w:color w:val="auto"/>
          <w:szCs w:val="21"/>
          <w:highlight w:val="none"/>
        </w:rPr>
        <w:t>供应商名称：</w:t>
      </w:r>
    </w:p>
    <w:p>
      <w:pPr>
        <w:spacing w:line="520" w:lineRule="exact"/>
        <w:ind w:left="540"/>
        <w:rPr>
          <w:rFonts w:ascii="宋体" w:hAnsi="宋体" w:cs="宋体"/>
          <w:color w:val="auto"/>
          <w:szCs w:val="21"/>
          <w:highlight w:val="none"/>
        </w:rPr>
      </w:pPr>
      <w:r>
        <w:rPr>
          <w:rFonts w:hint="eastAsia" w:ascii="宋体" w:hAnsi="宋体" w:cs="宋体"/>
          <w:color w:val="auto"/>
          <w:szCs w:val="21"/>
          <w:highlight w:val="none"/>
        </w:rPr>
        <w:t>地    址：</w:t>
      </w:r>
    </w:p>
    <w:p>
      <w:pPr>
        <w:spacing w:line="520" w:lineRule="exact"/>
        <w:ind w:left="540"/>
        <w:rPr>
          <w:rFonts w:ascii="宋体" w:hAnsi="宋体" w:cs="宋体"/>
          <w:color w:val="auto"/>
          <w:szCs w:val="21"/>
          <w:highlight w:val="none"/>
        </w:rPr>
      </w:pPr>
      <w:r>
        <w:rPr>
          <w:rFonts w:hint="eastAsia" w:ascii="宋体" w:hAnsi="宋体" w:cs="宋体"/>
          <w:color w:val="auto"/>
          <w:szCs w:val="21"/>
          <w:highlight w:val="none"/>
        </w:rPr>
        <w:t>成立时间：年月日</w:t>
      </w:r>
    </w:p>
    <w:p>
      <w:pPr>
        <w:spacing w:line="520" w:lineRule="exact"/>
        <w:ind w:left="540"/>
        <w:rPr>
          <w:rFonts w:ascii="宋体" w:hAnsi="宋体" w:cs="宋体"/>
          <w:color w:val="auto"/>
          <w:szCs w:val="21"/>
          <w:highlight w:val="none"/>
        </w:rPr>
      </w:pPr>
      <w:r>
        <w:rPr>
          <w:rFonts w:hint="eastAsia" w:ascii="宋体" w:hAnsi="宋体" w:cs="宋体"/>
          <w:color w:val="auto"/>
          <w:szCs w:val="21"/>
          <w:highlight w:val="none"/>
        </w:rPr>
        <w:t>经营期限：</w:t>
      </w:r>
    </w:p>
    <w:p>
      <w:pPr>
        <w:spacing w:line="520" w:lineRule="exact"/>
        <w:ind w:left="540"/>
        <w:rPr>
          <w:rFonts w:ascii="宋体" w:hAnsi="宋体" w:cs="宋体"/>
          <w:color w:val="auto"/>
          <w:szCs w:val="21"/>
          <w:highlight w:val="none"/>
        </w:rPr>
      </w:pPr>
      <w:r>
        <w:rPr>
          <w:rFonts w:hint="eastAsia" w:ascii="宋体" w:hAnsi="宋体" w:cs="宋体"/>
          <w:color w:val="auto"/>
          <w:szCs w:val="21"/>
          <w:highlight w:val="none"/>
        </w:rPr>
        <w:t>姓    名：性     别：</w:t>
      </w:r>
    </w:p>
    <w:p>
      <w:pPr>
        <w:spacing w:line="520" w:lineRule="exact"/>
        <w:ind w:left="540"/>
        <w:rPr>
          <w:rFonts w:ascii="宋体" w:hAnsi="宋体" w:cs="宋体"/>
          <w:color w:val="auto"/>
          <w:szCs w:val="21"/>
          <w:highlight w:val="none"/>
          <w:u w:val="single"/>
        </w:rPr>
      </w:pPr>
      <w:r>
        <w:rPr>
          <w:rFonts w:hint="eastAsia" w:ascii="宋体" w:hAnsi="宋体" w:cs="宋体"/>
          <w:color w:val="auto"/>
          <w:szCs w:val="21"/>
          <w:highlight w:val="none"/>
        </w:rPr>
        <w:t>年    龄：职     务：</w:t>
      </w:r>
    </w:p>
    <w:p>
      <w:pPr>
        <w:spacing w:line="520" w:lineRule="exact"/>
        <w:ind w:left="540"/>
        <w:rPr>
          <w:rFonts w:ascii="宋体" w:hAnsi="宋体" w:cs="宋体"/>
          <w:color w:val="auto"/>
          <w:szCs w:val="21"/>
          <w:highlight w:val="none"/>
        </w:rPr>
      </w:pPr>
      <w:r>
        <w:rPr>
          <w:rFonts w:hint="eastAsia" w:ascii="宋体" w:hAnsi="宋体" w:cs="宋体"/>
          <w:color w:val="auto"/>
          <w:szCs w:val="21"/>
          <w:highlight w:val="none"/>
        </w:rPr>
        <w:t>身份证号码：</w:t>
      </w:r>
    </w:p>
    <w:p>
      <w:pPr>
        <w:spacing w:line="520" w:lineRule="exact"/>
        <w:ind w:left="540"/>
        <w:rPr>
          <w:rFonts w:ascii="宋体" w:hAnsi="宋体" w:cs="宋体"/>
          <w:color w:val="auto"/>
          <w:szCs w:val="21"/>
          <w:highlight w:val="none"/>
        </w:rPr>
      </w:pPr>
      <w:r>
        <w:rPr>
          <w:rFonts w:hint="eastAsia" w:ascii="宋体" w:hAnsi="宋体" w:cs="宋体"/>
          <w:color w:val="auto"/>
          <w:szCs w:val="21"/>
          <w:highlight w:val="none"/>
        </w:rPr>
        <w:t>系（供应商名称）的法定代表人。</w:t>
      </w:r>
    </w:p>
    <w:p>
      <w:pPr>
        <w:spacing w:line="520" w:lineRule="exact"/>
        <w:ind w:left="540"/>
        <w:rPr>
          <w:rFonts w:ascii="宋体" w:hAnsi="宋体" w:cs="宋体"/>
          <w:color w:val="auto"/>
          <w:szCs w:val="21"/>
          <w:highlight w:val="none"/>
        </w:rPr>
      </w:pPr>
      <w:r>
        <w:rPr>
          <w:rFonts w:hint="eastAsia" w:ascii="宋体" w:hAnsi="宋体" w:cs="宋体"/>
          <w:color w:val="auto"/>
          <w:szCs w:val="21"/>
          <w:highlight w:val="none"/>
        </w:rPr>
        <w:t>特此证明。</w:t>
      </w:r>
    </w:p>
    <w:p>
      <w:pPr>
        <w:spacing w:line="520" w:lineRule="exact"/>
        <w:ind w:left="540"/>
        <w:rPr>
          <w:rFonts w:ascii="宋体" w:hAnsi="宋体" w:cs="宋体"/>
          <w:color w:val="auto"/>
          <w:szCs w:val="21"/>
          <w:highlight w:val="none"/>
        </w:rPr>
      </w:pPr>
    </w:p>
    <w:p>
      <w:pPr>
        <w:spacing w:line="520" w:lineRule="exact"/>
        <w:ind w:left="540"/>
        <w:rPr>
          <w:rFonts w:ascii="宋体" w:hAnsi="宋体" w:cs="宋体"/>
          <w:color w:val="auto"/>
          <w:szCs w:val="21"/>
          <w:highlight w:val="none"/>
        </w:rPr>
      </w:pPr>
    </w:p>
    <w:p>
      <w:pPr>
        <w:spacing w:line="520" w:lineRule="exact"/>
        <w:ind w:left="540"/>
        <w:rPr>
          <w:rFonts w:ascii="宋体" w:hAnsi="宋体" w:cs="宋体"/>
          <w:color w:val="auto"/>
          <w:szCs w:val="21"/>
          <w:highlight w:val="none"/>
        </w:rPr>
      </w:pPr>
    </w:p>
    <w:p>
      <w:pPr>
        <w:spacing w:line="520" w:lineRule="exact"/>
        <w:ind w:left="540"/>
        <w:rPr>
          <w:rFonts w:ascii="宋体" w:hAnsi="宋体" w:cs="宋体"/>
          <w:color w:val="auto"/>
          <w:szCs w:val="21"/>
          <w:highlight w:val="none"/>
        </w:rPr>
      </w:pPr>
      <w:r>
        <w:rPr>
          <w:rFonts w:hint="eastAsia" w:ascii="宋体" w:hAnsi="宋体" w:cs="宋体"/>
          <w:color w:val="auto"/>
          <w:szCs w:val="21"/>
          <w:highlight w:val="none"/>
        </w:rPr>
        <w:t>附件：法定代表人有效身份证正反面复印件</w:t>
      </w:r>
    </w:p>
    <w:p>
      <w:pPr>
        <w:spacing w:line="520" w:lineRule="exact"/>
        <w:ind w:left="540"/>
        <w:rPr>
          <w:rFonts w:ascii="宋体" w:hAnsi="宋体" w:cs="宋体"/>
          <w:color w:val="auto"/>
          <w:szCs w:val="21"/>
          <w:highlight w:val="none"/>
        </w:rPr>
      </w:pPr>
    </w:p>
    <w:p>
      <w:pPr>
        <w:wordWrap w:val="0"/>
        <w:spacing w:line="520" w:lineRule="exact"/>
        <w:ind w:left="540"/>
        <w:jc w:val="right"/>
        <w:rPr>
          <w:rFonts w:ascii="宋体" w:hAnsi="宋体" w:cs="宋体"/>
          <w:color w:val="auto"/>
          <w:szCs w:val="21"/>
          <w:highlight w:val="none"/>
        </w:rPr>
      </w:pPr>
      <w:r>
        <w:rPr>
          <w:rFonts w:hint="eastAsia" w:ascii="宋体" w:hAnsi="宋体" w:cs="宋体"/>
          <w:color w:val="auto"/>
          <w:szCs w:val="21"/>
          <w:highlight w:val="none"/>
        </w:rPr>
        <w:t>供应商（盖公章）：</w:t>
      </w:r>
    </w:p>
    <w:p>
      <w:pPr>
        <w:snapToGrid w:val="0"/>
        <w:spacing w:beforeLines="50" w:after="50" w:line="520" w:lineRule="exact"/>
        <w:ind w:firstLine="3570" w:firstLineChars="1700"/>
        <w:rPr>
          <w:rFonts w:ascii="宋体" w:hAnsi="宋体" w:cs="宋体"/>
          <w:color w:val="auto"/>
          <w:szCs w:val="21"/>
          <w:highlight w:val="none"/>
        </w:rPr>
      </w:pPr>
      <w:r>
        <w:rPr>
          <w:rFonts w:hint="eastAsia" w:ascii="宋体" w:hAnsi="宋体" w:cs="宋体"/>
          <w:color w:val="auto"/>
          <w:szCs w:val="21"/>
          <w:highlight w:val="none"/>
        </w:rPr>
        <w:t>年月日</w:t>
      </w:r>
    </w:p>
    <w:p>
      <w:pPr>
        <w:snapToGrid w:val="0"/>
        <w:spacing w:beforeLines="50" w:after="50" w:line="520" w:lineRule="exact"/>
        <w:jc w:val="center"/>
        <w:rPr>
          <w:rFonts w:ascii="宋体" w:hAnsi="宋体" w:cs="宋体"/>
          <w:b/>
          <w:color w:val="auto"/>
          <w:szCs w:val="21"/>
          <w:highlight w:val="none"/>
        </w:rPr>
      </w:pPr>
    </w:p>
    <w:p>
      <w:pPr>
        <w:snapToGrid w:val="0"/>
        <w:spacing w:beforeLines="50" w:after="50" w:line="360" w:lineRule="exact"/>
        <w:jc w:val="left"/>
        <w:rPr>
          <w:rFonts w:ascii="宋体" w:hAnsi="宋体" w:cs="宋体"/>
          <w:color w:val="auto"/>
          <w:szCs w:val="21"/>
          <w:highlight w:val="none"/>
        </w:rPr>
      </w:pPr>
    </w:p>
    <w:p>
      <w:pPr>
        <w:snapToGrid w:val="0"/>
        <w:spacing w:beforeLines="50" w:after="50" w:line="360" w:lineRule="exact"/>
        <w:jc w:val="left"/>
        <w:rPr>
          <w:rFonts w:ascii="宋体" w:hAnsi="宋体" w:cs="宋体"/>
          <w:color w:val="auto"/>
          <w:szCs w:val="21"/>
          <w:highlight w:val="none"/>
        </w:rPr>
      </w:pPr>
      <w:r>
        <w:rPr>
          <w:rFonts w:hint="eastAsia" w:ascii="宋体" w:hAnsi="宋体" w:cs="宋体"/>
          <w:color w:val="auto"/>
          <w:szCs w:val="21"/>
          <w:highlight w:val="none"/>
        </w:rPr>
        <w:t>注：1.自然人竞标的无需提供，联合体竞标的只需牵头人出具。</w:t>
      </w:r>
    </w:p>
    <w:p>
      <w:pPr>
        <w:snapToGrid w:val="0"/>
        <w:spacing w:beforeLines="50" w:after="50" w:line="360" w:lineRule="exact"/>
        <w:ind w:firstLine="420" w:firstLineChars="200"/>
        <w:jc w:val="left"/>
        <w:rPr>
          <w:rFonts w:ascii="宋体" w:hAnsi="宋体" w:cs="宋体"/>
          <w:b/>
          <w:color w:val="auto"/>
          <w:szCs w:val="21"/>
          <w:highlight w:val="none"/>
        </w:rPr>
      </w:pPr>
      <w:r>
        <w:rPr>
          <w:rFonts w:hint="eastAsia" w:ascii="宋体" w:hAnsi="宋体" w:cs="宋体"/>
          <w:color w:val="auto"/>
          <w:szCs w:val="21"/>
          <w:highlight w:val="none"/>
        </w:rPr>
        <w:t>2.供应商为其他组织或自然人时，本竞争性磋商文件规定的法定代表人指负责人或自然人。本竞争性磋商文件所称负责人是指参加竞标的其他组织营业执照上的负责人，本竞争性磋商文件所称自然人指参与竞标的自然人本人。</w:t>
      </w:r>
    </w:p>
    <w:p>
      <w:pPr>
        <w:adjustRightInd w:val="0"/>
        <w:snapToGrid w:val="0"/>
        <w:spacing w:line="300" w:lineRule="auto"/>
        <w:jc w:val="left"/>
        <w:rPr>
          <w:rFonts w:ascii="宋体" w:hAnsi="宋体" w:cs="宋体"/>
          <w:b/>
          <w:color w:val="auto"/>
          <w:szCs w:val="21"/>
          <w:highlight w:val="none"/>
        </w:rPr>
      </w:pPr>
    </w:p>
    <w:p>
      <w:pPr>
        <w:spacing w:line="500" w:lineRule="exact"/>
        <w:jc w:val="center"/>
        <w:rPr>
          <w:rFonts w:ascii="宋体" w:hAnsi="宋体" w:cs="宋体"/>
          <w:color w:val="auto"/>
          <w:sz w:val="44"/>
          <w:szCs w:val="44"/>
          <w:highlight w:val="none"/>
        </w:rPr>
      </w:pPr>
      <w:r>
        <w:rPr>
          <w:rFonts w:hint="eastAsia" w:ascii="宋体" w:hAnsi="宋体" w:cs="宋体"/>
          <w:color w:val="auto"/>
          <w:sz w:val="44"/>
          <w:szCs w:val="44"/>
          <w:highlight w:val="none"/>
        </w:rPr>
        <w:br w:type="page"/>
      </w:r>
    </w:p>
    <w:p>
      <w:pPr>
        <w:spacing w:line="520" w:lineRule="exact"/>
        <w:jc w:val="center"/>
        <w:rPr>
          <w:rFonts w:ascii="宋体" w:hAnsi="宋体" w:cs="宋体"/>
          <w:color w:val="auto"/>
          <w:sz w:val="44"/>
          <w:szCs w:val="44"/>
          <w:highlight w:val="none"/>
        </w:rPr>
      </w:pPr>
      <w:r>
        <w:rPr>
          <w:rFonts w:hint="eastAsia" w:ascii="宋体" w:hAnsi="宋体" w:cs="宋体"/>
          <w:color w:val="auto"/>
          <w:sz w:val="44"/>
          <w:szCs w:val="44"/>
          <w:highlight w:val="none"/>
        </w:rPr>
        <w:t>法定代表人授权委托书</w:t>
      </w:r>
    </w:p>
    <w:p>
      <w:pPr>
        <w:spacing w:line="520" w:lineRule="exact"/>
        <w:jc w:val="center"/>
        <w:rPr>
          <w:rFonts w:ascii="宋体" w:hAnsi="宋体" w:cs="宋体"/>
          <w:color w:val="auto"/>
          <w:sz w:val="44"/>
          <w:szCs w:val="44"/>
          <w:highlight w:val="none"/>
        </w:rPr>
      </w:pPr>
      <w:r>
        <w:rPr>
          <w:rFonts w:hint="eastAsia" w:ascii="宋体" w:hAnsi="宋体" w:cs="宋体"/>
          <w:color w:val="auto"/>
          <w:sz w:val="44"/>
          <w:szCs w:val="44"/>
          <w:highlight w:val="none"/>
        </w:rPr>
        <w:t>（如有委托时）</w:t>
      </w:r>
    </w:p>
    <w:p>
      <w:pPr>
        <w:spacing w:line="520" w:lineRule="exact"/>
        <w:rPr>
          <w:rFonts w:ascii="宋体" w:hAnsi="宋体" w:cs="宋体"/>
          <w:color w:val="auto"/>
          <w:sz w:val="32"/>
          <w:szCs w:val="32"/>
          <w:highlight w:val="none"/>
        </w:rPr>
      </w:pPr>
    </w:p>
    <w:p>
      <w:pPr>
        <w:spacing w:line="520" w:lineRule="exact"/>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（采购人名称）</w:t>
      </w:r>
      <w:r>
        <w:rPr>
          <w:rFonts w:hint="eastAsia" w:ascii="宋体" w:hAnsi="宋体" w:cs="宋体"/>
          <w:color w:val="auto"/>
          <w:szCs w:val="21"/>
          <w:highlight w:val="none"/>
        </w:rPr>
        <w:t>：</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我</w:t>
      </w:r>
      <w:r>
        <w:rPr>
          <w:rFonts w:hint="eastAsia" w:ascii="宋体" w:hAnsi="宋体" w:cs="宋体"/>
          <w:color w:val="auto"/>
          <w:szCs w:val="21"/>
          <w:highlight w:val="none"/>
          <w:u w:val="single"/>
        </w:rPr>
        <w:t xml:space="preserve">  （姓名）  </w:t>
      </w:r>
      <w:r>
        <w:rPr>
          <w:rFonts w:hint="eastAsia" w:ascii="宋体" w:hAnsi="宋体" w:cs="宋体"/>
          <w:color w:val="auto"/>
          <w:szCs w:val="21"/>
          <w:highlight w:val="none"/>
        </w:rPr>
        <w:t>系</w:t>
      </w:r>
      <w:r>
        <w:rPr>
          <w:rFonts w:hint="eastAsia" w:ascii="宋体" w:hAnsi="宋体" w:cs="宋体"/>
          <w:color w:val="auto"/>
          <w:szCs w:val="21"/>
          <w:highlight w:val="none"/>
          <w:u w:val="single"/>
        </w:rPr>
        <w:t xml:space="preserve">  （供应商名称）  </w:t>
      </w:r>
      <w:r>
        <w:rPr>
          <w:rFonts w:hint="eastAsia" w:ascii="宋体" w:hAnsi="宋体" w:cs="宋体"/>
          <w:color w:val="auto"/>
          <w:szCs w:val="21"/>
          <w:highlight w:val="none"/>
        </w:rPr>
        <w:t>的（</w:t>
      </w:r>
      <w:r>
        <w:rPr>
          <w:rFonts w:hint="eastAsia" w:ascii="宋体" w:hAnsi="宋体" w:cs="宋体"/>
          <w:color w:val="auto"/>
          <w:szCs w:val="21"/>
          <w:highlight w:val="none"/>
          <w:u w:val="single"/>
        </w:rPr>
        <w:t>□法定代表人/□负责人/□自然人本人</w:t>
      </w:r>
      <w:r>
        <w:rPr>
          <w:rFonts w:hint="eastAsia" w:ascii="宋体" w:hAnsi="宋体" w:cs="宋体"/>
          <w:color w:val="auto"/>
          <w:szCs w:val="21"/>
          <w:highlight w:val="none"/>
        </w:rPr>
        <w:t>），现授权</w:t>
      </w:r>
      <w:r>
        <w:rPr>
          <w:rFonts w:hint="eastAsia" w:ascii="宋体" w:hAnsi="宋体" w:cs="宋体"/>
          <w:color w:val="auto"/>
          <w:szCs w:val="21"/>
          <w:highlight w:val="none"/>
          <w:u w:val="single"/>
        </w:rPr>
        <w:t xml:space="preserve"> （姓名） </w:t>
      </w:r>
      <w:r>
        <w:rPr>
          <w:rFonts w:hint="eastAsia" w:ascii="宋体" w:hAnsi="宋体" w:cs="宋体"/>
          <w:color w:val="auto"/>
          <w:szCs w:val="21"/>
          <w:highlight w:val="none"/>
        </w:rPr>
        <w:t>以我方的名义参加项目的竞标活动，并代表我方全权办理针对上述项目的所有采购程序和环节的具体事务和签署相关文件。</w:t>
      </w:r>
    </w:p>
    <w:p>
      <w:pPr>
        <w:spacing w:line="520" w:lineRule="exact"/>
        <w:rPr>
          <w:rFonts w:ascii="宋体" w:hAnsi="宋体" w:cs="宋体"/>
          <w:color w:val="auto"/>
          <w:szCs w:val="21"/>
          <w:highlight w:val="none"/>
        </w:rPr>
      </w:pPr>
      <w:r>
        <w:rPr>
          <w:rFonts w:hint="eastAsia" w:ascii="宋体" w:hAnsi="宋体" w:cs="宋体"/>
          <w:color w:val="auto"/>
          <w:szCs w:val="21"/>
          <w:highlight w:val="none"/>
        </w:rPr>
        <w:t xml:space="preserve">    我方对委托代理人的签字事项负全部责任。</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本授权书自签署之日起生效，在撤销授权的书面通知以前，本授权书一直有效。委托代理人在授权书有效期内签署的所有文件不因授权的撤销而失效。</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委托代理人无转委托权，特此委托。</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附：法定代表人身份证明书及委托代理人有效身份证正反面复印件</w:t>
      </w:r>
    </w:p>
    <w:p>
      <w:pPr>
        <w:spacing w:line="520" w:lineRule="exact"/>
        <w:rPr>
          <w:rFonts w:ascii="宋体" w:hAnsi="宋体" w:cs="宋体"/>
          <w:color w:val="auto"/>
          <w:szCs w:val="21"/>
          <w:highlight w:val="none"/>
        </w:rPr>
      </w:pPr>
    </w:p>
    <w:p>
      <w:pPr>
        <w:spacing w:line="520" w:lineRule="exact"/>
        <w:rPr>
          <w:rFonts w:ascii="宋体" w:hAnsi="宋体" w:cs="宋体"/>
          <w:color w:val="auto"/>
          <w:szCs w:val="21"/>
          <w:highlight w:val="none"/>
        </w:rPr>
      </w:pPr>
      <w:r>
        <w:rPr>
          <w:rFonts w:hint="eastAsia" w:ascii="宋体" w:hAnsi="宋体" w:cs="宋体"/>
          <w:color w:val="auto"/>
          <w:szCs w:val="21"/>
          <w:highlight w:val="none"/>
        </w:rPr>
        <w:t xml:space="preserve">委托代理人（签字）：                        法定代表人（签字）：                    </w:t>
      </w:r>
    </w:p>
    <w:p>
      <w:pPr>
        <w:spacing w:line="520" w:lineRule="exact"/>
        <w:rPr>
          <w:rFonts w:ascii="宋体" w:hAnsi="宋体" w:cs="宋体"/>
          <w:color w:val="auto"/>
          <w:szCs w:val="21"/>
          <w:highlight w:val="none"/>
        </w:rPr>
      </w:pPr>
      <w:r>
        <w:rPr>
          <w:rFonts w:hint="eastAsia" w:ascii="宋体" w:hAnsi="宋体" w:cs="宋体"/>
          <w:color w:val="auto"/>
          <w:szCs w:val="21"/>
          <w:highlight w:val="none"/>
        </w:rPr>
        <w:t xml:space="preserve">委托代理人身份证号码：                              </w:t>
      </w:r>
    </w:p>
    <w:p>
      <w:pPr>
        <w:spacing w:line="520" w:lineRule="exact"/>
        <w:rPr>
          <w:rFonts w:ascii="宋体" w:hAnsi="宋体" w:cs="宋体"/>
          <w:color w:val="auto"/>
          <w:szCs w:val="21"/>
          <w:highlight w:val="none"/>
        </w:rPr>
      </w:pPr>
    </w:p>
    <w:p>
      <w:pPr>
        <w:spacing w:line="520" w:lineRule="exact"/>
        <w:rPr>
          <w:rFonts w:ascii="宋体" w:hAnsi="宋体" w:cs="宋体"/>
          <w:color w:val="auto"/>
          <w:szCs w:val="21"/>
          <w:highlight w:val="none"/>
        </w:rPr>
      </w:pPr>
      <w:r>
        <w:rPr>
          <w:rFonts w:hint="eastAsia" w:ascii="宋体" w:hAnsi="宋体" w:cs="宋体"/>
          <w:color w:val="auto"/>
          <w:szCs w:val="21"/>
          <w:highlight w:val="none"/>
        </w:rPr>
        <w:t xml:space="preserve">                         供应商（盖公章）：                      </w:t>
      </w:r>
    </w:p>
    <w:p>
      <w:pPr>
        <w:spacing w:line="520" w:lineRule="exact"/>
        <w:rPr>
          <w:rFonts w:ascii="宋体" w:hAnsi="宋体" w:cs="宋体"/>
          <w:color w:val="auto"/>
          <w:szCs w:val="21"/>
          <w:highlight w:val="none"/>
        </w:rPr>
      </w:pPr>
      <w:r>
        <w:rPr>
          <w:rFonts w:hint="eastAsia" w:ascii="宋体" w:hAnsi="宋体" w:cs="宋体"/>
          <w:color w:val="auto"/>
          <w:szCs w:val="21"/>
          <w:highlight w:val="none"/>
        </w:rPr>
        <w:t xml:space="preserve">                                         年    月    日</w:t>
      </w:r>
    </w:p>
    <w:p>
      <w:pPr>
        <w:spacing w:line="520" w:lineRule="exact"/>
        <w:rPr>
          <w:rFonts w:ascii="宋体" w:hAnsi="宋体" w:cs="宋体"/>
          <w:color w:val="auto"/>
          <w:szCs w:val="21"/>
          <w:highlight w:val="none"/>
        </w:rPr>
      </w:pPr>
    </w:p>
    <w:p>
      <w:pPr>
        <w:spacing w:line="360" w:lineRule="exact"/>
        <w:rPr>
          <w:rFonts w:ascii="宋体" w:hAnsi="宋体" w:cs="宋体"/>
          <w:color w:val="auto"/>
          <w:szCs w:val="21"/>
          <w:highlight w:val="none"/>
        </w:rPr>
      </w:pPr>
      <w:r>
        <w:rPr>
          <w:rFonts w:hint="eastAsia" w:ascii="宋体" w:hAnsi="宋体" w:cs="宋体"/>
          <w:color w:val="auto"/>
          <w:szCs w:val="21"/>
          <w:highlight w:val="none"/>
        </w:rPr>
        <w:t>注：1.法定代表人和委托代理人必须在授权委托书上亲笔签名，不得使用印章、签名章或其他电子制版签名代替；</w:t>
      </w:r>
    </w:p>
    <w:p>
      <w:pPr>
        <w:spacing w:line="36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供应商为其他组织或自然人时，本竞争性磋商文件规定的法定代表人指负责人或自然人。本竞争性磋商文件所称负责人是指参加竞标的其他组织营业执照上的负责人，本竞争性磋商文件所称自然人指参与竞标的自然人本人。</w:t>
      </w:r>
    </w:p>
    <w:p>
      <w:pPr>
        <w:spacing w:line="360" w:lineRule="exact"/>
        <w:jc w:val="center"/>
        <w:rPr>
          <w:rFonts w:ascii="宋体" w:hAnsi="宋体" w:cs="宋体"/>
          <w:bCs/>
          <w:color w:val="auto"/>
          <w:sz w:val="44"/>
          <w:szCs w:val="44"/>
          <w:highlight w:val="none"/>
        </w:rPr>
      </w:pPr>
      <w:r>
        <w:rPr>
          <w:rFonts w:hint="eastAsia" w:ascii="宋体" w:hAnsi="宋体" w:cs="宋体"/>
          <w:color w:val="auto"/>
          <w:sz w:val="32"/>
          <w:szCs w:val="32"/>
          <w:highlight w:val="none"/>
        </w:rPr>
        <w:br w:type="page"/>
      </w:r>
      <w:r>
        <w:rPr>
          <w:rFonts w:hint="eastAsia" w:ascii="宋体" w:hAnsi="宋体" w:cs="宋体"/>
          <w:b/>
          <w:color w:val="auto"/>
          <w:sz w:val="36"/>
          <w:szCs w:val="36"/>
          <w:highlight w:val="none"/>
        </w:rPr>
        <w:t>商务条款偏离表格式</w:t>
      </w:r>
    </w:p>
    <w:p>
      <w:pPr>
        <w:snapToGrid w:val="0"/>
        <w:spacing w:before="50"/>
        <w:jc w:val="left"/>
        <w:rPr>
          <w:rFonts w:ascii="宋体" w:hAnsi="宋体" w:cs="宋体"/>
          <w:color w:val="auto"/>
          <w:sz w:val="24"/>
          <w:highlight w:val="none"/>
        </w:rPr>
      </w:pPr>
    </w:p>
    <w:p>
      <w:pPr>
        <w:pStyle w:val="12"/>
        <w:spacing w:line="520" w:lineRule="exact"/>
        <w:rPr>
          <w:rFonts w:hAnsi="宋体" w:cs="宋体"/>
          <w:color w:val="auto"/>
          <w:sz w:val="21"/>
          <w:highlight w:val="none"/>
        </w:rPr>
      </w:pPr>
      <w:r>
        <w:rPr>
          <w:rFonts w:hint="eastAsia" w:hAnsi="宋体" w:cs="宋体"/>
          <w:color w:val="auto"/>
          <w:sz w:val="21"/>
          <w:highlight w:val="none"/>
        </w:rPr>
        <w:t>所竞分标：</w:t>
      </w:r>
      <w:r>
        <w:rPr>
          <w:rFonts w:hint="eastAsia" w:hAnsi="宋体" w:cs="宋体"/>
          <w:color w:val="auto"/>
          <w:sz w:val="21"/>
          <w:highlight w:val="none"/>
          <w:u w:val="single"/>
        </w:rPr>
        <w:t>A</w:t>
      </w:r>
    </w:p>
    <w:p>
      <w:pPr>
        <w:snapToGrid w:val="0"/>
        <w:spacing w:before="50" w:line="520" w:lineRule="exact"/>
        <w:jc w:val="left"/>
        <w:rPr>
          <w:rFonts w:ascii="宋体" w:hAnsi="宋体" w:cs="宋体"/>
          <w:color w:val="auto"/>
          <w:szCs w:val="21"/>
          <w:highlight w:val="none"/>
          <w:u w:val="single"/>
        </w:rPr>
      </w:pPr>
    </w:p>
    <w:tbl>
      <w:tblPr>
        <w:tblStyle w:val="21"/>
        <w:tblpPr w:leftFromText="180" w:rightFromText="180" w:vertAnchor="text" w:horzAnchor="margin" w:tblpY="-9"/>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78"/>
        <w:gridCol w:w="2668"/>
        <w:gridCol w:w="1144"/>
        <w:gridCol w:w="3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17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r>
              <w:rPr>
                <w:rFonts w:hint="eastAsia" w:ascii="宋体" w:hAnsi="宋体" w:cs="宋体"/>
                <w:color w:val="auto"/>
                <w:szCs w:val="21"/>
                <w:highlight w:val="none"/>
              </w:rPr>
              <w:t>项目</w:t>
            </w: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r>
              <w:rPr>
                <w:rFonts w:hint="eastAsia" w:ascii="宋体" w:hAnsi="宋体" w:cs="宋体"/>
                <w:color w:val="auto"/>
                <w:szCs w:val="21"/>
                <w:highlight w:val="none"/>
              </w:rPr>
              <w:t>竞争性磋商文件商务条款要求</w:t>
            </w:r>
          </w:p>
        </w:tc>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r>
              <w:rPr>
                <w:rFonts w:hint="eastAsia" w:ascii="宋体" w:hAnsi="宋体" w:cs="宋体"/>
                <w:color w:val="auto"/>
                <w:szCs w:val="21"/>
                <w:highlight w:val="none"/>
              </w:rPr>
              <w:t>是否偏离</w:t>
            </w: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r>
              <w:rPr>
                <w:rFonts w:hint="eastAsia" w:ascii="宋体" w:hAnsi="宋体" w:cs="宋体"/>
                <w:color w:val="auto"/>
                <w:szCs w:val="21"/>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17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Cs w:val="21"/>
                <w:highlight w:val="none"/>
              </w:rPr>
            </w:pPr>
            <w:r>
              <w:rPr>
                <w:rFonts w:hint="eastAsia" w:ascii="宋体" w:hAnsi="宋体" w:cs="宋体"/>
                <w:color w:val="auto"/>
                <w:szCs w:val="21"/>
                <w:highlight w:val="none"/>
              </w:rPr>
              <w:t>服务期限</w:t>
            </w: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17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Cs w:val="21"/>
                <w:highlight w:val="none"/>
              </w:rPr>
            </w:pPr>
            <w:r>
              <w:rPr>
                <w:rFonts w:hint="eastAsia" w:ascii="宋体" w:hAnsi="宋体" w:cs="宋体"/>
                <w:color w:val="auto"/>
                <w:szCs w:val="21"/>
                <w:highlight w:val="none"/>
              </w:rPr>
              <w:t>交付或者实施时间及地点</w:t>
            </w: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ind w:left="43"/>
              <w:jc w:val="center"/>
              <w:rPr>
                <w:rFonts w:ascii="宋体" w:hAnsi="宋体" w:cs="宋体"/>
                <w:color w:val="auto"/>
                <w:szCs w:val="21"/>
                <w:highlight w:val="none"/>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ind w:left="43"/>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17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Cs w:val="21"/>
                <w:highlight w:val="none"/>
              </w:rPr>
            </w:pPr>
            <w:r>
              <w:rPr>
                <w:rFonts w:hint="eastAsia" w:ascii="宋体" w:hAnsi="宋体" w:cs="宋体"/>
                <w:color w:val="auto"/>
                <w:szCs w:val="21"/>
                <w:highlight w:val="none"/>
              </w:rPr>
              <w:t>付款方式、时间和条件</w:t>
            </w: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7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r>
    </w:tbl>
    <w:p>
      <w:pPr>
        <w:snapToGrid w:val="0"/>
        <w:spacing w:before="50" w:line="520" w:lineRule="exact"/>
        <w:jc w:val="left"/>
        <w:rPr>
          <w:rFonts w:ascii="宋体" w:hAnsi="宋体" w:cs="宋体"/>
          <w:color w:val="auto"/>
          <w:szCs w:val="21"/>
          <w:highlight w:val="none"/>
          <w:u w:val="single"/>
        </w:rPr>
      </w:pPr>
    </w:p>
    <w:p>
      <w:pPr>
        <w:snapToGrid w:val="0"/>
        <w:spacing w:before="50" w:after="50" w:line="520" w:lineRule="exact"/>
        <w:ind w:right="-817" w:rightChars="-389"/>
        <w:rPr>
          <w:rFonts w:ascii="宋体" w:hAnsi="宋体" w:cs="宋体"/>
          <w:color w:val="auto"/>
          <w:szCs w:val="21"/>
          <w:highlight w:val="none"/>
        </w:rPr>
      </w:pPr>
    </w:p>
    <w:p>
      <w:pPr>
        <w:snapToGrid w:val="0"/>
        <w:spacing w:before="50" w:after="50" w:line="520" w:lineRule="exact"/>
        <w:ind w:right="-817" w:rightChars="-389" w:firstLine="840" w:firstLineChars="400"/>
        <w:rPr>
          <w:rFonts w:ascii="宋体" w:hAnsi="宋体" w:cs="宋体"/>
          <w:color w:val="auto"/>
          <w:szCs w:val="21"/>
          <w:highlight w:val="none"/>
        </w:rPr>
      </w:pPr>
      <w:r>
        <w:rPr>
          <w:rFonts w:hint="eastAsia" w:ascii="宋体" w:hAnsi="宋体" w:cs="宋体"/>
          <w:color w:val="auto"/>
          <w:szCs w:val="21"/>
          <w:highlight w:val="none"/>
        </w:rPr>
        <w:t xml:space="preserve">法定代表人或委托代理人（签字）：                    </w:t>
      </w:r>
    </w:p>
    <w:p>
      <w:pPr>
        <w:snapToGrid w:val="0"/>
        <w:spacing w:before="50" w:after="50" w:line="520" w:lineRule="exact"/>
        <w:ind w:right="-817" w:rightChars="-389" w:firstLine="2310" w:firstLineChars="1100"/>
        <w:rPr>
          <w:rFonts w:ascii="宋体" w:hAnsi="宋体" w:cs="宋体"/>
          <w:color w:val="auto"/>
          <w:szCs w:val="21"/>
          <w:highlight w:val="none"/>
        </w:rPr>
      </w:pPr>
      <w:r>
        <w:rPr>
          <w:rFonts w:hint="eastAsia" w:ascii="宋体" w:hAnsi="宋体" w:cs="宋体"/>
          <w:color w:val="auto"/>
          <w:szCs w:val="21"/>
          <w:highlight w:val="none"/>
        </w:rPr>
        <w:t xml:space="preserve">供应商（盖公章）：      </w:t>
      </w:r>
    </w:p>
    <w:p>
      <w:pPr>
        <w:snapToGrid w:val="0"/>
        <w:spacing w:before="50" w:after="50" w:line="520" w:lineRule="exact"/>
        <w:ind w:right="-817" w:rightChars="-389" w:firstLine="3570" w:firstLineChars="1700"/>
        <w:rPr>
          <w:rFonts w:ascii="宋体" w:hAnsi="宋体" w:cs="宋体"/>
          <w:b/>
          <w:color w:val="auto"/>
          <w:szCs w:val="21"/>
          <w:highlight w:val="none"/>
        </w:rPr>
      </w:pPr>
      <w:r>
        <w:rPr>
          <w:rFonts w:hint="eastAsia" w:ascii="宋体" w:hAnsi="宋体" w:cs="宋体"/>
          <w:color w:val="auto"/>
          <w:szCs w:val="21"/>
          <w:highlight w:val="none"/>
        </w:rPr>
        <w:t>日期：   年   月   日</w:t>
      </w:r>
    </w:p>
    <w:p>
      <w:pPr>
        <w:adjustRightInd w:val="0"/>
        <w:snapToGrid w:val="0"/>
        <w:spacing w:line="520" w:lineRule="exact"/>
        <w:ind w:firstLine="7040" w:firstLineChars="1600"/>
        <w:jc w:val="center"/>
        <w:rPr>
          <w:rFonts w:ascii="宋体" w:hAnsi="宋体" w:cs="宋体"/>
          <w:bCs/>
          <w:color w:val="auto"/>
          <w:sz w:val="44"/>
          <w:szCs w:val="44"/>
          <w:highlight w:val="none"/>
        </w:rPr>
      </w:pPr>
    </w:p>
    <w:p>
      <w:pPr>
        <w:spacing w:line="360" w:lineRule="exact"/>
        <w:jc w:val="center"/>
        <w:rPr>
          <w:rFonts w:ascii="宋体" w:hAnsi="宋体" w:cs="宋体"/>
          <w:b/>
          <w:color w:val="auto"/>
          <w:sz w:val="36"/>
          <w:szCs w:val="36"/>
          <w:highlight w:val="none"/>
        </w:rPr>
      </w:pPr>
    </w:p>
    <w:p>
      <w:pPr>
        <w:spacing w:line="360" w:lineRule="exact"/>
        <w:jc w:val="center"/>
        <w:rPr>
          <w:rFonts w:ascii="宋体" w:hAnsi="宋体" w:cs="宋体"/>
          <w:b/>
          <w:color w:val="auto"/>
          <w:sz w:val="36"/>
          <w:szCs w:val="36"/>
          <w:highlight w:val="none"/>
        </w:rPr>
      </w:pPr>
    </w:p>
    <w:p>
      <w:pPr>
        <w:spacing w:line="360" w:lineRule="exact"/>
        <w:jc w:val="center"/>
        <w:rPr>
          <w:rFonts w:ascii="宋体" w:hAnsi="宋体" w:cs="宋体"/>
          <w:b/>
          <w:color w:val="auto"/>
          <w:sz w:val="36"/>
          <w:szCs w:val="36"/>
          <w:highlight w:val="none"/>
        </w:rPr>
      </w:pPr>
    </w:p>
    <w:p>
      <w:pPr>
        <w:spacing w:line="360" w:lineRule="exact"/>
        <w:jc w:val="center"/>
        <w:rPr>
          <w:rFonts w:ascii="宋体" w:hAnsi="宋体" w:cs="宋体"/>
          <w:b/>
          <w:color w:val="auto"/>
          <w:sz w:val="36"/>
          <w:szCs w:val="36"/>
          <w:highlight w:val="none"/>
        </w:rPr>
      </w:pPr>
    </w:p>
    <w:p>
      <w:pPr>
        <w:spacing w:line="360" w:lineRule="exact"/>
        <w:jc w:val="center"/>
        <w:rPr>
          <w:rFonts w:ascii="宋体" w:hAnsi="宋体" w:cs="宋体"/>
          <w:b/>
          <w:color w:val="auto"/>
          <w:sz w:val="36"/>
          <w:szCs w:val="36"/>
          <w:highlight w:val="none"/>
        </w:rPr>
      </w:pPr>
    </w:p>
    <w:p>
      <w:pPr>
        <w:spacing w:line="360" w:lineRule="exact"/>
        <w:jc w:val="center"/>
        <w:rPr>
          <w:rFonts w:ascii="宋体" w:hAnsi="宋体" w:cs="宋体"/>
          <w:b/>
          <w:color w:val="auto"/>
          <w:sz w:val="36"/>
          <w:szCs w:val="36"/>
          <w:highlight w:val="none"/>
        </w:rPr>
      </w:pPr>
    </w:p>
    <w:p>
      <w:pPr>
        <w:spacing w:line="360" w:lineRule="exact"/>
        <w:jc w:val="center"/>
        <w:rPr>
          <w:rFonts w:ascii="宋体" w:hAnsi="宋体" w:cs="宋体"/>
          <w:b/>
          <w:color w:val="auto"/>
          <w:sz w:val="36"/>
          <w:szCs w:val="36"/>
          <w:highlight w:val="none"/>
        </w:rPr>
      </w:pPr>
    </w:p>
    <w:p>
      <w:pPr>
        <w:spacing w:line="360" w:lineRule="exact"/>
        <w:jc w:val="center"/>
        <w:rPr>
          <w:rFonts w:ascii="宋体" w:hAnsi="宋体" w:cs="宋体"/>
          <w:b/>
          <w:color w:val="auto"/>
          <w:sz w:val="36"/>
          <w:szCs w:val="36"/>
          <w:highlight w:val="none"/>
        </w:rPr>
      </w:pPr>
    </w:p>
    <w:p>
      <w:pPr>
        <w:spacing w:line="360" w:lineRule="exact"/>
        <w:jc w:val="center"/>
        <w:rPr>
          <w:rFonts w:ascii="宋体" w:hAnsi="宋体" w:cs="宋体"/>
          <w:b/>
          <w:color w:val="auto"/>
          <w:sz w:val="36"/>
          <w:szCs w:val="36"/>
          <w:highlight w:val="none"/>
        </w:rPr>
      </w:pPr>
    </w:p>
    <w:p>
      <w:pPr>
        <w:spacing w:line="360" w:lineRule="exact"/>
        <w:jc w:val="center"/>
        <w:rPr>
          <w:rFonts w:ascii="宋体" w:hAnsi="宋体" w:cs="宋体"/>
          <w:bCs/>
          <w:color w:val="auto"/>
          <w:sz w:val="44"/>
          <w:szCs w:val="44"/>
          <w:highlight w:val="none"/>
        </w:rPr>
      </w:pPr>
      <w:r>
        <w:rPr>
          <w:rFonts w:hint="eastAsia" w:ascii="宋体" w:hAnsi="宋体" w:cs="宋体"/>
          <w:b/>
          <w:color w:val="auto"/>
          <w:sz w:val="36"/>
          <w:szCs w:val="36"/>
          <w:highlight w:val="none"/>
        </w:rPr>
        <w:t>商务条款偏离表格式</w:t>
      </w:r>
    </w:p>
    <w:p>
      <w:pPr>
        <w:snapToGrid w:val="0"/>
        <w:spacing w:before="50"/>
        <w:jc w:val="left"/>
        <w:rPr>
          <w:rFonts w:ascii="宋体" w:hAnsi="宋体" w:cs="宋体"/>
          <w:color w:val="auto"/>
          <w:sz w:val="24"/>
          <w:highlight w:val="none"/>
        </w:rPr>
      </w:pPr>
    </w:p>
    <w:p>
      <w:pPr>
        <w:pStyle w:val="12"/>
        <w:spacing w:line="520" w:lineRule="exact"/>
        <w:rPr>
          <w:rFonts w:hAnsi="宋体" w:cs="宋体"/>
          <w:color w:val="auto"/>
          <w:sz w:val="21"/>
          <w:highlight w:val="none"/>
        </w:rPr>
      </w:pPr>
      <w:r>
        <w:rPr>
          <w:rFonts w:hint="eastAsia" w:hAnsi="宋体" w:cs="宋体"/>
          <w:color w:val="auto"/>
          <w:sz w:val="21"/>
          <w:highlight w:val="none"/>
        </w:rPr>
        <w:t>所竞分标：</w:t>
      </w:r>
      <w:r>
        <w:rPr>
          <w:rFonts w:hint="eastAsia" w:hAnsi="宋体" w:cs="宋体"/>
          <w:color w:val="auto"/>
          <w:sz w:val="21"/>
          <w:highlight w:val="none"/>
          <w:u w:val="single"/>
        </w:rPr>
        <w:t>B</w:t>
      </w:r>
    </w:p>
    <w:p>
      <w:pPr>
        <w:snapToGrid w:val="0"/>
        <w:spacing w:before="50" w:line="520" w:lineRule="exact"/>
        <w:jc w:val="left"/>
        <w:rPr>
          <w:rFonts w:ascii="宋体" w:hAnsi="宋体" w:cs="宋体"/>
          <w:color w:val="auto"/>
          <w:szCs w:val="21"/>
          <w:highlight w:val="none"/>
          <w:u w:val="single"/>
        </w:rPr>
      </w:pPr>
    </w:p>
    <w:tbl>
      <w:tblPr>
        <w:tblStyle w:val="21"/>
        <w:tblpPr w:leftFromText="180" w:rightFromText="180" w:vertAnchor="text" w:horzAnchor="margin" w:tblpY="-9"/>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78"/>
        <w:gridCol w:w="2668"/>
        <w:gridCol w:w="1144"/>
        <w:gridCol w:w="3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17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r>
              <w:rPr>
                <w:rFonts w:hint="eastAsia" w:ascii="宋体" w:hAnsi="宋体" w:cs="宋体"/>
                <w:color w:val="auto"/>
                <w:szCs w:val="21"/>
                <w:highlight w:val="none"/>
              </w:rPr>
              <w:t>项目</w:t>
            </w: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r>
              <w:rPr>
                <w:rFonts w:hint="eastAsia" w:ascii="宋体" w:hAnsi="宋体" w:cs="宋体"/>
                <w:color w:val="auto"/>
                <w:szCs w:val="21"/>
                <w:highlight w:val="none"/>
              </w:rPr>
              <w:t>竞争性磋商文件商务条款要求</w:t>
            </w:r>
          </w:p>
        </w:tc>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r>
              <w:rPr>
                <w:rFonts w:hint="eastAsia" w:ascii="宋体" w:hAnsi="宋体" w:cs="宋体"/>
                <w:color w:val="auto"/>
                <w:szCs w:val="21"/>
                <w:highlight w:val="none"/>
              </w:rPr>
              <w:t>是否偏离</w:t>
            </w: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r>
              <w:rPr>
                <w:rFonts w:hint="eastAsia" w:ascii="宋体" w:hAnsi="宋体" w:cs="宋体"/>
                <w:color w:val="auto"/>
                <w:szCs w:val="21"/>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17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Cs w:val="21"/>
                <w:highlight w:val="none"/>
              </w:rPr>
            </w:pPr>
            <w:r>
              <w:rPr>
                <w:rFonts w:hint="eastAsia" w:ascii="宋体" w:hAnsi="宋体" w:cs="宋体"/>
                <w:color w:val="auto"/>
                <w:szCs w:val="21"/>
                <w:highlight w:val="none"/>
              </w:rPr>
              <w:t>交货期</w:t>
            </w: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17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Cs w:val="21"/>
                <w:highlight w:val="none"/>
              </w:rPr>
            </w:pPr>
            <w:r>
              <w:rPr>
                <w:rFonts w:hint="eastAsia" w:ascii="宋体" w:hAnsi="宋体" w:cs="宋体"/>
                <w:color w:val="auto"/>
                <w:szCs w:val="21"/>
                <w:highlight w:val="none"/>
              </w:rPr>
              <w:t>交货地点</w:t>
            </w: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ind w:left="43"/>
              <w:jc w:val="center"/>
              <w:rPr>
                <w:rFonts w:ascii="宋体" w:hAnsi="宋体" w:cs="宋体"/>
                <w:color w:val="auto"/>
                <w:szCs w:val="21"/>
                <w:highlight w:val="none"/>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ind w:left="43"/>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17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Cs w:val="21"/>
                <w:highlight w:val="none"/>
              </w:rPr>
            </w:pPr>
            <w:r>
              <w:rPr>
                <w:rFonts w:hint="eastAsia" w:ascii="宋体" w:hAnsi="宋体" w:cs="宋体"/>
                <w:color w:val="auto"/>
                <w:szCs w:val="21"/>
                <w:highlight w:val="none"/>
              </w:rPr>
              <w:t>付款方式、时间和条件</w:t>
            </w: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7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r>
              <w:rPr>
                <w:rFonts w:hint="eastAsia" w:ascii="宋体" w:hAnsi="宋体" w:cs="宋体"/>
                <w:color w:val="auto"/>
                <w:szCs w:val="21"/>
                <w:highlight w:val="none"/>
              </w:rPr>
              <w:t>…</w:t>
            </w: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c>
          <w:tcPr>
            <w:tcW w:w="3318" w:type="dxa"/>
            <w:tcBorders>
              <w:top w:val="single" w:color="auto" w:sz="4" w:space="0"/>
              <w:left w:val="single" w:color="auto" w:sz="4" w:space="0"/>
              <w:bottom w:val="single" w:color="auto" w:sz="4" w:space="0"/>
              <w:right w:val="single" w:color="auto" w:sz="4" w:space="0"/>
            </w:tcBorders>
            <w:vAlign w:val="center"/>
          </w:tcPr>
          <w:p>
            <w:pPr>
              <w:snapToGrid w:val="0"/>
              <w:spacing w:beforeLines="50" w:line="520" w:lineRule="exact"/>
              <w:jc w:val="center"/>
              <w:rPr>
                <w:rFonts w:ascii="宋体" w:hAnsi="宋体" w:cs="宋体"/>
                <w:color w:val="auto"/>
                <w:szCs w:val="21"/>
                <w:highlight w:val="none"/>
              </w:rPr>
            </w:pPr>
          </w:p>
        </w:tc>
      </w:tr>
    </w:tbl>
    <w:p>
      <w:pPr>
        <w:snapToGrid w:val="0"/>
        <w:spacing w:before="50" w:line="520" w:lineRule="exact"/>
        <w:jc w:val="left"/>
        <w:rPr>
          <w:rFonts w:ascii="宋体" w:hAnsi="宋体" w:cs="宋体"/>
          <w:color w:val="auto"/>
          <w:szCs w:val="21"/>
          <w:highlight w:val="none"/>
          <w:u w:val="single"/>
        </w:rPr>
      </w:pPr>
    </w:p>
    <w:p>
      <w:pPr>
        <w:snapToGrid w:val="0"/>
        <w:spacing w:before="50" w:after="50" w:line="520" w:lineRule="exact"/>
        <w:ind w:right="-817" w:rightChars="-389"/>
        <w:rPr>
          <w:rFonts w:ascii="宋体" w:hAnsi="宋体" w:cs="宋体"/>
          <w:color w:val="auto"/>
          <w:szCs w:val="21"/>
          <w:highlight w:val="none"/>
        </w:rPr>
      </w:pPr>
    </w:p>
    <w:p>
      <w:pPr>
        <w:snapToGrid w:val="0"/>
        <w:spacing w:before="50" w:after="50" w:line="520" w:lineRule="exact"/>
        <w:ind w:right="-817" w:rightChars="-389" w:firstLine="840" w:firstLineChars="400"/>
        <w:rPr>
          <w:rFonts w:ascii="宋体" w:hAnsi="宋体" w:cs="宋体"/>
          <w:color w:val="auto"/>
          <w:szCs w:val="21"/>
          <w:highlight w:val="none"/>
        </w:rPr>
      </w:pPr>
      <w:r>
        <w:rPr>
          <w:rFonts w:hint="eastAsia" w:ascii="宋体" w:hAnsi="宋体" w:cs="宋体"/>
          <w:color w:val="auto"/>
          <w:szCs w:val="21"/>
          <w:highlight w:val="none"/>
        </w:rPr>
        <w:t xml:space="preserve">法定代表人或委托代理人（签字）：                    </w:t>
      </w:r>
    </w:p>
    <w:p>
      <w:pPr>
        <w:snapToGrid w:val="0"/>
        <w:spacing w:before="50" w:after="50" w:line="520" w:lineRule="exact"/>
        <w:ind w:right="-817" w:rightChars="-389" w:firstLine="2310" w:firstLineChars="1100"/>
        <w:rPr>
          <w:rFonts w:ascii="宋体" w:hAnsi="宋体" w:cs="宋体"/>
          <w:color w:val="auto"/>
          <w:szCs w:val="21"/>
          <w:highlight w:val="none"/>
        </w:rPr>
      </w:pPr>
      <w:r>
        <w:rPr>
          <w:rFonts w:hint="eastAsia" w:ascii="宋体" w:hAnsi="宋体" w:cs="宋体"/>
          <w:color w:val="auto"/>
          <w:szCs w:val="21"/>
          <w:highlight w:val="none"/>
        </w:rPr>
        <w:t xml:space="preserve">供应商（盖公章）：      </w:t>
      </w:r>
    </w:p>
    <w:p>
      <w:pPr>
        <w:snapToGrid w:val="0"/>
        <w:spacing w:before="50" w:after="50" w:line="520" w:lineRule="exact"/>
        <w:ind w:right="-817" w:rightChars="-389" w:firstLine="3570" w:firstLineChars="1700"/>
        <w:rPr>
          <w:rFonts w:ascii="宋体" w:hAnsi="宋体" w:cs="宋体"/>
          <w:b/>
          <w:color w:val="auto"/>
          <w:szCs w:val="21"/>
          <w:highlight w:val="none"/>
        </w:rPr>
      </w:pPr>
      <w:r>
        <w:rPr>
          <w:rFonts w:hint="eastAsia" w:ascii="宋体" w:hAnsi="宋体" w:cs="宋体"/>
          <w:color w:val="auto"/>
          <w:szCs w:val="21"/>
          <w:highlight w:val="none"/>
        </w:rPr>
        <w:t>日期：   年   月   日</w:t>
      </w:r>
    </w:p>
    <w:p>
      <w:pPr>
        <w:adjustRightInd w:val="0"/>
        <w:snapToGrid w:val="0"/>
        <w:spacing w:line="520" w:lineRule="exact"/>
        <w:ind w:firstLine="7040" w:firstLineChars="1600"/>
        <w:jc w:val="center"/>
        <w:rPr>
          <w:rFonts w:ascii="宋体" w:hAnsi="宋体" w:cs="宋体"/>
          <w:bCs/>
          <w:color w:val="auto"/>
          <w:sz w:val="44"/>
          <w:szCs w:val="44"/>
          <w:highlight w:val="none"/>
        </w:rPr>
      </w:pPr>
    </w:p>
    <w:p>
      <w:pPr>
        <w:adjustRightInd w:val="0"/>
        <w:snapToGrid w:val="0"/>
        <w:spacing w:line="520" w:lineRule="exact"/>
        <w:ind w:firstLine="7040" w:firstLineChars="1600"/>
        <w:jc w:val="center"/>
        <w:rPr>
          <w:rFonts w:ascii="宋体" w:hAnsi="宋体" w:cs="宋体"/>
          <w:bCs/>
          <w:color w:val="auto"/>
          <w:sz w:val="44"/>
          <w:szCs w:val="44"/>
          <w:highlight w:val="none"/>
        </w:rPr>
      </w:pPr>
    </w:p>
    <w:p>
      <w:pPr>
        <w:adjustRightInd w:val="0"/>
        <w:snapToGrid w:val="0"/>
        <w:spacing w:line="520" w:lineRule="exact"/>
        <w:ind w:firstLine="7040" w:firstLineChars="1600"/>
        <w:jc w:val="center"/>
        <w:rPr>
          <w:rFonts w:ascii="宋体" w:hAnsi="宋体" w:cs="宋体"/>
          <w:bCs/>
          <w:color w:val="auto"/>
          <w:sz w:val="44"/>
          <w:szCs w:val="44"/>
          <w:highlight w:val="none"/>
        </w:rPr>
      </w:pPr>
    </w:p>
    <w:p>
      <w:pPr>
        <w:adjustRightInd w:val="0"/>
        <w:snapToGrid w:val="0"/>
        <w:spacing w:line="520" w:lineRule="exact"/>
        <w:ind w:firstLine="7040" w:firstLineChars="1600"/>
        <w:jc w:val="center"/>
        <w:rPr>
          <w:rFonts w:ascii="宋体" w:hAnsi="宋体" w:cs="宋体"/>
          <w:bCs/>
          <w:color w:val="auto"/>
          <w:sz w:val="44"/>
          <w:szCs w:val="44"/>
          <w:highlight w:val="none"/>
        </w:rPr>
      </w:pPr>
    </w:p>
    <w:p>
      <w:pPr>
        <w:adjustRightInd w:val="0"/>
        <w:snapToGrid w:val="0"/>
        <w:spacing w:line="520" w:lineRule="exact"/>
        <w:ind w:firstLine="7040" w:firstLineChars="1600"/>
        <w:jc w:val="center"/>
        <w:rPr>
          <w:rFonts w:ascii="宋体" w:hAnsi="宋体" w:cs="宋体"/>
          <w:bCs/>
          <w:color w:val="auto"/>
          <w:sz w:val="44"/>
          <w:szCs w:val="44"/>
          <w:highlight w:val="none"/>
        </w:rPr>
      </w:pPr>
    </w:p>
    <w:p>
      <w:pPr>
        <w:adjustRightInd w:val="0"/>
        <w:snapToGrid w:val="0"/>
        <w:spacing w:line="520" w:lineRule="exact"/>
        <w:ind w:firstLine="7040" w:firstLineChars="1600"/>
        <w:jc w:val="center"/>
        <w:rPr>
          <w:rFonts w:ascii="宋体" w:hAnsi="宋体" w:cs="宋体"/>
          <w:bCs/>
          <w:color w:val="auto"/>
          <w:sz w:val="44"/>
          <w:szCs w:val="44"/>
          <w:highlight w:val="none"/>
        </w:rPr>
      </w:pPr>
    </w:p>
    <w:p>
      <w:pPr>
        <w:adjustRightInd w:val="0"/>
        <w:snapToGrid w:val="0"/>
        <w:spacing w:line="520" w:lineRule="exact"/>
        <w:rPr>
          <w:rFonts w:ascii="宋体" w:hAnsi="宋体" w:cs="宋体"/>
          <w:color w:val="auto"/>
          <w:szCs w:val="21"/>
          <w:highlight w:val="none"/>
          <w:u w:val="single"/>
        </w:rPr>
      </w:pPr>
    </w:p>
    <w:p>
      <w:pPr>
        <w:adjustRightInd w:val="0"/>
        <w:snapToGrid w:val="0"/>
        <w:spacing w:line="300" w:lineRule="auto"/>
        <w:rPr>
          <w:rFonts w:ascii="宋体" w:hAnsi="宋体" w:cs="宋体"/>
          <w:color w:val="auto"/>
          <w:szCs w:val="21"/>
          <w:highlight w:val="none"/>
          <w:u w:val="single"/>
        </w:rPr>
      </w:pPr>
    </w:p>
    <w:p>
      <w:pPr>
        <w:adjustRightInd w:val="0"/>
        <w:snapToGrid w:val="0"/>
        <w:spacing w:line="520" w:lineRule="exact"/>
        <w:jc w:val="center"/>
        <w:rPr>
          <w:rFonts w:ascii="宋体" w:hAnsi="宋体" w:cs="宋体"/>
          <w:b/>
          <w:color w:val="auto"/>
          <w:sz w:val="32"/>
          <w:szCs w:val="32"/>
          <w:highlight w:val="none"/>
        </w:rPr>
      </w:pPr>
      <w:r>
        <w:rPr>
          <w:rFonts w:hint="eastAsia" w:ascii="宋体" w:hAnsi="宋体" w:cs="宋体"/>
          <w:b/>
          <w:bCs/>
          <w:color w:val="auto"/>
          <w:sz w:val="24"/>
          <w:highlight w:val="none"/>
        </w:rPr>
        <w:br w:type="page"/>
      </w:r>
      <w:r>
        <w:rPr>
          <w:rFonts w:hint="eastAsia" w:ascii="宋体" w:hAnsi="宋体" w:cs="宋体"/>
          <w:bCs/>
          <w:color w:val="auto"/>
          <w:sz w:val="44"/>
          <w:szCs w:val="44"/>
          <w:highlight w:val="none"/>
        </w:rPr>
        <w:t>货物配置清单</w:t>
      </w:r>
    </w:p>
    <w:p>
      <w:pPr>
        <w:spacing w:line="300" w:lineRule="auto"/>
        <w:rPr>
          <w:rFonts w:ascii="宋体" w:hAnsi="宋体" w:cs="宋体"/>
          <w:color w:val="auto"/>
          <w:szCs w:val="21"/>
          <w:highlight w:val="none"/>
        </w:rPr>
      </w:pPr>
    </w:p>
    <w:p>
      <w:pPr>
        <w:spacing w:line="520" w:lineRule="exact"/>
        <w:rPr>
          <w:rFonts w:ascii="宋体" w:hAnsi="宋体" w:cs="宋体"/>
          <w:color w:val="auto"/>
          <w:sz w:val="32"/>
          <w:szCs w:val="32"/>
          <w:highlight w:val="none"/>
        </w:rPr>
      </w:pPr>
      <w:r>
        <w:rPr>
          <w:rFonts w:hint="eastAsia" w:ascii="宋体" w:hAnsi="宋体" w:cs="宋体"/>
          <w:color w:val="auto"/>
          <w:sz w:val="32"/>
          <w:szCs w:val="32"/>
          <w:highlight w:val="none"/>
        </w:rPr>
        <w:t>项目编号：</w:t>
      </w:r>
    </w:p>
    <w:p>
      <w:pPr>
        <w:spacing w:line="520" w:lineRule="exact"/>
        <w:rPr>
          <w:rFonts w:ascii="宋体" w:hAnsi="宋体" w:cs="宋体"/>
          <w:color w:val="auto"/>
          <w:sz w:val="32"/>
          <w:szCs w:val="32"/>
          <w:highlight w:val="none"/>
        </w:rPr>
      </w:pPr>
      <w:r>
        <w:rPr>
          <w:rFonts w:hint="eastAsia" w:ascii="宋体" w:hAnsi="宋体" w:cs="宋体"/>
          <w:color w:val="auto"/>
          <w:sz w:val="32"/>
          <w:szCs w:val="32"/>
          <w:highlight w:val="none"/>
        </w:rPr>
        <w:t>项目名称：</w:t>
      </w:r>
    </w:p>
    <w:p>
      <w:pPr>
        <w:spacing w:line="520" w:lineRule="exact"/>
        <w:rPr>
          <w:rFonts w:ascii="宋体" w:hAnsi="宋体" w:cs="宋体"/>
          <w:color w:val="auto"/>
          <w:sz w:val="32"/>
          <w:szCs w:val="32"/>
          <w:highlight w:val="none"/>
          <w:u w:val="single"/>
        </w:rPr>
      </w:pPr>
      <w:r>
        <w:rPr>
          <w:rFonts w:hint="eastAsia" w:ascii="宋体" w:hAnsi="宋体" w:cs="宋体"/>
          <w:color w:val="auto"/>
          <w:sz w:val="32"/>
          <w:szCs w:val="32"/>
          <w:highlight w:val="none"/>
        </w:rPr>
        <w:t>所竞分标：</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28"/>
        <w:gridCol w:w="2565"/>
        <w:gridCol w:w="2760"/>
        <w:gridCol w:w="22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6" w:hRule="atLeast"/>
          <w:jc w:val="center"/>
        </w:trPr>
        <w:tc>
          <w:tcPr>
            <w:tcW w:w="1128" w:type="dxa"/>
            <w:vAlign w:val="center"/>
          </w:tcPr>
          <w:p>
            <w:pPr>
              <w:adjustRightInd w:val="0"/>
              <w:snapToGrid w:val="0"/>
              <w:spacing w:line="520" w:lineRule="exact"/>
              <w:ind w:left="-88" w:leftChars="-42"/>
              <w:jc w:val="center"/>
              <w:rPr>
                <w:rFonts w:ascii="宋体" w:hAnsi="宋体" w:cs="宋体"/>
                <w:color w:val="auto"/>
                <w:sz w:val="32"/>
                <w:szCs w:val="32"/>
                <w:highlight w:val="none"/>
              </w:rPr>
            </w:pPr>
            <w:r>
              <w:rPr>
                <w:rFonts w:hint="eastAsia" w:ascii="宋体" w:hAnsi="宋体" w:cs="宋体"/>
                <w:color w:val="auto"/>
                <w:sz w:val="32"/>
                <w:szCs w:val="32"/>
                <w:highlight w:val="none"/>
              </w:rPr>
              <w:t>序号</w:t>
            </w:r>
          </w:p>
        </w:tc>
        <w:tc>
          <w:tcPr>
            <w:tcW w:w="2565" w:type="dxa"/>
            <w:vAlign w:val="center"/>
          </w:tcPr>
          <w:p>
            <w:pPr>
              <w:adjustRightInd w:val="0"/>
              <w:snapToGrid w:val="0"/>
              <w:spacing w:line="520" w:lineRule="exact"/>
              <w:ind w:left="-88" w:leftChars="-42"/>
              <w:jc w:val="center"/>
              <w:rPr>
                <w:rFonts w:ascii="宋体" w:hAnsi="宋体" w:cs="宋体"/>
                <w:color w:val="auto"/>
                <w:sz w:val="32"/>
                <w:szCs w:val="32"/>
                <w:highlight w:val="none"/>
              </w:rPr>
            </w:pPr>
            <w:r>
              <w:rPr>
                <w:rFonts w:hint="eastAsia" w:ascii="宋体" w:hAnsi="宋体" w:cs="宋体"/>
                <w:color w:val="auto"/>
                <w:sz w:val="32"/>
                <w:szCs w:val="32"/>
                <w:highlight w:val="none"/>
              </w:rPr>
              <w:t>货物名称</w:t>
            </w:r>
          </w:p>
        </w:tc>
        <w:tc>
          <w:tcPr>
            <w:tcW w:w="2760" w:type="dxa"/>
            <w:vAlign w:val="center"/>
          </w:tcPr>
          <w:p>
            <w:pPr>
              <w:adjustRightInd w:val="0"/>
              <w:snapToGrid w:val="0"/>
              <w:spacing w:line="520" w:lineRule="exact"/>
              <w:jc w:val="center"/>
              <w:rPr>
                <w:rFonts w:ascii="宋体" w:hAnsi="宋体" w:cs="宋体"/>
                <w:color w:val="auto"/>
                <w:sz w:val="32"/>
                <w:szCs w:val="32"/>
                <w:highlight w:val="none"/>
              </w:rPr>
            </w:pPr>
            <w:r>
              <w:rPr>
                <w:rFonts w:hint="eastAsia" w:ascii="宋体" w:hAnsi="宋体" w:cs="宋体"/>
                <w:color w:val="auto"/>
                <w:sz w:val="32"/>
                <w:szCs w:val="32"/>
                <w:highlight w:val="none"/>
              </w:rPr>
              <w:t>品牌及规格型号</w:t>
            </w:r>
          </w:p>
        </w:tc>
        <w:tc>
          <w:tcPr>
            <w:tcW w:w="2280" w:type="dxa"/>
            <w:vAlign w:val="center"/>
          </w:tcPr>
          <w:p>
            <w:pPr>
              <w:adjustRightInd w:val="0"/>
              <w:snapToGrid w:val="0"/>
              <w:spacing w:line="520" w:lineRule="exact"/>
              <w:jc w:val="center"/>
              <w:rPr>
                <w:rFonts w:ascii="宋体" w:hAnsi="宋体" w:cs="宋体"/>
                <w:color w:val="auto"/>
                <w:sz w:val="32"/>
                <w:szCs w:val="32"/>
                <w:highlight w:val="none"/>
              </w:rPr>
            </w:pPr>
            <w:r>
              <w:rPr>
                <w:rFonts w:hint="eastAsia" w:ascii="宋体" w:hAnsi="宋体" w:cs="宋体"/>
                <w:color w:val="auto"/>
                <w:sz w:val="32"/>
                <w:szCs w:val="32"/>
                <w:highlight w:val="none"/>
              </w:rPr>
              <w:t>数量及单位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128" w:type="dxa"/>
            <w:vAlign w:val="center"/>
          </w:tcPr>
          <w:p>
            <w:pPr>
              <w:adjustRightInd w:val="0"/>
              <w:snapToGrid w:val="0"/>
              <w:spacing w:line="520" w:lineRule="exact"/>
              <w:ind w:left="-88" w:leftChars="-42"/>
              <w:jc w:val="center"/>
              <w:rPr>
                <w:rFonts w:ascii="宋体" w:hAnsi="宋体" w:cs="宋体"/>
                <w:color w:val="auto"/>
                <w:sz w:val="32"/>
                <w:szCs w:val="32"/>
                <w:highlight w:val="none"/>
              </w:rPr>
            </w:pPr>
            <w:r>
              <w:rPr>
                <w:rFonts w:hint="eastAsia" w:ascii="宋体" w:hAnsi="宋体" w:cs="宋体"/>
                <w:color w:val="auto"/>
                <w:sz w:val="32"/>
                <w:szCs w:val="32"/>
                <w:highlight w:val="none"/>
              </w:rPr>
              <w:t>1</w:t>
            </w:r>
          </w:p>
        </w:tc>
        <w:tc>
          <w:tcPr>
            <w:tcW w:w="2565" w:type="dxa"/>
            <w:vAlign w:val="center"/>
          </w:tcPr>
          <w:p>
            <w:pPr>
              <w:adjustRightInd w:val="0"/>
              <w:snapToGrid w:val="0"/>
              <w:spacing w:line="520" w:lineRule="exact"/>
              <w:ind w:left="-88" w:leftChars="-42"/>
              <w:jc w:val="center"/>
              <w:rPr>
                <w:rFonts w:ascii="宋体" w:hAnsi="宋体" w:cs="宋体"/>
                <w:color w:val="auto"/>
                <w:sz w:val="32"/>
                <w:szCs w:val="32"/>
                <w:highlight w:val="none"/>
              </w:rPr>
            </w:pPr>
          </w:p>
        </w:tc>
        <w:tc>
          <w:tcPr>
            <w:tcW w:w="2760" w:type="dxa"/>
            <w:vAlign w:val="center"/>
          </w:tcPr>
          <w:p>
            <w:pPr>
              <w:adjustRightInd w:val="0"/>
              <w:snapToGrid w:val="0"/>
              <w:spacing w:line="520" w:lineRule="exact"/>
              <w:jc w:val="center"/>
              <w:rPr>
                <w:rFonts w:ascii="宋体" w:hAnsi="宋体" w:cs="宋体"/>
                <w:color w:val="auto"/>
                <w:sz w:val="32"/>
                <w:szCs w:val="32"/>
                <w:highlight w:val="none"/>
              </w:rPr>
            </w:pPr>
          </w:p>
        </w:tc>
        <w:tc>
          <w:tcPr>
            <w:tcW w:w="2280" w:type="dxa"/>
            <w:vAlign w:val="center"/>
          </w:tcPr>
          <w:p>
            <w:pPr>
              <w:adjustRightInd w:val="0"/>
              <w:snapToGrid w:val="0"/>
              <w:spacing w:line="520" w:lineRule="exact"/>
              <w:jc w:val="center"/>
              <w:rPr>
                <w:rFonts w:ascii="宋体" w:hAnsi="宋体" w:cs="宋体"/>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128" w:type="dxa"/>
            <w:vAlign w:val="center"/>
          </w:tcPr>
          <w:p>
            <w:pPr>
              <w:adjustRightInd w:val="0"/>
              <w:snapToGrid w:val="0"/>
              <w:spacing w:line="520" w:lineRule="exact"/>
              <w:ind w:left="-88" w:leftChars="-42"/>
              <w:jc w:val="center"/>
              <w:rPr>
                <w:rFonts w:ascii="宋体" w:hAnsi="宋体" w:cs="宋体"/>
                <w:color w:val="auto"/>
                <w:sz w:val="32"/>
                <w:szCs w:val="32"/>
                <w:highlight w:val="none"/>
              </w:rPr>
            </w:pPr>
            <w:r>
              <w:rPr>
                <w:rFonts w:hint="eastAsia" w:ascii="宋体" w:hAnsi="宋体" w:cs="宋体"/>
                <w:color w:val="auto"/>
                <w:sz w:val="32"/>
                <w:szCs w:val="32"/>
                <w:highlight w:val="none"/>
              </w:rPr>
              <w:t>2</w:t>
            </w:r>
          </w:p>
        </w:tc>
        <w:tc>
          <w:tcPr>
            <w:tcW w:w="2565" w:type="dxa"/>
            <w:vAlign w:val="center"/>
          </w:tcPr>
          <w:p>
            <w:pPr>
              <w:adjustRightInd w:val="0"/>
              <w:snapToGrid w:val="0"/>
              <w:spacing w:line="520" w:lineRule="exact"/>
              <w:ind w:left="-88" w:leftChars="-42"/>
              <w:jc w:val="center"/>
              <w:rPr>
                <w:rFonts w:ascii="宋体" w:hAnsi="宋体" w:cs="宋体"/>
                <w:color w:val="auto"/>
                <w:sz w:val="32"/>
                <w:szCs w:val="32"/>
                <w:highlight w:val="none"/>
              </w:rPr>
            </w:pPr>
          </w:p>
        </w:tc>
        <w:tc>
          <w:tcPr>
            <w:tcW w:w="2760" w:type="dxa"/>
            <w:vAlign w:val="center"/>
          </w:tcPr>
          <w:p>
            <w:pPr>
              <w:adjustRightInd w:val="0"/>
              <w:snapToGrid w:val="0"/>
              <w:spacing w:line="520" w:lineRule="exact"/>
              <w:jc w:val="center"/>
              <w:rPr>
                <w:rFonts w:ascii="宋体" w:hAnsi="宋体" w:cs="宋体"/>
                <w:color w:val="auto"/>
                <w:sz w:val="32"/>
                <w:szCs w:val="32"/>
                <w:highlight w:val="none"/>
              </w:rPr>
            </w:pPr>
          </w:p>
        </w:tc>
        <w:tc>
          <w:tcPr>
            <w:tcW w:w="2280" w:type="dxa"/>
            <w:vAlign w:val="center"/>
          </w:tcPr>
          <w:p>
            <w:pPr>
              <w:adjustRightInd w:val="0"/>
              <w:snapToGrid w:val="0"/>
              <w:spacing w:line="520" w:lineRule="exact"/>
              <w:jc w:val="center"/>
              <w:rPr>
                <w:rFonts w:ascii="宋体" w:hAnsi="宋体" w:cs="宋体"/>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128" w:type="dxa"/>
            <w:vAlign w:val="center"/>
          </w:tcPr>
          <w:p>
            <w:pPr>
              <w:adjustRightInd w:val="0"/>
              <w:snapToGrid w:val="0"/>
              <w:spacing w:line="520" w:lineRule="exact"/>
              <w:ind w:left="-88" w:leftChars="-42"/>
              <w:jc w:val="center"/>
              <w:rPr>
                <w:rFonts w:ascii="宋体" w:hAnsi="宋体" w:cs="宋体"/>
                <w:color w:val="auto"/>
                <w:sz w:val="32"/>
                <w:szCs w:val="32"/>
                <w:highlight w:val="none"/>
              </w:rPr>
            </w:pPr>
            <w:r>
              <w:rPr>
                <w:rFonts w:hint="eastAsia" w:ascii="宋体" w:hAnsi="宋体" w:cs="宋体"/>
                <w:color w:val="auto"/>
                <w:sz w:val="32"/>
                <w:szCs w:val="32"/>
                <w:highlight w:val="none"/>
              </w:rPr>
              <w:t>3</w:t>
            </w:r>
          </w:p>
        </w:tc>
        <w:tc>
          <w:tcPr>
            <w:tcW w:w="2565" w:type="dxa"/>
            <w:vAlign w:val="center"/>
          </w:tcPr>
          <w:p>
            <w:pPr>
              <w:adjustRightInd w:val="0"/>
              <w:snapToGrid w:val="0"/>
              <w:spacing w:line="520" w:lineRule="exact"/>
              <w:ind w:left="-88" w:leftChars="-42"/>
              <w:jc w:val="center"/>
              <w:rPr>
                <w:rFonts w:ascii="宋体" w:hAnsi="宋体" w:cs="宋体"/>
                <w:color w:val="auto"/>
                <w:sz w:val="32"/>
                <w:szCs w:val="32"/>
                <w:highlight w:val="none"/>
              </w:rPr>
            </w:pPr>
          </w:p>
        </w:tc>
        <w:tc>
          <w:tcPr>
            <w:tcW w:w="2760" w:type="dxa"/>
            <w:vAlign w:val="center"/>
          </w:tcPr>
          <w:p>
            <w:pPr>
              <w:adjustRightInd w:val="0"/>
              <w:snapToGrid w:val="0"/>
              <w:spacing w:line="520" w:lineRule="exact"/>
              <w:jc w:val="center"/>
              <w:rPr>
                <w:rFonts w:ascii="宋体" w:hAnsi="宋体" w:cs="宋体"/>
                <w:color w:val="auto"/>
                <w:sz w:val="32"/>
                <w:szCs w:val="32"/>
                <w:highlight w:val="none"/>
              </w:rPr>
            </w:pPr>
          </w:p>
        </w:tc>
        <w:tc>
          <w:tcPr>
            <w:tcW w:w="2280" w:type="dxa"/>
            <w:vAlign w:val="center"/>
          </w:tcPr>
          <w:p>
            <w:pPr>
              <w:adjustRightInd w:val="0"/>
              <w:snapToGrid w:val="0"/>
              <w:spacing w:line="520" w:lineRule="exact"/>
              <w:jc w:val="center"/>
              <w:rPr>
                <w:rFonts w:ascii="宋体" w:hAnsi="宋体" w:cs="宋体"/>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128" w:type="dxa"/>
            <w:vAlign w:val="center"/>
          </w:tcPr>
          <w:p>
            <w:pPr>
              <w:adjustRightInd w:val="0"/>
              <w:snapToGrid w:val="0"/>
              <w:spacing w:line="520" w:lineRule="exact"/>
              <w:ind w:left="-88" w:leftChars="-42"/>
              <w:jc w:val="center"/>
              <w:rPr>
                <w:rFonts w:ascii="宋体" w:hAnsi="宋体" w:cs="宋体"/>
                <w:color w:val="auto"/>
                <w:sz w:val="32"/>
                <w:szCs w:val="32"/>
                <w:highlight w:val="none"/>
              </w:rPr>
            </w:pPr>
            <w:r>
              <w:rPr>
                <w:rFonts w:hint="eastAsia" w:ascii="宋体" w:hAnsi="宋体" w:cs="宋体"/>
                <w:color w:val="auto"/>
                <w:sz w:val="32"/>
                <w:szCs w:val="32"/>
                <w:highlight w:val="none"/>
              </w:rPr>
              <w:t>4</w:t>
            </w:r>
          </w:p>
        </w:tc>
        <w:tc>
          <w:tcPr>
            <w:tcW w:w="2565" w:type="dxa"/>
            <w:vAlign w:val="center"/>
          </w:tcPr>
          <w:p>
            <w:pPr>
              <w:adjustRightInd w:val="0"/>
              <w:snapToGrid w:val="0"/>
              <w:spacing w:line="520" w:lineRule="exact"/>
              <w:ind w:left="-88" w:leftChars="-42"/>
              <w:jc w:val="center"/>
              <w:rPr>
                <w:rFonts w:ascii="宋体" w:hAnsi="宋体" w:cs="宋体"/>
                <w:color w:val="auto"/>
                <w:sz w:val="32"/>
                <w:szCs w:val="32"/>
                <w:highlight w:val="none"/>
              </w:rPr>
            </w:pPr>
          </w:p>
        </w:tc>
        <w:tc>
          <w:tcPr>
            <w:tcW w:w="2760" w:type="dxa"/>
            <w:vAlign w:val="center"/>
          </w:tcPr>
          <w:p>
            <w:pPr>
              <w:adjustRightInd w:val="0"/>
              <w:snapToGrid w:val="0"/>
              <w:spacing w:line="520" w:lineRule="exact"/>
              <w:jc w:val="center"/>
              <w:rPr>
                <w:rFonts w:ascii="宋体" w:hAnsi="宋体" w:cs="宋体"/>
                <w:color w:val="auto"/>
                <w:sz w:val="32"/>
                <w:szCs w:val="32"/>
                <w:highlight w:val="none"/>
              </w:rPr>
            </w:pPr>
          </w:p>
        </w:tc>
        <w:tc>
          <w:tcPr>
            <w:tcW w:w="2280" w:type="dxa"/>
            <w:vAlign w:val="center"/>
          </w:tcPr>
          <w:p>
            <w:pPr>
              <w:adjustRightInd w:val="0"/>
              <w:snapToGrid w:val="0"/>
              <w:spacing w:line="520" w:lineRule="exact"/>
              <w:jc w:val="center"/>
              <w:rPr>
                <w:rFonts w:ascii="宋体" w:hAnsi="宋体" w:cs="宋体"/>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128" w:type="dxa"/>
            <w:vAlign w:val="center"/>
          </w:tcPr>
          <w:p>
            <w:pPr>
              <w:adjustRightInd w:val="0"/>
              <w:snapToGrid w:val="0"/>
              <w:spacing w:line="520" w:lineRule="exact"/>
              <w:ind w:left="-88" w:leftChars="-42"/>
              <w:jc w:val="center"/>
              <w:rPr>
                <w:rFonts w:ascii="宋体" w:hAnsi="宋体" w:cs="宋体"/>
                <w:color w:val="auto"/>
                <w:sz w:val="32"/>
                <w:szCs w:val="32"/>
                <w:highlight w:val="none"/>
              </w:rPr>
            </w:pPr>
            <w:r>
              <w:rPr>
                <w:rFonts w:hint="eastAsia" w:ascii="宋体" w:hAnsi="宋体" w:cs="宋体"/>
                <w:color w:val="auto"/>
                <w:sz w:val="32"/>
                <w:szCs w:val="32"/>
                <w:highlight w:val="none"/>
              </w:rPr>
              <w:t>5</w:t>
            </w:r>
          </w:p>
        </w:tc>
        <w:tc>
          <w:tcPr>
            <w:tcW w:w="2565" w:type="dxa"/>
            <w:vAlign w:val="center"/>
          </w:tcPr>
          <w:p>
            <w:pPr>
              <w:adjustRightInd w:val="0"/>
              <w:snapToGrid w:val="0"/>
              <w:spacing w:line="520" w:lineRule="exact"/>
              <w:ind w:left="-88" w:leftChars="-42"/>
              <w:jc w:val="center"/>
              <w:rPr>
                <w:rFonts w:ascii="宋体" w:hAnsi="宋体" w:cs="宋体"/>
                <w:color w:val="auto"/>
                <w:sz w:val="32"/>
                <w:szCs w:val="32"/>
                <w:highlight w:val="none"/>
              </w:rPr>
            </w:pPr>
          </w:p>
        </w:tc>
        <w:tc>
          <w:tcPr>
            <w:tcW w:w="2760" w:type="dxa"/>
            <w:vAlign w:val="center"/>
          </w:tcPr>
          <w:p>
            <w:pPr>
              <w:adjustRightInd w:val="0"/>
              <w:snapToGrid w:val="0"/>
              <w:spacing w:line="520" w:lineRule="exact"/>
              <w:jc w:val="center"/>
              <w:rPr>
                <w:rFonts w:ascii="宋体" w:hAnsi="宋体" w:cs="宋体"/>
                <w:color w:val="auto"/>
                <w:sz w:val="32"/>
                <w:szCs w:val="32"/>
                <w:highlight w:val="none"/>
              </w:rPr>
            </w:pPr>
          </w:p>
        </w:tc>
        <w:tc>
          <w:tcPr>
            <w:tcW w:w="2280" w:type="dxa"/>
            <w:vAlign w:val="center"/>
          </w:tcPr>
          <w:p>
            <w:pPr>
              <w:adjustRightInd w:val="0"/>
              <w:snapToGrid w:val="0"/>
              <w:spacing w:line="520" w:lineRule="exact"/>
              <w:jc w:val="center"/>
              <w:rPr>
                <w:rFonts w:ascii="宋体" w:hAnsi="宋体" w:cs="宋体"/>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128" w:type="dxa"/>
            <w:vAlign w:val="center"/>
          </w:tcPr>
          <w:p>
            <w:pPr>
              <w:adjustRightInd w:val="0"/>
              <w:snapToGrid w:val="0"/>
              <w:spacing w:line="520" w:lineRule="exact"/>
              <w:ind w:left="-88" w:leftChars="-42"/>
              <w:jc w:val="center"/>
              <w:rPr>
                <w:rFonts w:ascii="宋体" w:hAnsi="宋体" w:cs="宋体"/>
                <w:color w:val="auto"/>
                <w:sz w:val="32"/>
                <w:szCs w:val="32"/>
                <w:highlight w:val="none"/>
              </w:rPr>
            </w:pPr>
            <w:r>
              <w:rPr>
                <w:rFonts w:hint="eastAsia" w:ascii="宋体" w:hAnsi="宋体" w:cs="宋体"/>
                <w:color w:val="auto"/>
                <w:sz w:val="32"/>
                <w:szCs w:val="32"/>
                <w:highlight w:val="none"/>
              </w:rPr>
              <w:t>…</w:t>
            </w:r>
          </w:p>
        </w:tc>
        <w:tc>
          <w:tcPr>
            <w:tcW w:w="2565" w:type="dxa"/>
            <w:vAlign w:val="center"/>
          </w:tcPr>
          <w:p>
            <w:pPr>
              <w:adjustRightInd w:val="0"/>
              <w:snapToGrid w:val="0"/>
              <w:spacing w:line="520" w:lineRule="exact"/>
              <w:ind w:left="-88" w:leftChars="-42"/>
              <w:jc w:val="center"/>
              <w:rPr>
                <w:rFonts w:ascii="宋体" w:hAnsi="宋体" w:cs="宋体"/>
                <w:color w:val="auto"/>
                <w:sz w:val="32"/>
                <w:szCs w:val="32"/>
                <w:highlight w:val="none"/>
              </w:rPr>
            </w:pPr>
          </w:p>
        </w:tc>
        <w:tc>
          <w:tcPr>
            <w:tcW w:w="2760" w:type="dxa"/>
            <w:vAlign w:val="center"/>
          </w:tcPr>
          <w:p>
            <w:pPr>
              <w:adjustRightInd w:val="0"/>
              <w:snapToGrid w:val="0"/>
              <w:spacing w:line="520" w:lineRule="exact"/>
              <w:jc w:val="center"/>
              <w:rPr>
                <w:rFonts w:ascii="宋体" w:hAnsi="宋体" w:cs="宋体"/>
                <w:color w:val="auto"/>
                <w:sz w:val="32"/>
                <w:szCs w:val="32"/>
                <w:highlight w:val="none"/>
              </w:rPr>
            </w:pPr>
          </w:p>
        </w:tc>
        <w:tc>
          <w:tcPr>
            <w:tcW w:w="2280" w:type="dxa"/>
            <w:vAlign w:val="center"/>
          </w:tcPr>
          <w:p>
            <w:pPr>
              <w:adjustRightInd w:val="0"/>
              <w:snapToGrid w:val="0"/>
              <w:spacing w:line="520" w:lineRule="exact"/>
              <w:jc w:val="center"/>
              <w:rPr>
                <w:rFonts w:ascii="宋体" w:hAnsi="宋体" w:cs="宋体"/>
                <w:color w:val="auto"/>
                <w:sz w:val="32"/>
                <w:szCs w:val="32"/>
                <w:highlight w:val="none"/>
              </w:rPr>
            </w:pPr>
          </w:p>
        </w:tc>
      </w:tr>
    </w:tbl>
    <w:p>
      <w:pPr>
        <w:tabs>
          <w:tab w:val="left" w:pos="1065"/>
        </w:tabs>
        <w:adjustRightInd w:val="0"/>
        <w:snapToGrid w:val="0"/>
        <w:spacing w:line="520" w:lineRule="exact"/>
        <w:rPr>
          <w:rFonts w:ascii="宋体" w:hAnsi="宋体" w:cs="宋体"/>
          <w:color w:val="auto"/>
          <w:sz w:val="32"/>
          <w:szCs w:val="32"/>
          <w:highlight w:val="none"/>
        </w:rPr>
      </w:pPr>
      <w:r>
        <w:rPr>
          <w:rFonts w:hint="eastAsia" w:ascii="宋体" w:hAnsi="宋体" w:cs="宋体"/>
          <w:color w:val="auto"/>
          <w:sz w:val="32"/>
          <w:szCs w:val="32"/>
          <w:highlight w:val="none"/>
        </w:rPr>
        <w:tab/>
      </w:r>
    </w:p>
    <w:p>
      <w:pPr>
        <w:adjustRightInd w:val="0"/>
        <w:snapToGrid w:val="0"/>
        <w:spacing w:line="520" w:lineRule="exact"/>
        <w:rPr>
          <w:rFonts w:ascii="宋体" w:hAnsi="宋体" w:cs="宋体"/>
          <w:color w:val="auto"/>
          <w:sz w:val="32"/>
          <w:szCs w:val="32"/>
          <w:highlight w:val="none"/>
        </w:rPr>
      </w:pPr>
      <w:r>
        <w:rPr>
          <w:rFonts w:hint="eastAsia" w:ascii="宋体" w:hAnsi="宋体" w:cs="宋体"/>
          <w:color w:val="auto"/>
          <w:sz w:val="32"/>
          <w:szCs w:val="32"/>
          <w:highlight w:val="none"/>
        </w:rPr>
        <w:t>说明：提供所竞货物详细的供货范围，包括主机、主要配件及生产厂家、软件系统、备品备件等。</w:t>
      </w:r>
    </w:p>
    <w:p>
      <w:pPr>
        <w:adjustRightInd w:val="0"/>
        <w:snapToGrid w:val="0"/>
        <w:spacing w:line="520" w:lineRule="exact"/>
        <w:jc w:val="left"/>
        <w:rPr>
          <w:rFonts w:ascii="宋体" w:hAnsi="宋体" w:cs="宋体"/>
          <w:color w:val="auto"/>
          <w:sz w:val="32"/>
          <w:szCs w:val="32"/>
          <w:highlight w:val="none"/>
        </w:rPr>
      </w:pPr>
    </w:p>
    <w:p>
      <w:pPr>
        <w:adjustRightInd w:val="0"/>
        <w:snapToGrid w:val="0"/>
        <w:spacing w:line="520" w:lineRule="exact"/>
        <w:jc w:val="left"/>
        <w:rPr>
          <w:rFonts w:ascii="宋体" w:hAnsi="宋体" w:cs="宋体"/>
          <w:color w:val="auto"/>
          <w:sz w:val="32"/>
          <w:szCs w:val="32"/>
          <w:highlight w:val="none"/>
        </w:rPr>
      </w:pPr>
    </w:p>
    <w:p>
      <w:pPr>
        <w:adjustRightInd w:val="0"/>
        <w:snapToGrid w:val="0"/>
        <w:spacing w:line="520" w:lineRule="exact"/>
        <w:jc w:val="left"/>
        <w:rPr>
          <w:rFonts w:ascii="宋体" w:hAnsi="宋体" w:cs="宋体"/>
          <w:color w:val="auto"/>
          <w:sz w:val="32"/>
          <w:szCs w:val="32"/>
          <w:highlight w:val="none"/>
        </w:rPr>
      </w:pPr>
    </w:p>
    <w:p>
      <w:pPr>
        <w:snapToGrid w:val="0"/>
        <w:spacing w:before="50" w:after="50" w:line="520" w:lineRule="exact"/>
        <w:ind w:right="-817" w:rightChars="-389"/>
        <w:rPr>
          <w:rFonts w:ascii="宋体" w:hAnsi="宋体" w:cs="宋体"/>
          <w:color w:val="auto"/>
          <w:sz w:val="32"/>
          <w:szCs w:val="32"/>
          <w:highlight w:val="none"/>
        </w:rPr>
      </w:pPr>
      <w:r>
        <w:rPr>
          <w:rFonts w:hint="eastAsia" w:ascii="宋体" w:hAnsi="宋体" w:cs="宋体"/>
          <w:color w:val="auto"/>
          <w:sz w:val="32"/>
          <w:szCs w:val="32"/>
          <w:highlight w:val="none"/>
        </w:rPr>
        <w:t xml:space="preserve">法定代表人（负责人或自然人）或委托代理人（签字）：                    </w:t>
      </w:r>
    </w:p>
    <w:p>
      <w:pPr>
        <w:snapToGrid w:val="0"/>
        <w:spacing w:before="50" w:after="50" w:line="520" w:lineRule="exact"/>
        <w:ind w:right="-817" w:rightChars="-389" w:firstLine="3520" w:firstLineChars="1100"/>
        <w:rPr>
          <w:rFonts w:ascii="宋体" w:hAnsi="宋体" w:cs="宋体"/>
          <w:color w:val="auto"/>
          <w:sz w:val="32"/>
          <w:szCs w:val="32"/>
          <w:highlight w:val="none"/>
        </w:rPr>
      </w:pPr>
      <w:r>
        <w:rPr>
          <w:rFonts w:hint="eastAsia" w:ascii="宋体" w:hAnsi="宋体" w:cs="宋体"/>
          <w:color w:val="auto"/>
          <w:sz w:val="32"/>
          <w:szCs w:val="32"/>
          <w:highlight w:val="none"/>
        </w:rPr>
        <w:t xml:space="preserve">供应商（盖公章）：      </w:t>
      </w:r>
    </w:p>
    <w:p>
      <w:pPr>
        <w:snapToGrid w:val="0"/>
        <w:spacing w:before="50" w:after="50" w:line="520" w:lineRule="exact"/>
        <w:ind w:right="-817" w:rightChars="-389" w:firstLine="5440" w:firstLineChars="1700"/>
        <w:rPr>
          <w:rFonts w:ascii="宋体" w:hAnsi="宋体" w:cs="宋体"/>
          <w:b/>
          <w:color w:val="auto"/>
          <w:sz w:val="32"/>
          <w:szCs w:val="32"/>
          <w:highlight w:val="none"/>
        </w:rPr>
      </w:pPr>
      <w:r>
        <w:rPr>
          <w:rFonts w:hint="eastAsia" w:ascii="宋体" w:hAnsi="宋体" w:cs="宋体"/>
          <w:color w:val="auto"/>
          <w:sz w:val="32"/>
          <w:szCs w:val="32"/>
          <w:highlight w:val="none"/>
        </w:rPr>
        <w:t>日期：   年   月   日</w:t>
      </w:r>
    </w:p>
    <w:p>
      <w:pPr>
        <w:adjustRightInd w:val="0"/>
        <w:snapToGrid w:val="0"/>
        <w:spacing w:line="300" w:lineRule="auto"/>
        <w:rPr>
          <w:rFonts w:ascii="宋体" w:hAnsi="宋体" w:cs="宋体"/>
          <w:color w:val="auto"/>
          <w:szCs w:val="21"/>
          <w:highlight w:val="none"/>
          <w:u w:val="single"/>
        </w:rPr>
      </w:pPr>
    </w:p>
    <w:p>
      <w:pPr>
        <w:adjustRightInd w:val="0"/>
        <w:snapToGrid w:val="0"/>
        <w:spacing w:line="300" w:lineRule="auto"/>
        <w:rPr>
          <w:rFonts w:ascii="宋体" w:hAnsi="宋体" w:cs="宋体"/>
          <w:color w:val="auto"/>
          <w:szCs w:val="21"/>
          <w:highlight w:val="none"/>
          <w:u w:val="single"/>
        </w:rPr>
      </w:pPr>
    </w:p>
    <w:p>
      <w:pPr>
        <w:adjustRightInd w:val="0"/>
        <w:snapToGrid w:val="0"/>
        <w:spacing w:line="300" w:lineRule="auto"/>
        <w:rPr>
          <w:rFonts w:ascii="宋体" w:hAnsi="宋体" w:cs="宋体"/>
          <w:color w:val="auto"/>
          <w:szCs w:val="21"/>
          <w:highlight w:val="none"/>
          <w:u w:val="single"/>
        </w:rPr>
      </w:pPr>
    </w:p>
    <w:p>
      <w:pPr>
        <w:adjustRightInd w:val="0"/>
        <w:snapToGrid w:val="0"/>
        <w:spacing w:line="300" w:lineRule="auto"/>
        <w:rPr>
          <w:rFonts w:ascii="宋体" w:hAnsi="宋体" w:cs="宋体"/>
          <w:color w:val="auto"/>
          <w:szCs w:val="21"/>
          <w:highlight w:val="none"/>
          <w:u w:val="single"/>
        </w:rPr>
      </w:pPr>
    </w:p>
    <w:p>
      <w:pPr>
        <w:adjustRightInd w:val="0"/>
        <w:snapToGrid w:val="0"/>
        <w:spacing w:line="300" w:lineRule="auto"/>
        <w:rPr>
          <w:rFonts w:ascii="宋体" w:hAnsi="宋体" w:cs="宋体"/>
          <w:color w:val="auto"/>
          <w:szCs w:val="21"/>
          <w:highlight w:val="none"/>
          <w:u w:val="single"/>
        </w:rPr>
      </w:pPr>
    </w:p>
    <w:p>
      <w:pPr>
        <w:adjustRightInd w:val="0"/>
        <w:snapToGrid w:val="0"/>
        <w:spacing w:line="300" w:lineRule="auto"/>
        <w:rPr>
          <w:rFonts w:ascii="宋体" w:hAnsi="宋体" w:cs="宋体"/>
          <w:color w:val="auto"/>
          <w:szCs w:val="21"/>
          <w:highlight w:val="none"/>
          <w:u w:val="single"/>
        </w:rPr>
      </w:pPr>
    </w:p>
    <w:p>
      <w:pPr>
        <w:adjustRightInd w:val="0"/>
        <w:snapToGrid w:val="0"/>
        <w:spacing w:line="300" w:lineRule="auto"/>
        <w:rPr>
          <w:rFonts w:ascii="宋体" w:hAnsi="宋体" w:cs="宋体"/>
          <w:color w:val="auto"/>
          <w:szCs w:val="21"/>
          <w:highlight w:val="none"/>
          <w:u w:val="single"/>
        </w:rPr>
      </w:pPr>
    </w:p>
    <w:p>
      <w:pPr>
        <w:adjustRightInd w:val="0"/>
        <w:snapToGrid w:val="0"/>
        <w:spacing w:line="300" w:lineRule="auto"/>
        <w:rPr>
          <w:rFonts w:ascii="宋体" w:hAnsi="宋体" w:cs="宋体"/>
          <w:color w:val="auto"/>
          <w:szCs w:val="21"/>
          <w:highlight w:val="none"/>
          <w:u w:val="single"/>
        </w:rPr>
      </w:pPr>
    </w:p>
    <w:p>
      <w:pPr>
        <w:adjustRightInd w:val="0"/>
        <w:snapToGrid w:val="0"/>
        <w:spacing w:line="300" w:lineRule="auto"/>
        <w:jc w:val="center"/>
        <w:rPr>
          <w:rFonts w:ascii="宋体" w:hAnsi="宋体" w:cs="宋体"/>
          <w:bCs/>
          <w:color w:val="auto"/>
          <w:sz w:val="44"/>
          <w:szCs w:val="44"/>
          <w:highlight w:val="none"/>
        </w:rPr>
      </w:pPr>
      <w:r>
        <w:rPr>
          <w:rFonts w:hint="eastAsia" w:ascii="宋体" w:hAnsi="宋体" w:cs="宋体"/>
          <w:bCs/>
          <w:color w:val="auto"/>
          <w:sz w:val="44"/>
          <w:szCs w:val="44"/>
          <w:highlight w:val="none"/>
        </w:rPr>
        <w:t>技术需求偏离表</w:t>
      </w:r>
    </w:p>
    <w:p>
      <w:pPr>
        <w:spacing w:line="520" w:lineRule="exact"/>
        <w:rPr>
          <w:rFonts w:ascii="宋体" w:hAnsi="宋体" w:cs="宋体"/>
          <w:color w:val="auto"/>
          <w:sz w:val="32"/>
          <w:szCs w:val="32"/>
          <w:highlight w:val="none"/>
        </w:rPr>
      </w:pPr>
    </w:p>
    <w:p>
      <w:pPr>
        <w:spacing w:line="520" w:lineRule="exact"/>
        <w:rPr>
          <w:rFonts w:ascii="宋体" w:hAnsi="宋体" w:cs="宋体"/>
          <w:color w:val="auto"/>
          <w:sz w:val="32"/>
          <w:szCs w:val="32"/>
          <w:highlight w:val="none"/>
          <w:u w:val="single"/>
        </w:rPr>
      </w:pPr>
      <w:r>
        <w:rPr>
          <w:rFonts w:hint="eastAsia" w:ascii="宋体" w:hAnsi="宋体" w:cs="宋体"/>
          <w:color w:val="auto"/>
          <w:sz w:val="32"/>
          <w:szCs w:val="32"/>
          <w:highlight w:val="none"/>
        </w:rPr>
        <w:t>采购项目编号：</w:t>
      </w:r>
    </w:p>
    <w:p>
      <w:pPr>
        <w:spacing w:line="520" w:lineRule="exact"/>
        <w:rPr>
          <w:rFonts w:ascii="宋体" w:hAnsi="宋体" w:cs="宋体"/>
          <w:color w:val="auto"/>
          <w:sz w:val="32"/>
          <w:szCs w:val="32"/>
          <w:highlight w:val="none"/>
        </w:rPr>
      </w:pPr>
      <w:r>
        <w:rPr>
          <w:rFonts w:hint="eastAsia" w:ascii="宋体" w:hAnsi="宋体" w:cs="宋体"/>
          <w:color w:val="auto"/>
          <w:sz w:val="32"/>
          <w:szCs w:val="32"/>
          <w:highlight w:val="none"/>
        </w:rPr>
        <w:t>采购项目名称：</w:t>
      </w:r>
    </w:p>
    <w:p>
      <w:pPr>
        <w:spacing w:line="520" w:lineRule="exact"/>
        <w:rPr>
          <w:rFonts w:ascii="宋体" w:hAnsi="宋体" w:cs="宋体"/>
          <w:color w:val="auto"/>
          <w:sz w:val="32"/>
          <w:szCs w:val="32"/>
          <w:highlight w:val="none"/>
          <w:u w:val="single"/>
        </w:rPr>
      </w:pPr>
      <w:r>
        <w:rPr>
          <w:rFonts w:hint="eastAsia" w:ascii="宋体" w:hAnsi="宋体" w:cs="宋体"/>
          <w:color w:val="auto"/>
          <w:sz w:val="32"/>
          <w:szCs w:val="32"/>
          <w:highlight w:val="none"/>
        </w:rPr>
        <w:t>分标号：</w:t>
      </w:r>
    </w:p>
    <w:tbl>
      <w:tblPr>
        <w:tblStyle w:val="21"/>
        <w:tblW w:w="4885"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82"/>
        <w:gridCol w:w="882"/>
        <w:gridCol w:w="2926"/>
        <w:gridCol w:w="2633"/>
        <w:gridCol w:w="1437"/>
        <w:gridCol w:w="8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58" w:type="pct"/>
            <w:vAlign w:val="center"/>
          </w:tcPr>
          <w:p>
            <w:pPr>
              <w:pStyle w:val="10"/>
              <w:spacing w:line="520" w:lineRule="exact"/>
              <w:ind w:firstLine="0" w:firstLineChars="0"/>
              <w:jc w:val="center"/>
              <w:rPr>
                <w:rFonts w:ascii="宋体" w:hAnsi="宋体" w:eastAsia="宋体" w:cs="宋体"/>
                <w:color w:val="auto"/>
                <w:kern w:val="2"/>
                <w:szCs w:val="32"/>
                <w:highlight w:val="none"/>
              </w:rPr>
            </w:pPr>
            <w:bookmarkStart w:id="79" w:name="_Toc383699906"/>
            <w:bookmarkStart w:id="80" w:name="_Toc295404981"/>
            <w:bookmarkStart w:id="81" w:name="_Toc301781611"/>
            <w:bookmarkStart w:id="82" w:name="_Toc254970729"/>
            <w:bookmarkStart w:id="83" w:name="_Toc254970588"/>
            <w:bookmarkStart w:id="84" w:name="_Toc297193185"/>
            <w:bookmarkStart w:id="85" w:name="_Toc373333689"/>
            <w:bookmarkStart w:id="86" w:name="_Toc173211900"/>
            <w:bookmarkStart w:id="87" w:name="_Toc173066401"/>
            <w:r>
              <w:rPr>
                <w:rFonts w:hint="eastAsia" w:ascii="宋体" w:hAnsi="宋体" w:eastAsia="宋体" w:cs="宋体"/>
                <w:color w:val="auto"/>
                <w:kern w:val="2"/>
                <w:szCs w:val="32"/>
                <w:highlight w:val="none"/>
              </w:rPr>
              <w:t>序号</w:t>
            </w:r>
            <w:bookmarkEnd w:id="79"/>
            <w:bookmarkEnd w:id="80"/>
            <w:bookmarkEnd w:id="81"/>
            <w:bookmarkEnd w:id="82"/>
            <w:bookmarkEnd w:id="83"/>
            <w:bookmarkEnd w:id="84"/>
            <w:bookmarkEnd w:id="85"/>
            <w:bookmarkEnd w:id="86"/>
            <w:bookmarkEnd w:id="87"/>
          </w:p>
        </w:tc>
        <w:tc>
          <w:tcPr>
            <w:tcW w:w="458" w:type="pct"/>
            <w:tcBorders>
              <w:right w:val="single" w:color="auto" w:sz="4" w:space="0"/>
            </w:tcBorders>
            <w:vAlign w:val="center"/>
          </w:tcPr>
          <w:p>
            <w:pPr>
              <w:pStyle w:val="10"/>
              <w:spacing w:line="520" w:lineRule="exact"/>
              <w:ind w:firstLine="0" w:firstLineChars="0"/>
              <w:jc w:val="center"/>
              <w:rPr>
                <w:rFonts w:ascii="宋体" w:hAnsi="宋体" w:eastAsia="宋体" w:cs="宋体"/>
                <w:color w:val="auto"/>
                <w:kern w:val="2"/>
                <w:szCs w:val="32"/>
                <w:highlight w:val="none"/>
              </w:rPr>
            </w:pPr>
            <w:r>
              <w:rPr>
                <w:rFonts w:hint="eastAsia" w:ascii="宋体" w:hAnsi="宋体" w:eastAsia="宋体" w:cs="宋体"/>
                <w:color w:val="auto"/>
                <w:kern w:val="2"/>
                <w:szCs w:val="32"/>
                <w:highlight w:val="none"/>
              </w:rPr>
              <w:t>名称</w:t>
            </w:r>
          </w:p>
        </w:tc>
        <w:tc>
          <w:tcPr>
            <w:tcW w:w="1519" w:type="pct"/>
            <w:tcBorders>
              <w:left w:val="single" w:color="auto" w:sz="4" w:space="0"/>
            </w:tcBorders>
            <w:vAlign w:val="center"/>
          </w:tcPr>
          <w:p>
            <w:pPr>
              <w:pStyle w:val="10"/>
              <w:spacing w:line="520" w:lineRule="exact"/>
              <w:ind w:firstLine="0" w:firstLineChars="0"/>
              <w:jc w:val="center"/>
              <w:rPr>
                <w:rFonts w:ascii="宋体" w:hAnsi="宋体" w:eastAsia="宋体" w:cs="宋体"/>
                <w:color w:val="auto"/>
                <w:kern w:val="2"/>
                <w:szCs w:val="32"/>
                <w:highlight w:val="none"/>
              </w:rPr>
            </w:pPr>
            <w:bookmarkStart w:id="88" w:name="_Toc295404982"/>
            <w:bookmarkStart w:id="89" w:name="_Toc254970589"/>
            <w:bookmarkStart w:id="90" w:name="_Toc297193186"/>
            <w:bookmarkStart w:id="91" w:name="_Toc383699907"/>
            <w:bookmarkStart w:id="92" w:name="_Toc301781612"/>
            <w:bookmarkStart w:id="93" w:name="_Toc373333690"/>
            <w:bookmarkStart w:id="94" w:name="_Toc173066402"/>
            <w:bookmarkStart w:id="95" w:name="_Toc254970730"/>
            <w:bookmarkStart w:id="96" w:name="_Toc173211901"/>
            <w:r>
              <w:rPr>
                <w:rFonts w:hint="eastAsia" w:ascii="宋体" w:hAnsi="宋体" w:eastAsia="宋体" w:cs="宋体"/>
                <w:color w:val="auto"/>
                <w:kern w:val="2"/>
                <w:szCs w:val="32"/>
                <w:highlight w:val="none"/>
              </w:rPr>
              <w:t>竞争性谈判文件要求</w:t>
            </w:r>
            <w:bookmarkEnd w:id="88"/>
            <w:bookmarkEnd w:id="89"/>
            <w:bookmarkEnd w:id="90"/>
            <w:bookmarkEnd w:id="91"/>
            <w:bookmarkEnd w:id="92"/>
            <w:bookmarkEnd w:id="93"/>
            <w:bookmarkEnd w:id="94"/>
            <w:bookmarkEnd w:id="95"/>
            <w:bookmarkEnd w:id="96"/>
          </w:p>
        </w:tc>
        <w:tc>
          <w:tcPr>
            <w:tcW w:w="1367" w:type="pct"/>
            <w:vAlign w:val="center"/>
          </w:tcPr>
          <w:p>
            <w:pPr>
              <w:pStyle w:val="10"/>
              <w:spacing w:line="520" w:lineRule="exact"/>
              <w:ind w:firstLine="0" w:firstLineChars="0"/>
              <w:jc w:val="center"/>
              <w:rPr>
                <w:rFonts w:ascii="宋体" w:hAnsi="宋体" w:eastAsia="宋体" w:cs="宋体"/>
                <w:color w:val="auto"/>
                <w:kern w:val="2"/>
                <w:szCs w:val="32"/>
                <w:highlight w:val="none"/>
              </w:rPr>
            </w:pPr>
            <w:bookmarkStart w:id="97" w:name="_Toc301781613"/>
            <w:bookmarkStart w:id="98" w:name="_Toc383699908"/>
            <w:bookmarkStart w:id="99" w:name="_Toc295404983"/>
            <w:bookmarkStart w:id="100" w:name="_Toc373333691"/>
            <w:bookmarkStart w:id="101" w:name="_Toc254970590"/>
            <w:bookmarkStart w:id="102" w:name="_Toc297193187"/>
            <w:bookmarkStart w:id="103" w:name="_Toc173211902"/>
            <w:bookmarkStart w:id="104" w:name="_Toc173066403"/>
            <w:bookmarkStart w:id="105" w:name="_Toc254970731"/>
            <w:r>
              <w:rPr>
                <w:rFonts w:hint="eastAsia" w:ascii="宋体" w:hAnsi="宋体" w:eastAsia="宋体" w:cs="宋体"/>
                <w:color w:val="auto"/>
                <w:kern w:val="2"/>
                <w:szCs w:val="32"/>
                <w:highlight w:val="none"/>
              </w:rPr>
              <w:t>响应文件具体响应</w:t>
            </w:r>
            <w:bookmarkEnd w:id="97"/>
            <w:bookmarkEnd w:id="98"/>
            <w:bookmarkEnd w:id="99"/>
            <w:bookmarkEnd w:id="100"/>
            <w:bookmarkEnd w:id="101"/>
            <w:bookmarkEnd w:id="102"/>
            <w:bookmarkEnd w:id="103"/>
            <w:bookmarkEnd w:id="104"/>
            <w:bookmarkEnd w:id="105"/>
          </w:p>
        </w:tc>
        <w:tc>
          <w:tcPr>
            <w:tcW w:w="746" w:type="pct"/>
            <w:vAlign w:val="center"/>
          </w:tcPr>
          <w:p>
            <w:pPr>
              <w:pStyle w:val="10"/>
              <w:spacing w:line="520" w:lineRule="exact"/>
              <w:ind w:firstLine="0" w:firstLineChars="0"/>
              <w:jc w:val="center"/>
              <w:rPr>
                <w:rFonts w:ascii="宋体" w:hAnsi="宋体" w:eastAsia="宋体" w:cs="宋体"/>
                <w:color w:val="auto"/>
                <w:kern w:val="2"/>
                <w:szCs w:val="32"/>
                <w:highlight w:val="none"/>
              </w:rPr>
            </w:pPr>
            <w:bookmarkStart w:id="106" w:name="_Toc173066404"/>
            <w:bookmarkStart w:id="107" w:name="_Toc301781614"/>
            <w:bookmarkStart w:id="108" w:name="_Toc173211903"/>
            <w:bookmarkStart w:id="109" w:name="_Toc254970732"/>
            <w:bookmarkStart w:id="110" w:name="_Toc254970591"/>
            <w:bookmarkStart w:id="111" w:name="_Toc297193188"/>
            <w:bookmarkStart w:id="112" w:name="_Toc295404984"/>
            <w:bookmarkStart w:id="113" w:name="_Toc373333692"/>
            <w:bookmarkStart w:id="114" w:name="_Toc383699909"/>
            <w:r>
              <w:rPr>
                <w:rFonts w:hint="eastAsia" w:ascii="宋体" w:hAnsi="宋体" w:eastAsia="宋体" w:cs="宋体"/>
                <w:color w:val="auto"/>
                <w:kern w:val="2"/>
                <w:szCs w:val="32"/>
                <w:highlight w:val="none"/>
              </w:rPr>
              <w:t>响应/偏离</w:t>
            </w:r>
            <w:bookmarkEnd w:id="106"/>
            <w:bookmarkEnd w:id="107"/>
            <w:bookmarkEnd w:id="108"/>
            <w:bookmarkEnd w:id="109"/>
            <w:bookmarkEnd w:id="110"/>
            <w:bookmarkEnd w:id="111"/>
            <w:bookmarkEnd w:id="112"/>
            <w:bookmarkEnd w:id="113"/>
            <w:bookmarkEnd w:id="114"/>
          </w:p>
        </w:tc>
        <w:tc>
          <w:tcPr>
            <w:tcW w:w="450" w:type="pct"/>
            <w:vAlign w:val="center"/>
          </w:tcPr>
          <w:p>
            <w:pPr>
              <w:pStyle w:val="10"/>
              <w:spacing w:line="520" w:lineRule="exact"/>
              <w:ind w:firstLine="0" w:firstLineChars="0"/>
              <w:jc w:val="center"/>
              <w:rPr>
                <w:rFonts w:ascii="宋体" w:hAnsi="宋体" w:eastAsia="宋体" w:cs="宋体"/>
                <w:color w:val="auto"/>
                <w:kern w:val="2"/>
                <w:szCs w:val="32"/>
                <w:highlight w:val="none"/>
              </w:rPr>
            </w:pPr>
            <w:bookmarkStart w:id="115" w:name="_Toc173066405"/>
            <w:bookmarkStart w:id="116" w:name="_Toc173211904"/>
            <w:bookmarkStart w:id="117" w:name="_Toc254970733"/>
            <w:bookmarkStart w:id="118" w:name="_Toc254970592"/>
            <w:bookmarkStart w:id="119" w:name="_Toc301781615"/>
            <w:bookmarkStart w:id="120" w:name="_Toc383699910"/>
            <w:bookmarkStart w:id="121" w:name="_Toc297193189"/>
            <w:bookmarkStart w:id="122" w:name="_Toc373333693"/>
            <w:bookmarkStart w:id="123" w:name="_Toc295404985"/>
            <w:r>
              <w:rPr>
                <w:rFonts w:hint="eastAsia" w:ascii="宋体" w:hAnsi="宋体" w:eastAsia="宋体" w:cs="宋体"/>
                <w:color w:val="auto"/>
                <w:kern w:val="2"/>
                <w:szCs w:val="32"/>
                <w:highlight w:val="none"/>
              </w:rPr>
              <w:t>说明</w:t>
            </w:r>
            <w:bookmarkEnd w:id="115"/>
            <w:bookmarkEnd w:id="116"/>
            <w:bookmarkEnd w:id="117"/>
            <w:bookmarkEnd w:id="118"/>
            <w:bookmarkEnd w:id="119"/>
            <w:bookmarkEnd w:id="120"/>
            <w:bookmarkEnd w:id="121"/>
            <w:bookmarkEnd w:id="122"/>
            <w:bookmarkEnd w:id="123"/>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58" w:type="pct"/>
            <w:vAlign w:val="center"/>
          </w:tcPr>
          <w:p>
            <w:pPr>
              <w:pStyle w:val="10"/>
              <w:spacing w:line="520" w:lineRule="exact"/>
              <w:ind w:firstLine="0" w:firstLineChars="0"/>
              <w:jc w:val="center"/>
              <w:rPr>
                <w:rFonts w:ascii="宋体" w:hAnsi="宋体" w:eastAsia="宋体" w:cs="宋体"/>
                <w:color w:val="auto"/>
                <w:kern w:val="2"/>
                <w:szCs w:val="32"/>
                <w:highlight w:val="none"/>
              </w:rPr>
            </w:pPr>
            <w:bookmarkStart w:id="124" w:name="_Toc297193190"/>
            <w:bookmarkStart w:id="125" w:name="_Toc295404986"/>
            <w:bookmarkStart w:id="126" w:name="_Toc254970593"/>
            <w:bookmarkStart w:id="127" w:name="_Toc383699911"/>
            <w:bookmarkStart w:id="128" w:name="_Toc301781616"/>
            <w:bookmarkStart w:id="129" w:name="_Toc173211905"/>
            <w:bookmarkStart w:id="130" w:name="_Toc173066406"/>
            <w:bookmarkStart w:id="131" w:name="_Toc373333694"/>
            <w:bookmarkStart w:id="132" w:name="_Toc254970734"/>
            <w:r>
              <w:rPr>
                <w:rFonts w:hint="eastAsia" w:ascii="宋体" w:hAnsi="宋体" w:eastAsia="宋体" w:cs="宋体"/>
                <w:color w:val="auto"/>
                <w:kern w:val="2"/>
                <w:szCs w:val="32"/>
                <w:highlight w:val="none"/>
              </w:rPr>
              <w:t>1</w:t>
            </w:r>
            <w:bookmarkEnd w:id="124"/>
            <w:bookmarkEnd w:id="125"/>
            <w:bookmarkEnd w:id="126"/>
            <w:bookmarkEnd w:id="127"/>
            <w:bookmarkEnd w:id="128"/>
            <w:bookmarkEnd w:id="129"/>
            <w:bookmarkEnd w:id="130"/>
            <w:bookmarkEnd w:id="131"/>
            <w:bookmarkEnd w:id="132"/>
          </w:p>
        </w:tc>
        <w:tc>
          <w:tcPr>
            <w:tcW w:w="458" w:type="pct"/>
            <w:tcBorders>
              <w:right w:val="single" w:color="auto" w:sz="4" w:space="0"/>
            </w:tcBorders>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1519" w:type="pct"/>
            <w:tcBorders>
              <w:left w:val="single" w:color="auto" w:sz="4" w:space="0"/>
            </w:tcBorders>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1367" w:type="pct"/>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746" w:type="pct"/>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450" w:type="pct"/>
            <w:vAlign w:val="center"/>
          </w:tcPr>
          <w:p>
            <w:pPr>
              <w:pStyle w:val="10"/>
              <w:spacing w:line="520" w:lineRule="exact"/>
              <w:ind w:firstLine="0" w:firstLineChars="0"/>
              <w:jc w:val="center"/>
              <w:rPr>
                <w:rFonts w:ascii="宋体" w:hAnsi="宋体" w:eastAsia="宋体" w:cs="宋体"/>
                <w:color w:val="auto"/>
                <w:kern w:val="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58" w:type="pct"/>
            <w:vAlign w:val="center"/>
          </w:tcPr>
          <w:p>
            <w:pPr>
              <w:pStyle w:val="10"/>
              <w:spacing w:line="520" w:lineRule="exact"/>
              <w:ind w:firstLine="0" w:firstLineChars="0"/>
              <w:jc w:val="center"/>
              <w:rPr>
                <w:rFonts w:ascii="宋体" w:hAnsi="宋体" w:eastAsia="宋体" w:cs="宋体"/>
                <w:color w:val="auto"/>
                <w:kern w:val="2"/>
                <w:szCs w:val="32"/>
                <w:highlight w:val="none"/>
              </w:rPr>
            </w:pPr>
            <w:bookmarkStart w:id="133" w:name="_Toc173066407"/>
            <w:bookmarkStart w:id="134" w:name="_Toc173211906"/>
            <w:bookmarkStart w:id="135" w:name="_Toc383699912"/>
            <w:bookmarkStart w:id="136" w:name="_Toc254970735"/>
            <w:bookmarkStart w:id="137" w:name="_Toc373333695"/>
            <w:bookmarkStart w:id="138" w:name="_Toc295404987"/>
            <w:bookmarkStart w:id="139" w:name="_Toc297193191"/>
            <w:bookmarkStart w:id="140" w:name="_Toc301781617"/>
            <w:bookmarkStart w:id="141" w:name="_Toc254970594"/>
            <w:r>
              <w:rPr>
                <w:rFonts w:hint="eastAsia" w:ascii="宋体" w:hAnsi="宋体" w:eastAsia="宋体" w:cs="宋体"/>
                <w:color w:val="auto"/>
                <w:kern w:val="2"/>
                <w:szCs w:val="32"/>
                <w:highlight w:val="none"/>
              </w:rPr>
              <w:t>2</w:t>
            </w:r>
            <w:bookmarkEnd w:id="133"/>
            <w:bookmarkEnd w:id="134"/>
            <w:bookmarkEnd w:id="135"/>
            <w:bookmarkEnd w:id="136"/>
            <w:bookmarkEnd w:id="137"/>
            <w:bookmarkEnd w:id="138"/>
            <w:bookmarkEnd w:id="139"/>
            <w:bookmarkEnd w:id="140"/>
            <w:bookmarkEnd w:id="141"/>
          </w:p>
        </w:tc>
        <w:tc>
          <w:tcPr>
            <w:tcW w:w="458" w:type="pct"/>
            <w:tcBorders>
              <w:right w:val="single" w:color="auto" w:sz="4" w:space="0"/>
            </w:tcBorders>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1519" w:type="pct"/>
            <w:tcBorders>
              <w:left w:val="single" w:color="auto" w:sz="4" w:space="0"/>
            </w:tcBorders>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1367" w:type="pct"/>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746" w:type="pct"/>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450" w:type="pct"/>
            <w:vAlign w:val="center"/>
          </w:tcPr>
          <w:p>
            <w:pPr>
              <w:pStyle w:val="10"/>
              <w:spacing w:line="520" w:lineRule="exact"/>
              <w:ind w:firstLine="0" w:firstLineChars="0"/>
              <w:jc w:val="center"/>
              <w:rPr>
                <w:rFonts w:ascii="宋体" w:hAnsi="宋体" w:eastAsia="宋体" w:cs="宋体"/>
                <w:color w:val="auto"/>
                <w:kern w:val="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58" w:type="pct"/>
            <w:vAlign w:val="center"/>
          </w:tcPr>
          <w:p>
            <w:pPr>
              <w:pStyle w:val="10"/>
              <w:spacing w:line="520" w:lineRule="exact"/>
              <w:ind w:firstLine="0" w:firstLineChars="0"/>
              <w:jc w:val="center"/>
              <w:rPr>
                <w:rFonts w:ascii="宋体" w:hAnsi="宋体" w:eastAsia="宋体" w:cs="宋体"/>
                <w:color w:val="auto"/>
                <w:kern w:val="2"/>
                <w:szCs w:val="32"/>
                <w:highlight w:val="none"/>
              </w:rPr>
            </w:pPr>
            <w:bookmarkStart w:id="142" w:name="_Toc383699913"/>
            <w:bookmarkStart w:id="143" w:name="_Toc173211907"/>
            <w:bookmarkStart w:id="144" w:name="_Toc295404988"/>
            <w:bookmarkStart w:id="145" w:name="_Toc373333696"/>
            <w:bookmarkStart w:id="146" w:name="_Toc173066408"/>
            <w:bookmarkStart w:id="147" w:name="_Toc254970736"/>
            <w:bookmarkStart w:id="148" w:name="_Toc297193192"/>
            <w:bookmarkStart w:id="149" w:name="_Toc301781618"/>
            <w:bookmarkStart w:id="150" w:name="_Toc254970595"/>
            <w:r>
              <w:rPr>
                <w:rFonts w:hint="eastAsia" w:ascii="宋体" w:hAnsi="宋体" w:eastAsia="宋体" w:cs="宋体"/>
                <w:color w:val="auto"/>
                <w:kern w:val="2"/>
                <w:szCs w:val="32"/>
                <w:highlight w:val="none"/>
              </w:rPr>
              <w:t>3</w:t>
            </w:r>
            <w:bookmarkEnd w:id="142"/>
            <w:bookmarkEnd w:id="143"/>
            <w:bookmarkEnd w:id="144"/>
            <w:bookmarkEnd w:id="145"/>
            <w:bookmarkEnd w:id="146"/>
            <w:bookmarkEnd w:id="147"/>
            <w:bookmarkEnd w:id="148"/>
            <w:bookmarkEnd w:id="149"/>
            <w:bookmarkEnd w:id="150"/>
          </w:p>
        </w:tc>
        <w:tc>
          <w:tcPr>
            <w:tcW w:w="458" w:type="pct"/>
            <w:tcBorders>
              <w:right w:val="single" w:color="auto" w:sz="4" w:space="0"/>
            </w:tcBorders>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1519" w:type="pct"/>
            <w:tcBorders>
              <w:left w:val="single" w:color="auto" w:sz="4" w:space="0"/>
            </w:tcBorders>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1367" w:type="pct"/>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746" w:type="pct"/>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450" w:type="pct"/>
            <w:vAlign w:val="center"/>
          </w:tcPr>
          <w:p>
            <w:pPr>
              <w:pStyle w:val="10"/>
              <w:spacing w:line="520" w:lineRule="exact"/>
              <w:ind w:firstLine="0" w:firstLineChars="0"/>
              <w:jc w:val="center"/>
              <w:rPr>
                <w:rFonts w:ascii="宋体" w:hAnsi="宋体" w:eastAsia="宋体" w:cs="宋体"/>
                <w:color w:val="auto"/>
                <w:kern w:val="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58" w:type="pct"/>
            <w:vAlign w:val="center"/>
          </w:tcPr>
          <w:p>
            <w:pPr>
              <w:pStyle w:val="10"/>
              <w:spacing w:line="520" w:lineRule="exact"/>
              <w:ind w:firstLine="0" w:firstLineChars="0"/>
              <w:jc w:val="center"/>
              <w:rPr>
                <w:rFonts w:ascii="宋体" w:hAnsi="宋体" w:eastAsia="宋体" w:cs="宋体"/>
                <w:color w:val="auto"/>
                <w:kern w:val="2"/>
                <w:szCs w:val="32"/>
                <w:highlight w:val="none"/>
              </w:rPr>
            </w:pPr>
            <w:bookmarkStart w:id="151" w:name="_Toc254970596"/>
            <w:bookmarkStart w:id="152" w:name="_Toc295404989"/>
            <w:bookmarkStart w:id="153" w:name="_Toc297193193"/>
            <w:bookmarkStart w:id="154" w:name="_Toc173066409"/>
            <w:bookmarkStart w:id="155" w:name="_Toc373333697"/>
            <w:bookmarkStart w:id="156" w:name="_Toc301781619"/>
            <w:bookmarkStart w:id="157" w:name="_Toc383699914"/>
            <w:bookmarkStart w:id="158" w:name="_Toc254970737"/>
            <w:bookmarkStart w:id="159" w:name="_Toc173211908"/>
            <w:r>
              <w:rPr>
                <w:rFonts w:hint="eastAsia" w:ascii="宋体" w:hAnsi="宋体" w:eastAsia="宋体" w:cs="宋体"/>
                <w:color w:val="auto"/>
                <w:kern w:val="2"/>
                <w:szCs w:val="32"/>
                <w:highlight w:val="none"/>
              </w:rPr>
              <w:t>4</w:t>
            </w:r>
            <w:bookmarkEnd w:id="151"/>
            <w:bookmarkEnd w:id="152"/>
            <w:bookmarkEnd w:id="153"/>
            <w:bookmarkEnd w:id="154"/>
            <w:bookmarkEnd w:id="155"/>
            <w:bookmarkEnd w:id="156"/>
            <w:bookmarkEnd w:id="157"/>
            <w:bookmarkEnd w:id="158"/>
            <w:bookmarkEnd w:id="159"/>
          </w:p>
        </w:tc>
        <w:tc>
          <w:tcPr>
            <w:tcW w:w="458" w:type="pct"/>
            <w:tcBorders>
              <w:right w:val="single" w:color="auto" w:sz="4" w:space="0"/>
            </w:tcBorders>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1519" w:type="pct"/>
            <w:tcBorders>
              <w:left w:val="single" w:color="auto" w:sz="4" w:space="0"/>
            </w:tcBorders>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1367" w:type="pct"/>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746" w:type="pct"/>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450" w:type="pct"/>
            <w:vAlign w:val="center"/>
          </w:tcPr>
          <w:p>
            <w:pPr>
              <w:pStyle w:val="10"/>
              <w:spacing w:line="520" w:lineRule="exact"/>
              <w:ind w:firstLine="0" w:firstLineChars="0"/>
              <w:jc w:val="center"/>
              <w:rPr>
                <w:rFonts w:ascii="宋体" w:hAnsi="宋体" w:eastAsia="宋体" w:cs="宋体"/>
                <w:color w:val="auto"/>
                <w:kern w:val="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58" w:type="pct"/>
            <w:vAlign w:val="center"/>
          </w:tcPr>
          <w:p>
            <w:pPr>
              <w:pStyle w:val="10"/>
              <w:spacing w:line="520" w:lineRule="exact"/>
              <w:ind w:firstLine="0" w:firstLineChars="0"/>
              <w:jc w:val="center"/>
              <w:rPr>
                <w:rFonts w:ascii="宋体" w:hAnsi="宋体" w:eastAsia="宋体" w:cs="宋体"/>
                <w:color w:val="auto"/>
                <w:kern w:val="2"/>
                <w:szCs w:val="32"/>
                <w:highlight w:val="none"/>
              </w:rPr>
            </w:pPr>
            <w:bookmarkStart w:id="160" w:name="_Toc383699915"/>
            <w:bookmarkStart w:id="161" w:name="_Toc254970597"/>
            <w:bookmarkStart w:id="162" w:name="_Toc373333698"/>
            <w:bookmarkStart w:id="163" w:name="_Toc297193194"/>
            <w:bookmarkStart w:id="164" w:name="_Toc173211909"/>
            <w:bookmarkStart w:id="165" w:name="_Toc301781620"/>
            <w:bookmarkStart w:id="166" w:name="_Toc295404990"/>
            <w:bookmarkStart w:id="167" w:name="_Toc254970738"/>
            <w:bookmarkStart w:id="168" w:name="_Toc173066410"/>
            <w:r>
              <w:rPr>
                <w:rFonts w:hint="eastAsia" w:ascii="宋体" w:hAnsi="宋体" w:eastAsia="宋体" w:cs="宋体"/>
                <w:color w:val="auto"/>
                <w:kern w:val="2"/>
                <w:szCs w:val="32"/>
                <w:highlight w:val="none"/>
              </w:rPr>
              <w:t>5</w:t>
            </w:r>
            <w:bookmarkEnd w:id="160"/>
            <w:bookmarkEnd w:id="161"/>
            <w:bookmarkEnd w:id="162"/>
            <w:bookmarkEnd w:id="163"/>
            <w:bookmarkEnd w:id="164"/>
            <w:bookmarkEnd w:id="165"/>
            <w:bookmarkEnd w:id="166"/>
            <w:bookmarkEnd w:id="167"/>
            <w:bookmarkEnd w:id="168"/>
          </w:p>
        </w:tc>
        <w:tc>
          <w:tcPr>
            <w:tcW w:w="458" w:type="pct"/>
            <w:tcBorders>
              <w:right w:val="single" w:color="auto" w:sz="4" w:space="0"/>
            </w:tcBorders>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1519" w:type="pct"/>
            <w:tcBorders>
              <w:left w:val="single" w:color="auto" w:sz="4" w:space="0"/>
            </w:tcBorders>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1367" w:type="pct"/>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746" w:type="pct"/>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450" w:type="pct"/>
            <w:vAlign w:val="center"/>
          </w:tcPr>
          <w:p>
            <w:pPr>
              <w:pStyle w:val="10"/>
              <w:spacing w:line="520" w:lineRule="exact"/>
              <w:ind w:firstLine="0" w:firstLineChars="0"/>
              <w:jc w:val="center"/>
              <w:rPr>
                <w:rFonts w:ascii="宋体" w:hAnsi="宋体" w:eastAsia="宋体" w:cs="宋体"/>
                <w:color w:val="auto"/>
                <w:kern w:val="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458" w:type="pct"/>
            <w:vAlign w:val="center"/>
          </w:tcPr>
          <w:p>
            <w:pPr>
              <w:pStyle w:val="10"/>
              <w:spacing w:line="520" w:lineRule="exact"/>
              <w:ind w:firstLine="0" w:firstLineChars="0"/>
              <w:jc w:val="center"/>
              <w:rPr>
                <w:rFonts w:ascii="宋体" w:hAnsi="宋体" w:eastAsia="宋体" w:cs="宋体"/>
                <w:color w:val="auto"/>
                <w:kern w:val="2"/>
                <w:szCs w:val="32"/>
                <w:highlight w:val="none"/>
              </w:rPr>
            </w:pPr>
            <w:bookmarkStart w:id="169" w:name="_Toc173066415"/>
            <w:bookmarkStart w:id="170" w:name="_Toc383699916"/>
            <w:bookmarkStart w:id="171" w:name="_Toc295404991"/>
            <w:bookmarkStart w:id="172" w:name="_Toc297193195"/>
            <w:bookmarkStart w:id="173" w:name="_Toc173211914"/>
            <w:bookmarkStart w:id="174" w:name="_Toc254970743"/>
            <w:bookmarkStart w:id="175" w:name="_Toc373333699"/>
            <w:bookmarkStart w:id="176" w:name="_Toc301781621"/>
            <w:bookmarkStart w:id="177" w:name="_Toc254970602"/>
            <w:r>
              <w:rPr>
                <w:rFonts w:hint="eastAsia" w:ascii="宋体" w:hAnsi="宋体" w:eastAsia="宋体" w:cs="宋体"/>
                <w:color w:val="auto"/>
                <w:kern w:val="2"/>
                <w:szCs w:val="32"/>
                <w:highlight w:val="none"/>
              </w:rPr>
              <w:t>…</w:t>
            </w:r>
            <w:bookmarkEnd w:id="169"/>
            <w:bookmarkEnd w:id="170"/>
            <w:bookmarkEnd w:id="171"/>
            <w:bookmarkEnd w:id="172"/>
            <w:bookmarkEnd w:id="173"/>
            <w:bookmarkEnd w:id="174"/>
            <w:bookmarkEnd w:id="175"/>
            <w:bookmarkEnd w:id="176"/>
            <w:bookmarkEnd w:id="177"/>
          </w:p>
        </w:tc>
        <w:tc>
          <w:tcPr>
            <w:tcW w:w="458" w:type="pct"/>
            <w:tcBorders>
              <w:right w:val="single" w:color="auto" w:sz="4" w:space="0"/>
            </w:tcBorders>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1519" w:type="pct"/>
            <w:tcBorders>
              <w:left w:val="single" w:color="auto" w:sz="4" w:space="0"/>
            </w:tcBorders>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1367" w:type="pct"/>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746" w:type="pct"/>
            <w:tcBorders>
              <w:right w:val="single" w:color="auto" w:sz="4" w:space="0"/>
            </w:tcBorders>
            <w:vAlign w:val="center"/>
          </w:tcPr>
          <w:p>
            <w:pPr>
              <w:pStyle w:val="10"/>
              <w:spacing w:line="520" w:lineRule="exact"/>
              <w:ind w:firstLine="0" w:firstLineChars="0"/>
              <w:jc w:val="center"/>
              <w:rPr>
                <w:rFonts w:ascii="宋体" w:hAnsi="宋体" w:eastAsia="宋体" w:cs="宋体"/>
                <w:color w:val="auto"/>
                <w:kern w:val="2"/>
                <w:szCs w:val="32"/>
                <w:highlight w:val="none"/>
              </w:rPr>
            </w:pPr>
          </w:p>
        </w:tc>
        <w:tc>
          <w:tcPr>
            <w:tcW w:w="450" w:type="pct"/>
            <w:tcBorders>
              <w:left w:val="single" w:color="auto" w:sz="4" w:space="0"/>
            </w:tcBorders>
            <w:vAlign w:val="center"/>
          </w:tcPr>
          <w:p>
            <w:pPr>
              <w:pStyle w:val="10"/>
              <w:spacing w:line="520" w:lineRule="exact"/>
              <w:ind w:firstLine="0" w:firstLineChars="0"/>
              <w:jc w:val="center"/>
              <w:rPr>
                <w:rFonts w:ascii="宋体" w:hAnsi="宋体" w:eastAsia="宋体" w:cs="宋体"/>
                <w:color w:val="auto"/>
                <w:kern w:val="2"/>
                <w:szCs w:val="32"/>
                <w:highlight w:val="none"/>
              </w:rPr>
            </w:pPr>
          </w:p>
        </w:tc>
      </w:tr>
    </w:tbl>
    <w:p>
      <w:pPr>
        <w:adjustRightInd w:val="0"/>
        <w:snapToGrid w:val="0"/>
        <w:spacing w:line="520" w:lineRule="exact"/>
        <w:rPr>
          <w:rFonts w:ascii="宋体" w:hAnsi="宋体" w:cs="宋体"/>
          <w:color w:val="auto"/>
          <w:sz w:val="32"/>
          <w:szCs w:val="32"/>
          <w:highlight w:val="none"/>
        </w:rPr>
      </w:pPr>
    </w:p>
    <w:p>
      <w:pPr>
        <w:pStyle w:val="10"/>
        <w:spacing w:line="520" w:lineRule="exact"/>
        <w:ind w:firstLine="0" w:firstLineChars="0"/>
        <w:rPr>
          <w:rFonts w:ascii="宋体" w:hAnsi="宋体" w:eastAsia="宋体" w:cs="宋体"/>
          <w:color w:val="auto"/>
          <w:szCs w:val="32"/>
          <w:highlight w:val="none"/>
        </w:rPr>
      </w:pPr>
      <w:r>
        <w:rPr>
          <w:rFonts w:hint="eastAsia" w:ascii="宋体" w:hAnsi="宋体" w:eastAsia="宋体" w:cs="宋体"/>
          <w:color w:val="auto"/>
          <w:szCs w:val="32"/>
          <w:highlight w:val="none"/>
        </w:rPr>
        <w:t>说明：应对照竞争性谈判文件“第三章 谈判采购技术规格、参数及要求”，逐条说明所提供货物和服务已对竞争性谈判文件的技术规格做出了实质性的响应，并申明与技术规格条文的响应和偏离。特别对有具体参数要求的指标，供应商必须提供所供设备的具体参数值。如果仅注明“符合”、“满足”或简单复制竞争性谈判文件要求，将导致谈判被拒绝。</w:t>
      </w:r>
    </w:p>
    <w:p>
      <w:pPr>
        <w:pStyle w:val="12"/>
        <w:spacing w:line="520" w:lineRule="exact"/>
        <w:rPr>
          <w:rFonts w:hAnsi="宋体" w:cs="宋体"/>
          <w:color w:val="auto"/>
          <w:sz w:val="32"/>
          <w:szCs w:val="32"/>
          <w:highlight w:val="none"/>
        </w:rPr>
      </w:pPr>
    </w:p>
    <w:p>
      <w:pPr>
        <w:snapToGrid w:val="0"/>
        <w:spacing w:before="50" w:after="50" w:line="520" w:lineRule="exact"/>
        <w:ind w:right="-817" w:rightChars="-389"/>
        <w:rPr>
          <w:rFonts w:ascii="宋体" w:hAnsi="宋体" w:cs="宋体"/>
          <w:color w:val="auto"/>
          <w:sz w:val="32"/>
          <w:szCs w:val="32"/>
          <w:highlight w:val="none"/>
        </w:rPr>
      </w:pPr>
    </w:p>
    <w:p>
      <w:pPr>
        <w:snapToGrid w:val="0"/>
        <w:spacing w:before="50" w:after="50" w:line="520" w:lineRule="exact"/>
        <w:ind w:right="-817" w:rightChars="-389"/>
        <w:rPr>
          <w:rFonts w:ascii="宋体" w:hAnsi="宋体" w:cs="宋体"/>
          <w:color w:val="auto"/>
          <w:sz w:val="32"/>
          <w:szCs w:val="32"/>
          <w:highlight w:val="none"/>
        </w:rPr>
      </w:pPr>
      <w:r>
        <w:rPr>
          <w:rFonts w:hint="eastAsia" w:ascii="宋体" w:hAnsi="宋体" w:cs="宋体"/>
          <w:color w:val="auto"/>
          <w:sz w:val="32"/>
          <w:szCs w:val="32"/>
          <w:highlight w:val="none"/>
        </w:rPr>
        <w:t xml:space="preserve">法定代表人（负责人或自然人）或委托代理人（签字）：                    </w:t>
      </w:r>
    </w:p>
    <w:p>
      <w:pPr>
        <w:snapToGrid w:val="0"/>
        <w:spacing w:before="50" w:after="50" w:line="520" w:lineRule="exact"/>
        <w:ind w:right="-817" w:rightChars="-389" w:firstLine="3520" w:firstLineChars="1100"/>
        <w:rPr>
          <w:rFonts w:ascii="宋体" w:hAnsi="宋体" w:cs="宋体"/>
          <w:color w:val="auto"/>
          <w:sz w:val="32"/>
          <w:szCs w:val="32"/>
          <w:highlight w:val="none"/>
        </w:rPr>
      </w:pPr>
      <w:r>
        <w:rPr>
          <w:rFonts w:hint="eastAsia" w:ascii="宋体" w:hAnsi="宋体" w:cs="宋体"/>
          <w:color w:val="auto"/>
          <w:sz w:val="32"/>
          <w:szCs w:val="32"/>
          <w:highlight w:val="none"/>
        </w:rPr>
        <w:t xml:space="preserve">供应商（盖公章）：      </w:t>
      </w:r>
    </w:p>
    <w:p>
      <w:pPr>
        <w:snapToGrid w:val="0"/>
        <w:spacing w:before="50" w:after="50" w:line="520" w:lineRule="exact"/>
        <w:ind w:right="-817" w:rightChars="-389" w:firstLine="5440" w:firstLineChars="1700"/>
        <w:rPr>
          <w:rFonts w:ascii="宋体" w:hAnsi="宋体" w:cs="宋体"/>
          <w:b/>
          <w:color w:val="auto"/>
          <w:sz w:val="32"/>
          <w:szCs w:val="32"/>
          <w:highlight w:val="none"/>
        </w:rPr>
      </w:pPr>
      <w:r>
        <w:rPr>
          <w:rFonts w:hint="eastAsia" w:ascii="宋体" w:hAnsi="宋体" w:cs="宋体"/>
          <w:color w:val="auto"/>
          <w:sz w:val="32"/>
          <w:szCs w:val="32"/>
          <w:highlight w:val="none"/>
        </w:rPr>
        <w:t>日期：   年   月   日</w:t>
      </w:r>
    </w:p>
    <w:p>
      <w:pPr>
        <w:spacing w:line="300" w:lineRule="auto"/>
        <w:rPr>
          <w:rFonts w:ascii="宋体" w:hAnsi="宋体" w:cs="宋体"/>
          <w:b/>
          <w:bCs/>
          <w:color w:val="auto"/>
          <w:sz w:val="24"/>
          <w:highlight w:val="none"/>
        </w:rPr>
      </w:pPr>
    </w:p>
    <w:p>
      <w:pPr>
        <w:spacing w:line="300" w:lineRule="auto"/>
        <w:rPr>
          <w:rFonts w:ascii="宋体" w:hAnsi="宋体" w:cs="宋体"/>
          <w:b/>
          <w:bCs/>
          <w:color w:val="auto"/>
          <w:sz w:val="24"/>
          <w:highlight w:val="none"/>
        </w:rPr>
      </w:pPr>
    </w:p>
    <w:p>
      <w:pPr>
        <w:spacing w:line="300" w:lineRule="auto"/>
        <w:rPr>
          <w:rFonts w:ascii="宋体" w:hAnsi="宋体" w:cs="宋体"/>
          <w:b/>
          <w:bCs/>
          <w:color w:val="auto"/>
          <w:sz w:val="24"/>
          <w:highlight w:val="none"/>
        </w:rPr>
      </w:pPr>
    </w:p>
    <w:p>
      <w:pPr>
        <w:spacing w:line="300" w:lineRule="auto"/>
        <w:rPr>
          <w:rFonts w:ascii="宋体" w:hAnsi="宋体" w:cs="宋体"/>
          <w:color w:val="auto"/>
          <w:szCs w:val="21"/>
          <w:highlight w:val="none"/>
        </w:rPr>
      </w:pPr>
      <w:r>
        <w:rPr>
          <w:rFonts w:hint="eastAsia" w:ascii="宋体" w:hAnsi="宋体" w:cs="宋体"/>
          <w:b/>
          <w:bCs/>
          <w:color w:val="auto"/>
          <w:sz w:val="24"/>
          <w:highlight w:val="none"/>
        </w:rPr>
        <w:t>其他文书、文件格式</w:t>
      </w:r>
    </w:p>
    <w:p>
      <w:pPr>
        <w:spacing w:line="520" w:lineRule="exact"/>
        <w:jc w:val="center"/>
        <w:rPr>
          <w:rFonts w:ascii="宋体" w:hAnsi="宋体" w:cs="宋体"/>
          <w:color w:val="auto"/>
          <w:sz w:val="32"/>
          <w:szCs w:val="32"/>
          <w:highlight w:val="none"/>
        </w:rPr>
      </w:pPr>
      <w:r>
        <w:rPr>
          <w:rFonts w:hint="eastAsia" w:ascii="宋体" w:hAnsi="宋体" w:cs="宋体"/>
          <w:color w:val="auto"/>
          <w:sz w:val="44"/>
          <w:szCs w:val="44"/>
          <w:highlight w:val="none"/>
        </w:rPr>
        <w:t>中小企业声明函</w:t>
      </w:r>
    </w:p>
    <w:p>
      <w:pPr>
        <w:spacing w:line="520" w:lineRule="exact"/>
        <w:rPr>
          <w:rFonts w:ascii="宋体" w:hAnsi="宋体" w:cs="宋体"/>
          <w:color w:val="auto"/>
          <w:sz w:val="32"/>
          <w:szCs w:val="32"/>
          <w:highlight w:val="none"/>
        </w:rPr>
      </w:pP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本公司郑重声明，根据《政府采购促进中小企业发展暂行办法》（财库〔2011〕181号）的规定，本公司为</w:t>
      </w:r>
      <w:bookmarkStart w:id="178" w:name="OLE_LINK2"/>
      <w:bookmarkStart w:id="179" w:name="OLE_LINK5"/>
      <w:r>
        <w:rPr>
          <w:rFonts w:hint="eastAsia" w:ascii="宋体" w:hAnsi="宋体" w:cs="宋体"/>
          <w:color w:val="auto"/>
          <w:szCs w:val="21"/>
          <w:highlight w:val="none"/>
        </w:rPr>
        <w:t>（请填写：中型、小型、微型）企业</w:t>
      </w:r>
      <w:bookmarkEnd w:id="178"/>
      <w:bookmarkEnd w:id="179"/>
      <w:r>
        <w:rPr>
          <w:rFonts w:hint="eastAsia" w:ascii="宋体" w:hAnsi="宋体" w:cs="宋体"/>
          <w:color w:val="auto"/>
          <w:szCs w:val="21"/>
          <w:highlight w:val="none"/>
        </w:rPr>
        <w:t>。即本公司同时满足以下条件：</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1.根据《工业和信息化部、国家统计局、国家发展和改革委员会、财政部关于印发中小企业划型标准规定的通知》（工信部联企业〔2011〕300号）规定的划分标准，本公司为（请填写：中型、小型、微型）企业。</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2.本公司参加单位的项目采购活动提供本企业制造的货物，由本企业承担工程、提供服务，或者提供其他（请填写：中型、小型、微型）企业制造的货物。本条所称货物不包括使用大型企业注册商标的货物。</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本公司对上述声明的真实性负责。如有虚假，将依法承担相应责任。</w:t>
      </w:r>
    </w:p>
    <w:p>
      <w:pPr>
        <w:spacing w:line="520" w:lineRule="exact"/>
        <w:rPr>
          <w:rFonts w:ascii="宋体" w:hAnsi="宋体" w:cs="宋体"/>
          <w:color w:val="auto"/>
          <w:szCs w:val="21"/>
          <w:highlight w:val="none"/>
        </w:rPr>
      </w:pPr>
    </w:p>
    <w:p>
      <w:pPr>
        <w:spacing w:line="520" w:lineRule="exact"/>
        <w:rPr>
          <w:rFonts w:ascii="宋体" w:hAnsi="宋体" w:cs="宋体"/>
          <w:color w:val="auto"/>
          <w:szCs w:val="21"/>
          <w:highlight w:val="none"/>
        </w:rPr>
      </w:pPr>
    </w:p>
    <w:p>
      <w:pPr>
        <w:spacing w:line="520" w:lineRule="exact"/>
        <w:rPr>
          <w:rFonts w:ascii="宋体" w:hAnsi="宋体" w:cs="宋体"/>
          <w:color w:val="auto"/>
          <w:szCs w:val="21"/>
          <w:highlight w:val="none"/>
        </w:rPr>
      </w:pPr>
    </w:p>
    <w:p>
      <w:pPr>
        <w:spacing w:line="520" w:lineRule="exact"/>
        <w:rPr>
          <w:rFonts w:ascii="宋体" w:hAnsi="宋体" w:cs="宋体"/>
          <w:color w:val="auto"/>
          <w:szCs w:val="21"/>
          <w:highlight w:val="none"/>
        </w:rPr>
      </w:pPr>
      <w:r>
        <w:rPr>
          <w:rFonts w:hint="eastAsia" w:ascii="宋体" w:hAnsi="宋体" w:cs="宋体"/>
          <w:color w:val="auto"/>
          <w:szCs w:val="21"/>
          <w:highlight w:val="none"/>
        </w:rPr>
        <w:t xml:space="preserve">                     企业名称（盖章）： </w:t>
      </w:r>
    </w:p>
    <w:p>
      <w:pPr>
        <w:spacing w:line="520" w:lineRule="exact"/>
        <w:rPr>
          <w:rFonts w:ascii="宋体" w:hAnsi="宋体" w:cs="宋体"/>
          <w:color w:val="auto"/>
          <w:sz w:val="32"/>
          <w:szCs w:val="32"/>
          <w:highlight w:val="none"/>
        </w:rPr>
      </w:pPr>
      <w:r>
        <w:rPr>
          <w:rFonts w:hint="eastAsia" w:ascii="宋体" w:hAnsi="宋体" w:cs="宋体"/>
          <w:color w:val="auto"/>
          <w:szCs w:val="21"/>
          <w:highlight w:val="none"/>
        </w:rPr>
        <w:t xml:space="preserve">                               日  期：     </w:t>
      </w:r>
    </w:p>
    <w:p>
      <w:pPr>
        <w:spacing w:line="520" w:lineRule="exact"/>
        <w:rPr>
          <w:rFonts w:ascii="宋体" w:hAnsi="宋体" w:cs="宋体"/>
          <w:color w:val="auto"/>
          <w:sz w:val="32"/>
          <w:szCs w:val="32"/>
          <w:highlight w:val="none"/>
        </w:rPr>
      </w:pPr>
    </w:p>
    <w:p>
      <w:pPr>
        <w:spacing w:line="520" w:lineRule="exact"/>
        <w:rPr>
          <w:rFonts w:ascii="宋体" w:hAnsi="宋体" w:cs="宋体"/>
          <w:color w:val="auto"/>
          <w:sz w:val="32"/>
          <w:szCs w:val="32"/>
          <w:highlight w:val="none"/>
        </w:rPr>
      </w:pPr>
    </w:p>
    <w:p>
      <w:pPr>
        <w:spacing w:line="520" w:lineRule="exact"/>
        <w:rPr>
          <w:rFonts w:ascii="宋体" w:hAnsi="宋体" w:cs="宋体"/>
          <w:color w:val="auto"/>
          <w:sz w:val="32"/>
          <w:szCs w:val="32"/>
          <w:highlight w:val="none"/>
        </w:rPr>
      </w:pPr>
    </w:p>
    <w:p>
      <w:pPr>
        <w:spacing w:line="520" w:lineRule="exact"/>
        <w:rPr>
          <w:rFonts w:ascii="宋体" w:hAnsi="宋体" w:cs="宋体"/>
          <w:color w:val="auto"/>
          <w:szCs w:val="21"/>
          <w:highlight w:val="none"/>
        </w:rPr>
      </w:pPr>
      <w:r>
        <w:rPr>
          <w:rFonts w:hint="eastAsia" w:ascii="宋体" w:hAnsi="宋体" w:cs="宋体"/>
          <w:color w:val="auto"/>
          <w:szCs w:val="21"/>
          <w:highlight w:val="none"/>
        </w:rPr>
        <w:t>注：请根据自己的真实情况出具《中小企业声明函》。依法享受中小企业优惠政策的，采购人或采购代理机构在公告中标结果时，同时公告其《中小企业声明函》，接受社会监督。</w:t>
      </w:r>
    </w:p>
    <w:p>
      <w:pPr>
        <w:spacing w:line="520" w:lineRule="exact"/>
        <w:jc w:val="center"/>
        <w:rPr>
          <w:rFonts w:ascii="宋体" w:hAnsi="宋体" w:cs="宋体"/>
          <w:color w:val="auto"/>
          <w:sz w:val="32"/>
          <w:szCs w:val="32"/>
          <w:highlight w:val="none"/>
        </w:rPr>
      </w:pPr>
      <w:r>
        <w:rPr>
          <w:rFonts w:hint="eastAsia" w:ascii="宋体" w:hAnsi="宋体" w:cs="宋体"/>
          <w:color w:val="auto"/>
          <w:sz w:val="24"/>
          <w:highlight w:val="none"/>
        </w:rPr>
        <w:br w:type="page"/>
      </w:r>
      <w:r>
        <w:rPr>
          <w:rFonts w:hint="eastAsia" w:ascii="宋体" w:hAnsi="宋体" w:cs="宋体"/>
          <w:color w:val="auto"/>
          <w:sz w:val="44"/>
          <w:szCs w:val="44"/>
          <w:highlight w:val="none"/>
        </w:rPr>
        <w:t>残疾人福利性单位声明函</w:t>
      </w:r>
    </w:p>
    <w:p>
      <w:pPr>
        <w:spacing w:line="520" w:lineRule="exact"/>
        <w:rPr>
          <w:rFonts w:ascii="宋体" w:hAnsi="宋体" w:cs="宋体"/>
          <w:color w:val="auto"/>
          <w:sz w:val="32"/>
          <w:szCs w:val="32"/>
          <w:highlight w:val="none"/>
        </w:rPr>
      </w:pP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本单位对上述声明的真实性负责。如有虚假，将依法承担相应责任。</w:t>
      </w:r>
    </w:p>
    <w:p>
      <w:pPr>
        <w:spacing w:line="520" w:lineRule="exact"/>
        <w:rPr>
          <w:rFonts w:ascii="宋体" w:hAnsi="宋体" w:cs="宋体"/>
          <w:color w:val="auto"/>
          <w:szCs w:val="21"/>
          <w:highlight w:val="none"/>
        </w:rPr>
      </w:pPr>
    </w:p>
    <w:p>
      <w:pPr>
        <w:spacing w:line="520" w:lineRule="exact"/>
        <w:rPr>
          <w:rFonts w:ascii="宋体" w:hAnsi="宋体" w:cs="宋体"/>
          <w:color w:val="auto"/>
          <w:szCs w:val="21"/>
          <w:highlight w:val="none"/>
        </w:rPr>
      </w:pPr>
    </w:p>
    <w:p>
      <w:pPr>
        <w:spacing w:line="520" w:lineRule="exact"/>
        <w:rPr>
          <w:rFonts w:ascii="宋体" w:hAnsi="宋体" w:cs="宋体"/>
          <w:color w:val="auto"/>
          <w:szCs w:val="21"/>
          <w:highlight w:val="none"/>
        </w:rPr>
      </w:pPr>
    </w:p>
    <w:p>
      <w:pPr>
        <w:spacing w:line="520" w:lineRule="exact"/>
        <w:ind w:firstLine="2100" w:firstLineChars="1000"/>
        <w:rPr>
          <w:rFonts w:ascii="宋体" w:hAnsi="宋体" w:cs="宋体"/>
          <w:color w:val="auto"/>
          <w:szCs w:val="21"/>
          <w:highlight w:val="none"/>
        </w:rPr>
      </w:pPr>
      <w:r>
        <w:rPr>
          <w:rFonts w:hint="eastAsia" w:ascii="宋体" w:hAnsi="宋体" w:cs="宋体"/>
          <w:color w:val="auto"/>
          <w:szCs w:val="21"/>
          <w:highlight w:val="none"/>
        </w:rPr>
        <w:t>单位名称（盖章）：</w:t>
      </w:r>
    </w:p>
    <w:p>
      <w:pPr>
        <w:spacing w:line="520" w:lineRule="exact"/>
        <w:ind w:firstLine="3150" w:firstLineChars="1500"/>
        <w:rPr>
          <w:rFonts w:ascii="宋体" w:hAnsi="宋体" w:cs="宋体"/>
          <w:color w:val="auto"/>
          <w:szCs w:val="21"/>
          <w:highlight w:val="none"/>
        </w:rPr>
      </w:pPr>
      <w:r>
        <w:rPr>
          <w:rFonts w:hint="eastAsia" w:ascii="宋体" w:hAnsi="宋体" w:cs="宋体"/>
          <w:color w:val="auto"/>
          <w:szCs w:val="21"/>
          <w:highlight w:val="none"/>
        </w:rPr>
        <w:t>日  期：</w:t>
      </w:r>
    </w:p>
    <w:p>
      <w:pPr>
        <w:spacing w:line="520" w:lineRule="exact"/>
        <w:rPr>
          <w:rFonts w:ascii="宋体" w:hAnsi="宋体" w:cs="宋体"/>
          <w:color w:val="auto"/>
          <w:szCs w:val="21"/>
          <w:highlight w:val="none"/>
        </w:rPr>
      </w:pPr>
    </w:p>
    <w:p>
      <w:pPr>
        <w:spacing w:line="520" w:lineRule="exact"/>
        <w:rPr>
          <w:rFonts w:ascii="宋体" w:hAnsi="宋体" w:cs="宋体"/>
          <w:color w:val="auto"/>
          <w:szCs w:val="21"/>
          <w:highlight w:val="none"/>
        </w:rPr>
      </w:pPr>
    </w:p>
    <w:p>
      <w:pPr>
        <w:spacing w:line="520" w:lineRule="exact"/>
        <w:rPr>
          <w:rFonts w:ascii="宋体" w:hAnsi="宋体" w:cs="宋体"/>
          <w:color w:val="auto"/>
          <w:szCs w:val="21"/>
          <w:highlight w:val="none"/>
        </w:rPr>
      </w:pPr>
    </w:p>
    <w:p>
      <w:pPr>
        <w:spacing w:line="520" w:lineRule="exact"/>
        <w:rPr>
          <w:rFonts w:ascii="宋体" w:hAnsi="宋体" w:cs="宋体"/>
          <w:color w:val="auto"/>
          <w:szCs w:val="21"/>
          <w:highlight w:val="none"/>
        </w:rPr>
      </w:pPr>
      <w:r>
        <w:rPr>
          <w:rFonts w:hint="eastAsia" w:ascii="宋体" w:hAnsi="宋体" w:cs="宋体"/>
          <w:color w:val="auto"/>
          <w:szCs w:val="21"/>
          <w:highlight w:val="none"/>
        </w:rPr>
        <w:t>注：请根据自己的真实情况出具《残疾人福利性单位声明函》。依法享受中小企业优惠政策的，采购人或采购代理机构在公告中标结果时，同时公告其《残疾人福利性单位声明函》，接受社会监督。</w:t>
      </w:r>
    </w:p>
    <w:p>
      <w:pPr>
        <w:spacing w:line="520" w:lineRule="exact"/>
        <w:rPr>
          <w:rFonts w:ascii="宋体" w:hAnsi="宋体" w:cs="宋体"/>
          <w:color w:val="auto"/>
          <w:sz w:val="32"/>
          <w:szCs w:val="32"/>
          <w:highlight w:val="none"/>
        </w:rPr>
      </w:pPr>
    </w:p>
    <w:p>
      <w:pPr>
        <w:spacing w:line="520" w:lineRule="exact"/>
        <w:rPr>
          <w:rFonts w:ascii="宋体" w:hAnsi="宋体" w:cs="宋体"/>
          <w:color w:val="auto"/>
          <w:sz w:val="32"/>
          <w:szCs w:val="32"/>
          <w:highlight w:val="none"/>
        </w:rPr>
      </w:pPr>
    </w:p>
    <w:p>
      <w:pPr>
        <w:spacing w:line="520" w:lineRule="exact"/>
        <w:rPr>
          <w:rFonts w:ascii="宋体" w:hAnsi="宋体" w:cs="宋体"/>
          <w:color w:val="auto"/>
          <w:sz w:val="32"/>
          <w:szCs w:val="32"/>
          <w:highlight w:val="none"/>
        </w:rPr>
      </w:pPr>
    </w:p>
    <w:p>
      <w:pPr>
        <w:spacing w:line="520" w:lineRule="exact"/>
        <w:rPr>
          <w:rFonts w:ascii="宋体" w:hAnsi="宋体" w:cs="宋体"/>
          <w:color w:val="auto"/>
          <w:sz w:val="32"/>
          <w:szCs w:val="32"/>
          <w:highlight w:val="none"/>
        </w:rPr>
      </w:pPr>
    </w:p>
    <w:p>
      <w:pPr>
        <w:spacing w:line="520" w:lineRule="exact"/>
        <w:rPr>
          <w:rFonts w:ascii="宋体" w:hAnsi="宋体" w:cs="宋体"/>
          <w:color w:val="auto"/>
          <w:sz w:val="32"/>
          <w:szCs w:val="32"/>
          <w:highlight w:val="none"/>
        </w:rPr>
      </w:pPr>
    </w:p>
    <w:p>
      <w:pPr>
        <w:spacing w:line="520" w:lineRule="exact"/>
        <w:rPr>
          <w:rFonts w:ascii="宋体" w:hAnsi="宋体" w:cs="宋体"/>
          <w:color w:val="auto"/>
          <w:sz w:val="32"/>
          <w:szCs w:val="32"/>
          <w:highlight w:val="none"/>
        </w:rPr>
      </w:pPr>
    </w:p>
    <w:p>
      <w:pPr>
        <w:spacing w:line="520" w:lineRule="exact"/>
        <w:rPr>
          <w:rFonts w:ascii="宋体" w:hAnsi="宋体" w:cs="宋体"/>
          <w:color w:val="auto"/>
          <w:sz w:val="32"/>
          <w:szCs w:val="32"/>
          <w:highlight w:val="none"/>
        </w:rPr>
      </w:pPr>
    </w:p>
    <w:p>
      <w:pPr>
        <w:spacing w:line="520" w:lineRule="exact"/>
        <w:rPr>
          <w:rFonts w:ascii="宋体" w:hAnsi="宋体" w:cs="宋体"/>
          <w:color w:val="auto"/>
          <w:sz w:val="32"/>
          <w:szCs w:val="32"/>
          <w:highlight w:val="none"/>
        </w:rPr>
      </w:pPr>
    </w:p>
    <w:p>
      <w:pPr>
        <w:spacing w:line="520" w:lineRule="exact"/>
        <w:rPr>
          <w:rFonts w:ascii="宋体" w:hAnsi="宋体" w:cs="宋体"/>
          <w:color w:val="auto"/>
          <w:sz w:val="32"/>
          <w:szCs w:val="32"/>
          <w:highlight w:val="none"/>
        </w:rPr>
      </w:pPr>
    </w:p>
    <w:p>
      <w:pPr>
        <w:autoSpaceDE w:val="0"/>
        <w:autoSpaceDN w:val="0"/>
        <w:spacing w:line="300" w:lineRule="auto"/>
        <w:rPr>
          <w:rFonts w:ascii="宋体" w:hAnsi="宋体" w:cs="宋体"/>
          <w:color w:val="auto"/>
          <w:szCs w:val="21"/>
          <w:highlight w:val="none"/>
        </w:rPr>
      </w:pPr>
    </w:p>
    <w:p>
      <w:pPr>
        <w:pStyle w:val="2"/>
        <w:spacing w:line="520" w:lineRule="exact"/>
        <w:jc w:val="center"/>
        <w:rPr>
          <w:rFonts w:ascii="宋体" w:hAnsi="宋体" w:cs="宋体"/>
          <w:color w:val="auto"/>
          <w:highlight w:val="none"/>
        </w:rPr>
      </w:pPr>
      <w:bookmarkStart w:id="180" w:name="_Toc44229900"/>
      <w:r>
        <w:rPr>
          <w:rFonts w:hint="eastAsia" w:ascii="宋体" w:hAnsi="宋体" w:cs="宋体"/>
          <w:color w:val="auto"/>
          <w:highlight w:val="none"/>
        </w:rPr>
        <w:t>第六章 合同文本</w:t>
      </w:r>
      <w:bookmarkEnd w:id="180"/>
    </w:p>
    <w:p>
      <w:pPr>
        <w:snapToGrid w:val="0"/>
        <w:spacing w:line="400" w:lineRule="exact"/>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《政府采购合同》</w:t>
      </w:r>
      <w:r>
        <w:rPr>
          <w:rFonts w:hint="eastAsia" w:ascii="宋体" w:hAnsi="宋体" w:cs="宋体"/>
          <w:b/>
          <w:color w:val="auto"/>
          <w:sz w:val="32"/>
          <w:szCs w:val="32"/>
          <w:highlight w:val="none"/>
        </w:rPr>
        <w:t>文本（A分标）</w:t>
      </w:r>
    </w:p>
    <w:p>
      <w:pPr>
        <w:spacing w:line="520" w:lineRule="exact"/>
        <w:rPr>
          <w:rFonts w:ascii="宋体" w:hAnsi="宋体" w:cs="宋体"/>
          <w:b/>
          <w:color w:val="auto"/>
          <w:sz w:val="32"/>
          <w:szCs w:val="32"/>
          <w:highlight w:val="none"/>
        </w:rPr>
      </w:pPr>
    </w:p>
    <w:p>
      <w:pPr>
        <w:wordWrap w:val="0"/>
        <w:spacing w:line="520" w:lineRule="exact"/>
        <w:ind w:right="800"/>
        <w:rPr>
          <w:rFonts w:ascii="宋体" w:hAnsi="宋体" w:cs="宋体"/>
          <w:bCs/>
          <w:color w:val="auto"/>
          <w:sz w:val="24"/>
          <w:highlight w:val="none"/>
          <w:u w:val="single"/>
        </w:rPr>
      </w:pPr>
      <w:r>
        <w:rPr>
          <w:rFonts w:hint="eastAsia" w:ascii="宋体" w:hAnsi="宋体" w:cs="宋体"/>
          <w:color w:val="auto"/>
          <w:sz w:val="24"/>
          <w:highlight w:val="none"/>
        </w:rPr>
        <w:t>采购计划号：</w:t>
      </w:r>
      <w:r>
        <w:rPr>
          <w:rFonts w:hint="eastAsia" w:ascii="宋体" w:hAnsi="宋体" w:cs="宋体"/>
          <w:bCs/>
          <w:color w:val="auto"/>
          <w:sz w:val="24"/>
          <w:highlight w:val="none"/>
        </w:rPr>
        <w:t>合同编号：</w:t>
      </w:r>
    </w:p>
    <w:p>
      <w:pPr>
        <w:spacing w:line="520" w:lineRule="exact"/>
        <w:rPr>
          <w:rFonts w:ascii="宋体" w:hAnsi="宋体" w:cs="宋体"/>
          <w:color w:val="auto"/>
          <w:sz w:val="24"/>
          <w:highlight w:val="none"/>
          <w:u w:val="single"/>
        </w:rPr>
      </w:pPr>
      <w:r>
        <w:rPr>
          <w:rFonts w:hint="eastAsia" w:ascii="宋体" w:hAnsi="宋体" w:cs="宋体"/>
          <w:color w:val="auto"/>
          <w:sz w:val="24"/>
          <w:highlight w:val="none"/>
        </w:rPr>
        <w:t>采购人（甲方）：   供应商（乙方）：</w:t>
      </w:r>
    </w:p>
    <w:p>
      <w:pPr>
        <w:spacing w:line="520" w:lineRule="exact"/>
        <w:rPr>
          <w:rFonts w:ascii="宋体" w:hAnsi="宋体" w:cs="宋体"/>
          <w:color w:val="auto"/>
          <w:sz w:val="24"/>
          <w:highlight w:val="none"/>
          <w:u w:val="single"/>
        </w:rPr>
      </w:pPr>
      <w:r>
        <w:rPr>
          <w:rFonts w:hint="eastAsia" w:ascii="宋体" w:hAnsi="宋体" w:cs="宋体"/>
          <w:color w:val="auto"/>
          <w:sz w:val="24"/>
          <w:highlight w:val="none"/>
        </w:rPr>
        <w:t>项目名称：项目编号：</w:t>
      </w:r>
    </w:p>
    <w:p>
      <w:pPr>
        <w:spacing w:line="520" w:lineRule="exact"/>
        <w:rPr>
          <w:rFonts w:ascii="宋体" w:hAnsi="宋体" w:cs="宋体"/>
          <w:color w:val="auto"/>
          <w:sz w:val="24"/>
          <w:highlight w:val="none"/>
          <w:u w:val="single"/>
        </w:rPr>
      </w:pPr>
      <w:r>
        <w:rPr>
          <w:rFonts w:hint="eastAsia" w:ascii="宋体" w:hAnsi="宋体" w:cs="宋体"/>
          <w:color w:val="auto"/>
          <w:sz w:val="24"/>
          <w:highlight w:val="none"/>
        </w:rPr>
        <w:t>签订地点：   签订时间：</w:t>
      </w:r>
    </w:p>
    <w:p>
      <w:pPr>
        <w:spacing w:line="520" w:lineRule="exact"/>
        <w:ind w:firstLine="480" w:firstLineChars="200"/>
        <w:rPr>
          <w:rFonts w:ascii="宋体" w:hAnsi="宋体" w:cs="宋体"/>
          <w:color w:val="auto"/>
          <w:sz w:val="24"/>
          <w:highlight w:val="none"/>
        </w:rPr>
      </w:pP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根据《中华人民共和国政府采购法》、《中华人民共和国合同法》等法律、法规规定，按照</w:t>
      </w:r>
      <w:r>
        <w:rPr>
          <w:rFonts w:hint="eastAsia" w:ascii="宋体" w:hAnsi="宋体"/>
          <w:color w:val="auto"/>
          <w:sz w:val="24"/>
          <w:highlight w:val="none"/>
        </w:rPr>
        <w:t>竞争性磋商文件规定条款和乙方响应文件及其承诺，甲乙双方签订本合同。</w:t>
      </w:r>
    </w:p>
    <w:p>
      <w:pPr>
        <w:spacing w:line="52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第一条　合同标的</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1、项目一览表</w:t>
      </w:r>
    </w:p>
    <w:tbl>
      <w:tblPr>
        <w:tblStyle w:val="2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13"/>
        <w:gridCol w:w="2400"/>
        <w:gridCol w:w="1320"/>
        <w:gridCol w:w="1200"/>
        <w:gridCol w:w="1300"/>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序号</w:t>
            </w:r>
          </w:p>
        </w:tc>
        <w:tc>
          <w:tcPr>
            <w:tcW w:w="121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名称</w:t>
            </w:r>
          </w:p>
        </w:tc>
        <w:tc>
          <w:tcPr>
            <w:tcW w:w="240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服务内容</w:t>
            </w:r>
          </w:p>
        </w:tc>
        <w:tc>
          <w:tcPr>
            <w:tcW w:w="132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数  量</w:t>
            </w:r>
          </w:p>
        </w:tc>
        <w:tc>
          <w:tcPr>
            <w:tcW w:w="120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单位</w:t>
            </w:r>
          </w:p>
        </w:tc>
        <w:tc>
          <w:tcPr>
            <w:tcW w:w="130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单  价</w:t>
            </w:r>
          </w:p>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（元）</w:t>
            </w:r>
          </w:p>
        </w:tc>
        <w:tc>
          <w:tcPr>
            <w:tcW w:w="120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总 价</w:t>
            </w:r>
          </w:p>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60"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color w:val="auto"/>
                <w:sz w:val="24"/>
                <w:highlight w:val="none"/>
              </w:rPr>
            </w:pPr>
            <w:r>
              <w:rPr>
                <w:rFonts w:hint="eastAsia" w:ascii="宋体" w:hAnsi="宋体" w:cs="宋体"/>
                <w:color w:val="auto"/>
                <w:sz w:val="24"/>
                <w:highlight w:val="none"/>
              </w:rPr>
              <w:t>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60"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rPr>
                <w:rFonts w:ascii="宋体" w:hAnsi="宋体" w:cs="宋体"/>
                <w:color w:val="auto"/>
                <w:sz w:val="24"/>
                <w:highlight w:val="none"/>
              </w:rPr>
            </w:pPr>
            <w:r>
              <w:rPr>
                <w:rFonts w:hint="eastAsia" w:ascii="宋体" w:hAnsi="宋体" w:cs="宋体"/>
                <w:color w:val="auto"/>
                <w:sz w:val="24"/>
                <w:highlight w:val="none"/>
              </w:rPr>
              <w:t xml:space="preserve">人民币合计金额（大写）：元整（¥）              </w:t>
            </w:r>
          </w:p>
        </w:tc>
      </w:tr>
    </w:tbl>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合同合计金额包括但不限于满足本次竞标全部采购需求所应提供的服务，以及伴随的货物和工程（如有）的价格；包含竞标服务、货物、工程的成本、运输（含保险）、安装（如有）、调试、检验、技术服务、培训、税费等所有费用。如竞争性磋商文件对其另有规定的，从其规定。</w:t>
      </w:r>
    </w:p>
    <w:p>
      <w:pPr>
        <w:spacing w:line="52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第二条　质量保证</w:t>
      </w:r>
    </w:p>
    <w:p>
      <w:pPr>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乙方所提供的服务及服务内容必须与响应文件承诺相一致，有国家强制性标准的，还必须符合国家强制性标准的规定，没有国家强制性标准但有其他强制性标准的，必须符合其他强制性标准的规定。</w:t>
      </w:r>
    </w:p>
    <w:p>
      <w:pPr>
        <w:spacing w:line="52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第三条　权利保证</w:t>
      </w:r>
    </w:p>
    <w:p>
      <w:pPr>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1、乙方应保证所提供服务在使用时不会侵犯任何第三方的专利权、商标权、工业设计权等知识产权及其他合法权利，且所有权、处分权等没有受到任何限制。</w:t>
      </w:r>
    </w:p>
    <w:p>
      <w:pPr>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乙方的保密义务持续有效，不因为本合同履行终止、解除或无效而解除。</w:t>
      </w:r>
    </w:p>
    <w:p>
      <w:pPr>
        <w:spacing w:line="52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第四条　交付和验收</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1、服务期限：</w:t>
      </w:r>
      <w:r>
        <w:rPr>
          <w:rFonts w:hint="eastAsia" w:ascii="宋体" w:hAnsi="宋体" w:cs="宋体"/>
          <w:color w:val="auto"/>
          <w:sz w:val="24"/>
          <w:highlight w:val="none"/>
          <w:u w:val="single"/>
        </w:rPr>
        <w:t>起至</w:t>
      </w:r>
      <w:r>
        <w:rPr>
          <w:rFonts w:hint="eastAsia" w:ascii="宋体" w:hAnsi="宋体" w:cs="宋体"/>
          <w:color w:val="auto"/>
          <w:sz w:val="24"/>
          <w:highlight w:val="none"/>
        </w:rPr>
        <w:t>，服务地点：。</w:t>
      </w:r>
    </w:p>
    <w:p>
      <w:pPr>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2、乙方应按响应文件的承诺向甲方提供相应的服务，并提供所服务内容的相关技术资料。</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3、乙方提供不符合响应文件和本合同规定的服务成果，甲方有权拒绝接受。</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4、乙方完成服务后应及时书面通知甲方进行验收，甲方应在收到通知后七个工作日内进行验收，逾期不开始验收的，乙方可视同验收合格。验收合格后由甲乙双方签署验收单并加盖采购人公章，甲乙双方各执一份。</w:t>
      </w:r>
    </w:p>
    <w:p>
      <w:pPr>
        <w:spacing w:line="520" w:lineRule="exact"/>
        <w:ind w:firstLine="480" w:firstLineChars="200"/>
        <w:rPr>
          <w:rFonts w:ascii="宋体" w:hAnsi="宋体"/>
          <w:color w:val="auto"/>
          <w:sz w:val="24"/>
          <w:highlight w:val="none"/>
        </w:rPr>
      </w:pPr>
      <w:r>
        <w:rPr>
          <w:rFonts w:hint="eastAsia" w:ascii="宋体" w:hAnsi="宋体" w:cs="宋体"/>
          <w:color w:val="auto"/>
          <w:sz w:val="24"/>
          <w:highlight w:val="none"/>
        </w:rPr>
        <w:t>5、甲乙双方应按照《</w:t>
      </w:r>
      <w:r>
        <w:rPr>
          <w:rFonts w:ascii="宋体" w:hAnsi="宋体" w:cs="宋体"/>
          <w:color w:val="auto"/>
          <w:sz w:val="24"/>
          <w:highlight w:val="none"/>
        </w:rPr>
        <w:t>广西壮族自治区政府采购项目履约验收管理办法</w:t>
      </w:r>
      <w:r>
        <w:rPr>
          <w:rFonts w:hint="eastAsia" w:ascii="宋体" w:hAnsi="宋体" w:cs="宋体"/>
          <w:color w:val="auto"/>
          <w:sz w:val="24"/>
          <w:highlight w:val="none"/>
        </w:rPr>
        <w:t>》、双方合同、响应文件验收。</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6、甲方在初步验收或最终验收过程中如发现乙方提供的服务成果不满足响应文件及本合同规定的，可暂缓向乙方付款，直到乙方及时完善并提交相应的服务成果且经甲方验收合格后，方可办理付款。</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7、甲方验收时以书面形式提出异议的，乙方应自收到甲方书面异议后五个工作日内及时予以解决，否则甲方有权不出具服务验收合格单。</w:t>
      </w:r>
    </w:p>
    <w:p>
      <w:pPr>
        <w:snapToGrid w:val="0"/>
        <w:spacing w:line="52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第五条  售后服务及培训</w:t>
      </w:r>
    </w:p>
    <w:p>
      <w:pPr>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1、乙方应按照国家有关法律法规和本合同所附的《售后服务承诺》要求为甲方提供相应的售后服务。</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2、甲方应提供必要测试条件（如场地、电源、水源等）。</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3、乙方负责甲方有关人员的培训。培训时间、地点：。</w:t>
      </w:r>
    </w:p>
    <w:p>
      <w:pPr>
        <w:snapToGrid w:val="0"/>
        <w:spacing w:line="520" w:lineRule="exact"/>
        <w:ind w:firstLine="482" w:firstLineChars="200"/>
        <w:rPr>
          <w:rFonts w:ascii="宋体" w:hAnsi="宋体" w:cs="宋体"/>
          <w:color w:val="auto"/>
          <w:sz w:val="24"/>
          <w:highlight w:val="none"/>
          <w:u w:val="single"/>
        </w:rPr>
      </w:pPr>
      <w:r>
        <w:rPr>
          <w:rFonts w:hint="eastAsia" w:ascii="宋体" w:hAnsi="宋体" w:cs="宋体"/>
          <w:b/>
          <w:color w:val="auto"/>
          <w:sz w:val="24"/>
          <w:highlight w:val="none"/>
        </w:rPr>
        <w:t>第六条　付款方式</w:t>
      </w:r>
    </w:p>
    <w:p>
      <w:pPr>
        <w:snapToGrid w:val="0"/>
        <w:spacing w:line="520" w:lineRule="exact"/>
        <w:ind w:firstLine="420" w:firstLineChars="200"/>
        <w:rPr>
          <w:rFonts w:ascii="宋体" w:hAnsi="宋体"/>
          <w:color w:val="auto"/>
          <w:sz w:val="24"/>
          <w:highlight w:val="none"/>
        </w:rPr>
      </w:pPr>
      <w:r>
        <w:rPr>
          <w:rFonts w:hint="eastAsia" w:ascii="宋体" w:hAnsi="宋体" w:cs="宋体"/>
          <w:bCs/>
          <w:snapToGrid w:val="0"/>
          <w:color w:val="auto"/>
          <w:kern w:val="0"/>
          <w:szCs w:val="21"/>
          <w:highlight w:val="none"/>
        </w:rPr>
        <w:t>项目完成全部服务单位上线后</w:t>
      </w:r>
      <w:r>
        <w:rPr>
          <w:rFonts w:hint="eastAsia" w:ascii="宋体" w:hAnsi="宋体" w:cs="宋体"/>
          <w:color w:val="auto"/>
          <w:szCs w:val="21"/>
          <w:highlight w:val="none"/>
        </w:rPr>
        <w:t>15个工作日内甲方向乙方支付合同金额的50%，系统正常运行3个月后向乙方支付合同金额45%，剩余5%在质保期满后30个工作日内支付。</w:t>
      </w:r>
    </w:p>
    <w:p>
      <w:pPr>
        <w:snapToGrid w:val="0"/>
        <w:spacing w:line="52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第七条　履约保证金：无</w:t>
      </w:r>
      <w:r>
        <w:rPr>
          <w:rFonts w:hint="eastAsia" w:ascii="宋体" w:hAnsi="宋体" w:cs="宋体"/>
          <w:color w:val="auto"/>
          <w:sz w:val="24"/>
          <w:highlight w:val="none"/>
        </w:rPr>
        <w:t>。</w:t>
      </w:r>
    </w:p>
    <w:p>
      <w:pPr>
        <w:spacing w:line="52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第八条  税费</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本合同执行中相关的一切税费均由乙方负担，合同另有约定的除外。</w:t>
      </w:r>
    </w:p>
    <w:p>
      <w:pPr>
        <w:spacing w:line="52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第九条　违约责任</w:t>
      </w:r>
    </w:p>
    <w:p>
      <w:pPr>
        <w:snapToGrid w:val="0"/>
        <w:spacing w:line="520" w:lineRule="exact"/>
        <w:ind w:firstLine="480" w:firstLineChars="200"/>
        <w:rPr>
          <w:rFonts w:ascii="宋体" w:hAnsi="宋体" w:cs="宋体"/>
          <w:color w:val="auto"/>
          <w:sz w:val="24"/>
          <w:highlight w:val="none"/>
        </w:rPr>
      </w:pPr>
      <w:r>
        <w:rPr>
          <w:rFonts w:hint="eastAsia" w:ascii="宋体" w:hAnsi="宋体"/>
          <w:color w:val="auto"/>
          <w:sz w:val="24"/>
          <w:highlight w:val="none"/>
        </w:rPr>
        <w:t>1、除不可抗力原因外，乙方没有按照合同规定的时间提供服务的，甲方可要求乙方支付违约金。每推迟一天按合同金额的3‰支付违约金，该违约金累计不超过合同金额的10%。</w:t>
      </w:r>
    </w:p>
    <w:p>
      <w:pPr>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2、乙方提供的服务如侵犯了第三方合法权益而引发的任何纠纷或诉讼，均由乙方负责交涉并承担全部责任。</w:t>
      </w:r>
    </w:p>
    <w:p>
      <w:pPr>
        <w:snapToGrid w:val="0"/>
        <w:spacing w:line="520" w:lineRule="exact"/>
        <w:ind w:firstLine="480" w:firstLineChars="200"/>
        <w:rPr>
          <w:rFonts w:ascii="宋体" w:hAnsi="宋体" w:cs="宋体"/>
          <w:color w:val="auto"/>
          <w:sz w:val="24"/>
          <w:highlight w:val="none"/>
        </w:rPr>
      </w:pPr>
      <w:r>
        <w:rPr>
          <w:rFonts w:ascii="宋体" w:hAnsi="宋体"/>
          <w:color w:val="auto"/>
          <w:sz w:val="24"/>
          <w:highlight w:val="none"/>
        </w:rPr>
        <w:t>3</w:t>
      </w:r>
      <w:r>
        <w:rPr>
          <w:rFonts w:hint="eastAsia" w:ascii="宋体" w:hAnsi="宋体"/>
          <w:color w:val="auto"/>
          <w:sz w:val="24"/>
          <w:highlight w:val="none"/>
        </w:rPr>
        <w:t>、甲方延期付款的，每天向乙方偿付延期款额3‰滞纳金，但滞纳金累计不得超过延期款额5%。</w:t>
      </w:r>
    </w:p>
    <w:p>
      <w:pPr>
        <w:spacing w:line="52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第十条  不可抗力事件处理</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1、在合同有效期内，任何一方因不可抗力事件导致不能履行合同，则合同履行期可延长，其延长期与不可抗力影响期相同。</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2、不可抗力事件发生后，应立即通知对方，并寄送有关权威机构出具的证明。</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3、不可抗力事件延续一百二十天以上，双方应通过友好协商，确定是否继续履行合同。</w:t>
      </w:r>
    </w:p>
    <w:p>
      <w:pPr>
        <w:spacing w:line="52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第十一条  合同争议解决</w:t>
      </w:r>
    </w:p>
    <w:p>
      <w:pPr>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1、因服务质量问题发生争议的，应邀请国家认可的质量检测机构进行鉴定。服务符合标准的，鉴定费由甲方承担；服务不符合标准的，鉴定费由乙方承担。</w:t>
      </w:r>
    </w:p>
    <w:p>
      <w:pPr>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2、因履行本合同引起的或与本合同有关的争议，甲乙双方应首先通过友好协商解决，如果协商不能解决，可向甲方所在地有管辖权人民法院提起诉讼。</w:t>
      </w:r>
    </w:p>
    <w:p>
      <w:pPr>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3、诉讼期间，本合同继续履行。</w:t>
      </w:r>
    </w:p>
    <w:p>
      <w:pPr>
        <w:spacing w:line="52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第十二条  合同生效及其它</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1、合同经双方法定代表人或授权代表签字并加盖单位公章后生效（委托代理人签字的需后附法定代表人授权委托书，格式自拟）。</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2、合同执行中涉及采购资金和采购内容修改或补充的，须经财政部门审批，并签书面补充协议报财政部门备案，方可作为主合同不可分割的一部分。</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3、本合同未尽事宜，遵照《合同法》有关条文执行。</w:t>
      </w:r>
    </w:p>
    <w:p>
      <w:pPr>
        <w:spacing w:line="52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第十三条　合同的变更、终止与转让</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1、除《中华人民共和国政府采购法》第五十条规定的情形外，本合同一经签订，甲乙双方不得擅自变更、中止或终止。</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2、乙方不得擅自转让其应履行的合同义务。</w:t>
      </w:r>
    </w:p>
    <w:p>
      <w:pPr>
        <w:spacing w:line="52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第十四条　签订本合同依据</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olor w:val="auto"/>
          <w:sz w:val="24"/>
          <w:highlight w:val="none"/>
        </w:rPr>
        <w:t>成交通知书</w:t>
      </w:r>
      <w:r>
        <w:rPr>
          <w:rFonts w:hint="eastAsia" w:ascii="宋体" w:hAnsi="宋体" w:cs="宋体"/>
          <w:color w:val="auto"/>
          <w:sz w:val="24"/>
          <w:highlight w:val="none"/>
        </w:rPr>
        <w:t>；</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2、竞标报价表；</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3、商务条款偏离表和技术需求偏离表；</w:t>
      </w:r>
    </w:p>
    <w:p>
      <w:pPr>
        <w:spacing w:line="520" w:lineRule="exact"/>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、售后服务承诺；</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5、响应文件中的其他相关文件。</w:t>
      </w:r>
    </w:p>
    <w:p>
      <w:pPr>
        <w:spacing w:line="520" w:lineRule="exact"/>
        <w:ind w:firstLine="480" w:firstLineChars="200"/>
        <w:rPr>
          <w:rFonts w:ascii="宋体" w:hAns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、上述合同文件互相补充和解释。如果合同文件之间存在矛盾或不一致之处，以上述文件的排列顺序在先者为准。</w:t>
      </w:r>
    </w:p>
    <w:p>
      <w:pPr>
        <w:spacing w:line="52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第十五条　</w:t>
      </w:r>
      <w:r>
        <w:rPr>
          <w:rFonts w:hint="eastAsia" w:ascii="宋体" w:hAnsi="宋体" w:cs="宋体"/>
          <w:color w:val="auto"/>
          <w:sz w:val="24"/>
          <w:highlight w:val="none"/>
        </w:rPr>
        <w:t>本合同一式四份，具有同等法律效力，财政部门（政府采购监管部门）、采购代理机构各一份，甲乙双方各一份（可根据需要另增加）。</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本合同甲乙双方签字盖章后生效，自签订之日起七个工作日内，采购人或采购代理机构应当将合同副本报同级财政部门备案。</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本合同自签订之日起2个工作日内，甲方或采购代理机构应当将采购合同在广西壮族自治区财政厅指定的媒体上公告。</w:t>
      </w:r>
    </w:p>
    <w:tbl>
      <w:tblPr>
        <w:tblStyle w:val="21"/>
        <w:tblpPr w:leftFromText="180" w:rightFromText="180" w:vertAnchor="text" w:horzAnchor="margin" w:tblpY="2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2"/>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0"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宋体" w:hAnsi="宋体" w:cs="宋体"/>
                <w:color w:val="auto"/>
                <w:sz w:val="24"/>
                <w:highlight w:val="none"/>
              </w:rPr>
            </w:pPr>
            <w:r>
              <w:rPr>
                <w:rFonts w:hint="eastAsia" w:ascii="宋体" w:hAnsi="宋体" w:cs="宋体"/>
                <w:color w:val="auto"/>
                <w:sz w:val="24"/>
                <w:highlight w:val="none"/>
              </w:rPr>
              <w:t>甲方：（章）</w:t>
            </w:r>
          </w:p>
          <w:p>
            <w:pPr>
              <w:snapToGrid w:val="0"/>
              <w:spacing w:line="520" w:lineRule="exact"/>
              <w:rPr>
                <w:rFonts w:ascii="宋体" w:hAnsi="宋体" w:cs="宋体"/>
                <w:color w:val="auto"/>
                <w:sz w:val="24"/>
                <w:highlight w:val="none"/>
              </w:rPr>
            </w:pPr>
          </w:p>
          <w:p>
            <w:pPr>
              <w:snapToGrid w:val="0"/>
              <w:spacing w:line="520" w:lineRule="exact"/>
              <w:rPr>
                <w:rFonts w:ascii="宋体" w:hAnsi="宋体" w:cs="宋体"/>
                <w:color w:val="auto"/>
                <w:sz w:val="24"/>
                <w:highlight w:val="none"/>
              </w:rPr>
            </w:pPr>
          </w:p>
          <w:p>
            <w:pPr>
              <w:snapToGrid w:val="0"/>
              <w:spacing w:line="520" w:lineRule="exact"/>
              <w:ind w:firstLine="1080" w:firstLineChars="450"/>
              <w:jc w:val="right"/>
              <w:rPr>
                <w:rFonts w:ascii="宋体" w:hAnsi="宋体" w:cs="宋体"/>
                <w:color w:val="auto"/>
                <w:sz w:val="24"/>
                <w:highlight w:val="none"/>
              </w:rPr>
            </w:pPr>
          </w:p>
          <w:p>
            <w:pPr>
              <w:snapToGrid w:val="0"/>
              <w:spacing w:line="520" w:lineRule="exact"/>
              <w:ind w:firstLine="1080" w:firstLineChars="450"/>
              <w:jc w:val="right"/>
              <w:rPr>
                <w:rFonts w:ascii="宋体" w:hAnsi="宋体" w:cs="宋体"/>
                <w:color w:val="auto"/>
                <w:sz w:val="24"/>
                <w:highlight w:val="none"/>
              </w:rPr>
            </w:pPr>
            <w:r>
              <w:rPr>
                <w:rFonts w:hint="eastAsia" w:ascii="宋体" w:hAnsi="宋体" w:cs="宋体"/>
                <w:color w:val="auto"/>
                <w:sz w:val="24"/>
                <w:highlight w:val="none"/>
              </w:rPr>
              <w:t>年   月   日</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宋体" w:hAnsi="宋体" w:cs="宋体"/>
                <w:color w:val="auto"/>
                <w:sz w:val="24"/>
                <w:highlight w:val="none"/>
              </w:rPr>
            </w:pPr>
            <w:r>
              <w:rPr>
                <w:rFonts w:hint="eastAsia" w:ascii="宋体" w:hAnsi="宋体" w:cs="宋体"/>
                <w:color w:val="auto"/>
                <w:sz w:val="24"/>
                <w:highlight w:val="none"/>
              </w:rPr>
              <w:t xml:space="preserve">乙方：（章）       </w:t>
            </w:r>
          </w:p>
          <w:p>
            <w:pPr>
              <w:snapToGrid w:val="0"/>
              <w:spacing w:line="520" w:lineRule="exact"/>
              <w:rPr>
                <w:rFonts w:ascii="宋体" w:hAnsi="宋体" w:cs="宋体"/>
                <w:color w:val="auto"/>
                <w:sz w:val="24"/>
                <w:highlight w:val="none"/>
              </w:rPr>
            </w:pPr>
          </w:p>
          <w:p>
            <w:pPr>
              <w:snapToGrid w:val="0"/>
              <w:spacing w:line="520" w:lineRule="exact"/>
              <w:rPr>
                <w:rFonts w:ascii="宋体" w:hAnsi="宋体" w:cs="宋体"/>
                <w:color w:val="auto"/>
                <w:sz w:val="24"/>
                <w:highlight w:val="none"/>
              </w:rPr>
            </w:pPr>
          </w:p>
          <w:p>
            <w:pPr>
              <w:snapToGrid w:val="0"/>
              <w:spacing w:line="520" w:lineRule="exact"/>
              <w:jc w:val="right"/>
              <w:rPr>
                <w:rFonts w:ascii="宋体" w:hAnsi="宋体" w:cs="宋体"/>
                <w:color w:val="auto"/>
                <w:sz w:val="24"/>
                <w:highlight w:val="none"/>
              </w:rPr>
            </w:pPr>
          </w:p>
          <w:p>
            <w:pPr>
              <w:snapToGrid w:val="0"/>
              <w:spacing w:line="520" w:lineRule="exact"/>
              <w:jc w:val="right"/>
              <w:rPr>
                <w:rFonts w:ascii="宋体" w:hAnsi="宋体" w:cs="宋体"/>
                <w:color w:val="auto"/>
                <w:sz w:val="24"/>
                <w:highlight w:val="none"/>
              </w:rPr>
            </w:pPr>
            <w:r>
              <w:rPr>
                <w:rFonts w:hint="eastAsia" w:ascii="宋体" w:hAnsi="宋体" w:cs="宋体"/>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宋体" w:hAnsi="宋体" w:cs="宋体"/>
                <w:color w:val="auto"/>
                <w:sz w:val="24"/>
                <w:highlight w:val="none"/>
              </w:rPr>
            </w:pPr>
            <w:r>
              <w:rPr>
                <w:rFonts w:hint="eastAsia" w:ascii="宋体" w:hAnsi="宋体" w:cs="宋体"/>
                <w:color w:val="auto"/>
                <w:sz w:val="24"/>
                <w:highlight w:val="none"/>
              </w:rPr>
              <w:t>单位地址：</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宋体" w:hAnsi="宋体" w:cs="宋体"/>
                <w:color w:val="auto"/>
                <w:sz w:val="24"/>
                <w:highlight w:val="none"/>
              </w:rPr>
            </w:pPr>
            <w:r>
              <w:rPr>
                <w:rFonts w:hint="eastAsia" w:ascii="宋体" w:hAnsi="宋体" w:cs="宋体"/>
                <w:color w:val="auto"/>
                <w:sz w:val="24"/>
                <w:highlight w:val="none"/>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宋体" w:hAnsi="宋体" w:cs="宋体"/>
                <w:color w:val="auto"/>
                <w:sz w:val="24"/>
                <w:highlight w:val="none"/>
              </w:rPr>
            </w:pPr>
            <w:r>
              <w:rPr>
                <w:rFonts w:hint="eastAsia" w:ascii="宋体" w:hAnsi="宋体" w:cs="宋体"/>
                <w:color w:val="auto"/>
                <w:sz w:val="24"/>
                <w:highlight w:val="none"/>
              </w:rPr>
              <w:t>法定代表人：</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宋体" w:hAnsi="宋体" w:cs="宋体"/>
                <w:color w:val="auto"/>
                <w:sz w:val="24"/>
                <w:highlight w:val="none"/>
              </w:rPr>
            </w:pPr>
            <w:r>
              <w:rPr>
                <w:rFonts w:hint="eastAsia" w:ascii="宋体" w:hAnsi="宋体" w:cs="宋体"/>
                <w:color w:val="auto"/>
                <w:sz w:val="24"/>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宋体" w:hAnsi="宋体" w:cs="宋体"/>
                <w:color w:val="auto"/>
                <w:sz w:val="24"/>
                <w:highlight w:val="none"/>
              </w:rPr>
            </w:pPr>
            <w:r>
              <w:rPr>
                <w:rFonts w:hint="eastAsia" w:ascii="宋体" w:hAnsi="宋体" w:cs="宋体"/>
                <w:color w:val="auto"/>
                <w:sz w:val="24"/>
                <w:highlight w:val="none"/>
              </w:rPr>
              <w:t>委托代理人：</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宋体" w:hAnsi="宋体" w:cs="宋体"/>
                <w:color w:val="auto"/>
                <w:sz w:val="24"/>
                <w:highlight w:val="none"/>
              </w:rPr>
            </w:pPr>
            <w:r>
              <w:rPr>
                <w:rFonts w:hint="eastAsia" w:ascii="宋体" w:hAnsi="宋体" w:cs="宋体"/>
                <w:color w:val="auto"/>
                <w:sz w:val="24"/>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宋体" w:hAnsi="宋体" w:cs="宋体"/>
                <w:color w:val="auto"/>
                <w:sz w:val="24"/>
                <w:highlight w:val="none"/>
              </w:rPr>
            </w:pPr>
            <w:r>
              <w:rPr>
                <w:rFonts w:hint="eastAsia" w:ascii="宋体" w:hAnsi="宋体" w:cs="宋体"/>
                <w:color w:val="auto"/>
                <w:sz w:val="24"/>
                <w:highlight w:val="none"/>
              </w:rPr>
              <w:t>电话：</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宋体" w:hAnsi="宋体" w:cs="宋体"/>
                <w:color w:val="auto"/>
                <w:sz w:val="24"/>
                <w:highlight w:val="none"/>
              </w:rPr>
            </w:pPr>
            <w:r>
              <w:rPr>
                <w:rFonts w:hint="eastAsia" w:ascii="宋体" w:hAnsi="宋体" w:cs="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宋体" w:hAnsi="宋体" w:cs="宋体"/>
                <w:color w:val="auto"/>
                <w:sz w:val="24"/>
                <w:highlight w:val="none"/>
              </w:rPr>
            </w:pPr>
            <w:r>
              <w:rPr>
                <w:rFonts w:hint="eastAsia" w:ascii="宋体" w:hAnsi="宋体" w:cs="宋体"/>
                <w:color w:val="auto"/>
                <w:sz w:val="24"/>
                <w:highlight w:val="none"/>
              </w:rPr>
              <w:t xml:space="preserve">开户银行： </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宋体" w:hAnsi="宋体" w:cs="宋体"/>
                <w:color w:val="auto"/>
                <w:sz w:val="24"/>
                <w:highlight w:val="none"/>
              </w:rPr>
            </w:pPr>
            <w:r>
              <w:rPr>
                <w:rFonts w:hint="eastAsia" w:ascii="宋体" w:hAnsi="宋体" w:cs="宋体"/>
                <w:color w:val="auto"/>
                <w:sz w:val="24"/>
                <w:highlight w:val="none"/>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宋体" w:hAnsi="宋体" w:cs="宋体"/>
                <w:color w:val="auto"/>
                <w:sz w:val="24"/>
                <w:highlight w:val="none"/>
              </w:rPr>
            </w:pPr>
            <w:r>
              <w:rPr>
                <w:rFonts w:hint="eastAsia" w:ascii="宋体" w:hAnsi="宋体" w:cs="宋体"/>
                <w:color w:val="auto"/>
                <w:sz w:val="24"/>
                <w:highlight w:val="none"/>
              </w:rPr>
              <w:t>账号：</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宋体" w:hAnsi="宋体" w:cs="宋体"/>
                <w:color w:val="auto"/>
                <w:sz w:val="24"/>
                <w:highlight w:val="none"/>
              </w:rPr>
            </w:pPr>
            <w:r>
              <w:rPr>
                <w:rFonts w:hint="eastAsia" w:ascii="宋体" w:hAnsi="宋体" w:cs="宋体"/>
                <w:color w:val="auto"/>
                <w:sz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58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宋体" w:hAnsi="宋体" w:cs="宋体"/>
                <w:color w:val="auto"/>
                <w:sz w:val="24"/>
                <w:highlight w:val="none"/>
              </w:rPr>
            </w:pPr>
            <w:r>
              <w:rPr>
                <w:rFonts w:hint="eastAsia" w:ascii="宋体" w:hAnsi="宋体" w:cs="宋体"/>
                <w:color w:val="auto"/>
                <w:sz w:val="24"/>
                <w:highlight w:val="none"/>
              </w:rPr>
              <w:t>邮政编码：</w:t>
            </w:r>
          </w:p>
        </w:tc>
        <w:tc>
          <w:tcPr>
            <w:tcW w:w="4583"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rPr>
                <w:rFonts w:ascii="宋体" w:hAnsi="宋体" w:cs="宋体"/>
                <w:color w:val="auto"/>
                <w:sz w:val="24"/>
                <w:highlight w:val="none"/>
              </w:rPr>
            </w:pPr>
            <w:r>
              <w:rPr>
                <w:rFonts w:hint="eastAsia" w:ascii="宋体" w:hAnsi="宋体" w:cs="宋体"/>
                <w:color w:val="auto"/>
                <w:sz w:val="24"/>
                <w:highlight w:val="none"/>
              </w:rPr>
              <w:t>邮政编码：</w:t>
            </w:r>
          </w:p>
        </w:tc>
      </w:tr>
    </w:tbl>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pacing w:line="520" w:lineRule="exact"/>
        <w:rPr>
          <w:rFonts w:ascii="宋体" w:hAnsi="宋体" w:cs="宋体"/>
          <w:b/>
          <w:color w:val="auto"/>
          <w:sz w:val="32"/>
          <w:szCs w:val="32"/>
          <w:highlight w:val="none"/>
        </w:rPr>
      </w:pPr>
    </w:p>
    <w:p>
      <w:pPr>
        <w:snapToGrid w:val="0"/>
        <w:spacing w:line="400" w:lineRule="exact"/>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《政府采购合同》</w:t>
      </w:r>
      <w:r>
        <w:rPr>
          <w:rFonts w:hint="eastAsia" w:ascii="宋体" w:hAnsi="宋体" w:cs="宋体"/>
          <w:b/>
          <w:color w:val="auto"/>
          <w:sz w:val="32"/>
          <w:szCs w:val="32"/>
          <w:highlight w:val="none"/>
        </w:rPr>
        <w:t>文本（B分标）</w:t>
      </w:r>
    </w:p>
    <w:p>
      <w:pPr>
        <w:snapToGrid w:val="0"/>
        <w:spacing w:line="400" w:lineRule="exact"/>
        <w:ind w:right="480" w:firstLine="5250" w:firstLineChars="2500"/>
        <w:rPr>
          <w:rFonts w:ascii="宋体" w:hAnsi="宋体" w:cs="宋体"/>
          <w:bCs/>
          <w:color w:val="auto"/>
          <w:szCs w:val="21"/>
          <w:highlight w:val="none"/>
        </w:rPr>
      </w:pPr>
    </w:p>
    <w:p>
      <w:pPr>
        <w:snapToGrid w:val="0"/>
        <w:spacing w:line="400" w:lineRule="exact"/>
        <w:ind w:right="480" w:firstLine="5250" w:firstLineChars="2500"/>
        <w:rPr>
          <w:rFonts w:ascii="宋体" w:hAnsi="宋体" w:cs="宋体"/>
          <w:bCs/>
          <w:color w:val="auto"/>
          <w:szCs w:val="21"/>
          <w:highlight w:val="none"/>
          <w:u w:val="single"/>
        </w:rPr>
      </w:pPr>
      <w:r>
        <w:rPr>
          <w:rFonts w:hint="eastAsia" w:ascii="宋体" w:hAnsi="宋体" w:cs="宋体"/>
          <w:bCs/>
          <w:color w:val="auto"/>
          <w:szCs w:val="21"/>
          <w:highlight w:val="none"/>
        </w:rPr>
        <w:t>合同编号：</w:t>
      </w:r>
    </w:p>
    <w:p>
      <w:pPr>
        <w:snapToGrid w:val="0"/>
        <w:spacing w:line="400" w:lineRule="exact"/>
        <w:rPr>
          <w:rFonts w:ascii="宋体" w:hAnsi="宋体" w:cs="宋体"/>
          <w:color w:val="auto"/>
          <w:szCs w:val="21"/>
          <w:highlight w:val="none"/>
        </w:rPr>
      </w:pPr>
    </w:p>
    <w:p>
      <w:pPr>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采购人（甲方）：  采购计划号：</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供应商（乙方）：</w:t>
      </w:r>
    </w:p>
    <w:p>
      <w:pPr>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项目名称：  项目编号：</w:t>
      </w:r>
    </w:p>
    <w:p>
      <w:pPr>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签订地点：  签订时间：</w:t>
      </w:r>
    </w:p>
    <w:p>
      <w:pPr>
        <w:snapToGrid w:val="0"/>
        <w:spacing w:line="400" w:lineRule="exact"/>
        <w:ind w:firstLine="420" w:firstLineChars="200"/>
        <w:rPr>
          <w:rFonts w:ascii="宋体" w:hAnsi="宋体" w:cs="宋体"/>
          <w:color w:val="auto"/>
          <w:szCs w:val="21"/>
          <w:highlight w:val="none"/>
        </w:rPr>
      </w:pP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根据《中华人民共和国政府采购法》、《中华人民共和国合同法》等法律、法规规定，按照竞争性谈判文件规定条款和成交供应商承诺，甲乙双方签订本合同。</w:t>
      </w:r>
    </w:p>
    <w:p>
      <w:pPr>
        <w:snapToGrid w:val="0"/>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第一条　合同标的</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1.供货一览表</w:t>
      </w:r>
    </w:p>
    <w:tbl>
      <w:tblPr>
        <w:tblStyle w:val="2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059"/>
        <w:gridCol w:w="1233"/>
        <w:gridCol w:w="1210"/>
        <w:gridCol w:w="737"/>
        <w:gridCol w:w="735"/>
        <w:gridCol w:w="1095"/>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09"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233"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产品名称</w:t>
            </w:r>
          </w:p>
        </w:tc>
        <w:tc>
          <w:tcPr>
            <w:tcW w:w="1059"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商标品牌</w:t>
            </w:r>
          </w:p>
        </w:tc>
        <w:tc>
          <w:tcPr>
            <w:tcW w:w="1233"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规格型号</w:t>
            </w:r>
          </w:p>
        </w:tc>
        <w:tc>
          <w:tcPr>
            <w:tcW w:w="1210"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生产厂家</w:t>
            </w:r>
          </w:p>
        </w:tc>
        <w:tc>
          <w:tcPr>
            <w:tcW w:w="737"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735"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单位</w:t>
            </w:r>
          </w:p>
        </w:tc>
        <w:tc>
          <w:tcPr>
            <w:tcW w:w="1095"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单价（元）</w:t>
            </w:r>
          </w:p>
        </w:tc>
        <w:tc>
          <w:tcPr>
            <w:tcW w:w="1145"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233" w:type="dxa"/>
            <w:vAlign w:val="center"/>
          </w:tcPr>
          <w:p>
            <w:pPr>
              <w:snapToGrid w:val="0"/>
              <w:spacing w:line="400" w:lineRule="exact"/>
              <w:jc w:val="center"/>
              <w:rPr>
                <w:rFonts w:ascii="宋体" w:hAnsi="宋体" w:cs="宋体"/>
                <w:color w:val="auto"/>
                <w:szCs w:val="21"/>
                <w:highlight w:val="none"/>
              </w:rPr>
            </w:pPr>
          </w:p>
        </w:tc>
        <w:tc>
          <w:tcPr>
            <w:tcW w:w="1059" w:type="dxa"/>
            <w:vAlign w:val="center"/>
          </w:tcPr>
          <w:p>
            <w:pPr>
              <w:snapToGrid w:val="0"/>
              <w:spacing w:line="400" w:lineRule="exact"/>
              <w:jc w:val="center"/>
              <w:rPr>
                <w:rFonts w:ascii="宋体" w:hAnsi="宋体" w:cs="宋体"/>
                <w:color w:val="auto"/>
                <w:szCs w:val="21"/>
                <w:highlight w:val="none"/>
              </w:rPr>
            </w:pPr>
          </w:p>
        </w:tc>
        <w:tc>
          <w:tcPr>
            <w:tcW w:w="1233" w:type="dxa"/>
            <w:vAlign w:val="center"/>
          </w:tcPr>
          <w:p>
            <w:pPr>
              <w:snapToGrid w:val="0"/>
              <w:spacing w:line="400" w:lineRule="exact"/>
              <w:jc w:val="center"/>
              <w:rPr>
                <w:rFonts w:ascii="宋体" w:hAnsi="宋体" w:cs="宋体"/>
                <w:color w:val="auto"/>
                <w:szCs w:val="21"/>
                <w:highlight w:val="none"/>
              </w:rPr>
            </w:pPr>
          </w:p>
        </w:tc>
        <w:tc>
          <w:tcPr>
            <w:tcW w:w="1210" w:type="dxa"/>
          </w:tcPr>
          <w:p>
            <w:pPr>
              <w:snapToGrid w:val="0"/>
              <w:spacing w:line="400" w:lineRule="exact"/>
              <w:jc w:val="center"/>
              <w:rPr>
                <w:rFonts w:ascii="宋体" w:hAnsi="宋体" w:cs="宋体"/>
                <w:color w:val="auto"/>
                <w:szCs w:val="21"/>
                <w:highlight w:val="none"/>
              </w:rPr>
            </w:pPr>
          </w:p>
        </w:tc>
        <w:tc>
          <w:tcPr>
            <w:tcW w:w="737" w:type="dxa"/>
          </w:tcPr>
          <w:p>
            <w:pPr>
              <w:snapToGrid w:val="0"/>
              <w:spacing w:line="400" w:lineRule="exact"/>
              <w:jc w:val="center"/>
              <w:rPr>
                <w:rFonts w:ascii="宋体" w:hAnsi="宋体" w:cs="宋体"/>
                <w:color w:val="auto"/>
                <w:szCs w:val="21"/>
                <w:highlight w:val="none"/>
              </w:rPr>
            </w:pPr>
          </w:p>
        </w:tc>
        <w:tc>
          <w:tcPr>
            <w:tcW w:w="735" w:type="dxa"/>
          </w:tcPr>
          <w:p>
            <w:pPr>
              <w:snapToGrid w:val="0"/>
              <w:spacing w:line="400" w:lineRule="exact"/>
              <w:jc w:val="center"/>
              <w:rPr>
                <w:rFonts w:ascii="宋体" w:hAnsi="宋体" w:cs="宋体"/>
                <w:color w:val="auto"/>
                <w:szCs w:val="21"/>
                <w:highlight w:val="none"/>
              </w:rPr>
            </w:pPr>
          </w:p>
        </w:tc>
        <w:tc>
          <w:tcPr>
            <w:tcW w:w="1095" w:type="dxa"/>
            <w:vAlign w:val="center"/>
          </w:tcPr>
          <w:p>
            <w:pPr>
              <w:snapToGrid w:val="0"/>
              <w:spacing w:line="400" w:lineRule="exact"/>
              <w:jc w:val="center"/>
              <w:rPr>
                <w:rFonts w:ascii="宋体" w:hAnsi="宋体" w:cs="宋体"/>
                <w:color w:val="auto"/>
                <w:szCs w:val="21"/>
                <w:highlight w:val="none"/>
              </w:rPr>
            </w:pPr>
          </w:p>
        </w:tc>
        <w:tc>
          <w:tcPr>
            <w:tcW w:w="1145" w:type="dxa"/>
            <w:vAlign w:val="center"/>
          </w:tcPr>
          <w:p>
            <w:pPr>
              <w:snapToGrid w:val="0"/>
              <w:spacing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1233" w:type="dxa"/>
            <w:vAlign w:val="center"/>
          </w:tcPr>
          <w:p>
            <w:pPr>
              <w:snapToGrid w:val="0"/>
              <w:spacing w:line="400" w:lineRule="exact"/>
              <w:jc w:val="center"/>
              <w:rPr>
                <w:rFonts w:ascii="宋体" w:hAnsi="宋体" w:cs="宋体"/>
                <w:color w:val="auto"/>
                <w:szCs w:val="21"/>
                <w:highlight w:val="none"/>
              </w:rPr>
            </w:pPr>
          </w:p>
        </w:tc>
        <w:tc>
          <w:tcPr>
            <w:tcW w:w="1059" w:type="dxa"/>
            <w:vAlign w:val="center"/>
          </w:tcPr>
          <w:p>
            <w:pPr>
              <w:snapToGrid w:val="0"/>
              <w:spacing w:line="400" w:lineRule="exact"/>
              <w:jc w:val="center"/>
              <w:rPr>
                <w:rFonts w:ascii="宋体" w:hAnsi="宋体" w:cs="宋体"/>
                <w:color w:val="auto"/>
                <w:szCs w:val="21"/>
                <w:highlight w:val="none"/>
              </w:rPr>
            </w:pPr>
          </w:p>
        </w:tc>
        <w:tc>
          <w:tcPr>
            <w:tcW w:w="1233" w:type="dxa"/>
            <w:vAlign w:val="center"/>
          </w:tcPr>
          <w:p>
            <w:pPr>
              <w:snapToGrid w:val="0"/>
              <w:spacing w:line="400" w:lineRule="exact"/>
              <w:jc w:val="center"/>
              <w:rPr>
                <w:rFonts w:ascii="宋体" w:hAnsi="宋体" w:cs="宋体"/>
                <w:color w:val="auto"/>
                <w:szCs w:val="21"/>
                <w:highlight w:val="none"/>
              </w:rPr>
            </w:pPr>
          </w:p>
        </w:tc>
        <w:tc>
          <w:tcPr>
            <w:tcW w:w="1210" w:type="dxa"/>
          </w:tcPr>
          <w:p>
            <w:pPr>
              <w:snapToGrid w:val="0"/>
              <w:spacing w:line="400" w:lineRule="exact"/>
              <w:jc w:val="center"/>
              <w:rPr>
                <w:rFonts w:ascii="宋体" w:hAnsi="宋体" w:cs="宋体"/>
                <w:color w:val="auto"/>
                <w:szCs w:val="21"/>
                <w:highlight w:val="none"/>
              </w:rPr>
            </w:pPr>
          </w:p>
        </w:tc>
        <w:tc>
          <w:tcPr>
            <w:tcW w:w="737" w:type="dxa"/>
          </w:tcPr>
          <w:p>
            <w:pPr>
              <w:snapToGrid w:val="0"/>
              <w:spacing w:line="400" w:lineRule="exact"/>
              <w:jc w:val="center"/>
              <w:rPr>
                <w:rFonts w:ascii="宋体" w:hAnsi="宋体" w:cs="宋体"/>
                <w:color w:val="auto"/>
                <w:szCs w:val="21"/>
                <w:highlight w:val="none"/>
              </w:rPr>
            </w:pPr>
          </w:p>
        </w:tc>
        <w:tc>
          <w:tcPr>
            <w:tcW w:w="735" w:type="dxa"/>
          </w:tcPr>
          <w:p>
            <w:pPr>
              <w:snapToGrid w:val="0"/>
              <w:spacing w:line="400" w:lineRule="exact"/>
              <w:jc w:val="center"/>
              <w:rPr>
                <w:rFonts w:ascii="宋体" w:hAnsi="宋体" w:cs="宋体"/>
                <w:color w:val="auto"/>
                <w:szCs w:val="21"/>
                <w:highlight w:val="none"/>
              </w:rPr>
            </w:pPr>
          </w:p>
        </w:tc>
        <w:tc>
          <w:tcPr>
            <w:tcW w:w="1095" w:type="dxa"/>
            <w:vAlign w:val="center"/>
          </w:tcPr>
          <w:p>
            <w:pPr>
              <w:snapToGrid w:val="0"/>
              <w:spacing w:line="400" w:lineRule="exact"/>
              <w:jc w:val="center"/>
              <w:rPr>
                <w:rFonts w:ascii="宋体" w:hAnsi="宋体" w:cs="宋体"/>
                <w:color w:val="auto"/>
                <w:szCs w:val="21"/>
                <w:highlight w:val="none"/>
              </w:rPr>
            </w:pPr>
          </w:p>
        </w:tc>
        <w:tc>
          <w:tcPr>
            <w:tcW w:w="1145" w:type="dxa"/>
            <w:vAlign w:val="center"/>
          </w:tcPr>
          <w:p>
            <w:pPr>
              <w:snapToGrid w:val="0"/>
              <w:spacing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1233" w:type="dxa"/>
            <w:vAlign w:val="center"/>
          </w:tcPr>
          <w:p>
            <w:pPr>
              <w:snapToGrid w:val="0"/>
              <w:spacing w:line="400" w:lineRule="exact"/>
              <w:jc w:val="center"/>
              <w:rPr>
                <w:rFonts w:ascii="宋体" w:hAnsi="宋体" w:cs="宋体"/>
                <w:color w:val="auto"/>
                <w:szCs w:val="21"/>
                <w:highlight w:val="none"/>
              </w:rPr>
            </w:pPr>
          </w:p>
        </w:tc>
        <w:tc>
          <w:tcPr>
            <w:tcW w:w="1059" w:type="dxa"/>
            <w:vAlign w:val="center"/>
          </w:tcPr>
          <w:p>
            <w:pPr>
              <w:snapToGrid w:val="0"/>
              <w:spacing w:line="400" w:lineRule="exact"/>
              <w:jc w:val="center"/>
              <w:rPr>
                <w:rFonts w:ascii="宋体" w:hAnsi="宋体" w:cs="宋体"/>
                <w:color w:val="auto"/>
                <w:szCs w:val="21"/>
                <w:highlight w:val="none"/>
              </w:rPr>
            </w:pPr>
          </w:p>
        </w:tc>
        <w:tc>
          <w:tcPr>
            <w:tcW w:w="1233" w:type="dxa"/>
            <w:vAlign w:val="center"/>
          </w:tcPr>
          <w:p>
            <w:pPr>
              <w:snapToGrid w:val="0"/>
              <w:spacing w:line="400" w:lineRule="exact"/>
              <w:jc w:val="center"/>
              <w:rPr>
                <w:rFonts w:ascii="宋体" w:hAnsi="宋体" w:cs="宋体"/>
                <w:color w:val="auto"/>
                <w:szCs w:val="21"/>
                <w:highlight w:val="none"/>
              </w:rPr>
            </w:pPr>
          </w:p>
        </w:tc>
        <w:tc>
          <w:tcPr>
            <w:tcW w:w="1210" w:type="dxa"/>
          </w:tcPr>
          <w:p>
            <w:pPr>
              <w:snapToGrid w:val="0"/>
              <w:spacing w:line="400" w:lineRule="exact"/>
              <w:jc w:val="center"/>
              <w:rPr>
                <w:rFonts w:ascii="宋体" w:hAnsi="宋体" w:cs="宋体"/>
                <w:color w:val="auto"/>
                <w:szCs w:val="21"/>
                <w:highlight w:val="none"/>
              </w:rPr>
            </w:pPr>
          </w:p>
        </w:tc>
        <w:tc>
          <w:tcPr>
            <w:tcW w:w="737" w:type="dxa"/>
          </w:tcPr>
          <w:p>
            <w:pPr>
              <w:snapToGrid w:val="0"/>
              <w:spacing w:line="400" w:lineRule="exact"/>
              <w:jc w:val="center"/>
              <w:rPr>
                <w:rFonts w:ascii="宋体" w:hAnsi="宋体" w:cs="宋体"/>
                <w:color w:val="auto"/>
                <w:szCs w:val="21"/>
                <w:highlight w:val="none"/>
              </w:rPr>
            </w:pPr>
          </w:p>
        </w:tc>
        <w:tc>
          <w:tcPr>
            <w:tcW w:w="735" w:type="dxa"/>
          </w:tcPr>
          <w:p>
            <w:pPr>
              <w:snapToGrid w:val="0"/>
              <w:spacing w:line="400" w:lineRule="exact"/>
              <w:jc w:val="center"/>
              <w:rPr>
                <w:rFonts w:ascii="宋体" w:hAnsi="宋体" w:cs="宋体"/>
                <w:color w:val="auto"/>
                <w:szCs w:val="21"/>
                <w:highlight w:val="none"/>
              </w:rPr>
            </w:pPr>
          </w:p>
        </w:tc>
        <w:tc>
          <w:tcPr>
            <w:tcW w:w="1095" w:type="dxa"/>
            <w:vAlign w:val="center"/>
          </w:tcPr>
          <w:p>
            <w:pPr>
              <w:snapToGrid w:val="0"/>
              <w:spacing w:line="400" w:lineRule="exact"/>
              <w:jc w:val="center"/>
              <w:rPr>
                <w:rFonts w:ascii="宋体" w:hAnsi="宋体" w:cs="宋体"/>
                <w:color w:val="auto"/>
                <w:szCs w:val="21"/>
                <w:highlight w:val="none"/>
              </w:rPr>
            </w:pPr>
          </w:p>
        </w:tc>
        <w:tc>
          <w:tcPr>
            <w:tcW w:w="1145" w:type="dxa"/>
            <w:vAlign w:val="center"/>
          </w:tcPr>
          <w:p>
            <w:pPr>
              <w:snapToGrid w:val="0"/>
              <w:spacing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156" w:type="dxa"/>
            <w:gridSpan w:val="9"/>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人民币合计金额（大写）                          （小写）                 </w:t>
            </w:r>
          </w:p>
        </w:tc>
      </w:tr>
    </w:tbl>
    <w:p>
      <w:pPr>
        <w:snapToGrid w:val="0"/>
        <w:spacing w:line="400" w:lineRule="exact"/>
        <w:ind w:right="420" w:firstLine="420" w:firstLineChars="200"/>
        <w:rPr>
          <w:rFonts w:ascii="宋体" w:hAnsi="宋体" w:cs="宋体"/>
          <w:color w:val="auto"/>
          <w:szCs w:val="21"/>
          <w:highlight w:val="none"/>
        </w:rPr>
      </w:pPr>
      <w:r>
        <w:rPr>
          <w:rFonts w:hint="eastAsia" w:ascii="宋体" w:hAnsi="宋体" w:cs="宋体"/>
          <w:color w:val="auto"/>
          <w:szCs w:val="21"/>
          <w:highlight w:val="none"/>
        </w:rPr>
        <w:t>2.合同合计金额包括竞标货物（包括备品备件、专用工具等）的价格，竞标货物运输（含保险）、安装（如有）、调试、检验、技术服务、培训和竞争性谈判文件要求提供的所有伴随服务、工程等费用和税费。</w:t>
      </w:r>
    </w:p>
    <w:p>
      <w:pPr>
        <w:snapToGrid w:val="0"/>
        <w:spacing w:line="40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第二条　质量要求</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1.乙方所提供的产品名称、商标品牌、生产厂家、规格型号、技术参数等质量必须与竞争性谈判文件规定及响应文件承诺相一致。乙方提供的节能和环保产品必须是列入政府采购品目清单的产品。</w:t>
      </w:r>
    </w:p>
    <w:p>
      <w:pPr>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2.乙方所提供的货物必须是全新、未使用的原装产品，且在正常安装、使用和保养条件下，其使用寿命期内各项指标均达到竞争性谈判文件规定或响应文件承诺的质量要求。</w:t>
      </w:r>
    </w:p>
    <w:p>
      <w:pPr>
        <w:snapToGrid w:val="0"/>
        <w:spacing w:line="40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第三条　权利保证</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1.乙方应保证所提供货物在使用时不会侵犯任何第三方的专利权、商标权、工业设计权或其他权利。</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2.乙方应按竞争性谈判文件规定或响应文件承诺的时间向甲方提供使用货物的有关技术资料。</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4.乙方保证将要交付的货物的所有权完全属于乙方且无任何抵押、质押、查封等产权瑕疵。</w:t>
      </w:r>
    </w:p>
    <w:p>
      <w:pPr>
        <w:snapToGrid w:val="0"/>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第四条　包装和运输</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1.乙方提供的货物均应按竞争性谈判文件规定或响应文件承诺的要求的包装材料、包装标准、包装方式进行包装，每一包装单元内应附详细的装箱单和质量合格证。</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2.货物的运输方式：。</w:t>
      </w:r>
    </w:p>
    <w:p>
      <w:pPr>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3.乙方负责货物运输，货物运输合理损耗及计算方法：。</w:t>
      </w:r>
    </w:p>
    <w:p>
      <w:pPr>
        <w:snapToGrid w:val="0"/>
        <w:spacing w:line="40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第五条　交付和验收</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1.交付时间：；交付地点：。</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2.乙方提供不符合竞争性谈判文件规定或响应文件承诺的和本合同规定的货物，甲方有权拒绝接受。</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乙方应将所提供货物的装箱清单、用户手册、原厂保修卡、随机资料、工具和备品、备件等交付给甲方，货物属于进口产品的，供货时应同时附上中文使用说明书，如有缺失应在合理的规定时间内补齐，否则视为逾期交货。</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4.甲方应当在到货（安装、调试完）后七个工作日内进行验收，逾期不验收的，乙方可视同验收合格。验收合格后由甲乙双方签署货物验收单并加盖甲方公章，甲乙双方各执一份。</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6.甲方对验收有异议的，在验收后五个工作日内以书面形式向乙方提出，乙方应自收到甲方书面异议后日内及时予以解决。</w:t>
      </w:r>
    </w:p>
    <w:p>
      <w:pPr>
        <w:snapToGrid w:val="0"/>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第六条　安装和培训</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1.甲方应提供必要安装条件（如场地、电源、水源等）。</w:t>
      </w:r>
    </w:p>
    <w:p>
      <w:pPr>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2.乙方响应文件承诺负责甲方有关人员的培训。培训时间、地点：。</w:t>
      </w:r>
    </w:p>
    <w:p>
      <w:pPr>
        <w:snapToGrid w:val="0"/>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第七条  售后服务、质保期</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1.乙方应按照国家有关法律法规和“三包”规定以及本合同所附的《服务承诺》，为甲方提供售后服务。</w:t>
      </w:r>
    </w:p>
    <w:p>
      <w:pPr>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2.货物质保期：。</w:t>
      </w:r>
    </w:p>
    <w:p>
      <w:pPr>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3.乙方提供的服务承诺和售后服务及保修期责任等其它具体约定事项。（见合同附件）</w:t>
      </w:r>
    </w:p>
    <w:p>
      <w:pPr>
        <w:snapToGrid w:val="0"/>
        <w:spacing w:line="40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第八条　付款方式</w:t>
      </w:r>
    </w:p>
    <w:p>
      <w:pPr>
        <w:pStyle w:val="12"/>
        <w:snapToGrid w:val="0"/>
        <w:spacing w:line="400" w:lineRule="exact"/>
        <w:ind w:firstLine="420" w:firstLineChars="200"/>
        <w:rPr>
          <w:rFonts w:hAnsi="宋体" w:cs="宋体"/>
          <w:color w:val="auto"/>
          <w:sz w:val="21"/>
          <w:highlight w:val="none"/>
        </w:rPr>
      </w:pPr>
      <w:r>
        <w:rPr>
          <w:rFonts w:hint="eastAsia" w:hAnsi="宋体" w:cs="宋体"/>
          <w:bCs/>
          <w:color w:val="auto"/>
          <w:sz w:val="21"/>
          <w:highlight w:val="none"/>
        </w:rPr>
        <w:t>1</w:t>
      </w:r>
      <w:r>
        <w:rPr>
          <w:rFonts w:hint="eastAsia" w:hAnsi="宋体" w:cs="宋体"/>
          <w:color w:val="auto"/>
          <w:sz w:val="21"/>
          <w:highlight w:val="none"/>
        </w:rPr>
        <w:t>.当采购数量与实际使用数量不一致时，乙方应根据实际使用量供货，合同的最终结算金额按实际使用量乘以成交单价进行计算，但不得超出合同价的10%。</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2.付款方式：硬件安装调试验收合格完毕后在15个工作日内支付50%合同款，硬件安装正常运行3个月后，甲方向乙方支付合同金额的45%，剩余5%在质保期满30个工作日内支付。</w:t>
      </w:r>
    </w:p>
    <w:p>
      <w:pPr>
        <w:snapToGrid w:val="0"/>
        <w:spacing w:line="400" w:lineRule="exact"/>
        <w:ind w:left="-61" w:leftChars="-29" w:firstLine="517" w:firstLineChars="245"/>
        <w:rPr>
          <w:rFonts w:ascii="宋体" w:hAnsi="宋体" w:cs="宋体"/>
          <w:b/>
          <w:color w:val="auto"/>
          <w:szCs w:val="21"/>
          <w:highlight w:val="none"/>
        </w:rPr>
      </w:pPr>
      <w:r>
        <w:rPr>
          <w:rFonts w:hint="eastAsia" w:ascii="宋体" w:hAnsi="宋体" w:cs="宋体"/>
          <w:b/>
          <w:color w:val="auto"/>
          <w:szCs w:val="21"/>
          <w:highlight w:val="none"/>
        </w:rPr>
        <w:t>第九条　履约保证金</w:t>
      </w:r>
    </w:p>
    <w:p>
      <w:pPr>
        <w:autoSpaceDE w:val="0"/>
        <w:autoSpaceDN w:val="0"/>
        <w:snapToGrid w:val="0"/>
        <w:spacing w:line="400" w:lineRule="exact"/>
        <w:ind w:firstLine="424" w:firstLineChars="202"/>
        <w:textAlignment w:val="bottom"/>
        <w:rPr>
          <w:rFonts w:ascii="宋体" w:hAnsi="宋体" w:cs="宋体"/>
          <w:color w:val="auto"/>
          <w:szCs w:val="21"/>
          <w:highlight w:val="none"/>
        </w:rPr>
      </w:pPr>
      <w:r>
        <w:rPr>
          <w:rFonts w:hint="eastAsia" w:ascii="宋体" w:hAnsi="宋体" w:cs="宋体"/>
          <w:color w:val="auto"/>
          <w:szCs w:val="21"/>
          <w:highlight w:val="none"/>
        </w:rPr>
        <w:t>履约保证金金额：无。</w:t>
      </w:r>
    </w:p>
    <w:p>
      <w:pPr>
        <w:snapToGrid w:val="0"/>
        <w:spacing w:line="400" w:lineRule="exact"/>
        <w:ind w:left="-61" w:firstLine="514"/>
        <w:rPr>
          <w:rFonts w:ascii="宋体" w:hAnsi="宋体" w:cs="宋体"/>
          <w:b/>
          <w:color w:val="auto"/>
          <w:szCs w:val="21"/>
          <w:highlight w:val="none"/>
        </w:rPr>
      </w:pPr>
      <w:r>
        <w:rPr>
          <w:rFonts w:hint="eastAsia" w:ascii="宋体" w:hAnsi="宋体" w:cs="宋体"/>
          <w:b/>
          <w:color w:val="auto"/>
          <w:szCs w:val="21"/>
          <w:highlight w:val="none"/>
        </w:rPr>
        <w:t>第十条  税费</w:t>
      </w:r>
    </w:p>
    <w:p>
      <w:pPr>
        <w:snapToGrid w:val="0"/>
        <w:spacing w:line="400" w:lineRule="exact"/>
        <w:ind w:left="-61" w:firstLine="514"/>
        <w:rPr>
          <w:rFonts w:ascii="宋体" w:hAnsi="宋体" w:cs="宋体"/>
          <w:color w:val="auto"/>
          <w:szCs w:val="21"/>
          <w:highlight w:val="none"/>
        </w:rPr>
      </w:pPr>
      <w:r>
        <w:rPr>
          <w:rFonts w:hint="eastAsia" w:ascii="宋体" w:hAnsi="宋体" w:cs="宋体"/>
          <w:color w:val="auto"/>
          <w:szCs w:val="21"/>
          <w:highlight w:val="none"/>
        </w:rPr>
        <w:t>本合同执行中相关的一切税费均由乙方负担，合同另有约定的除外。</w:t>
      </w:r>
    </w:p>
    <w:p>
      <w:pPr>
        <w:snapToGrid w:val="0"/>
        <w:spacing w:line="400" w:lineRule="exact"/>
        <w:ind w:left="-61" w:firstLine="514"/>
        <w:rPr>
          <w:rFonts w:ascii="宋体" w:hAnsi="宋体" w:cs="宋体"/>
          <w:color w:val="auto"/>
          <w:szCs w:val="21"/>
          <w:highlight w:val="none"/>
        </w:rPr>
      </w:pPr>
      <w:r>
        <w:rPr>
          <w:rFonts w:hint="eastAsia" w:ascii="宋体" w:hAnsi="宋体" w:cs="宋体"/>
          <w:b/>
          <w:color w:val="auto"/>
          <w:szCs w:val="21"/>
          <w:highlight w:val="none"/>
        </w:rPr>
        <w:t>第十一条  质量保证及售后服务</w:t>
      </w:r>
    </w:p>
    <w:p>
      <w:pPr>
        <w:pStyle w:val="12"/>
        <w:snapToGrid w:val="0"/>
        <w:spacing w:line="400" w:lineRule="exact"/>
        <w:ind w:firstLine="420" w:firstLineChars="200"/>
        <w:rPr>
          <w:rFonts w:hAnsi="宋体" w:cs="宋体"/>
          <w:color w:val="auto"/>
          <w:sz w:val="21"/>
          <w:highlight w:val="none"/>
        </w:rPr>
      </w:pPr>
      <w:r>
        <w:rPr>
          <w:rFonts w:hint="eastAsia" w:hAnsi="宋体" w:cs="宋体"/>
          <w:bCs/>
          <w:color w:val="auto"/>
          <w:sz w:val="21"/>
          <w:highlight w:val="none"/>
        </w:rPr>
        <w:t>1.</w:t>
      </w:r>
      <w:r>
        <w:rPr>
          <w:rFonts w:hint="eastAsia" w:hAnsi="宋体" w:cs="宋体"/>
          <w:color w:val="auto"/>
          <w:sz w:val="21"/>
          <w:highlight w:val="none"/>
        </w:rPr>
        <w:t>乙方应按竞争性谈判文件规定的产品名称、商标品牌、生产厂家、规格型号、技术参数、质量标准向甲方提供未经使用的全新产品。不符合要求的，根据实际情况，经双方协商，可按以下办法处理：</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⑴更换：由乙方承担所发生的全部费用。</w:t>
      </w:r>
    </w:p>
    <w:p>
      <w:pPr>
        <w:pStyle w:val="12"/>
        <w:snapToGrid w:val="0"/>
        <w:spacing w:line="400" w:lineRule="exact"/>
        <w:ind w:firstLine="420"/>
        <w:rPr>
          <w:rFonts w:hAnsi="宋体" w:cs="宋体"/>
          <w:color w:val="auto"/>
          <w:sz w:val="21"/>
          <w:highlight w:val="none"/>
        </w:rPr>
      </w:pPr>
      <w:r>
        <w:rPr>
          <w:rFonts w:hint="eastAsia" w:hAnsi="宋体" w:cs="宋体"/>
          <w:color w:val="auto"/>
          <w:sz w:val="21"/>
          <w:highlight w:val="none"/>
        </w:rPr>
        <w:t>⑵贬值处理：由甲乙双方合议定价。</w:t>
      </w:r>
    </w:p>
    <w:p>
      <w:pPr>
        <w:pStyle w:val="12"/>
        <w:snapToGrid w:val="0"/>
        <w:spacing w:line="400" w:lineRule="exact"/>
        <w:ind w:firstLine="420"/>
        <w:rPr>
          <w:rFonts w:hAnsi="宋体" w:cs="宋体"/>
          <w:color w:val="auto"/>
          <w:sz w:val="21"/>
          <w:highlight w:val="none"/>
        </w:rPr>
      </w:pPr>
      <w:r>
        <w:rPr>
          <w:rFonts w:hint="eastAsia" w:hAnsi="宋体" w:cs="宋体"/>
          <w:color w:val="auto"/>
          <w:sz w:val="21"/>
          <w:highlight w:val="none"/>
        </w:rPr>
        <w:t>⑶退货处理：乙方应退还甲方支付的合同款，同时应承担该货物的直接费用（运输、保险、检验、货款利息及银行手续费等）。</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2.如在使用过程中发生质量问题，乙方在接到甲方通知后到达甲方现场处理的时间（</w:t>
      </w:r>
      <w:r>
        <w:rPr>
          <w:rFonts w:hint="eastAsia" w:hAnsi="宋体" w:cs="宋体"/>
          <w:color w:val="auto"/>
          <w:sz w:val="21"/>
          <w:highlight w:val="none"/>
          <w:u w:val="single"/>
        </w:rPr>
        <w:t>按响应文件承诺的数据填写</w:t>
      </w:r>
      <w:r>
        <w:rPr>
          <w:rFonts w:hint="eastAsia" w:hAnsi="宋体" w:cs="宋体"/>
          <w:color w:val="auto"/>
          <w:sz w:val="21"/>
          <w:highlight w:val="none"/>
        </w:rPr>
        <w:t>）小时内。</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3.在质保期内，乙方应对货物出现的质量及安全问题负责处理解决并承担一切费用。</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4.上述的货物质保期为年，因人为因素出现的故障不在免费保修范围内。超过保修期的机器设备，终生维修，维修时只收部件成本费。</w:t>
      </w:r>
    </w:p>
    <w:p>
      <w:pPr>
        <w:snapToGrid w:val="0"/>
        <w:spacing w:line="400" w:lineRule="exact"/>
        <w:ind w:left="-61" w:firstLine="514"/>
        <w:rPr>
          <w:rFonts w:ascii="宋体" w:hAnsi="宋体" w:cs="宋体"/>
          <w:color w:val="auto"/>
          <w:szCs w:val="21"/>
          <w:highlight w:val="none"/>
        </w:rPr>
      </w:pPr>
      <w:r>
        <w:rPr>
          <w:rFonts w:hint="eastAsia" w:ascii="宋体" w:hAnsi="宋体" w:cs="宋体"/>
          <w:b/>
          <w:color w:val="auto"/>
          <w:szCs w:val="21"/>
          <w:highlight w:val="none"/>
        </w:rPr>
        <w:t>第十二条  调试和验收（本条款适用于甲方自行验收，委托第三方验收的另行规定）</w:t>
      </w:r>
    </w:p>
    <w:p>
      <w:pPr>
        <w:pStyle w:val="12"/>
        <w:snapToGrid w:val="0"/>
        <w:spacing w:line="400" w:lineRule="exact"/>
        <w:ind w:firstLine="420" w:firstLineChars="200"/>
        <w:jc w:val="left"/>
        <w:rPr>
          <w:rFonts w:hAnsi="宋体" w:cs="宋体"/>
          <w:color w:val="auto"/>
          <w:sz w:val="21"/>
          <w:highlight w:val="none"/>
        </w:rPr>
      </w:pPr>
      <w:r>
        <w:rPr>
          <w:rFonts w:hint="eastAsia" w:hAnsi="宋体" w:cs="宋体"/>
          <w:color w:val="auto"/>
          <w:sz w:val="21"/>
          <w:highlight w:val="none"/>
        </w:rPr>
        <w:t>1.甲方对乙方提交的货物依据竞争性谈判文件上的技术规格要求和国家有关质量标准进行现场初步验收，外观、说明书符合竞争性谈判文件技术要求的，给予签收，初步验收不合格的不予签收。货到后，甲方应当在到货（安装、调试完）后七个工作日内进行验收。</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2.乙方交货前应对产品作出全面检查和对验收文件进行整理，并列出清单，作为甲方收货验收和使用的技术条件依据，检验的结果应随货物交甲方。</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3.甲方对乙方提供的货物在使用前进行调试时，乙方需负责安装并培训甲方的使用操作人员，并协助甲方一起调试，直到符合技术要求，甲方才做最终验收。</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4.对技术复杂的货物，甲方应请国家认可的专业检测机构参与初步验收及最终验收，并由其出具质量检测报告。</w:t>
      </w:r>
    </w:p>
    <w:p>
      <w:pPr>
        <w:snapToGrid w:val="0"/>
        <w:spacing w:line="400" w:lineRule="exact"/>
        <w:ind w:left="-61" w:firstLine="514"/>
        <w:rPr>
          <w:rFonts w:ascii="宋体" w:hAnsi="宋体" w:cs="宋体"/>
          <w:color w:val="auto"/>
          <w:szCs w:val="21"/>
          <w:highlight w:val="none"/>
        </w:rPr>
      </w:pPr>
      <w:r>
        <w:rPr>
          <w:rFonts w:hint="eastAsia" w:ascii="宋体" w:hAnsi="宋体" w:cs="宋体"/>
          <w:color w:val="auto"/>
          <w:szCs w:val="21"/>
          <w:highlight w:val="none"/>
        </w:rPr>
        <w:t>5.验收时乙方必须在现场，验收完毕后作出验收结果报告；验收费用按竞争性谈判文件约定承担方负责。</w:t>
      </w:r>
    </w:p>
    <w:p>
      <w:pPr>
        <w:pStyle w:val="12"/>
        <w:snapToGrid w:val="0"/>
        <w:spacing w:line="400" w:lineRule="exact"/>
        <w:ind w:firstLine="413" w:firstLineChars="196"/>
        <w:rPr>
          <w:rFonts w:hAnsi="宋体" w:cs="宋体"/>
          <w:b/>
          <w:color w:val="auto"/>
          <w:sz w:val="21"/>
          <w:highlight w:val="none"/>
        </w:rPr>
      </w:pPr>
      <w:r>
        <w:rPr>
          <w:rFonts w:hint="eastAsia" w:hAnsi="宋体" w:cs="宋体"/>
          <w:b/>
          <w:color w:val="auto"/>
          <w:sz w:val="21"/>
          <w:highlight w:val="none"/>
        </w:rPr>
        <w:t>第十三条  货物包装、发运及运输</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1.乙方应在货物发运前对其进行满足运输距离、防潮、防震、防锈和防破损装卸等要求包装，以保证货物安全运达甲方指定地点。</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2.使用说明书（货物属于进口产品的，供货时应同时附上中文使用说明书）、质量检验证明书、随配附件和工具以及清单一并附于货物内。</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3.乙方在货物发运手续办理完毕后二十四小时内或货到甲方四十八小时前通知甲方，以准备接货。</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4.货物在交付甲方前发生的风险均由乙方负责。</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5.货物在规定的交付期限内由乙方送达甲方指定的地点视为交付，乙方同时需通知甲方货物已送达。</w:t>
      </w:r>
    </w:p>
    <w:p>
      <w:pPr>
        <w:snapToGrid w:val="0"/>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第十四条　违约责任</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 xml:space="preserve">1.乙方所提供的产品名称、商标品牌、生产厂家、规格型号、技术参数等质量不合格的，应及时更换，更换不及时的按逾期交货处罚；因质量问题甲方不同意接收的或特殊情况甲方同意接收的，乙方应向甲方支付违约货款额 5%违约金并赔偿甲方经济损失。                                       </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2.乙方提供的货物如侵犯了第三方合法权益而引发的任何纠纷或诉讼，均由乙方负责交涉并承担全部责任。</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3.因包装、运输引起的货物损坏，按质量不合格处罚。</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4.甲方无故延期接收货物、乙方逾期交货的，每天向对方偿付违约货款额3‰违约金，但违约金累计不得超过违约货款额5%，超过天对方有权解除合同，违约方承担因此给对方造成经济损失；甲方延期付货款的，每天向乙方偿付延期货款额3‰滞纳金，但滞纳金累计不得超过延期货款额5%。甲方无故延期退付履约保证金的，每天向对方偿付未退付履约保证金3‰的违约金。</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5.乙方未按本合同和响应文件中规定的服务承诺提供售后服务的，乙方应按本合同合计金额 5%向甲方支付违约金。</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6.乙方提供的货物在质量保证期内，因设计、工艺或材料的缺陷和其它质量原因造成的问题，由乙方负责，费用从余款或履约保证金中扣除，不足另补。</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7.甲乙双方有其它违约行为的，由违约方向对方支付违约内容涉及货款额的5%，违约内容涉及货款额的5%不足以赔偿经济损失的按实际赔偿。</w:t>
      </w:r>
    </w:p>
    <w:p>
      <w:pPr>
        <w:pStyle w:val="12"/>
        <w:snapToGrid w:val="0"/>
        <w:spacing w:line="400" w:lineRule="exact"/>
        <w:ind w:firstLine="413" w:firstLineChars="196"/>
        <w:rPr>
          <w:rFonts w:hAnsi="宋体" w:cs="宋体"/>
          <w:b/>
          <w:color w:val="auto"/>
          <w:sz w:val="21"/>
          <w:highlight w:val="none"/>
        </w:rPr>
      </w:pPr>
      <w:r>
        <w:rPr>
          <w:rFonts w:hint="eastAsia" w:hAnsi="宋体" w:cs="宋体"/>
          <w:b/>
          <w:color w:val="auto"/>
          <w:sz w:val="21"/>
          <w:highlight w:val="none"/>
        </w:rPr>
        <w:t>第十五条  不可抗力事件处理</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1.在合同有效期内，任何一方因不可抗力事件导致不能履行合同，则合同履行期可延长，其延长期与不可抗力影响期相同。</w:t>
      </w:r>
    </w:p>
    <w:p>
      <w:pPr>
        <w:pStyle w:val="12"/>
        <w:snapToGrid w:val="0"/>
        <w:spacing w:line="400" w:lineRule="exact"/>
        <w:ind w:firstLine="420" w:firstLineChars="200"/>
        <w:rPr>
          <w:rFonts w:hAnsi="宋体" w:cs="宋体"/>
          <w:color w:val="auto"/>
          <w:sz w:val="21"/>
          <w:highlight w:val="none"/>
        </w:rPr>
      </w:pPr>
      <w:r>
        <w:rPr>
          <w:rFonts w:hint="eastAsia" w:hAnsi="宋体" w:cs="宋体"/>
          <w:color w:val="auto"/>
          <w:sz w:val="21"/>
          <w:highlight w:val="none"/>
        </w:rPr>
        <w:t>2.不可抗力事件发生后，应立即通知对方，并寄送有关权威机构出具的证明。</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3.不可抗力事件延续一百二十天以上，双方应通过友好协商，确定是否继续履行合同。</w:t>
      </w:r>
    </w:p>
    <w:p>
      <w:pPr>
        <w:snapToGrid w:val="0"/>
        <w:spacing w:line="40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第十六条  合同争议解决</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2.因履行本合同引起的或与本合同有关的争议，甲乙双方应首先通过友好协商解决，如果协商不能解决，可向仲裁委员会申请仲裁或向人民法院提起诉讼。</w:t>
      </w:r>
    </w:p>
    <w:p>
      <w:pPr>
        <w:snapToGrid w:val="0"/>
        <w:spacing w:line="400" w:lineRule="exact"/>
        <w:ind w:left="-61" w:firstLine="514"/>
        <w:rPr>
          <w:rFonts w:ascii="宋体" w:hAnsi="宋体" w:cs="宋体"/>
          <w:color w:val="auto"/>
          <w:szCs w:val="21"/>
          <w:highlight w:val="none"/>
        </w:rPr>
      </w:pPr>
      <w:r>
        <w:rPr>
          <w:rFonts w:hint="eastAsia" w:ascii="宋体" w:hAnsi="宋体" w:cs="宋体"/>
          <w:color w:val="auto"/>
          <w:szCs w:val="21"/>
          <w:highlight w:val="none"/>
        </w:rPr>
        <w:t>3.诉讼期间，本合同继续履行。</w:t>
      </w:r>
    </w:p>
    <w:p>
      <w:pPr>
        <w:pStyle w:val="12"/>
        <w:snapToGrid w:val="0"/>
        <w:spacing w:line="400" w:lineRule="exact"/>
        <w:ind w:firstLine="413" w:firstLineChars="196"/>
        <w:rPr>
          <w:rFonts w:hAnsi="宋体" w:cs="宋体"/>
          <w:b/>
          <w:color w:val="auto"/>
          <w:sz w:val="21"/>
          <w:highlight w:val="none"/>
        </w:rPr>
      </w:pPr>
      <w:r>
        <w:rPr>
          <w:rFonts w:hint="eastAsia" w:hAnsi="宋体" w:cs="宋体"/>
          <w:b/>
          <w:color w:val="auto"/>
          <w:sz w:val="21"/>
          <w:highlight w:val="none"/>
        </w:rPr>
        <w:t>第十七条  诉讼</w:t>
      </w:r>
    </w:p>
    <w:p>
      <w:pPr>
        <w:snapToGrid w:val="0"/>
        <w:spacing w:line="400" w:lineRule="exact"/>
        <w:ind w:left="-61" w:firstLine="514"/>
        <w:rPr>
          <w:rFonts w:ascii="宋体" w:hAnsi="宋体" w:cs="宋体"/>
          <w:color w:val="auto"/>
          <w:szCs w:val="21"/>
          <w:highlight w:val="none"/>
        </w:rPr>
      </w:pPr>
      <w:r>
        <w:rPr>
          <w:rFonts w:hint="eastAsia" w:ascii="宋体" w:hAnsi="宋体" w:cs="宋体"/>
          <w:color w:val="auto"/>
          <w:szCs w:val="21"/>
          <w:highlight w:val="none"/>
        </w:rPr>
        <w:t>双方在执行合同中所发生的一切争议，应通过协商解决。如协商不能解决，可向甲方所在地仲裁委员会申请仲裁或人民法院提起诉讼。</w:t>
      </w:r>
    </w:p>
    <w:p>
      <w:pPr>
        <w:pStyle w:val="12"/>
        <w:snapToGrid w:val="0"/>
        <w:spacing w:line="400" w:lineRule="exact"/>
        <w:ind w:firstLine="413" w:firstLineChars="196"/>
        <w:rPr>
          <w:rFonts w:hAnsi="宋体" w:cs="宋体"/>
          <w:b/>
          <w:color w:val="auto"/>
          <w:sz w:val="21"/>
          <w:highlight w:val="none"/>
        </w:rPr>
      </w:pPr>
      <w:r>
        <w:rPr>
          <w:rFonts w:hint="eastAsia" w:hAnsi="宋体" w:cs="宋体"/>
          <w:b/>
          <w:color w:val="auto"/>
          <w:sz w:val="21"/>
          <w:highlight w:val="none"/>
        </w:rPr>
        <w:t>第十八条  合同生效及其它</w:t>
      </w:r>
    </w:p>
    <w:p>
      <w:pPr>
        <w:pStyle w:val="12"/>
        <w:snapToGrid w:val="0"/>
        <w:spacing w:line="400" w:lineRule="exact"/>
        <w:ind w:firstLine="422" w:firstLineChars="200"/>
        <w:rPr>
          <w:rFonts w:hAnsi="宋体" w:cs="宋体"/>
          <w:b/>
          <w:color w:val="auto"/>
          <w:sz w:val="21"/>
          <w:highlight w:val="none"/>
        </w:rPr>
      </w:pPr>
      <w:r>
        <w:rPr>
          <w:rFonts w:hint="eastAsia" w:hAnsi="宋体" w:cs="宋体"/>
          <w:b/>
          <w:color w:val="auto"/>
          <w:sz w:val="21"/>
          <w:highlight w:val="none"/>
        </w:rPr>
        <w:t>1. 合同经双方法定代表人（负责人或自然人）或委托代理人签字并加盖单位公章后生效（委托代理人签字的需后附法定代表人授权委托书，格式自拟）。</w:t>
      </w:r>
    </w:p>
    <w:p>
      <w:pPr>
        <w:pStyle w:val="12"/>
        <w:snapToGrid w:val="0"/>
        <w:spacing w:line="400" w:lineRule="exact"/>
        <w:ind w:firstLine="422" w:firstLineChars="200"/>
        <w:rPr>
          <w:rFonts w:hAnsi="宋体" w:cs="宋体"/>
          <w:b/>
          <w:color w:val="auto"/>
          <w:sz w:val="21"/>
          <w:highlight w:val="none"/>
        </w:rPr>
      </w:pPr>
      <w:r>
        <w:rPr>
          <w:rFonts w:hint="eastAsia" w:hAnsi="宋体" w:cs="宋体"/>
          <w:b/>
          <w:color w:val="auto"/>
          <w:sz w:val="21"/>
          <w:highlight w:val="none"/>
        </w:rPr>
        <w:t>2.合同执行中涉及采购资金和采购内容修改或补充的，须经财政部门审批，并签书面补充协议报财政部门备案，方可作为主合同不可分割的一部分。</w:t>
      </w:r>
    </w:p>
    <w:p>
      <w:pPr>
        <w:pStyle w:val="12"/>
        <w:snapToGrid w:val="0"/>
        <w:spacing w:line="400" w:lineRule="exact"/>
        <w:ind w:left="420" w:leftChars="200"/>
        <w:rPr>
          <w:rFonts w:hAnsi="宋体" w:cs="宋体"/>
          <w:b/>
          <w:color w:val="auto"/>
          <w:sz w:val="21"/>
          <w:highlight w:val="none"/>
        </w:rPr>
      </w:pPr>
      <w:r>
        <w:rPr>
          <w:rFonts w:hint="eastAsia" w:hAnsi="宋体" w:cs="宋体"/>
          <w:b/>
          <w:color w:val="auto"/>
          <w:sz w:val="21"/>
          <w:highlight w:val="none"/>
        </w:rPr>
        <w:t>3.本合同未尽事宜，遵照《合同法》有关条文执行。</w:t>
      </w:r>
    </w:p>
    <w:p>
      <w:pPr>
        <w:snapToGrid w:val="0"/>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第十九条　合同的变更、终止与转让</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1.除《中华人民共和国政府采购法》第五十条规定的情形外，本合同一经签订，甲乙双方不得擅自变更、中止或终止。</w:t>
      </w:r>
    </w:p>
    <w:p>
      <w:pPr>
        <w:snapToGrid w:val="0"/>
        <w:spacing w:line="400" w:lineRule="exact"/>
        <w:ind w:left="-61" w:firstLine="514"/>
        <w:rPr>
          <w:rFonts w:ascii="宋体" w:hAnsi="宋体" w:cs="宋体"/>
          <w:color w:val="auto"/>
          <w:szCs w:val="21"/>
          <w:highlight w:val="none"/>
        </w:rPr>
      </w:pPr>
      <w:r>
        <w:rPr>
          <w:rFonts w:hint="eastAsia" w:ascii="宋体" w:hAnsi="宋体" w:cs="宋体"/>
          <w:color w:val="auto"/>
          <w:szCs w:val="21"/>
          <w:highlight w:val="none"/>
        </w:rPr>
        <w:t>2.乙方不得擅自转让（无进口资格的供应商委托进口货物除外）其应履行的合同义务。</w:t>
      </w:r>
    </w:p>
    <w:p>
      <w:pPr>
        <w:snapToGrid w:val="0"/>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第二十条　</w:t>
      </w:r>
      <w:r>
        <w:rPr>
          <w:rFonts w:hint="eastAsia" w:ascii="宋体" w:hAnsi="宋体" w:cs="宋体"/>
          <w:b/>
          <w:bCs/>
          <w:color w:val="auto"/>
          <w:kern w:val="0"/>
          <w:szCs w:val="21"/>
          <w:highlight w:val="none"/>
        </w:rPr>
        <w:t>本合同书与下列文件一起构成合同文件</w:t>
      </w:r>
    </w:p>
    <w:p>
      <w:pPr>
        <w:pStyle w:val="12"/>
        <w:snapToGrid w:val="0"/>
        <w:spacing w:line="400" w:lineRule="exact"/>
        <w:ind w:left="420" w:leftChars="200"/>
        <w:rPr>
          <w:rFonts w:hAnsi="宋体" w:cs="宋体"/>
          <w:color w:val="auto"/>
          <w:sz w:val="21"/>
          <w:highlight w:val="none"/>
        </w:rPr>
      </w:pPr>
      <w:r>
        <w:rPr>
          <w:rFonts w:hint="eastAsia" w:hAnsi="宋体" w:cs="宋体"/>
          <w:color w:val="auto"/>
          <w:sz w:val="21"/>
          <w:highlight w:val="none"/>
        </w:rPr>
        <w:t>1.成交通知书；</w:t>
      </w:r>
    </w:p>
    <w:p>
      <w:pPr>
        <w:pStyle w:val="12"/>
        <w:snapToGrid w:val="0"/>
        <w:spacing w:line="400" w:lineRule="exact"/>
        <w:ind w:left="420" w:leftChars="200"/>
        <w:rPr>
          <w:rFonts w:hAnsi="宋体" w:cs="宋体"/>
          <w:color w:val="auto"/>
          <w:sz w:val="21"/>
          <w:highlight w:val="none"/>
        </w:rPr>
      </w:pPr>
      <w:r>
        <w:rPr>
          <w:rFonts w:hint="eastAsia" w:hAnsi="宋体" w:cs="宋体"/>
          <w:color w:val="auto"/>
          <w:sz w:val="21"/>
          <w:highlight w:val="none"/>
        </w:rPr>
        <w:t>2.竞标声明书；</w:t>
      </w:r>
    </w:p>
    <w:p>
      <w:pPr>
        <w:pStyle w:val="12"/>
        <w:snapToGrid w:val="0"/>
        <w:spacing w:line="400" w:lineRule="exact"/>
        <w:ind w:left="420" w:leftChars="200"/>
        <w:rPr>
          <w:rFonts w:hAnsi="宋体" w:cs="宋体"/>
          <w:color w:val="auto"/>
          <w:sz w:val="21"/>
          <w:highlight w:val="none"/>
        </w:rPr>
      </w:pPr>
      <w:r>
        <w:rPr>
          <w:rFonts w:hint="eastAsia" w:hAnsi="宋体" w:cs="宋体"/>
          <w:color w:val="auto"/>
          <w:sz w:val="21"/>
          <w:highlight w:val="none"/>
        </w:rPr>
        <w:t>3.商务条款偏离表和技术需求偏离表；</w:t>
      </w:r>
    </w:p>
    <w:p>
      <w:pPr>
        <w:pStyle w:val="12"/>
        <w:snapToGrid w:val="0"/>
        <w:spacing w:line="400" w:lineRule="exact"/>
        <w:ind w:left="420" w:leftChars="200"/>
        <w:rPr>
          <w:rFonts w:hAnsi="宋体" w:cs="宋体"/>
          <w:color w:val="auto"/>
          <w:sz w:val="21"/>
          <w:highlight w:val="none"/>
        </w:rPr>
      </w:pPr>
      <w:r>
        <w:rPr>
          <w:rFonts w:hint="eastAsia" w:hAnsi="宋体" w:cs="宋体"/>
          <w:color w:val="auto"/>
          <w:sz w:val="21"/>
          <w:highlight w:val="none"/>
        </w:rPr>
        <w:t>4.采购需求；</w:t>
      </w:r>
    </w:p>
    <w:p>
      <w:pPr>
        <w:pStyle w:val="12"/>
        <w:snapToGrid w:val="0"/>
        <w:spacing w:line="400" w:lineRule="exact"/>
        <w:ind w:left="420" w:leftChars="200"/>
        <w:rPr>
          <w:rFonts w:hAnsi="宋体" w:cs="宋体"/>
          <w:color w:val="auto"/>
          <w:sz w:val="21"/>
          <w:highlight w:val="none"/>
        </w:rPr>
      </w:pPr>
      <w:r>
        <w:rPr>
          <w:rFonts w:hint="eastAsia" w:hAnsi="宋体" w:cs="宋体"/>
          <w:color w:val="auto"/>
          <w:sz w:val="21"/>
          <w:highlight w:val="none"/>
        </w:rPr>
        <w:t>5.竞标报价表；</w:t>
      </w:r>
    </w:p>
    <w:p>
      <w:pPr>
        <w:pStyle w:val="12"/>
        <w:snapToGrid w:val="0"/>
        <w:spacing w:line="400" w:lineRule="exact"/>
        <w:ind w:left="420" w:leftChars="200"/>
        <w:rPr>
          <w:rFonts w:hAnsi="宋体" w:cs="宋体"/>
          <w:color w:val="auto"/>
          <w:sz w:val="21"/>
          <w:highlight w:val="none"/>
        </w:rPr>
      </w:pPr>
      <w:r>
        <w:rPr>
          <w:rFonts w:hint="eastAsia" w:hAnsi="宋体" w:cs="宋体"/>
          <w:color w:val="auto"/>
          <w:sz w:val="21"/>
          <w:highlight w:val="none"/>
        </w:rPr>
        <w:t>6.其他合同文件。</w:t>
      </w:r>
    </w:p>
    <w:p>
      <w:pPr>
        <w:pStyle w:val="12"/>
        <w:snapToGrid w:val="0"/>
        <w:spacing w:line="400" w:lineRule="exact"/>
        <w:ind w:firstLine="420" w:firstLineChars="200"/>
        <w:rPr>
          <w:rFonts w:hAnsi="宋体" w:cs="宋体"/>
          <w:b/>
          <w:color w:val="auto"/>
          <w:sz w:val="21"/>
          <w:highlight w:val="none"/>
        </w:rPr>
      </w:pPr>
      <w:r>
        <w:rPr>
          <w:rFonts w:hint="eastAsia" w:hAnsi="宋体" w:cs="宋体"/>
          <w:color w:val="auto"/>
          <w:sz w:val="21"/>
          <w:highlight w:val="none"/>
        </w:rPr>
        <w:t>7.上述合同文件互相补充和解释。如果合同文件之间存在矛盾或不一致之处，以上述文件的排列顺序在先者为准。</w:t>
      </w:r>
    </w:p>
    <w:p>
      <w:pPr>
        <w:snapToGrid w:val="0"/>
        <w:spacing w:line="400" w:lineRule="exact"/>
        <w:ind w:firstLine="422" w:firstLineChars="200"/>
        <w:rPr>
          <w:rFonts w:ascii="宋体" w:hAnsi="宋体" w:cs="宋体"/>
          <w:b/>
          <w:bCs/>
          <w:color w:val="auto"/>
          <w:szCs w:val="21"/>
          <w:highlight w:val="none"/>
        </w:rPr>
      </w:pPr>
      <w:r>
        <w:rPr>
          <w:rFonts w:hint="eastAsia" w:ascii="宋体" w:hAnsi="宋体" w:cs="宋体"/>
          <w:b/>
          <w:color w:val="auto"/>
          <w:szCs w:val="21"/>
          <w:highlight w:val="none"/>
        </w:rPr>
        <w:t>第二十一条　</w:t>
      </w:r>
      <w:r>
        <w:rPr>
          <w:rFonts w:hint="eastAsia" w:ascii="宋体" w:hAnsi="宋体" w:cs="宋体"/>
          <w:b/>
          <w:bCs/>
          <w:color w:val="auto"/>
          <w:szCs w:val="21"/>
          <w:highlight w:val="none"/>
        </w:rPr>
        <w:t>本合同一式四份，具有同等法律效力，甲方二份，乙方一份，采购代理机构一份（可根据需要另增加）。</w:t>
      </w:r>
    </w:p>
    <w:p>
      <w:pPr>
        <w:snapToGrid w:val="0"/>
        <w:spacing w:line="400" w:lineRule="exact"/>
        <w:ind w:left="-61" w:firstLine="514"/>
        <w:rPr>
          <w:rFonts w:ascii="宋体" w:hAnsi="宋体" w:cs="宋体"/>
          <w:b/>
          <w:bCs/>
          <w:color w:val="auto"/>
          <w:szCs w:val="21"/>
          <w:highlight w:val="none"/>
        </w:rPr>
      </w:pPr>
      <w:r>
        <w:rPr>
          <w:rFonts w:hint="eastAsia" w:ascii="宋体" w:hAnsi="宋体" w:cs="宋体"/>
          <w:b/>
          <w:bCs/>
          <w:color w:val="auto"/>
          <w:szCs w:val="21"/>
          <w:highlight w:val="none"/>
        </w:rPr>
        <w:t>第二十二条  本合同甲乙双方签字盖章后生效。</w:t>
      </w:r>
    </w:p>
    <w:p>
      <w:pPr>
        <w:snapToGrid w:val="0"/>
        <w:spacing w:line="400" w:lineRule="exact"/>
        <w:ind w:left="-61" w:firstLine="514"/>
        <w:rPr>
          <w:rFonts w:ascii="宋体" w:hAnsi="宋体" w:cs="宋体"/>
          <w:b/>
          <w:bCs/>
          <w:color w:val="auto"/>
          <w:szCs w:val="21"/>
          <w:highlight w:val="none"/>
        </w:rPr>
      </w:pPr>
      <w:r>
        <w:rPr>
          <w:rFonts w:hint="eastAsia" w:ascii="宋体" w:hAnsi="宋体" w:cs="宋体"/>
          <w:b/>
          <w:bCs/>
          <w:color w:val="auto"/>
          <w:szCs w:val="21"/>
          <w:highlight w:val="none"/>
        </w:rPr>
        <w:t>第二十三条  自签订之日起七个工作日内，采购人或采购代理机构应当将合同副本报同级财政部门备案。</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6"/>
        <w:gridCol w:w="5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0" w:type="auto"/>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甲方（章）           </w:t>
            </w:r>
          </w:p>
          <w:p>
            <w:pPr>
              <w:snapToGrid w:val="0"/>
              <w:spacing w:line="400" w:lineRule="exact"/>
              <w:rPr>
                <w:rFonts w:ascii="宋体" w:hAnsi="宋体" w:cs="宋体"/>
                <w:color w:val="auto"/>
                <w:szCs w:val="21"/>
                <w:highlight w:val="none"/>
              </w:rPr>
            </w:pPr>
          </w:p>
          <w:p>
            <w:pPr>
              <w:snapToGrid w:val="0"/>
              <w:spacing w:line="400" w:lineRule="exact"/>
              <w:ind w:firstLine="945" w:firstLineChars="450"/>
              <w:jc w:val="right"/>
              <w:rPr>
                <w:rFonts w:ascii="宋体" w:hAnsi="宋体" w:cs="宋体"/>
                <w:color w:val="auto"/>
                <w:szCs w:val="21"/>
                <w:highlight w:val="none"/>
              </w:rPr>
            </w:pPr>
            <w:r>
              <w:rPr>
                <w:rFonts w:hint="eastAsia" w:ascii="宋体" w:hAnsi="宋体" w:cs="宋体"/>
                <w:color w:val="auto"/>
                <w:szCs w:val="21"/>
                <w:highlight w:val="none"/>
              </w:rPr>
              <w:t>年   月   日</w:t>
            </w:r>
          </w:p>
        </w:tc>
        <w:tc>
          <w:tcPr>
            <w:tcW w:w="5156" w:type="dxa"/>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乙方（章）              </w:t>
            </w:r>
          </w:p>
          <w:p>
            <w:pPr>
              <w:snapToGrid w:val="0"/>
              <w:spacing w:line="400" w:lineRule="exact"/>
              <w:rPr>
                <w:rFonts w:ascii="宋体" w:hAnsi="宋体" w:cs="宋体"/>
                <w:color w:val="auto"/>
                <w:szCs w:val="21"/>
                <w:highlight w:val="none"/>
              </w:rPr>
            </w:pPr>
          </w:p>
          <w:p>
            <w:pPr>
              <w:snapToGrid w:val="0"/>
              <w:spacing w:line="400" w:lineRule="exact"/>
              <w:jc w:val="right"/>
              <w:rPr>
                <w:rFonts w:ascii="宋体" w:hAnsi="宋体" w:cs="宋体"/>
                <w:color w:val="auto"/>
                <w:szCs w:val="21"/>
                <w:highlight w:val="none"/>
              </w:rPr>
            </w:pPr>
            <w:r>
              <w:rPr>
                <w:rFonts w:hint="eastAsia" w:ascii="宋体" w:hAnsi="宋体" w:cs="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0" w:type="auto"/>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单位地址：</w:t>
            </w:r>
          </w:p>
        </w:tc>
        <w:tc>
          <w:tcPr>
            <w:tcW w:w="5156" w:type="dxa"/>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0" w:type="auto"/>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法定代表人（负责人或自然人）或委托代理人：</w:t>
            </w:r>
          </w:p>
          <w:p>
            <w:pPr>
              <w:snapToGrid w:val="0"/>
              <w:spacing w:line="400" w:lineRule="exact"/>
              <w:rPr>
                <w:rFonts w:ascii="宋体" w:hAnsi="宋体" w:cs="宋体"/>
                <w:color w:val="auto"/>
                <w:szCs w:val="21"/>
                <w:highlight w:val="none"/>
              </w:rPr>
            </w:pPr>
          </w:p>
        </w:tc>
        <w:tc>
          <w:tcPr>
            <w:tcW w:w="5156" w:type="dxa"/>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法定代表人（负责人或自然人）或委托代理人：</w:t>
            </w:r>
          </w:p>
          <w:p>
            <w:pPr>
              <w:snapToGrid w:val="0"/>
              <w:spacing w:line="40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0" w:type="auto"/>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电话：</w:t>
            </w:r>
          </w:p>
        </w:tc>
        <w:tc>
          <w:tcPr>
            <w:tcW w:w="5156" w:type="dxa"/>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0" w:type="auto"/>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电子邮箱：</w:t>
            </w:r>
          </w:p>
        </w:tc>
        <w:tc>
          <w:tcPr>
            <w:tcW w:w="5156" w:type="dxa"/>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0" w:type="auto"/>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开户银行：</w:t>
            </w:r>
          </w:p>
        </w:tc>
        <w:tc>
          <w:tcPr>
            <w:tcW w:w="5156" w:type="dxa"/>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trPr>
        <w:tc>
          <w:tcPr>
            <w:tcW w:w="0" w:type="auto"/>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账号：</w:t>
            </w:r>
          </w:p>
        </w:tc>
        <w:tc>
          <w:tcPr>
            <w:tcW w:w="5156" w:type="dxa"/>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0" w:type="auto"/>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邮政编码：</w:t>
            </w:r>
          </w:p>
        </w:tc>
        <w:tc>
          <w:tcPr>
            <w:tcW w:w="5156" w:type="dxa"/>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9782" w:type="dxa"/>
            <w:gridSpan w:val="2"/>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经办人：</w:t>
            </w:r>
          </w:p>
          <w:p>
            <w:pPr>
              <w:snapToGrid w:val="0"/>
              <w:spacing w:line="400" w:lineRule="exact"/>
              <w:jc w:val="right"/>
              <w:rPr>
                <w:rFonts w:ascii="宋体" w:hAnsi="宋体" w:cs="宋体"/>
                <w:color w:val="auto"/>
                <w:szCs w:val="21"/>
                <w:highlight w:val="none"/>
              </w:rPr>
            </w:pPr>
            <w:r>
              <w:rPr>
                <w:rFonts w:hint="eastAsia" w:ascii="宋体" w:hAnsi="宋体" w:cs="宋体"/>
                <w:color w:val="auto"/>
                <w:szCs w:val="21"/>
                <w:highlight w:val="none"/>
              </w:rPr>
              <w:t>年    月    日</w:t>
            </w:r>
          </w:p>
        </w:tc>
      </w:tr>
    </w:tbl>
    <w:p>
      <w:pPr>
        <w:snapToGrid w:val="0"/>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br w:type="page"/>
      </w:r>
      <w:r>
        <w:rPr>
          <w:rFonts w:hint="eastAsia" w:ascii="宋体" w:hAnsi="宋体" w:cs="宋体"/>
          <w:b/>
          <w:color w:val="auto"/>
          <w:sz w:val="32"/>
          <w:szCs w:val="32"/>
          <w:highlight w:val="none"/>
        </w:rPr>
        <w:t>合 同 附 件</w:t>
      </w:r>
    </w:p>
    <w:tbl>
      <w:tblPr>
        <w:tblStyle w:val="21"/>
        <w:tblW w:w="0" w:type="auto"/>
        <w:jc w:val="center"/>
        <w:tblLayout w:type="fixed"/>
        <w:tblCellMar>
          <w:top w:w="0" w:type="dxa"/>
          <w:left w:w="108" w:type="dxa"/>
          <w:bottom w:w="0" w:type="dxa"/>
          <w:right w:w="108" w:type="dxa"/>
        </w:tblCellMar>
      </w:tblPr>
      <w:tblGrid>
        <w:gridCol w:w="4263"/>
        <w:gridCol w:w="4703"/>
      </w:tblGrid>
      <w:tr>
        <w:tblPrEx>
          <w:tblCellMar>
            <w:top w:w="0" w:type="dxa"/>
            <w:left w:w="108" w:type="dxa"/>
            <w:bottom w:w="0" w:type="dxa"/>
            <w:right w:w="108" w:type="dxa"/>
          </w:tblCellMar>
        </w:tblPrEx>
        <w:trPr>
          <w:trHeight w:val="1226" w:hRule="atLeast"/>
          <w:jc w:val="center"/>
        </w:trPr>
        <w:tc>
          <w:tcPr>
            <w:tcW w:w="8966" w:type="dxa"/>
            <w:gridSpan w:val="2"/>
            <w:tcBorders>
              <w:top w:val="single" w:color="auto" w:sz="4" w:space="0"/>
              <w:left w:val="single" w:color="auto" w:sz="4" w:space="0"/>
              <w:right w:val="single" w:color="auto" w:sz="4" w:space="0"/>
            </w:tcBorders>
          </w:tcPr>
          <w:p>
            <w:pPr>
              <w:snapToGrid w:val="0"/>
              <w:spacing w:line="400" w:lineRule="exact"/>
              <w:rPr>
                <w:rFonts w:ascii="宋体" w:hAnsi="宋体" w:cs="宋体"/>
                <w:b/>
                <w:color w:val="auto"/>
                <w:szCs w:val="21"/>
                <w:highlight w:val="none"/>
              </w:rPr>
            </w:pPr>
            <w:r>
              <w:rPr>
                <w:rFonts w:hint="eastAsia" w:ascii="宋体" w:hAnsi="宋体" w:cs="宋体"/>
                <w:b/>
                <w:color w:val="auto"/>
                <w:szCs w:val="21"/>
                <w:highlight w:val="none"/>
              </w:rPr>
              <w:t>1. 供应商承诺具体事项：</w:t>
            </w:r>
          </w:p>
        </w:tc>
      </w:tr>
      <w:tr>
        <w:tblPrEx>
          <w:tblCellMar>
            <w:top w:w="0" w:type="dxa"/>
            <w:left w:w="108" w:type="dxa"/>
            <w:bottom w:w="0" w:type="dxa"/>
            <w:right w:w="108" w:type="dxa"/>
          </w:tblCellMar>
        </w:tblPrEx>
        <w:trPr>
          <w:trHeight w:val="1228" w:hRule="atLeast"/>
          <w:jc w:val="center"/>
        </w:trPr>
        <w:tc>
          <w:tcPr>
            <w:tcW w:w="8966" w:type="dxa"/>
            <w:gridSpan w:val="2"/>
            <w:tcBorders>
              <w:top w:val="single" w:color="auto" w:sz="4" w:space="0"/>
              <w:left w:val="single" w:color="auto" w:sz="4" w:space="0"/>
              <w:right w:val="single" w:color="auto" w:sz="4" w:space="0"/>
            </w:tcBorders>
          </w:tcPr>
          <w:p>
            <w:pPr>
              <w:snapToGrid w:val="0"/>
              <w:spacing w:line="400" w:lineRule="exact"/>
              <w:rPr>
                <w:rFonts w:ascii="宋体" w:hAnsi="宋体" w:cs="宋体"/>
                <w:b/>
                <w:color w:val="auto"/>
                <w:szCs w:val="21"/>
                <w:highlight w:val="none"/>
              </w:rPr>
            </w:pPr>
            <w:r>
              <w:rPr>
                <w:rFonts w:hint="eastAsia" w:ascii="宋体" w:hAnsi="宋体" w:cs="宋体"/>
                <w:b/>
                <w:color w:val="auto"/>
                <w:szCs w:val="21"/>
                <w:highlight w:val="none"/>
              </w:rPr>
              <w:t>2. 售后服务具体事项：</w:t>
            </w:r>
          </w:p>
        </w:tc>
      </w:tr>
      <w:tr>
        <w:tblPrEx>
          <w:tblCellMar>
            <w:top w:w="0" w:type="dxa"/>
            <w:left w:w="108" w:type="dxa"/>
            <w:bottom w:w="0" w:type="dxa"/>
            <w:right w:w="108" w:type="dxa"/>
          </w:tblCellMar>
        </w:tblPrEx>
        <w:trPr>
          <w:trHeight w:val="1088" w:hRule="atLeast"/>
          <w:jc w:val="center"/>
        </w:trPr>
        <w:tc>
          <w:tcPr>
            <w:tcW w:w="8966" w:type="dxa"/>
            <w:gridSpan w:val="2"/>
            <w:tcBorders>
              <w:top w:val="single" w:color="auto" w:sz="4" w:space="0"/>
              <w:left w:val="single" w:color="auto" w:sz="4" w:space="0"/>
              <w:right w:val="single" w:color="auto" w:sz="4" w:space="0"/>
            </w:tcBorders>
          </w:tcPr>
          <w:p>
            <w:pPr>
              <w:snapToGrid w:val="0"/>
              <w:spacing w:line="400" w:lineRule="exact"/>
              <w:rPr>
                <w:rFonts w:ascii="宋体" w:hAnsi="宋体" w:cs="宋体"/>
                <w:b/>
                <w:color w:val="auto"/>
                <w:szCs w:val="21"/>
                <w:highlight w:val="none"/>
              </w:rPr>
            </w:pPr>
            <w:r>
              <w:rPr>
                <w:rFonts w:hint="eastAsia" w:ascii="宋体" w:hAnsi="宋体" w:cs="宋体"/>
                <w:b/>
                <w:color w:val="auto"/>
                <w:szCs w:val="21"/>
                <w:highlight w:val="none"/>
              </w:rPr>
              <w:t>3. 保修期责任：</w:t>
            </w:r>
          </w:p>
        </w:tc>
      </w:tr>
      <w:tr>
        <w:tblPrEx>
          <w:tblCellMar>
            <w:top w:w="0" w:type="dxa"/>
            <w:left w:w="108" w:type="dxa"/>
            <w:bottom w:w="0" w:type="dxa"/>
            <w:right w:w="108" w:type="dxa"/>
          </w:tblCellMar>
        </w:tblPrEx>
        <w:trPr>
          <w:trHeight w:val="1360" w:hRule="atLeast"/>
          <w:jc w:val="center"/>
        </w:trPr>
        <w:tc>
          <w:tcPr>
            <w:tcW w:w="8966" w:type="dxa"/>
            <w:gridSpan w:val="2"/>
            <w:tcBorders>
              <w:top w:val="single" w:color="auto" w:sz="4" w:space="0"/>
              <w:left w:val="single" w:color="auto" w:sz="4" w:space="0"/>
              <w:right w:val="single" w:color="auto" w:sz="4" w:space="0"/>
            </w:tcBorders>
          </w:tcPr>
          <w:p>
            <w:pPr>
              <w:snapToGrid w:val="0"/>
              <w:spacing w:line="400" w:lineRule="exact"/>
              <w:rPr>
                <w:rFonts w:ascii="宋体" w:hAnsi="宋体" w:cs="宋体"/>
                <w:b/>
                <w:color w:val="auto"/>
                <w:szCs w:val="21"/>
                <w:highlight w:val="none"/>
              </w:rPr>
            </w:pPr>
            <w:r>
              <w:rPr>
                <w:rFonts w:hint="eastAsia" w:ascii="宋体" w:hAnsi="宋体" w:cs="宋体"/>
                <w:b/>
                <w:color w:val="auto"/>
                <w:szCs w:val="21"/>
                <w:highlight w:val="none"/>
              </w:rPr>
              <w:t>4. 其他具体事项：</w:t>
            </w:r>
          </w:p>
        </w:tc>
      </w:tr>
      <w:tr>
        <w:tblPrEx>
          <w:tblCellMar>
            <w:top w:w="0" w:type="dxa"/>
            <w:left w:w="108" w:type="dxa"/>
            <w:bottom w:w="0" w:type="dxa"/>
            <w:right w:w="108" w:type="dxa"/>
          </w:tblCellMar>
        </w:tblPrEx>
        <w:trPr>
          <w:trHeight w:val="1703" w:hRule="atLeast"/>
          <w:jc w:val="center"/>
        </w:trPr>
        <w:tc>
          <w:tcPr>
            <w:tcW w:w="426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
                <w:color w:val="auto"/>
                <w:szCs w:val="21"/>
                <w:highlight w:val="none"/>
              </w:rPr>
            </w:pPr>
            <w:r>
              <w:rPr>
                <w:rFonts w:hint="eastAsia" w:ascii="宋体" w:hAnsi="宋体" w:cs="宋体"/>
                <w:b/>
                <w:color w:val="auto"/>
                <w:szCs w:val="21"/>
                <w:highlight w:val="none"/>
              </w:rPr>
              <w:t>甲方（章）</w:t>
            </w:r>
          </w:p>
          <w:p>
            <w:pPr>
              <w:snapToGrid w:val="0"/>
              <w:spacing w:line="400" w:lineRule="exact"/>
              <w:ind w:firstLine="422" w:firstLineChars="200"/>
              <w:rPr>
                <w:rFonts w:ascii="宋体" w:hAnsi="宋体" w:cs="宋体"/>
                <w:b/>
                <w:color w:val="auto"/>
                <w:szCs w:val="21"/>
                <w:highlight w:val="none"/>
              </w:rPr>
            </w:pPr>
          </w:p>
          <w:p>
            <w:pPr>
              <w:snapToGrid w:val="0"/>
              <w:spacing w:line="400" w:lineRule="exact"/>
              <w:rPr>
                <w:rFonts w:ascii="宋体" w:hAnsi="宋体" w:cs="宋体"/>
                <w:b/>
                <w:color w:val="auto"/>
                <w:szCs w:val="21"/>
                <w:highlight w:val="none"/>
              </w:rPr>
            </w:pPr>
          </w:p>
          <w:p>
            <w:pPr>
              <w:snapToGrid w:val="0"/>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 xml:space="preserve">                      年   月   日 </w:t>
            </w:r>
          </w:p>
        </w:tc>
        <w:tc>
          <w:tcPr>
            <w:tcW w:w="47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
                <w:color w:val="auto"/>
                <w:szCs w:val="21"/>
                <w:highlight w:val="none"/>
              </w:rPr>
            </w:pPr>
            <w:r>
              <w:rPr>
                <w:rFonts w:hint="eastAsia" w:ascii="宋体" w:hAnsi="宋体" w:cs="宋体"/>
                <w:b/>
                <w:color w:val="auto"/>
                <w:szCs w:val="21"/>
                <w:highlight w:val="none"/>
              </w:rPr>
              <w:t>乙方（章）</w:t>
            </w:r>
          </w:p>
          <w:p>
            <w:pPr>
              <w:snapToGrid w:val="0"/>
              <w:spacing w:line="400" w:lineRule="exact"/>
              <w:ind w:firstLine="422" w:firstLineChars="200"/>
              <w:rPr>
                <w:rFonts w:ascii="宋体" w:hAnsi="宋体" w:cs="宋体"/>
                <w:b/>
                <w:color w:val="auto"/>
                <w:szCs w:val="21"/>
                <w:highlight w:val="none"/>
              </w:rPr>
            </w:pPr>
          </w:p>
          <w:p>
            <w:pPr>
              <w:snapToGrid w:val="0"/>
              <w:spacing w:line="400" w:lineRule="exact"/>
              <w:rPr>
                <w:rFonts w:ascii="宋体" w:hAnsi="宋体" w:cs="宋体"/>
                <w:b/>
                <w:color w:val="auto"/>
                <w:szCs w:val="21"/>
                <w:highlight w:val="none"/>
              </w:rPr>
            </w:pPr>
          </w:p>
          <w:p>
            <w:pPr>
              <w:snapToGrid w:val="0"/>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 xml:space="preserve">                      年   月   日</w:t>
            </w:r>
          </w:p>
        </w:tc>
      </w:tr>
    </w:tbl>
    <w:p>
      <w:pPr>
        <w:snapToGrid w:val="0"/>
        <w:jc w:val="left"/>
        <w:rPr>
          <w:rFonts w:ascii="宋体" w:hAnsi="宋体" w:cs="宋体"/>
          <w:color w:val="auto"/>
          <w:szCs w:val="21"/>
          <w:highlight w:val="none"/>
        </w:rPr>
      </w:pPr>
      <w:r>
        <w:rPr>
          <w:rFonts w:hint="eastAsia" w:ascii="宋体" w:hAnsi="宋体" w:cs="宋体"/>
          <w:color w:val="auto"/>
          <w:szCs w:val="21"/>
          <w:highlight w:val="none"/>
        </w:rPr>
        <w:t xml:space="preserve"> 注：售后服务事项填不下时可另加附页</w:t>
      </w:r>
    </w:p>
    <w:p>
      <w:pPr>
        <w:snapToGrid w:val="0"/>
        <w:jc w:val="left"/>
        <w:rPr>
          <w:rFonts w:ascii="宋体" w:hAnsi="宋体" w:cs="宋体"/>
          <w:color w:val="auto"/>
          <w:szCs w:val="21"/>
          <w:highlight w:val="none"/>
        </w:rPr>
      </w:pPr>
    </w:p>
    <w:p>
      <w:pPr>
        <w:snapToGrid w:val="0"/>
        <w:rPr>
          <w:rFonts w:ascii="宋体" w:hAnsi="宋体" w:cs="宋体"/>
          <w:b/>
          <w:color w:val="auto"/>
          <w:sz w:val="32"/>
          <w:szCs w:val="32"/>
          <w:highlight w:val="none"/>
        </w:rPr>
      </w:pPr>
    </w:p>
    <w:p>
      <w:pPr>
        <w:rPr>
          <w:rFonts w:ascii="宋体" w:hAnsi="宋体" w:cs="宋体"/>
          <w:color w:val="auto"/>
          <w:szCs w:val="21"/>
          <w:highlight w:val="none"/>
        </w:rPr>
      </w:pPr>
    </w:p>
    <w:sectPr>
      <w:footerReference r:id="rId5" w:type="first"/>
      <w:footerReference r:id="rId4" w:type="default"/>
      <w:pgSz w:w="11906" w:h="16838"/>
      <w:pgMar w:top="1134" w:right="1134" w:bottom="1134" w:left="1134"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7169" o:spid="_x0000_s7169"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15"/>
                  <w:jc w:val="center"/>
                </w:pPr>
                <w:r>
                  <w:fldChar w:fldCharType="begin"/>
                </w:r>
                <w:r>
                  <w:instrText xml:space="preserve"> PAGE   \* MERGEFORMAT </w:instrText>
                </w:r>
                <w:r>
                  <w:fldChar w:fldCharType="separate"/>
                </w:r>
                <w:r>
                  <w:rPr>
                    <w:lang w:val="zh-CN"/>
                  </w:rPr>
                  <w:t>29</w:t>
                </w:r>
                <w:r>
                  <w:rPr>
                    <w:lang w:val="zh-CN"/>
                  </w:rPr>
                  <w:fldChar w:fldCharType="end"/>
                </w:r>
              </w:p>
            </w:txbxContent>
          </v:textbox>
        </v:shape>
      </w:pic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7170" o:spid="_x0000_s717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宋体" w:hAnsi="宋体" w:cs="宋体"/>
        <w:sz w:val="21"/>
        <w:szCs w:val="21"/>
      </w:rPr>
    </w:pPr>
    <w:r>
      <w:rPr>
        <w:rFonts w:hint="eastAsia" w:ascii="宋体" w:hAnsi="宋体" w:cs="宋体"/>
        <w:sz w:val="21"/>
        <w:szCs w:val="21"/>
      </w:rPr>
      <w:t xml:space="preserve">项目名称：平南县医疗收费电子票据信息管理系统建设项目 项目编号：GGGZC2020-C3-62428-GXYL  </w:t>
    </w:r>
  </w:p>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CA98E4"/>
    <w:multiLevelType w:val="singleLevel"/>
    <w:tmpl w:val="BECA98E4"/>
    <w:lvl w:ilvl="0" w:tentative="0">
      <w:start w:val="5"/>
      <w:numFmt w:val="chineseCounting"/>
      <w:suff w:val="nothing"/>
      <w:lvlText w:val="%1、"/>
      <w:lvlJc w:val="left"/>
      <w:rPr>
        <w:rFonts w:hint="eastAsia"/>
      </w:rPr>
    </w:lvl>
  </w:abstractNum>
  <w:abstractNum w:abstractNumId="1">
    <w:nsid w:val="EB8CEB78"/>
    <w:multiLevelType w:val="singleLevel"/>
    <w:tmpl w:val="EB8CEB78"/>
    <w:lvl w:ilvl="0" w:tentative="0">
      <w:start w:val="3"/>
      <w:numFmt w:val="chineseCounting"/>
      <w:suff w:val="space"/>
      <w:lvlText w:val="第%1章"/>
      <w:lvlJc w:val="left"/>
      <w:rPr>
        <w:rFonts w:hint="eastAsia"/>
      </w:rPr>
    </w:lvl>
  </w:abstractNum>
  <w:abstractNum w:abstractNumId="2">
    <w:nsid w:val="05D43864"/>
    <w:multiLevelType w:val="multilevel"/>
    <w:tmpl w:val="05D43864"/>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9885992"/>
    <w:multiLevelType w:val="multilevel"/>
    <w:tmpl w:val="09885992"/>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E620792"/>
    <w:multiLevelType w:val="multilevel"/>
    <w:tmpl w:val="0E620792"/>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7D20059"/>
    <w:multiLevelType w:val="multilevel"/>
    <w:tmpl w:val="17D20059"/>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AA860D0"/>
    <w:multiLevelType w:val="multilevel"/>
    <w:tmpl w:val="1AA860D0"/>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DB25BC0"/>
    <w:multiLevelType w:val="multilevel"/>
    <w:tmpl w:val="1DB25BC0"/>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DBE0598"/>
    <w:multiLevelType w:val="multilevel"/>
    <w:tmpl w:val="2DBE0598"/>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59926F99"/>
    <w:multiLevelType w:val="multilevel"/>
    <w:tmpl w:val="59926F99"/>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7F374162"/>
    <w:multiLevelType w:val="multilevel"/>
    <w:tmpl w:val="7F374162"/>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3"/>
  </w:num>
  <w:num w:numId="3">
    <w:abstractNumId w:val="5"/>
  </w:num>
  <w:num w:numId="4">
    <w:abstractNumId w:val="4"/>
  </w:num>
  <w:num w:numId="5">
    <w:abstractNumId w:val="10"/>
  </w:num>
  <w:num w:numId="6">
    <w:abstractNumId w:val="6"/>
  </w:num>
  <w:num w:numId="7">
    <w:abstractNumId w:val="9"/>
  </w:num>
  <w:num w:numId="8">
    <w:abstractNumId w:val="2"/>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5,6,7"/>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34B14"/>
    <w:rsid w:val="00000672"/>
    <w:rsid w:val="00001799"/>
    <w:rsid w:val="00002D29"/>
    <w:rsid w:val="00003B93"/>
    <w:rsid w:val="0000474D"/>
    <w:rsid w:val="00005FDF"/>
    <w:rsid w:val="000070B3"/>
    <w:rsid w:val="000076B8"/>
    <w:rsid w:val="000109DC"/>
    <w:rsid w:val="00010D39"/>
    <w:rsid w:val="0001172C"/>
    <w:rsid w:val="00012854"/>
    <w:rsid w:val="00012EA6"/>
    <w:rsid w:val="00013DFE"/>
    <w:rsid w:val="000141EA"/>
    <w:rsid w:val="000177DB"/>
    <w:rsid w:val="000179C9"/>
    <w:rsid w:val="00017CCC"/>
    <w:rsid w:val="00020227"/>
    <w:rsid w:val="00020455"/>
    <w:rsid w:val="0002264C"/>
    <w:rsid w:val="00022731"/>
    <w:rsid w:val="00022792"/>
    <w:rsid w:val="00024463"/>
    <w:rsid w:val="00025461"/>
    <w:rsid w:val="00025636"/>
    <w:rsid w:val="00025E36"/>
    <w:rsid w:val="00026886"/>
    <w:rsid w:val="000329E0"/>
    <w:rsid w:val="000352E9"/>
    <w:rsid w:val="00035960"/>
    <w:rsid w:val="00036A07"/>
    <w:rsid w:val="0003780B"/>
    <w:rsid w:val="00040571"/>
    <w:rsid w:val="00040973"/>
    <w:rsid w:val="0004156E"/>
    <w:rsid w:val="0004440C"/>
    <w:rsid w:val="00046B5E"/>
    <w:rsid w:val="000470CB"/>
    <w:rsid w:val="000509D9"/>
    <w:rsid w:val="00051ACB"/>
    <w:rsid w:val="000533E7"/>
    <w:rsid w:val="00055D41"/>
    <w:rsid w:val="00057CD6"/>
    <w:rsid w:val="00060DCE"/>
    <w:rsid w:val="000610E3"/>
    <w:rsid w:val="000614F3"/>
    <w:rsid w:val="000623B4"/>
    <w:rsid w:val="000634A7"/>
    <w:rsid w:val="00063B0B"/>
    <w:rsid w:val="00063F81"/>
    <w:rsid w:val="00064847"/>
    <w:rsid w:val="00065E08"/>
    <w:rsid w:val="000673E2"/>
    <w:rsid w:val="00070949"/>
    <w:rsid w:val="000711E4"/>
    <w:rsid w:val="00072AED"/>
    <w:rsid w:val="00073F47"/>
    <w:rsid w:val="0007492F"/>
    <w:rsid w:val="00074ED8"/>
    <w:rsid w:val="00075B7E"/>
    <w:rsid w:val="00077C70"/>
    <w:rsid w:val="000813B5"/>
    <w:rsid w:val="00081BA3"/>
    <w:rsid w:val="00081D2E"/>
    <w:rsid w:val="00081F89"/>
    <w:rsid w:val="00082619"/>
    <w:rsid w:val="00082D02"/>
    <w:rsid w:val="00083871"/>
    <w:rsid w:val="00083B91"/>
    <w:rsid w:val="0008473C"/>
    <w:rsid w:val="0008520B"/>
    <w:rsid w:val="000860BD"/>
    <w:rsid w:val="000871B8"/>
    <w:rsid w:val="000916DA"/>
    <w:rsid w:val="00092442"/>
    <w:rsid w:val="000929EF"/>
    <w:rsid w:val="0009560F"/>
    <w:rsid w:val="0009588E"/>
    <w:rsid w:val="000959EE"/>
    <w:rsid w:val="00097183"/>
    <w:rsid w:val="00097608"/>
    <w:rsid w:val="000A13F3"/>
    <w:rsid w:val="000A23B1"/>
    <w:rsid w:val="000A2B0E"/>
    <w:rsid w:val="000A398F"/>
    <w:rsid w:val="000A509C"/>
    <w:rsid w:val="000A6007"/>
    <w:rsid w:val="000A65A6"/>
    <w:rsid w:val="000A7275"/>
    <w:rsid w:val="000A7A12"/>
    <w:rsid w:val="000B1801"/>
    <w:rsid w:val="000B1D0C"/>
    <w:rsid w:val="000B2273"/>
    <w:rsid w:val="000B2D03"/>
    <w:rsid w:val="000B3815"/>
    <w:rsid w:val="000B3C7B"/>
    <w:rsid w:val="000B6A6B"/>
    <w:rsid w:val="000B6C95"/>
    <w:rsid w:val="000B79FC"/>
    <w:rsid w:val="000C1679"/>
    <w:rsid w:val="000C18FC"/>
    <w:rsid w:val="000C3AE7"/>
    <w:rsid w:val="000C3CC9"/>
    <w:rsid w:val="000C6DE4"/>
    <w:rsid w:val="000C784F"/>
    <w:rsid w:val="000D0A89"/>
    <w:rsid w:val="000D1389"/>
    <w:rsid w:val="000D1798"/>
    <w:rsid w:val="000D2626"/>
    <w:rsid w:val="000D4589"/>
    <w:rsid w:val="000D73DD"/>
    <w:rsid w:val="000E1C51"/>
    <w:rsid w:val="000E28AB"/>
    <w:rsid w:val="000E2E3E"/>
    <w:rsid w:val="000E3583"/>
    <w:rsid w:val="000E3AF0"/>
    <w:rsid w:val="000E4E04"/>
    <w:rsid w:val="000E6EC9"/>
    <w:rsid w:val="000E70B4"/>
    <w:rsid w:val="000E7B62"/>
    <w:rsid w:val="000F0E1E"/>
    <w:rsid w:val="000F1A1B"/>
    <w:rsid w:val="000F2A95"/>
    <w:rsid w:val="000F3281"/>
    <w:rsid w:val="000F32FD"/>
    <w:rsid w:val="000F3733"/>
    <w:rsid w:val="000F3FB6"/>
    <w:rsid w:val="000F5011"/>
    <w:rsid w:val="000F5F8B"/>
    <w:rsid w:val="000F64AA"/>
    <w:rsid w:val="000F7AF4"/>
    <w:rsid w:val="000F7C33"/>
    <w:rsid w:val="000F7F0C"/>
    <w:rsid w:val="001004D6"/>
    <w:rsid w:val="00102676"/>
    <w:rsid w:val="00103646"/>
    <w:rsid w:val="00103918"/>
    <w:rsid w:val="00104897"/>
    <w:rsid w:val="00104EDE"/>
    <w:rsid w:val="00105CDA"/>
    <w:rsid w:val="00106BEE"/>
    <w:rsid w:val="00107C74"/>
    <w:rsid w:val="00113678"/>
    <w:rsid w:val="00113C3E"/>
    <w:rsid w:val="00115E11"/>
    <w:rsid w:val="00115F56"/>
    <w:rsid w:val="00117AE7"/>
    <w:rsid w:val="00117CBD"/>
    <w:rsid w:val="0012006A"/>
    <w:rsid w:val="00121979"/>
    <w:rsid w:val="00122064"/>
    <w:rsid w:val="00124341"/>
    <w:rsid w:val="00124B12"/>
    <w:rsid w:val="001263B8"/>
    <w:rsid w:val="00130217"/>
    <w:rsid w:val="00130783"/>
    <w:rsid w:val="00130A47"/>
    <w:rsid w:val="00132B47"/>
    <w:rsid w:val="001337F8"/>
    <w:rsid w:val="001348B4"/>
    <w:rsid w:val="00134AB9"/>
    <w:rsid w:val="001351CB"/>
    <w:rsid w:val="00135947"/>
    <w:rsid w:val="001359A2"/>
    <w:rsid w:val="00136020"/>
    <w:rsid w:val="00136445"/>
    <w:rsid w:val="00140132"/>
    <w:rsid w:val="00141C9C"/>
    <w:rsid w:val="0014277F"/>
    <w:rsid w:val="001434BE"/>
    <w:rsid w:val="0014479F"/>
    <w:rsid w:val="001452B4"/>
    <w:rsid w:val="001476D3"/>
    <w:rsid w:val="001509CF"/>
    <w:rsid w:val="00150D1D"/>
    <w:rsid w:val="001525AA"/>
    <w:rsid w:val="00152A87"/>
    <w:rsid w:val="00153BB5"/>
    <w:rsid w:val="00154518"/>
    <w:rsid w:val="00156359"/>
    <w:rsid w:val="00156DD6"/>
    <w:rsid w:val="0016086E"/>
    <w:rsid w:val="00160D0C"/>
    <w:rsid w:val="00161172"/>
    <w:rsid w:val="00161998"/>
    <w:rsid w:val="00161E65"/>
    <w:rsid w:val="00162597"/>
    <w:rsid w:val="001629AF"/>
    <w:rsid w:val="001629FD"/>
    <w:rsid w:val="0016428A"/>
    <w:rsid w:val="001647C9"/>
    <w:rsid w:val="00165627"/>
    <w:rsid w:val="001661A3"/>
    <w:rsid w:val="0016782B"/>
    <w:rsid w:val="00173256"/>
    <w:rsid w:val="00173E03"/>
    <w:rsid w:val="0017512C"/>
    <w:rsid w:val="0017586A"/>
    <w:rsid w:val="00175BA6"/>
    <w:rsid w:val="00176CA7"/>
    <w:rsid w:val="001778C5"/>
    <w:rsid w:val="00177E56"/>
    <w:rsid w:val="00177F0A"/>
    <w:rsid w:val="00181EAD"/>
    <w:rsid w:val="00184F57"/>
    <w:rsid w:val="00185544"/>
    <w:rsid w:val="00185617"/>
    <w:rsid w:val="00187A14"/>
    <w:rsid w:val="0019171E"/>
    <w:rsid w:val="001923A0"/>
    <w:rsid w:val="001928B1"/>
    <w:rsid w:val="001931C0"/>
    <w:rsid w:val="00193537"/>
    <w:rsid w:val="00193846"/>
    <w:rsid w:val="00195424"/>
    <w:rsid w:val="001955FF"/>
    <w:rsid w:val="00197EDD"/>
    <w:rsid w:val="001A02B3"/>
    <w:rsid w:val="001A04BB"/>
    <w:rsid w:val="001A08D0"/>
    <w:rsid w:val="001A1673"/>
    <w:rsid w:val="001A1B39"/>
    <w:rsid w:val="001A28C6"/>
    <w:rsid w:val="001A2E69"/>
    <w:rsid w:val="001A3C34"/>
    <w:rsid w:val="001A3EDE"/>
    <w:rsid w:val="001A4222"/>
    <w:rsid w:val="001A50EA"/>
    <w:rsid w:val="001A5E24"/>
    <w:rsid w:val="001A6D8B"/>
    <w:rsid w:val="001A6DAA"/>
    <w:rsid w:val="001B125A"/>
    <w:rsid w:val="001B1EBA"/>
    <w:rsid w:val="001B2142"/>
    <w:rsid w:val="001B2F2B"/>
    <w:rsid w:val="001B327A"/>
    <w:rsid w:val="001B35DE"/>
    <w:rsid w:val="001B3A13"/>
    <w:rsid w:val="001B59FF"/>
    <w:rsid w:val="001B6512"/>
    <w:rsid w:val="001B65D7"/>
    <w:rsid w:val="001B6752"/>
    <w:rsid w:val="001B6768"/>
    <w:rsid w:val="001B6F1F"/>
    <w:rsid w:val="001B7ECC"/>
    <w:rsid w:val="001C025B"/>
    <w:rsid w:val="001C0A95"/>
    <w:rsid w:val="001C25A7"/>
    <w:rsid w:val="001C318C"/>
    <w:rsid w:val="001C35C4"/>
    <w:rsid w:val="001C4287"/>
    <w:rsid w:val="001C4479"/>
    <w:rsid w:val="001C6081"/>
    <w:rsid w:val="001C7B48"/>
    <w:rsid w:val="001D0CFB"/>
    <w:rsid w:val="001D58A1"/>
    <w:rsid w:val="001D5A8A"/>
    <w:rsid w:val="001D735E"/>
    <w:rsid w:val="001D73C8"/>
    <w:rsid w:val="001D7C3F"/>
    <w:rsid w:val="001E129E"/>
    <w:rsid w:val="001E175C"/>
    <w:rsid w:val="001E1B0E"/>
    <w:rsid w:val="001E5A94"/>
    <w:rsid w:val="001E6F17"/>
    <w:rsid w:val="001F2A2E"/>
    <w:rsid w:val="001F3356"/>
    <w:rsid w:val="001F3C63"/>
    <w:rsid w:val="001F4460"/>
    <w:rsid w:val="001F711A"/>
    <w:rsid w:val="001F75B0"/>
    <w:rsid w:val="00200CE5"/>
    <w:rsid w:val="00200F7C"/>
    <w:rsid w:val="002014DB"/>
    <w:rsid w:val="00201E12"/>
    <w:rsid w:val="002033B5"/>
    <w:rsid w:val="0020382C"/>
    <w:rsid w:val="0020437A"/>
    <w:rsid w:val="0020521F"/>
    <w:rsid w:val="0020532C"/>
    <w:rsid w:val="002114C7"/>
    <w:rsid w:val="0021302C"/>
    <w:rsid w:val="00213B1C"/>
    <w:rsid w:val="00214202"/>
    <w:rsid w:val="002148E3"/>
    <w:rsid w:val="0021552D"/>
    <w:rsid w:val="002156AE"/>
    <w:rsid w:val="0022054D"/>
    <w:rsid w:val="00223DDB"/>
    <w:rsid w:val="00223FA4"/>
    <w:rsid w:val="00224067"/>
    <w:rsid w:val="0022421C"/>
    <w:rsid w:val="00224E83"/>
    <w:rsid w:val="00225664"/>
    <w:rsid w:val="0022642A"/>
    <w:rsid w:val="00227F2D"/>
    <w:rsid w:val="00231851"/>
    <w:rsid w:val="002319FB"/>
    <w:rsid w:val="00231B89"/>
    <w:rsid w:val="00231F11"/>
    <w:rsid w:val="00231F5E"/>
    <w:rsid w:val="002346B4"/>
    <w:rsid w:val="00234F6E"/>
    <w:rsid w:val="002355BE"/>
    <w:rsid w:val="002358EA"/>
    <w:rsid w:val="00236578"/>
    <w:rsid w:val="00236DE9"/>
    <w:rsid w:val="00237D5A"/>
    <w:rsid w:val="002415AE"/>
    <w:rsid w:val="00241D3C"/>
    <w:rsid w:val="00242109"/>
    <w:rsid w:val="00243189"/>
    <w:rsid w:val="002439AB"/>
    <w:rsid w:val="00243C19"/>
    <w:rsid w:val="00244AE8"/>
    <w:rsid w:val="00245587"/>
    <w:rsid w:val="00245F2B"/>
    <w:rsid w:val="00247F3A"/>
    <w:rsid w:val="00250122"/>
    <w:rsid w:val="00250755"/>
    <w:rsid w:val="00250CA6"/>
    <w:rsid w:val="00251C4A"/>
    <w:rsid w:val="002520D3"/>
    <w:rsid w:val="0025271C"/>
    <w:rsid w:val="002533CD"/>
    <w:rsid w:val="00254EAB"/>
    <w:rsid w:val="002557AF"/>
    <w:rsid w:val="0025589C"/>
    <w:rsid w:val="00255B62"/>
    <w:rsid w:val="002566B1"/>
    <w:rsid w:val="002575E3"/>
    <w:rsid w:val="002603C1"/>
    <w:rsid w:val="002609A1"/>
    <w:rsid w:val="002612B1"/>
    <w:rsid w:val="00266165"/>
    <w:rsid w:val="00266F2C"/>
    <w:rsid w:val="0027125E"/>
    <w:rsid w:val="00271767"/>
    <w:rsid w:val="00272293"/>
    <w:rsid w:val="002723C8"/>
    <w:rsid w:val="00273CBE"/>
    <w:rsid w:val="002746B1"/>
    <w:rsid w:val="002835B0"/>
    <w:rsid w:val="0028407E"/>
    <w:rsid w:val="0028410F"/>
    <w:rsid w:val="00284572"/>
    <w:rsid w:val="00285221"/>
    <w:rsid w:val="00286FB5"/>
    <w:rsid w:val="00287763"/>
    <w:rsid w:val="00290606"/>
    <w:rsid w:val="002909B2"/>
    <w:rsid w:val="00291D6D"/>
    <w:rsid w:val="00291FF1"/>
    <w:rsid w:val="00292AA2"/>
    <w:rsid w:val="00293361"/>
    <w:rsid w:val="002952B1"/>
    <w:rsid w:val="00295D11"/>
    <w:rsid w:val="002A0C3A"/>
    <w:rsid w:val="002A1130"/>
    <w:rsid w:val="002A1880"/>
    <w:rsid w:val="002A213A"/>
    <w:rsid w:val="002A23B7"/>
    <w:rsid w:val="002A3A57"/>
    <w:rsid w:val="002A4B4F"/>
    <w:rsid w:val="002A6DEF"/>
    <w:rsid w:val="002B013E"/>
    <w:rsid w:val="002B058D"/>
    <w:rsid w:val="002B0C16"/>
    <w:rsid w:val="002B1C2D"/>
    <w:rsid w:val="002B2AC5"/>
    <w:rsid w:val="002B3528"/>
    <w:rsid w:val="002B3539"/>
    <w:rsid w:val="002B5042"/>
    <w:rsid w:val="002B69CC"/>
    <w:rsid w:val="002B6D71"/>
    <w:rsid w:val="002C0C1C"/>
    <w:rsid w:val="002C54C2"/>
    <w:rsid w:val="002C5D34"/>
    <w:rsid w:val="002C60BB"/>
    <w:rsid w:val="002C661A"/>
    <w:rsid w:val="002D0D6F"/>
    <w:rsid w:val="002D25FC"/>
    <w:rsid w:val="002D4AC6"/>
    <w:rsid w:val="002D5BF5"/>
    <w:rsid w:val="002D7648"/>
    <w:rsid w:val="002E109C"/>
    <w:rsid w:val="002E193E"/>
    <w:rsid w:val="002E1D55"/>
    <w:rsid w:val="002E26C4"/>
    <w:rsid w:val="002E30A5"/>
    <w:rsid w:val="002E47E4"/>
    <w:rsid w:val="002E4BF9"/>
    <w:rsid w:val="002E6E6C"/>
    <w:rsid w:val="002F0522"/>
    <w:rsid w:val="002F16DD"/>
    <w:rsid w:val="002F199D"/>
    <w:rsid w:val="002F213C"/>
    <w:rsid w:val="002F352D"/>
    <w:rsid w:val="002F4084"/>
    <w:rsid w:val="002F4A08"/>
    <w:rsid w:val="002F4ADB"/>
    <w:rsid w:val="002F531E"/>
    <w:rsid w:val="002F548D"/>
    <w:rsid w:val="002F5ACC"/>
    <w:rsid w:val="002F704B"/>
    <w:rsid w:val="002F72C3"/>
    <w:rsid w:val="002F768C"/>
    <w:rsid w:val="002F7D1E"/>
    <w:rsid w:val="00300201"/>
    <w:rsid w:val="00302EFC"/>
    <w:rsid w:val="00303243"/>
    <w:rsid w:val="00303BCC"/>
    <w:rsid w:val="00303F2B"/>
    <w:rsid w:val="00303F8D"/>
    <w:rsid w:val="0030572D"/>
    <w:rsid w:val="0030586A"/>
    <w:rsid w:val="0030622D"/>
    <w:rsid w:val="00306811"/>
    <w:rsid w:val="003074C5"/>
    <w:rsid w:val="00307A3C"/>
    <w:rsid w:val="00307FA4"/>
    <w:rsid w:val="00310290"/>
    <w:rsid w:val="00310CC1"/>
    <w:rsid w:val="00312504"/>
    <w:rsid w:val="00313026"/>
    <w:rsid w:val="0031421F"/>
    <w:rsid w:val="00314B31"/>
    <w:rsid w:val="00315A65"/>
    <w:rsid w:val="00317BA7"/>
    <w:rsid w:val="00320BE2"/>
    <w:rsid w:val="00321886"/>
    <w:rsid w:val="00322F13"/>
    <w:rsid w:val="00323694"/>
    <w:rsid w:val="00323BE7"/>
    <w:rsid w:val="00324C3A"/>
    <w:rsid w:val="00324D63"/>
    <w:rsid w:val="003255AF"/>
    <w:rsid w:val="003256EB"/>
    <w:rsid w:val="003259DB"/>
    <w:rsid w:val="003314D9"/>
    <w:rsid w:val="00331653"/>
    <w:rsid w:val="00331A48"/>
    <w:rsid w:val="003330C9"/>
    <w:rsid w:val="0033364C"/>
    <w:rsid w:val="00334415"/>
    <w:rsid w:val="00335EA1"/>
    <w:rsid w:val="0033691E"/>
    <w:rsid w:val="00336A6A"/>
    <w:rsid w:val="00336CCB"/>
    <w:rsid w:val="003377C0"/>
    <w:rsid w:val="003411D1"/>
    <w:rsid w:val="003416BA"/>
    <w:rsid w:val="00342148"/>
    <w:rsid w:val="00342F99"/>
    <w:rsid w:val="00345F57"/>
    <w:rsid w:val="00350E6C"/>
    <w:rsid w:val="003518A6"/>
    <w:rsid w:val="00351E7F"/>
    <w:rsid w:val="00352953"/>
    <w:rsid w:val="00354062"/>
    <w:rsid w:val="00355C0D"/>
    <w:rsid w:val="003566A9"/>
    <w:rsid w:val="00356988"/>
    <w:rsid w:val="00356CE9"/>
    <w:rsid w:val="003570BB"/>
    <w:rsid w:val="00357128"/>
    <w:rsid w:val="0035755E"/>
    <w:rsid w:val="00357A80"/>
    <w:rsid w:val="00361441"/>
    <w:rsid w:val="00361B8B"/>
    <w:rsid w:val="00363F39"/>
    <w:rsid w:val="0036445C"/>
    <w:rsid w:val="00364627"/>
    <w:rsid w:val="00364AB0"/>
    <w:rsid w:val="00365EE8"/>
    <w:rsid w:val="003667B0"/>
    <w:rsid w:val="003667DD"/>
    <w:rsid w:val="00366B48"/>
    <w:rsid w:val="00367764"/>
    <w:rsid w:val="00370316"/>
    <w:rsid w:val="00370DC7"/>
    <w:rsid w:val="00371CBD"/>
    <w:rsid w:val="00371F20"/>
    <w:rsid w:val="00372B98"/>
    <w:rsid w:val="003737B7"/>
    <w:rsid w:val="003740CC"/>
    <w:rsid w:val="00374E79"/>
    <w:rsid w:val="0037529A"/>
    <w:rsid w:val="00375388"/>
    <w:rsid w:val="00375FB9"/>
    <w:rsid w:val="00376851"/>
    <w:rsid w:val="00376FA2"/>
    <w:rsid w:val="00377A3B"/>
    <w:rsid w:val="00377E3C"/>
    <w:rsid w:val="00380BBE"/>
    <w:rsid w:val="00381D70"/>
    <w:rsid w:val="0038235E"/>
    <w:rsid w:val="003829D0"/>
    <w:rsid w:val="0038444F"/>
    <w:rsid w:val="00387051"/>
    <w:rsid w:val="00387ECF"/>
    <w:rsid w:val="0039021B"/>
    <w:rsid w:val="00390429"/>
    <w:rsid w:val="0039366C"/>
    <w:rsid w:val="00393EC8"/>
    <w:rsid w:val="00395E42"/>
    <w:rsid w:val="00396A2D"/>
    <w:rsid w:val="00396FC3"/>
    <w:rsid w:val="003A1A94"/>
    <w:rsid w:val="003A204E"/>
    <w:rsid w:val="003A2D25"/>
    <w:rsid w:val="003A60E7"/>
    <w:rsid w:val="003A7092"/>
    <w:rsid w:val="003A72A1"/>
    <w:rsid w:val="003A7611"/>
    <w:rsid w:val="003B0B6A"/>
    <w:rsid w:val="003B22F7"/>
    <w:rsid w:val="003B29CF"/>
    <w:rsid w:val="003B3A90"/>
    <w:rsid w:val="003B534F"/>
    <w:rsid w:val="003B7A79"/>
    <w:rsid w:val="003C350C"/>
    <w:rsid w:val="003C3903"/>
    <w:rsid w:val="003C3BA0"/>
    <w:rsid w:val="003C4580"/>
    <w:rsid w:val="003C5C5E"/>
    <w:rsid w:val="003C6746"/>
    <w:rsid w:val="003C7555"/>
    <w:rsid w:val="003C7898"/>
    <w:rsid w:val="003D0FF5"/>
    <w:rsid w:val="003D1537"/>
    <w:rsid w:val="003D183C"/>
    <w:rsid w:val="003D2D1B"/>
    <w:rsid w:val="003D48C7"/>
    <w:rsid w:val="003D4C27"/>
    <w:rsid w:val="003D7109"/>
    <w:rsid w:val="003D7CE8"/>
    <w:rsid w:val="003E0514"/>
    <w:rsid w:val="003E1032"/>
    <w:rsid w:val="003E1904"/>
    <w:rsid w:val="003E285E"/>
    <w:rsid w:val="003E3124"/>
    <w:rsid w:val="003E3300"/>
    <w:rsid w:val="003E43D3"/>
    <w:rsid w:val="003E59BB"/>
    <w:rsid w:val="003E6225"/>
    <w:rsid w:val="003E65AC"/>
    <w:rsid w:val="003E66AE"/>
    <w:rsid w:val="003E72B9"/>
    <w:rsid w:val="003E7ED4"/>
    <w:rsid w:val="003F0E52"/>
    <w:rsid w:val="003F0F6B"/>
    <w:rsid w:val="003F1FC6"/>
    <w:rsid w:val="003F1FE3"/>
    <w:rsid w:val="003F2359"/>
    <w:rsid w:val="003F3865"/>
    <w:rsid w:val="003F44E2"/>
    <w:rsid w:val="003F4632"/>
    <w:rsid w:val="003F47BA"/>
    <w:rsid w:val="003F4905"/>
    <w:rsid w:val="003F4FE6"/>
    <w:rsid w:val="003F6617"/>
    <w:rsid w:val="00400D8A"/>
    <w:rsid w:val="00402332"/>
    <w:rsid w:val="004025C2"/>
    <w:rsid w:val="004033A9"/>
    <w:rsid w:val="00403E55"/>
    <w:rsid w:val="0040416C"/>
    <w:rsid w:val="00404681"/>
    <w:rsid w:val="00406923"/>
    <w:rsid w:val="0040763D"/>
    <w:rsid w:val="00410D17"/>
    <w:rsid w:val="00413821"/>
    <w:rsid w:val="004141A3"/>
    <w:rsid w:val="00414909"/>
    <w:rsid w:val="0041582F"/>
    <w:rsid w:val="00415ACD"/>
    <w:rsid w:val="00416112"/>
    <w:rsid w:val="00417AE0"/>
    <w:rsid w:val="00417BAA"/>
    <w:rsid w:val="00420D7A"/>
    <w:rsid w:val="00421257"/>
    <w:rsid w:val="00422193"/>
    <w:rsid w:val="004223DE"/>
    <w:rsid w:val="00422A10"/>
    <w:rsid w:val="00424D17"/>
    <w:rsid w:val="00425DFD"/>
    <w:rsid w:val="004263A3"/>
    <w:rsid w:val="00427713"/>
    <w:rsid w:val="00427CCC"/>
    <w:rsid w:val="0043013A"/>
    <w:rsid w:val="00430421"/>
    <w:rsid w:val="00430B4F"/>
    <w:rsid w:val="00431084"/>
    <w:rsid w:val="004310D7"/>
    <w:rsid w:val="004322D6"/>
    <w:rsid w:val="00432589"/>
    <w:rsid w:val="00432A94"/>
    <w:rsid w:val="00432C95"/>
    <w:rsid w:val="00433827"/>
    <w:rsid w:val="00433A40"/>
    <w:rsid w:val="00434B70"/>
    <w:rsid w:val="004360C8"/>
    <w:rsid w:val="0044006B"/>
    <w:rsid w:val="0044033F"/>
    <w:rsid w:val="00440630"/>
    <w:rsid w:val="00441F0F"/>
    <w:rsid w:val="00442965"/>
    <w:rsid w:val="00444157"/>
    <w:rsid w:val="0044417C"/>
    <w:rsid w:val="00444DB3"/>
    <w:rsid w:val="00445A2F"/>
    <w:rsid w:val="0044684E"/>
    <w:rsid w:val="0045019F"/>
    <w:rsid w:val="004503A4"/>
    <w:rsid w:val="00450555"/>
    <w:rsid w:val="004506FA"/>
    <w:rsid w:val="00450DC6"/>
    <w:rsid w:val="004516A5"/>
    <w:rsid w:val="00451E9C"/>
    <w:rsid w:val="004535AE"/>
    <w:rsid w:val="0045444D"/>
    <w:rsid w:val="0045463A"/>
    <w:rsid w:val="00454AC9"/>
    <w:rsid w:val="004554A3"/>
    <w:rsid w:val="00455A6E"/>
    <w:rsid w:val="00455EAD"/>
    <w:rsid w:val="00456763"/>
    <w:rsid w:val="004578EB"/>
    <w:rsid w:val="004604D5"/>
    <w:rsid w:val="00460697"/>
    <w:rsid w:val="004608C8"/>
    <w:rsid w:val="00463A8C"/>
    <w:rsid w:val="00464AB7"/>
    <w:rsid w:val="00467EF8"/>
    <w:rsid w:val="00472429"/>
    <w:rsid w:val="004725E5"/>
    <w:rsid w:val="00472751"/>
    <w:rsid w:val="00473128"/>
    <w:rsid w:val="0047455E"/>
    <w:rsid w:val="00475078"/>
    <w:rsid w:val="00475767"/>
    <w:rsid w:val="004777E2"/>
    <w:rsid w:val="004779A0"/>
    <w:rsid w:val="004808E3"/>
    <w:rsid w:val="00481016"/>
    <w:rsid w:val="0048204C"/>
    <w:rsid w:val="004821BB"/>
    <w:rsid w:val="004826FE"/>
    <w:rsid w:val="004827D5"/>
    <w:rsid w:val="00482AF2"/>
    <w:rsid w:val="004830C9"/>
    <w:rsid w:val="00483347"/>
    <w:rsid w:val="00483E2E"/>
    <w:rsid w:val="00484B69"/>
    <w:rsid w:val="00485406"/>
    <w:rsid w:val="0048590F"/>
    <w:rsid w:val="00486D60"/>
    <w:rsid w:val="00491FA1"/>
    <w:rsid w:val="00492A25"/>
    <w:rsid w:val="00496350"/>
    <w:rsid w:val="0049797C"/>
    <w:rsid w:val="004A1405"/>
    <w:rsid w:val="004A1FC6"/>
    <w:rsid w:val="004A38C2"/>
    <w:rsid w:val="004A3C03"/>
    <w:rsid w:val="004A3DB7"/>
    <w:rsid w:val="004A5088"/>
    <w:rsid w:val="004A5255"/>
    <w:rsid w:val="004A6CB0"/>
    <w:rsid w:val="004A70FF"/>
    <w:rsid w:val="004A7EDE"/>
    <w:rsid w:val="004B0D93"/>
    <w:rsid w:val="004B1FA4"/>
    <w:rsid w:val="004B29AC"/>
    <w:rsid w:val="004B35DF"/>
    <w:rsid w:val="004B3627"/>
    <w:rsid w:val="004B4922"/>
    <w:rsid w:val="004B57DF"/>
    <w:rsid w:val="004B5976"/>
    <w:rsid w:val="004B72E8"/>
    <w:rsid w:val="004C01A5"/>
    <w:rsid w:val="004C2138"/>
    <w:rsid w:val="004C3940"/>
    <w:rsid w:val="004C51FD"/>
    <w:rsid w:val="004C65A8"/>
    <w:rsid w:val="004C6689"/>
    <w:rsid w:val="004D14DC"/>
    <w:rsid w:val="004D17C6"/>
    <w:rsid w:val="004D2858"/>
    <w:rsid w:val="004D35BA"/>
    <w:rsid w:val="004D38E5"/>
    <w:rsid w:val="004D3C5A"/>
    <w:rsid w:val="004D449A"/>
    <w:rsid w:val="004D4701"/>
    <w:rsid w:val="004D47C7"/>
    <w:rsid w:val="004D5D45"/>
    <w:rsid w:val="004D618D"/>
    <w:rsid w:val="004D62A9"/>
    <w:rsid w:val="004D6FC3"/>
    <w:rsid w:val="004D7476"/>
    <w:rsid w:val="004E0306"/>
    <w:rsid w:val="004E0572"/>
    <w:rsid w:val="004E1758"/>
    <w:rsid w:val="004E1818"/>
    <w:rsid w:val="004E1990"/>
    <w:rsid w:val="004E25A8"/>
    <w:rsid w:val="004E2866"/>
    <w:rsid w:val="004E3930"/>
    <w:rsid w:val="004E3ED9"/>
    <w:rsid w:val="004E5866"/>
    <w:rsid w:val="004E6097"/>
    <w:rsid w:val="004E61EF"/>
    <w:rsid w:val="004E76A7"/>
    <w:rsid w:val="004E77BA"/>
    <w:rsid w:val="004E7B03"/>
    <w:rsid w:val="004F0064"/>
    <w:rsid w:val="004F06AC"/>
    <w:rsid w:val="004F243F"/>
    <w:rsid w:val="004F252C"/>
    <w:rsid w:val="004F3E0C"/>
    <w:rsid w:val="004F67AC"/>
    <w:rsid w:val="004F7160"/>
    <w:rsid w:val="00500258"/>
    <w:rsid w:val="00501A99"/>
    <w:rsid w:val="00503180"/>
    <w:rsid w:val="005038A4"/>
    <w:rsid w:val="00505450"/>
    <w:rsid w:val="005100B7"/>
    <w:rsid w:val="005113C9"/>
    <w:rsid w:val="00512050"/>
    <w:rsid w:val="00512055"/>
    <w:rsid w:val="0051280C"/>
    <w:rsid w:val="00512842"/>
    <w:rsid w:val="005128BE"/>
    <w:rsid w:val="0051356F"/>
    <w:rsid w:val="00513E7C"/>
    <w:rsid w:val="005140BB"/>
    <w:rsid w:val="00514FD9"/>
    <w:rsid w:val="0051550A"/>
    <w:rsid w:val="0051608F"/>
    <w:rsid w:val="00520EF8"/>
    <w:rsid w:val="005210F7"/>
    <w:rsid w:val="00521753"/>
    <w:rsid w:val="005224EE"/>
    <w:rsid w:val="00522879"/>
    <w:rsid w:val="00523BB1"/>
    <w:rsid w:val="005260CD"/>
    <w:rsid w:val="00526265"/>
    <w:rsid w:val="0052655D"/>
    <w:rsid w:val="005265E0"/>
    <w:rsid w:val="00526BC3"/>
    <w:rsid w:val="00531761"/>
    <w:rsid w:val="0053332A"/>
    <w:rsid w:val="0053358A"/>
    <w:rsid w:val="00534668"/>
    <w:rsid w:val="00534DDD"/>
    <w:rsid w:val="00535291"/>
    <w:rsid w:val="00535A94"/>
    <w:rsid w:val="00537874"/>
    <w:rsid w:val="0053795F"/>
    <w:rsid w:val="00540578"/>
    <w:rsid w:val="00540808"/>
    <w:rsid w:val="0054080E"/>
    <w:rsid w:val="00540EA1"/>
    <w:rsid w:val="0054358E"/>
    <w:rsid w:val="00543AF4"/>
    <w:rsid w:val="00544191"/>
    <w:rsid w:val="005448EC"/>
    <w:rsid w:val="00544F39"/>
    <w:rsid w:val="00546F90"/>
    <w:rsid w:val="00547EFB"/>
    <w:rsid w:val="005522F2"/>
    <w:rsid w:val="005531DF"/>
    <w:rsid w:val="00553874"/>
    <w:rsid w:val="00554AD8"/>
    <w:rsid w:val="00554F78"/>
    <w:rsid w:val="00555DA1"/>
    <w:rsid w:val="00556BF7"/>
    <w:rsid w:val="00557F60"/>
    <w:rsid w:val="00561B97"/>
    <w:rsid w:val="00562149"/>
    <w:rsid w:val="00567B5D"/>
    <w:rsid w:val="00570757"/>
    <w:rsid w:val="00573733"/>
    <w:rsid w:val="00573975"/>
    <w:rsid w:val="00574554"/>
    <w:rsid w:val="005751BB"/>
    <w:rsid w:val="00576089"/>
    <w:rsid w:val="005764B1"/>
    <w:rsid w:val="00576852"/>
    <w:rsid w:val="00576D06"/>
    <w:rsid w:val="005779E4"/>
    <w:rsid w:val="0058289C"/>
    <w:rsid w:val="005836C7"/>
    <w:rsid w:val="0058408E"/>
    <w:rsid w:val="00585374"/>
    <w:rsid w:val="00590B77"/>
    <w:rsid w:val="00590D9A"/>
    <w:rsid w:val="005913A3"/>
    <w:rsid w:val="00594A7B"/>
    <w:rsid w:val="0059580E"/>
    <w:rsid w:val="00596A6F"/>
    <w:rsid w:val="00596FCE"/>
    <w:rsid w:val="005A11BC"/>
    <w:rsid w:val="005A1525"/>
    <w:rsid w:val="005A1E17"/>
    <w:rsid w:val="005A252B"/>
    <w:rsid w:val="005A3204"/>
    <w:rsid w:val="005A3341"/>
    <w:rsid w:val="005A3C3D"/>
    <w:rsid w:val="005A43B6"/>
    <w:rsid w:val="005A46EC"/>
    <w:rsid w:val="005A5EAE"/>
    <w:rsid w:val="005B07EC"/>
    <w:rsid w:val="005B2B11"/>
    <w:rsid w:val="005B32A4"/>
    <w:rsid w:val="005B3BAF"/>
    <w:rsid w:val="005B4DA3"/>
    <w:rsid w:val="005B5BEE"/>
    <w:rsid w:val="005B77D2"/>
    <w:rsid w:val="005C019B"/>
    <w:rsid w:val="005C1567"/>
    <w:rsid w:val="005C1AED"/>
    <w:rsid w:val="005C30F5"/>
    <w:rsid w:val="005C51A5"/>
    <w:rsid w:val="005C557A"/>
    <w:rsid w:val="005C5C47"/>
    <w:rsid w:val="005C61DD"/>
    <w:rsid w:val="005C6438"/>
    <w:rsid w:val="005C6B8B"/>
    <w:rsid w:val="005C727F"/>
    <w:rsid w:val="005D02E3"/>
    <w:rsid w:val="005D1F34"/>
    <w:rsid w:val="005D2C1F"/>
    <w:rsid w:val="005D34B2"/>
    <w:rsid w:val="005D3B54"/>
    <w:rsid w:val="005D40CD"/>
    <w:rsid w:val="005D6B59"/>
    <w:rsid w:val="005E03E4"/>
    <w:rsid w:val="005E0454"/>
    <w:rsid w:val="005E05F6"/>
    <w:rsid w:val="005E3F85"/>
    <w:rsid w:val="005E50AA"/>
    <w:rsid w:val="005E5673"/>
    <w:rsid w:val="005E57B0"/>
    <w:rsid w:val="005E5B01"/>
    <w:rsid w:val="005F009E"/>
    <w:rsid w:val="005F0DF1"/>
    <w:rsid w:val="005F1516"/>
    <w:rsid w:val="005F229E"/>
    <w:rsid w:val="005F2564"/>
    <w:rsid w:val="005F3822"/>
    <w:rsid w:val="005F4635"/>
    <w:rsid w:val="005F4900"/>
    <w:rsid w:val="005F4E52"/>
    <w:rsid w:val="005F7383"/>
    <w:rsid w:val="0060058E"/>
    <w:rsid w:val="00602A3C"/>
    <w:rsid w:val="00603EFD"/>
    <w:rsid w:val="0060475B"/>
    <w:rsid w:val="00604FB6"/>
    <w:rsid w:val="00605387"/>
    <w:rsid w:val="00606302"/>
    <w:rsid w:val="006076FD"/>
    <w:rsid w:val="0061143F"/>
    <w:rsid w:val="006114D8"/>
    <w:rsid w:val="00613553"/>
    <w:rsid w:val="00613601"/>
    <w:rsid w:val="00613791"/>
    <w:rsid w:val="006150D6"/>
    <w:rsid w:val="00615245"/>
    <w:rsid w:val="0061590D"/>
    <w:rsid w:val="00617EEE"/>
    <w:rsid w:val="00620A1F"/>
    <w:rsid w:val="0062169D"/>
    <w:rsid w:val="0062181E"/>
    <w:rsid w:val="00622BB7"/>
    <w:rsid w:val="00623389"/>
    <w:rsid w:val="00623DAA"/>
    <w:rsid w:val="006265C4"/>
    <w:rsid w:val="0062678A"/>
    <w:rsid w:val="006270AF"/>
    <w:rsid w:val="00630B1A"/>
    <w:rsid w:val="00634367"/>
    <w:rsid w:val="0063713C"/>
    <w:rsid w:val="00640082"/>
    <w:rsid w:val="00640291"/>
    <w:rsid w:val="00640EFE"/>
    <w:rsid w:val="00641D6D"/>
    <w:rsid w:val="00641FAC"/>
    <w:rsid w:val="00643664"/>
    <w:rsid w:val="00643CAA"/>
    <w:rsid w:val="00644F16"/>
    <w:rsid w:val="006455EB"/>
    <w:rsid w:val="006456C2"/>
    <w:rsid w:val="006478E4"/>
    <w:rsid w:val="0065171A"/>
    <w:rsid w:val="00652680"/>
    <w:rsid w:val="00653CDE"/>
    <w:rsid w:val="00654585"/>
    <w:rsid w:val="0065636A"/>
    <w:rsid w:val="00657003"/>
    <w:rsid w:val="00660238"/>
    <w:rsid w:val="006602EF"/>
    <w:rsid w:val="00661277"/>
    <w:rsid w:val="006619E0"/>
    <w:rsid w:val="00663FEA"/>
    <w:rsid w:val="00664803"/>
    <w:rsid w:val="006661A4"/>
    <w:rsid w:val="00666476"/>
    <w:rsid w:val="006670E0"/>
    <w:rsid w:val="00667275"/>
    <w:rsid w:val="00667532"/>
    <w:rsid w:val="0066783E"/>
    <w:rsid w:val="00667E53"/>
    <w:rsid w:val="006713AB"/>
    <w:rsid w:val="00673711"/>
    <w:rsid w:val="00673F82"/>
    <w:rsid w:val="00674F74"/>
    <w:rsid w:val="0067508F"/>
    <w:rsid w:val="0068051E"/>
    <w:rsid w:val="00680B9D"/>
    <w:rsid w:val="00681F13"/>
    <w:rsid w:val="0068231C"/>
    <w:rsid w:val="00682344"/>
    <w:rsid w:val="00682F28"/>
    <w:rsid w:val="00684842"/>
    <w:rsid w:val="00685BD6"/>
    <w:rsid w:val="00687116"/>
    <w:rsid w:val="006878A6"/>
    <w:rsid w:val="00690437"/>
    <w:rsid w:val="00690DC3"/>
    <w:rsid w:val="00690E65"/>
    <w:rsid w:val="006911B7"/>
    <w:rsid w:val="0069188E"/>
    <w:rsid w:val="00691974"/>
    <w:rsid w:val="00692BF6"/>
    <w:rsid w:val="00692CE6"/>
    <w:rsid w:val="00693186"/>
    <w:rsid w:val="00693B6C"/>
    <w:rsid w:val="006942AE"/>
    <w:rsid w:val="00695421"/>
    <w:rsid w:val="00697BD3"/>
    <w:rsid w:val="00697DFA"/>
    <w:rsid w:val="006A16D5"/>
    <w:rsid w:val="006A1772"/>
    <w:rsid w:val="006A1780"/>
    <w:rsid w:val="006A21DD"/>
    <w:rsid w:val="006A3B28"/>
    <w:rsid w:val="006A4FEE"/>
    <w:rsid w:val="006A703E"/>
    <w:rsid w:val="006A7BE3"/>
    <w:rsid w:val="006A7D32"/>
    <w:rsid w:val="006A7EB5"/>
    <w:rsid w:val="006B01D1"/>
    <w:rsid w:val="006B16EA"/>
    <w:rsid w:val="006B1780"/>
    <w:rsid w:val="006B224E"/>
    <w:rsid w:val="006B376E"/>
    <w:rsid w:val="006B4589"/>
    <w:rsid w:val="006B610E"/>
    <w:rsid w:val="006B6805"/>
    <w:rsid w:val="006B6DE0"/>
    <w:rsid w:val="006C16C3"/>
    <w:rsid w:val="006C32F4"/>
    <w:rsid w:val="006C3C54"/>
    <w:rsid w:val="006C4F9F"/>
    <w:rsid w:val="006C71A2"/>
    <w:rsid w:val="006C73EC"/>
    <w:rsid w:val="006D0C1D"/>
    <w:rsid w:val="006D2E9D"/>
    <w:rsid w:val="006D4A4E"/>
    <w:rsid w:val="006D4C42"/>
    <w:rsid w:val="006D5809"/>
    <w:rsid w:val="006D607E"/>
    <w:rsid w:val="006D70CB"/>
    <w:rsid w:val="006D7363"/>
    <w:rsid w:val="006E0754"/>
    <w:rsid w:val="006E2668"/>
    <w:rsid w:val="006E2D39"/>
    <w:rsid w:val="006E32B0"/>
    <w:rsid w:val="006E396A"/>
    <w:rsid w:val="006E3D63"/>
    <w:rsid w:val="006E5DD8"/>
    <w:rsid w:val="006E5EA1"/>
    <w:rsid w:val="006F0760"/>
    <w:rsid w:val="006F11E2"/>
    <w:rsid w:val="006F2574"/>
    <w:rsid w:val="006F2FC5"/>
    <w:rsid w:val="006F3231"/>
    <w:rsid w:val="006F3DE3"/>
    <w:rsid w:val="006F4787"/>
    <w:rsid w:val="006F61D8"/>
    <w:rsid w:val="006F62B7"/>
    <w:rsid w:val="006F70BC"/>
    <w:rsid w:val="006F7E7C"/>
    <w:rsid w:val="0070174E"/>
    <w:rsid w:val="00701DE6"/>
    <w:rsid w:val="0070381B"/>
    <w:rsid w:val="00710EBF"/>
    <w:rsid w:val="0071209F"/>
    <w:rsid w:val="007125A2"/>
    <w:rsid w:val="00713ABF"/>
    <w:rsid w:val="00713F79"/>
    <w:rsid w:val="007148A8"/>
    <w:rsid w:val="00716AC8"/>
    <w:rsid w:val="00716E54"/>
    <w:rsid w:val="0072033C"/>
    <w:rsid w:val="00720B1B"/>
    <w:rsid w:val="00721062"/>
    <w:rsid w:val="00721E5D"/>
    <w:rsid w:val="007229D4"/>
    <w:rsid w:val="007230F8"/>
    <w:rsid w:val="007233F4"/>
    <w:rsid w:val="00724044"/>
    <w:rsid w:val="007248D3"/>
    <w:rsid w:val="00725137"/>
    <w:rsid w:val="00725378"/>
    <w:rsid w:val="00727A43"/>
    <w:rsid w:val="00727FF2"/>
    <w:rsid w:val="00730550"/>
    <w:rsid w:val="00731434"/>
    <w:rsid w:val="007323E0"/>
    <w:rsid w:val="00733721"/>
    <w:rsid w:val="00733DE2"/>
    <w:rsid w:val="007352EA"/>
    <w:rsid w:val="00735931"/>
    <w:rsid w:val="0073792F"/>
    <w:rsid w:val="00740C81"/>
    <w:rsid w:val="00740DA6"/>
    <w:rsid w:val="007418FD"/>
    <w:rsid w:val="00741B4B"/>
    <w:rsid w:val="00741D1E"/>
    <w:rsid w:val="00741DD6"/>
    <w:rsid w:val="00741EE2"/>
    <w:rsid w:val="0074207F"/>
    <w:rsid w:val="00742367"/>
    <w:rsid w:val="00742EAA"/>
    <w:rsid w:val="00743360"/>
    <w:rsid w:val="00743818"/>
    <w:rsid w:val="00743857"/>
    <w:rsid w:val="007441FB"/>
    <w:rsid w:val="00744517"/>
    <w:rsid w:val="0074522A"/>
    <w:rsid w:val="00747295"/>
    <w:rsid w:val="00747829"/>
    <w:rsid w:val="00747DE2"/>
    <w:rsid w:val="007504BF"/>
    <w:rsid w:val="007506CD"/>
    <w:rsid w:val="0075267F"/>
    <w:rsid w:val="007526EC"/>
    <w:rsid w:val="00753C48"/>
    <w:rsid w:val="00754250"/>
    <w:rsid w:val="00754FE4"/>
    <w:rsid w:val="00755216"/>
    <w:rsid w:val="00756236"/>
    <w:rsid w:val="00756271"/>
    <w:rsid w:val="00756348"/>
    <w:rsid w:val="00756521"/>
    <w:rsid w:val="00756AB7"/>
    <w:rsid w:val="0076106D"/>
    <w:rsid w:val="007623FB"/>
    <w:rsid w:val="00762517"/>
    <w:rsid w:val="00763240"/>
    <w:rsid w:val="0076376A"/>
    <w:rsid w:val="0076504E"/>
    <w:rsid w:val="00767A27"/>
    <w:rsid w:val="00767BFD"/>
    <w:rsid w:val="00767EA0"/>
    <w:rsid w:val="0077068F"/>
    <w:rsid w:val="00771EDF"/>
    <w:rsid w:val="0077408D"/>
    <w:rsid w:val="00774270"/>
    <w:rsid w:val="007743F6"/>
    <w:rsid w:val="00775679"/>
    <w:rsid w:val="0077574F"/>
    <w:rsid w:val="00775823"/>
    <w:rsid w:val="00777B32"/>
    <w:rsid w:val="0078051E"/>
    <w:rsid w:val="007838F3"/>
    <w:rsid w:val="00785F46"/>
    <w:rsid w:val="007865F4"/>
    <w:rsid w:val="00786D5C"/>
    <w:rsid w:val="00786E96"/>
    <w:rsid w:val="00787F93"/>
    <w:rsid w:val="007902A1"/>
    <w:rsid w:val="00791E6D"/>
    <w:rsid w:val="00791EB5"/>
    <w:rsid w:val="00795423"/>
    <w:rsid w:val="007A11C2"/>
    <w:rsid w:val="007A18BB"/>
    <w:rsid w:val="007A41BF"/>
    <w:rsid w:val="007A490A"/>
    <w:rsid w:val="007A7B95"/>
    <w:rsid w:val="007B0297"/>
    <w:rsid w:val="007B02FA"/>
    <w:rsid w:val="007B0F53"/>
    <w:rsid w:val="007B21AE"/>
    <w:rsid w:val="007B2570"/>
    <w:rsid w:val="007B3113"/>
    <w:rsid w:val="007B3304"/>
    <w:rsid w:val="007B7490"/>
    <w:rsid w:val="007C0525"/>
    <w:rsid w:val="007C13F7"/>
    <w:rsid w:val="007C218D"/>
    <w:rsid w:val="007C2D28"/>
    <w:rsid w:val="007C3E22"/>
    <w:rsid w:val="007C6218"/>
    <w:rsid w:val="007C6484"/>
    <w:rsid w:val="007C67C6"/>
    <w:rsid w:val="007C78BE"/>
    <w:rsid w:val="007C7E59"/>
    <w:rsid w:val="007D0B91"/>
    <w:rsid w:val="007D1452"/>
    <w:rsid w:val="007D460C"/>
    <w:rsid w:val="007D4AD3"/>
    <w:rsid w:val="007D5D19"/>
    <w:rsid w:val="007D5FDC"/>
    <w:rsid w:val="007D6176"/>
    <w:rsid w:val="007D6D68"/>
    <w:rsid w:val="007E32DA"/>
    <w:rsid w:val="007E4998"/>
    <w:rsid w:val="007E4A9C"/>
    <w:rsid w:val="007E6914"/>
    <w:rsid w:val="007E7F78"/>
    <w:rsid w:val="007F0179"/>
    <w:rsid w:val="007F2C13"/>
    <w:rsid w:val="007F2CEC"/>
    <w:rsid w:val="007F45D2"/>
    <w:rsid w:val="007F55DE"/>
    <w:rsid w:val="007F762D"/>
    <w:rsid w:val="007F78FF"/>
    <w:rsid w:val="008001C5"/>
    <w:rsid w:val="00800F6C"/>
    <w:rsid w:val="00801065"/>
    <w:rsid w:val="00802C0B"/>
    <w:rsid w:val="0080353B"/>
    <w:rsid w:val="008051FC"/>
    <w:rsid w:val="008055A9"/>
    <w:rsid w:val="008056C4"/>
    <w:rsid w:val="00805D8B"/>
    <w:rsid w:val="00810E8E"/>
    <w:rsid w:val="008135E1"/>
    <w:rsid w:val="00813E26"/>
    <w:rsid w:val="0081481D"/>
    <w:rsid w:val="00814BE8"/>
    <w:rsid w:val="00814F6E"/>
    <w:rsid w:val="00815B84"/>
    <w:rsid w:val="00816BE9"/>
    <w:rsid w:val="00822518"/>
    <w:rsid w:val="00823FC6"/>
    <w:rsid w:val="00825C74"/>
    <w:rsid w:val="00825CFA"/>
    <w:rsid w:val="00826AB9"/>
    <w:rsid w:val="00826E0E"/>
    <w:rsid w:val="00827D11"/>
    <w:rsid w:val="00827E0F"/>
    <w:rsid w:val="00827F6E"/>
    <w:rsid w:val="00831758"/>
    <w:rsid w:val="008317D9"/>
    <w:rsid w:val="0083279F"/>
    <w:rsid w:val="008334DB"/>
    <w:rsid w:val="00833B7F"/>
    <w:rsid w:val="00834906"/>
    <w:rsid w:val="00836075"/>
    <w:rsid w:val="00836417"/>
    <w:rsid w:val="00837526"/>
    <w:rsid w:val="008407A7"/>
    <w:rsid w:val="0084322B"/>
    <w:rsid w:val="00843F81"/>
    <w:rsid w:val="00844087"/>
    <w:rsid w:val="0084519E"/>
    <w:rsid w:val="00845CAE"/>
    <w:rsid w:val="00846370"/>
    <w:rsid w:val="00847C2B"/>
    <w:rsid w:val="00851822"/>
    <w:rsid w:val="008532BF"/>
    <w:rsid w:val="00853BF4"/>
    <w:rsid w:val="00854294"/>
    <w:rsid w:val="008544A2"/>
    <w:rsid w:val="0085572E"/>
    <w:rsid w:val="0085788B"/>
    <w:rsid w:val="00857A9E"/>
    <w:rsid w:val="00857DE2"/>
    <w:rsid w:val="00863A8E"/>
    <w:rsid w:val="0086407F"/>
    <w:rsid w:val="008645E3"/>
    <w:rsid w:val="00864E79"/>
    <w:rsid w:val="0086661F"/>
    <w:rsid w:val="00866A0D"/>
    <w:rsid w:val="00866DB5"/>
    <w:rsid w:val="0086702B"/>
    <w:rsid w:val="0086784E"/>
    <w:rsid w:val="00872084"/>
    <w:rsid w:val="00872827"/>
    <w:rsid w:val="00872A32"/>
    <w:rsid w:val="00874911"/>
    <w:rsid w:val="00876EAE"/>
    <w:rsid w:val="00880F95"/>
    <w:rsid w:val="00882B44"/>
    <w:rsid w:val="008871B0"/>
    <w:rsid w:val="00890B57"/>
    <w:rsid w:val="00890C76"/>
    <w:rsid w:val="008916BA"/>
    <w:rsid w:val="0089217C"/>
    <w:rsid w:val="00892790"/>
    <w:rsid w:val="00893671"/>
    <w:rsid w:val="00895838"/>
    <w:rsid w:val="00895A1E"/>
    <w:rsid w:val="00895A72"/>
    <w:rsid w:val="00895CDF"/>
    <w:rsid w:val="00896D8C"/>
    <w:rsid w:val="008A0FC9"/>
    <w:rsid w:val="008A1956"/>
    <w:rsid w:val="008A1A7C"/>
    <w:rsid w:val="008A40D3"/>
    <w:rsid w:val="008A469C"/>
    <w:rsid w:val="008A51D1"/>
    <w:rsid w:val="008A5DCE"/>
    <w:rsid w:val="008A75D3"/>
    <w:rsid w:val="008B05DD"/>
    <w:rsid w:val="008B17E8"/>
    <w:rsid w:val="008B2E7C"/>
    <w:rsid w:val="008B45F0"/>
    <w:rsid w:val="008B4A70"/>
    <w:rsid w:val="008B502F"/>
    <w:rsid w:val="008B6DFC"/>
    <w:rsid w:val="008B7227"/>
    <w:rsid w:val="008C043F"/>
    <w:rsid w:val="008C04E0"/>
    <w:rsid w:val="008C191C"/>
    <w:rsid w:val="008C1DA4"/>
    <w:rsid w:val="008C2629"/>
    <w:rsid w:val="008C2CD5"/>
    <w:rsid w:val="008C3618"/>
    <w:rsid w:val="008C43AD"/>
    <w:rsid w:val="008C6118"/>
    <w:rsid w:val="008C6341"/>
    <w:rsid w:val="008C731F"/>
    <w:rsid w:val="008C74D9"/>
    <w:rsid w:val="008D58D9"/>
    <w:rsid w:val="008D5AD4"/>
    <w:rsid w:val="008D6DD5"/>
    <w:rsid w:val="008D6E59"/>
    <w:rsid w:val="008D7155"/>
    <w:rsid w:val="008E0B29"/>
    <w:rsid w:val="008E141A"/>
    <w:rsid w:val="008E1A44"/>
    <w:rsid w:val="008E28E6"/>
    <w:rsid w:val="008E3232"/>
    <w:rsid w:val="008E3674"/>
    <w:rsid w:val="008E3B6C"/>
    <w:rsid w:val="008E77D4"/>
    <w:rsid w:val="008E7ADD"/>
    <w:rsid w:val="008F091F"/>
    <w:rsid w:val="008F17B2"/>
    <w:rsid w:val="008F22B3"/>
    <w:rsid w:val="008F357B"/>
    <w:rsid w:val="008F44CA"/>
    <w:rsid w:val="008F49D3"/>
    <w:rsid w:val="008F6519"/>
    <w:rsid w:val="008F7012"/>
    <w:rsid w:val="008F7ADA"/>
    <w:rsid w:val="008F7B17"/>
    <w:rsid w:val="00900042"/>
    <w:rsid w:val="0090034B"/>
    <w:rsid w:val="00902623"/>
    <w:rsid w:val="00902A67"/>
    <w:rsid w:val="00904BE4"/>
    <w:rsid w:val="0090504A"/>
    <w:rsid w:val="00905221"/>
    <w:rsid w:val="00905A7C"/>
    <w:rsid w:val="00905D7E"/>
    <w:rsid w:val="00907037"/>
    <w:rsid w:val="0091160A"/>
    <w:rsid w:val="00913258"/>
    <w:rsid w:val="00913BB0"/>
    <w:rsid w:val="00914B75"/>
    <w:rsid w:val="00914C58"/>
    <w:rsid w:val="0091564D"/>
    <w:rsid w:val="009156DA"/>
    <w:rsid w:val="00915774"/>
    <w:rsid w:val="0091608A"/>
    <w:rsid w:val="00916BC5"/>
    <w:rsid w:val="0091726A"/>
    <w:rsid w:val="00920184"/>
    <w:rsid w:val="00920EA4"/>
    <w:rsid w:val="00921792"/>
    <w:rsid w:val="00921BEA"/>
    <w:rsid w:val="009238FD"/>
    <w:rsid w:val="00923998"/>
    <w:rsid w:val="00923DB4"/>
    <w:rsid w:val="0092420B"/>
    <w:rsid w:val="0092430E"/>
    <w:rsid w:val="0092625F"/>
    <w:rsid w:val="00926B28"/>
    <w:rsid w:val="00926D9C"/>
    <w:rsid w:val="00927028"/>
    <w:rsid w:val="00927763"/>
    <w:rsid w:val="00927A2D"/>
    <w:rsid w:val="00927B37"/>
    <w:rsid w:val="009321B1"/>
    <w:rsid w:val="00932ED7"/>
    <w:rsid w:val="0093422D"/>
    <w:rsid w:val="0093483B"/>
    <w:rsid w:val="00934CF9"/>
    <w:rsid w:val="00934DD7"/>
    <w:rsid w:val="009369A9"/>
    <w:rsid w:val="00936CF7"/>
    <w:rsid w:val="00937783"/>
    <w:rsid w:val="00937F28"/>
    <w:rsid w:val="00940FE1"/>
    <w:rsid w:val="00942306"/>
    <w:rsid w:val="009424B8"/>
    <w:rsid w:val="00944668"/>
    <w:rsid w:val="00944DC6"/>
    <w:rsid w:val="009458B0"/>
    <w:rsid w:val="00945B52"/>
    <w:rsid w:val="00945B7A"/>
    <w:rsid w:val="00945F05"/>
    <w:rsid w:val="00946348"/>
    <w:rsid w:val="00947797"/>
    <w:rsid w:val="009478A2"/>
    <w:rsid w:val="00952684"/>
    <w:rsid w:val="00954032"/>
    <w:rsid w:val="00955FBB"/>
    <w:rsid w:val="0095694B"/>
    <w:rsid w:val="00956BD5"/>
    <w:rsid w:val="00956D84"/>
    <w:rsid w:val="009577B5"/>
    <w:rsid w:val="009608E6"/>
    <w:rsid w:val="00960F57"/>
    <w:rsid w:val="00961C90"/>
    <w:rsid w:val="00965443"/>
    <w:rsid w:val="00965954"/>
    <w:rsid w:val="00965E55"/>
    <w:rsid w:val="0096608E"/>
    <w:rsid w:val="00966522"/>
    <w:rsid w:val="00966C33"/>
    <w:rsid w:val="00970F18"/>
    <w:rsid w:val="00971CF1"/>
    <w:rsid w:val="00971F5D"/>
    <w:rsid w:val="009721E9"/>
    <w:rsid w:val="00973772"/>
    <w:rsid w:val="00975E1E"/>
    <w:rsid w:val="00975E70"/>
    <w:rsid w:val="009766FA"/>
    <w:rsid w:val="009777B1"/>
    <w:rsid w:val="00977CD6"/>
    <w:rsid w:val="00980DF9"/>
    <w:rsid w:val="0098243D"/>
    <w:rsid w:val="00982D26"/>
    <w:rsid w:val="00983B6E"/>
    <w:rsid w:val="00983FE5"/>
    <w:rsid w:val="009849E9"/>
    <w:rsid w:val="009859E4"/>
    <w:rsid w:val="00987812"/>
    <w:rsid w:val="00990225"/>
    <w:rsid w:val="0099030E"/>
    <w:rsid w:val="00990A54"/>
    <w:rsid w:val="00994AAD"/>
    <w:rsid w:val="00995150"/>
    <w:rsid w:val="00995D67"/>
    <w:rsid w:val="009A013B"/>
    <w:rsid w:val="009A02F4"/>
    <w:rsid w:val="009A06BF"/>
    <w:rsid w:val="009A0D17"/>
    <w:rsid w:val="009A2494"/>
    <w:rsid w:val="009A32B1"/>
    <w:rsid w:val="009A36F2"/>
    <w:rsid w:val="009A40C3"/>
    <w:rsid w:val="009A40D5"/>
    <w:rsid w:val="009A57D0"/>
    <w:rsid w:val="009A6559"/>
    <w:rsid w:val="009A68FC"/>
    <w:rsid w:val="009A6CE4"/>
    <w:rsid w:val="009A7514"/>
    <w:rsid w:val="009A7E7A"/>
    <w:rsid w:val="009B1584"/>
    <w:rsid w:val="009B18F0"/>
    <w:rsid w:val="009B2471"/>
    <w:rsid w:val="009B314F"/>
    <w:rsid w:val="009B3C93"/>
    <w:rsid w:val="009B439C"/>
    <w:rsid w:val="009B4A6C"/>
    <w:rsid w:val="009B4DA8"/>
    <w:rsid w:val="009B620C"/>
    <w:rsid w:val="009B6753"/>
    <w:rsid w:val="009B676C"/>
    <w:rsid w:val="009B6A26"/>
    <w:rsid w:val="009C079D"/>
    <w:rsid w:val="009C0D70"/>
    <w:rsid w:val="009C13D1"/>
    <w:rsid w:val="009C2913"/>
    <w:rsid w:val="009C2BD4"/>
    <w:rsid w:val="009C5AFE"/>
    <w:rsid w:val="009C6606"/>
    <w:rsid w:val="009C6CE5"/>
    <w:rsid w:val="009C6D50"/>
    <w:rsid w:val="009C7547"/>
    <w:rsid w:val="009D05EC"/>
    <w:rsid w:val="009D18D4"/>
    <w:rsid w:val="009D2F60"/>
    <w:rsid w:val="009D3A2E"/>
    <w:rsid w:val="009D5ADE"/>
    <w:rsid w:val="009D5BAC"/>
    <w:rsid w:val="009D5C56"/>
    <w:rsid w:val="009D64BD"/>
    <w:rsid w:val="009D6CB1"/>
    <w:rsid w:val="009E153F"/>
    <w:rsid w:val="009E393E"/>
    <w:rsid w:val="009E444E"/>
    <w:rsid w:val="009E4968"/>
    <w:rsid w:val="009E663C"/>
    <w:rsid w:val="009E684A"/>
    <w:rsid w:val="009E6BB1"/>
    <w:rsid w:val="009E6E14"/>
    <w:rsid w:val="009F0494"/>
    <w:rsid w:val="009F0CD9"/>
    <w:rsid w:val="009F1A79"/>
    <w:rsid w:val="009F1F57"/>
    <w:rsid w:val="009F3447"/>
    <w:rsid w:val="009F65F4"/>
    <w:rsid w:val="009F676B"/>
    <w:rsid w:val="009F6D54"/>
    <w:rsid w:val="00A004DF"/>
    <w:rsid w:val="00A00FD5"/>
    <w:rsid w:val="00A019A8"/>
    <w:rsid w:val="00A01B03"/>
    <w:rsid w:val="00A02C66"/>
    <w:rsid w:val="00A02C84"/>
    <w:rsid w:val="00A02E9A"/>
    <w:rsid w:val="00A0464C"/>
    <w:rsid w:val="00A050BB"/>
    <w:rsid w:val="00A054E0"/>
    <w:rsid w:val="00A05D91"/>
    <w:rsid w:val="00A0740B"/>
    <w:rsid w:val="00A10CA8"/>
    <w:rsid w:val="00A11042"/>
    <w:rsid w:val="00A12579"/>
    <w:rsid w:val="00A133D8"/>
    <w:rsid w:val="00A1740C"/>
    <w:rsid w:val="00A20069"/>
    <w:rsid w:val="00A2244D"/>
    <w:rsid w:val="00A2253D"/>
    <w:rsid w:val="00A247B8"/>
    <w:rsid w:val="00A2495A"/>
    <w:rsid w:val="00A24C7A"/>
    <w:rsid w:val="00A24D8F"/>
    <w:rsid w:val="00A25B8B"/>
    <w:rsid w:val="00A26ECA"/>
    <w:rsid w:val="00A27461"/>
    <w:rsid w:val="00A30ABC"/>
    <w:rsid w:val="00A311A3"/>
    <w:rsid w:val="00A3467F"/>
    <w:rsid w:val="00A34B4C"/>
    <w:rsid w:val="00A35030"/>
    <w:rsid w:val="00A3551A"/>
    <w:rsid w:val="00A37209"/>
    <w:rsid w:val="00A37584"/>
    <w:rsid w:val="00A376E8"/>
    <w:rsid w:val="00A37F8E"/>
    <w:rsid w:val="00A41737"/>
    <w:rsid w:val="00A42B8F"/>
    <w:rsid w:val="00A43254"/>
    <w:rsid w:val="00A43896"/>
    <w:rsid w:val="00A43A26"/>
    <w:rsid w:val="00A447A0"/>
    <w:rsid w:val="00A459F5"/>
    <w:rsid w:val="00A45FC0"/>
    <w:rsid w:val="00A47ECC"/>
    <w:rsid w:val="00A50171"/>
    <w:rsid w:val="00A504FA"/>
    <w:rsid w:val="00A5102E"/>
    <w:rsid w:val="00A5132E"/>
    <w:rsid w:val="00A51533"/>
    <w:rsid w:val="00A531D4"/>
    <w:rsid w:val="00A54572"/>
    <w:rsid w:val="00A575B8"/>
    <w:rsid w:val="00A61C60"/>
    <w:rsid w:val="00A6410C"/>
    <w:rsid w:val="00A647B1"/>
    <w:rsid w:val="00A64DEF"/>
    <w:rsid w:val="00A654D2"/>
    <w:rsid w:val="00A665DF"/>
    <w:rsid w:val="00A67FCC"/>
    <w:rsid w:val="00A70AA5"/>
    <w:rsid w:val="00A70C03"/>
    <w:rsid w:val="00A71256"/>
    <w:rsid w:val="00A714BD"/>
    <w:rsid w:val="00A7217B"/>
    <w:rsid w:val="00A73861"/>
    <w:rsid w:val="00A739A6"/>
    <w:rsid w:val="00A740ED"/>
    <w:rsid w:val="00A74C62"/>
    <w:rsid w:val="00A75EF9"/>
    <w:rsid w:val="00A8311C"/>
    <w:rsid w:val="00A84C5F"/>
    <w:rsid w:val="00A85930"/>
    <w:rsid w:val="00A863F7"/>
    <w:rsid w:val="00A86604"/>
    <w:rsid w:val="00A87519"/>
    <w:rsid w:val="00A9246D"/>
    <w:rsid w:val="00A93BD0"/>
    <w:rsid w:val="00A93CC2"/>
    <w:rsid w:val="00A974CC"/>
    <w:rsid w:val="00AA2001"/>
    <w:rsid w:val="00AA2B5C"/>
    <w:rsid w:val="00AA32D2"/>
    <w:rsid w:val="00AA4016"/>
    <w:rsid w:val="00AA4C1F"/>
    <w:rsid w:val="00AA5328"/>
    <w:rsid w:val="00AA5393"/>
    <w:rsid w:val="00AA63D4"/>
    <w:rsid w:val="00AB03FD"/>
    <w:rsid w:val="00AB2B77"/>
    <w:rsid w:val="00AB38CB"/>
    <w:rsid w:val="00AB3BEC"/>
    <w:rsid w:val="00AB44E4"/>
    <w:rsid w:val="00AB4AEB"/>
    <w:rsid w:val="00AB4E5F"/>
    <w:rsid w:val="00AB5352"/>
    <w:rsid w:val="00AB56AE"/>
    <w:rsid w:val="00AB62D5"/>
    <w:rsid w:val="00AB65B5"/>
    <w:rsid w:val="00AB6DCD"/>
    <w:rsid w:val="00AB6EE0"/>
    <w:rsid w:val="00AC17A2"/>
    <w:rsid w:val="00AC40B7"/>
    <w:rsid w:val="00AC531F"/>
    <w:rsid w:val="00AC5B36"/>
    <w:rsid w:val="00AC66A4"/>
    <w:rsid w:val="00AC6CB1"/>
    <w:rsid w:val="00AC7D6D"/>
    <w:rsid w:val="00AD0091"/>
    <w:rsid w:val="00AD23EF"/>
    <w:rsid w:val="00AD2662"/>
    <w:rsid w:val="00AD307B"/>
    <w:rsid w:val="00AD4014"/>
    <w:rsid w:val="00AD41B3"/>
    <w:rsid w:val="00AD7127"/>
    <w:rsid w:val="00AE123A"/>
    <w:rsid w:val="00AE1539"/>
    <w:rsid w:val="00AE28A7"/>
    <w:rsid w:val="00AE2A98"/>
    <w:rsid w:val="00AE2CF2"/>
    <w:rsid w:val="00AE33A6"/>
    <w:rsid w:val="00AE3729"/>
    <w:rsid w:val="00AE5C6A"/>
    <w:rsid w:val="00AE7280"/>
    <w:rsid w:val="00AF033A"/>
    <w:rsid w:val="00AF1699"/>
    <w:rsid w:val="00AF1FD3"/>
    <w:rsid w:val="00AF2910"/>
    <w:rsid w:val="00AF34B8"/>
    <w:rsid w:val="00AF3896"/>
    <w:rsid w:val="00AF3FC2"/>
    <w:rsid w:val="00B0098A"/>
    <w:rsid w:val="00B00A5F"/>
    <w:rsid w:val="00B029B8"/>
    <w:rsid w:val="00B02F60"/>
    <w:rsid w:val="00B032B8"/>
    <w:rsid w:val="00B04B46"/>
    <w:rsid w:val="00B0534D"/>
    <w:rsid w:val="00B05685"/>
    <w:rsid w:val="00B05F9F"/>
    <w:rsid w:val="00B06368"/>
    <w:rsid w:val="00B068DA"/>
    <w:rsid w:val="00B06FC6"/>
    <w:rsid w:val="00B07D9D"/>
    <w:rsid w:val="00B11AE5"/>
    <w:rsid w:val="00B12FE6"/>
    <w:rsid w:val="00B1303F"/>
    <w:rsid w:val="00B1364A"/>
    <w:rsid w:val="00B13859"/>
    <w:rsid w:val="00B14319"/>
    <w:rsid w:val="00B14A06"/>
    <w:rsid w:val="00B16715"/>
    <w:rsid w:val="00B17910"/>
    <w:rsid w:val="00B20F18"/>
    <w:rsid w:val="00B21516"/>
    <w:rsid w:val="00B21F62"/>
    <w:rsid w:val="00B22CE0"/>
    <w:rsid w:val="00B23738"/>
    <w:rsid w:val="00B23BEF"/>
    <w:rsid w:val="00B247BB"/>
    <w:rsid w:val="00B2504A"/>
    <w:rsid w:val="00B25EE6"/>
    <w:rsid w:val="00B3115A"/>
    <w:rsid w:val="00B31825"/>
    <w:rsid w:val="00B31A5C"/>
    <w:rsid w:val="00B33B06"/>
    <w:rsid w:val="00B33C19"/>
    <w:rsid w:val="00B35A15"/>
    <w:rsid w:val="00B36A99"/>
    <w:rsid w:val="00B42264"/>
    <w:rsid w:val="00B434B2"/>
    <w:rsid w:val="00B43D45"/>
    <w:rsid w:val="00B468F2"/>
    <w:rsid w:val="00B469DE"/>
    <w:rsid w:val="00B47286"/>
    <w:rsid w:val="00B50234"/>
    <w:rsid w:val="00B51BF4"/>
    <w:rsid w:val="00B52C68"/>
    <w:rsid w:val="00B542FE"/>
    <w:rsid w:val="00B558C4"/>
    <w:rsid w:val="00B55A1B"/>
    <w:rsid w:val="00B561DB"/>
    <w:rsid w:val="00B600BD"/>
    <w:rsid w:val="00B61DCE"/>
    <w:rsid w:val="00B62188"/>
    <w:rsid w:val="00B62F79"/>
    <w:rsid w:val="00B62F82"/>
    <w:rsid w:val="00B6306A"/>
    <w:rsid w:val="00B635E3"/>
    <w:rsid w:val="00B662FF"/>
    <w:rsid w:val="00B66679"/>
    <w:rsid w:val="00B70145"/>
    <w:rsid w:val="00B71A92"/>
    <w:rsid w:val="00B721D8"/>
    <w:rsid w:val="00B730CA"/>
    <w:rsid w:val="00B74F2F"/>
    <w:rsid w:val="00B769BC"/>
    <w:rsid w:val="00B77349"/>
    <w:rsid w:val="00B7761E"/>
    <w:rsid w:val="00B80A3D"/>
    <w:rsid w:val="00B80B04"/>
    <w:rsid w:val="00B823E0"/>
    <w:rsid w:val="00B8260D"/>
    <w:rsid w:val="00B82B78"/>
    <w:rsid w:val="00B845B4"/>
    <w:rsid w:val="00B84662"/>
    <w:rsid w:val="00B84C74"/>
    <w:rsid w:val="00B85191"/>
    <w:rsid w:val="00B85FEC"/>
    <w:rsid w:val="00B864A3"/>
    <w:rsid w:val="00B86C2A"/>
    <w:rsid w:val="00B902A5"/>
    <w:rsid w:val="00B90420"/>
    <w:rsid w:val="00B90848"/>
    <w:rsid w:val="00B91146"/>
    <w:rsid w:val="00B913E4"/>
    <w:rsid w:val="00B91DB9"/>
    <w:rsid w:val="00B93EFE"/>
    <w:rsid w:val="00B944B9"/>
    <w:rsid w:val="00B94956"/>
    <w:rsid w:val="00B94C7F"/>
    <w:rsid w:val="00B94E93"/>
    <w:rsid w:val="00B956B5"/>
    <w:rsid w:val="00B96DF2"/>
    <w:rsid w:val="00B96F5A"/>
    <w:rsid w:val="00BA0B39"/>
    <w:rsid w:val="00BA0CB2"/>
    <w:rsid w:val="00BA0E26"/>
    <w:rsid w:val="00BA138B"/>
    <w:rsid w:val="00BA1C8A"/>
    <w:rsid w:val="00BA305B"/>
    <w:rsid w:val="00BA31BF"/>
    <w:rsid w:val="00BA478B"/>
    <w:rsid w:val="00BA5224"/>
    <w:rsid w:val="00BA76B7"/>
    <w:rsid w:val="00BA7E3B"/>
    <w:rsid w:val="00BB078D"/>
    <w:rsid w:val="00BB079C"/>
    <w:rsid w:val="00BB10E1"/>
    <w:rsid w:val="00BB2471"/>
    <w:rsid w:val="00BB3035"/>
    <w:rsid w:val="00BB39C1"/>
    <w:rsid w:val="00BB3DF5"/>
    <w:rsid w:val="00BB5D16"/>
    <w:rsid w:val="00BB6180"/>
    <w:rsid w:val="00BB69E6"/>
    <w:rsid w:val="00BB7BE5"/>
    <w:rsid w:val="00BC08BD"/>
    <w:rsid w:val="00BC11E8"/>
    <w:rsid w:val="00BC1B7A"/>
    <w:rsid w:val="00BC2C17"/>
    <w:rsid w:val="00BC3ACD"/>
    <w:rsid w:val="00BC3B20"/>
    <w:rsid w:val="00BC6E73"/>
    <w:rsid w:val="00BC74D3"/>
    <w:rsid w:val="00BD0014"/>
    <w:rsid w:val="00BD01D8"/>
    <w:rsid w:val="00BD255F"/>
    <w:rsid w:val="00BD2895"/>
    <w:rsid w:val="00BD4236"/>
    <w:rsid w:val="00BD483B"/>
    <w:rsid w:val="00BD5CD4"/>
    <w:rsid w:val="00BD6E09"/>
    <w:rsid w:val="00BD6EF9"/>
    <w:rsid w:val="00BE0ACB"/>
    <w:rsid w:val="00BE2260"/>
    <w:rsid w:val="00BE50FD"/>
    <w:rsid w:val="00BE51CA"/>
    <w:rsid w:val="00BE537F"/>
    <w:rsid w:val="00BE5D77"/>
    <w:rsid w:val="00BE6D47"/>
    <w:rsid w:val="00BE7032"/>
    <w:rsid w:val="00BE7330"/>
    <w:rsid w:val="00BF01C5"/>
    <w:rsid w:val="00BF061A"/>
    <w:rsid w:val="00BF066A"/>
    <w:rsid w:val="00BF14CC"/>
    <w:rsid w:val="00BF4342"/>
    <w:rsid w:val="00BF4704"/>
    <w:rsid w:val="00BF4C85"/>
    <w:rsid w:val="00BF5050"/>
    <w:rsid w:val="00BF50D1"/>
    <w:rsid w:val="00BF5422"/>
    <w:rsid w:val="00BF59B1"/>
    <w:rsid w:val="00BF6A78"/>
    <w:rsid w:val="00BF7695"/>
    <w:rsid w:val="00BF79B4"/>
    <w:rsid w:val="00BF7C61"/>
    <w:rsid w:val="00C01427"/>
    <w:rsid w:val="00C014C7"/>
    <w:rsid w:val="00C047AB"/>
    <w:rsid w:val="00C058AF"/>
    <w:rsid w:val="00C124C1"/>
    <w:rsid w:val="00C128AE"/>
    <w:rsid w:val="00C136D6"/>
    <w:rsid w:val="00C13D5B"/>
    <w:rsid w:val="00C141D7"/>
    <w:rsid w:val="00C1711B"/>
    <w:rsid w:val="00C17AE2"/>
    <w:rsid w:val="00C20140"/>
    <w:rsid w:val="00C20F27"/>
    <w:rsid w:val="00C215CF"/>
    <w:rsid w:val="00C2244B"/>
    <w:rsid w:val="00C22711"/>
    <w:rsid w:val="00C22B0D"/>
    <w:rsid w:val="00C23522"/>
    <w:rsid w:val="00C240C1"/>
    <w:rsid w:val="00C24AED"/>
    <w:rsid w:val="00C250D0"/>
    <w:rsid w:val="00C252AC"/>
    <w:rsid w:val="00C26923"/>
    <w:rsid w:val="00C27214"/>
    <w:rsid w:val="00C27597"/>
    <w:rsid w:val="00C27E5E"/>
    <w:rsid w:val="00C30382"/>
    <w:rsid w:val="00C30772"/>
    <w:rsid w:val="00C30D6F"/>
    <w:rsid w:val="00C31063"/>
    <w:rsid w:val="00C31B7E"/>
    <w:rsid w:val="00C322D1"/>
    <w:rsid w:val="00C3242A"/>
    <w:rsid w:val="00C3260E"/>
    <w:rsid w:val="00C3267C"/>
    <w:rsid w:val="00C33201"/>
    <w:rsid w:val="00C33A39"/>
    <w:rsid w:val="00C360B3"/>
    <w:rsid w:val="00C37027"/>
    <w:rsid w:val="00C37B19"/>
    <w:rsid w:val="00C42752"/>
    <w:rsid w:val="00C42973"/>
    <w:rsid w:val="00C5034F"/>
    <w:rsid w:val="00C50830"/>
    <w:rsid w:val="00C52479"/>
    <w:rsid w:val="00C5266E"/>
    <w:rsid w:val="00C52C59"/>
    <w:rsid w:val="00C5349E"/>
    <w:rsid w:val="00C539FF"/>
    <w:rsid w:val="00C544BD"/>
    <w:rsid w:val="00C54D3D"/>
    <w:rsid w:val="00C55A30"/>
    <w:rsid w:val="00C60F8C"/>
    <w:rsid w:val="00C62A48"/>
    <w:rsid w:val="00C62AC4"/>
    <w:rsid w:val="00C62F96"/>
    <w:rsid w:val="00C631E1"/>
    <w:rsid w:val="00C638D8"/>
    <w:rsid w:val="00C63D26"/>
    <w:rsid w:val="00C668A1"/>
    <w:rsid w:val="00C67223"/>
    <w:rsid w:val="00C707B8"/>
    <w:rsid w:val="00C712AC"/>
    <w:rsid w:val="00C71C15"/>
    <w:rsid w:val="00C71F3D"/>
    <w:rsid w:val="00C72F53"/>
    <w:rsid w:val="00C74035"/>
    <w:rsid w:val="00C77818"/>
    <w:rsid w:val="00C8063F"/>
    <w:rsid w:val="00C8329F"/>
    <w:rsid w:val="00C84F8A"/>
    <w:rsid w:val="00C8618F"/>
    <w:rsid w:val="00C90372"/>
    <w:rsid w:val="00C9041F"/>
    <w:rsid w:val="00C9166B"/>
    <w:rsid w:val="00C91A45"/>
    <w:rsid w:val="00C91FB4"/>
    <w:rsid w:val="00C92328"/>
    <w:rsid w:val="00C92D42"/>
    <w:rsid w:val="00C938C2"/>
    <w:rsid w:val="00C93F8A"/>
    <w:rsid w:val="00C94CD3"/>
    <w:rsid w:val="00C94EA1"/>
    <w:rsid w:val="00C95745"/>
    <w:rsid w:val="00C95902"/>
    <w:rsid w:val="00C962E3"/>
    <w:rsid w:val="00C97997"/>
    <w:rsid w:val="00CA25C0"/>
    <w:rsid w:val="00CA3451"/>
    <w:rsid w:val="00CA4948"/>
    <w:rsid w:val="00CA52F9"/>
    <w:rsid w:val="00CA5368"/>
    <w:rsid w:val="00CA568B"/>
    <w:rsid w:val="00CA573A"/>
    <w:rsid w:val="00CB19FE"/>
    <w:rsid w:val="00CB2364"/>
    <w:rsid w:val="00CB304C"/>
    <w:rsid w:val="00CB3933"/>
    <w:rsid w:val="00CB53E8"/>
    <w:rsid w:val="00CB594A"/>
    <w:rsid w:val="00CB5CB2"/>
    <w:rsid w:val="00CB6979"/>
    <w:rsid w:val="00CB7DDE"/>
    <w:rsid w:val="00CC0A3D"/>
    <w:rsid w:val="00CC3C53"/>
    <w:rsid w:val="00CC3D24"/>
    <w:rsid w:val="00CC3F91"/>
    <w:rsid w:val="00CC4B0A"/>
    <w:rsid w:val="00CC544A"/>
    <w:rsid w:val="00CC57EA"/>
    <w:rsid w:val="00CC5954"/>
    <w:rsid w:val="00CC629B"/>
    <w:rsid w:val="00CC6C4E"/>
    <w:rsid w:val="00CD009D"/>
    <w:rsid w:val="00CD05A2"/>
    <w:rsid w:val="00CD29D4"/>
    <w:rsid w:val="00CD2B5C"/>
    <w:rsid w:val="00CD3323"/>
    <w:rsid w:val="00CD38F5"/>
    <w:rsid w:val="00CD437E"/>
    <w:rsid w:val="00CD5DAD"/>
    <w:rsid w:val="00CD72C5"/>
    <w:rsid w:val="00CD79A7"/>
    <w:rsid w:val="00CD7F14"/>
    <w:rsid w:val="00CE0789"/>
    <w:rsid w:val="00CE0E8D"/>
    <w:rsid w:val="00CE1A03"/>
    <w:rsid w:val="00CE2346"/>
    <w:rsid w:val="00CE25B2"/>
    <w:rsid w:val="00CE3529"/>
    <w:rsid w:val="00CE35C8"/>
    <w:rsid w:val="00CE3962"/>
    <w:rsid w:val="00CE4D1A"/>
    <w:rsid w:val="00CE5105"/>
    <w:rsid w:val="00CE56BD"/>
    <w:rsid w:val="00CE5EC0"/>
    <w:rsid w:val="00CE6F9F"/>
    <w:rsid w:val="00CE781A"/>
    <w:rsid w:val="00CE7B08"/>
    <w:rsid w:val="00CE7D52"/>
    <w:rsid w:val="00CF1D74"/>
    <w:rsid w:val="00CF2BE2"/>
    <w:rsid w:val="00CF3DEB"/>
    <w:rsid w:val="00CF55F9"/>
    <w:rsid w:val="00CF5F64"/>
    <w:rsid w:val="00CF7074"/>
    <w:rsid w:val="00CF7495"/>
    <w:rsid w:val="00D01CF9"/>
    <w:rsid w:val="00D0334D"/>
    <w:rsid w:val="00D0374D"/>
    <w:rsid w:val="00D07F1D"/>
    <w:rsid w:val="00D10558"/>
    <w:rsid w:val="00D10FAC"/>
    <w:rsid w:val="00D126DC"/>
    <w:rsid w:val="00D13E70"/>
    <w:rsid w:val="00D16C58"/>
    <w:rsid w:val="00D17019"/>
    <w:rsid w:val="00D17FC8"/>
    <w:rsid w:val="00D21168"/>
    <w:rsid w:val="00D2438C"/>
    <w:rsid w:val="00D26C3F"/>
    <w:rsid w:val="00D27185"/>
    <w:rsid w:val="00D33AB3"/>
    <w:rsid w:val="00D33F24"/>
    <w:rsid w:val="00D346B8"/>
    <w:rsid w:val="00D34DCA"/>
    <w:rsid w:val="00D35AC8"/>
    <w:rsid w:val="00D36F87"/>
    <w:rsid w:val="00D37E4E"/>
    <w:rsid w:val="00D417D8"/>
    <w:rsid w:val="00D41F78"/>
    <w:rsid w:val="00D42E6C"/>
    <w:rsid w:val="00D4351C"/>
    <w:rsid w:val="00D43B80"/>
    <w:rsid w:val="00D45B4C"/>
    <w:rsid w:val="00D45BA4"/>
    <w:rsid w:val="00D471AF"/>
    <w:rsid w:val="00D4724F"/>
    <w:rsid w:val="00D50519"/>
    <w:rsid w:val="00D51601"/>
    <w:rsid w:val="00D51ECB"/>
    <w:rsid w:val="00D5264C"/>
    <w:rsid w:val="00D537FE"/>
    <w:rsid w:val="00D54A6A"/>
    <w:rsid w:val="00D54B8F"/>
    <w:rsid w:val="00D55951"/>
    <w:rsid w:val="00D57EB6"/>
    <w:rsid w:val="00D60D6D"/>
    <w:rsid w:val="00D66D8B"/>
    <w:rsid w:val="00D70849"/>
    <w:rsid w:val="00D709BB"/>
    <w:rsid w:val="00D72297"/>
    <w:rsid w:val="00D72A1C"/>
    <w:rsid w:val="00D72FB9"/>
    <w:rsid w:val="00D7308F"/>
    <w:rsid w:val="00D73580"/>
    <w:rsid w:val="00D73802"/>
    <w:rsid w:val="00D73C2C"/>
    <w:rsid w:val="00D73D52"/>
    <w:rsid w:val="00D745E7"/>
    <w:rsid w:val="00D774ED"/>
    <w:rsid w:val="00D77C44"/>
    <w:rsid w:val="00D77F88"/>
    <w:rsid w:val="00D81AFA"/>
    <w:rsid w:val="00D81EAA"/>
    <w:rsid w:val="00D81FE2"/>
    <w:rsid w:val="00D8259F"/>
    <w:rsid w:val="00D825F2"/>
    <w:rsid w:val="00D8285C"/>
    <w:rsid w:val="00D828B1"/>
    <w:rsid w:val="00D84754"/>
    <w:rsid w:val="00D84F27"/>
    <w:rsid w:val="00D85138"/>
    <w:rsid w:val="00D853F0"/>
    <w:rsid w:val="00D8710C"/>
    <w:rsid w:val="00D873C6"/>
    <w:rsid w:val="00D9074A"/>
    <w:rsid w:val="00D9099E"/>
    <w:rsid w:val="00D9193A"/>
    <w:rsid w:val="00D923B2"/>
    <w:rsid w:val="00D93E64"/>
    <w:rsid w:val="00D93F64"/>
    <w:rsid w:val="00D94CA4"/>
    <w:rsid w:val="00D95E99"/>
    <w:rsid w:val="00D97DA2"/>
    <w:rsid w:val="00DA1A3A"/>
    <w:rsid w:val="00DA249E"/>
    <w:rsid w:val="00DB145E"/>
    <w:rsid w:val="00DB1A94"/>
    <w:rsid w:val="00DB1D52"/>
    <w:rsid w:val="00DB1F62"/>
    <w:rsid w:val="00DB21E7"/>
    <w:rsid w:val="00DB2B09"/>
    <w:rsid w:val="00DB2E03"/>
    <w:rsid w:val="00DB3742"/>
    <w:rsid w:val="00DB3E9B"/>
    <w:rsid w:val="00DB3F4B"/>
    <w:rsid w:val="00DB67C1"/>
    <w:rsid w:val="00DB6C0B"/>
    <w:rsid w:val="00DB70F4"/>
    <w:rsid w:val="00DC1056"/>
    <w:rsid w:val="00DC1442"/>
    <w:rsid w:val="00DC21D8"/>
    <w:rsid w:val="00DC282A"/>
    <w:rsid w:val="00DC34DC"/>
    <w:rsid w:val="00DC3780"/>
    <w:rsid w:val="00DC3ADA"/>
    <w:rsid w:val="00DC3CC6"/>
    <w:rsid w:val="00DC4782"/>
    <w:rsid w:val="00DC514A"/>
    <w:rsid w:val="00DC67B1"/>
    <w:rsid w:val="00DD0019"/>
    <w:rsid w:val="00DD132B"/>
    <w:rsid w:val="00DD1725"/>
    <w:rsid w:val="00DD2159"/>
    <w:rsid w:val="00DD2A18"/>
    <w:rsid w:val="00DD3044"/>
    <w:rsid w:val="00DD3985"/>
    <w:rsid w:val="00DD61E8"/>
    <w:rsid w:val="00DD62C0"/>
    <w:rsid w:val="00DD64DE"/>
    <w:rsid w:val="00DD7859"/>
    <w:rsid w:val="00DD7B41"/>
    <w:rsid w:val="00DE0A1D"/>
    <w:rsid w:val="00DE15B2"/>
    <w:rsid w:val="00DE1A9A"/>
    <w:rsid w:val="00DE3D2C"/>
    <w:rsid w:val="00DE5795"/>
    <w:rsid w:val="00DE5E82"/>
    <w:rsid w:val="00DE5FA6"/>
    <w:rsid w:val="00DE6792"/>
    <w:rsid w:val="00DE6AA1"/>
    <w:rsid w:val="00DE7EF7"/>
    <w:rsid w:val="00DF02EC"/>
    <w:rsid w:val="00DF10FC"/>
    <w:rsid w:val="00DF1185"/>
    <w:rsid w:val="00DF1299"/>
    <w:rsid w:val="00DF1A70"/>
    <w:rsid w:val="00DF1E5F"/>
    <w:rsid w:val="00DF23A8"/>
    <w:rsid w:val="00DF2F27"/>
    <w:rsid w:val="00DF36B6"/>
    <w:rsid w:val="00DF4296"/>
    <w:rsid w:val="00DF5F38"/>
    <w:rsid w:val="00DF6CCC"/>
    <w:rsid w:val="00DF6D0C"/>
    <w:rsid w:val="00DF6F64"/>
    <w:rsid w:val="00DF721E"/>
    <w:rsid w:val="00DF7B8A"/>
    <w:rsid w:val="00DF7C87"/>
    <w:rsid w:val="00E009B0"/>
    <w:rsid w:val="00E00A12"/>
    <w:rsid w:val="00E00C49"/>
    <w:rsid w:val="00E0219D"/>
    <w:rsid w:val="00E04C0F"/>
    <w:rsid w:val="00E0570B"/>
    <w:rsid w:val="00E10B87"/>
    <w:rsid w:val="00E1478B"/>
    <w:rsid w:val="00E14FAC"/>
    <w:rsid w:val="00E15007"/>
    <w:rsid w:val="00E16277"/>
    <w:rsid w:val="00E16EC7"/>
    <w:rsid w:val="00E219CE"/>
    <w:rsid w:val="00E24071"/>
    <w:rsid w:val="00E24EBC"/>
    <w:rsid w:val="00E2522C"/>
    <w:rsid w:val="00E2552F"/>
    <w:rsid w:val="00E2599B"/>
    <w:rsid w:val="00E2710C"/>
    <w:rsid w:val="00E27428"/>
    <w:rsid w:val="00E305B4"/>
    <w:rsid w:val="00E31AFA"/>
    <w:rsid w:val="00E31CB7"/>
    <w:rsid w:val="00E324EE"/>
    <w:rsid w:val="00E359FF"/>
    <w:rsid w:val="00E402C5"/>
    <w:rsid w:val="00E405F1"/>
    <w:rsid w:val="00E43054"/>
    <w:rsid w:val="00E44440"/>
    <w:rsid w:val="00E46013"/>
    <w:rsid w:val="00E47099"/>
    <w:rsid w:val="00E47284"/>
    <w:rsid w:val="00E477C3"/>
    <w:rsid w:val="00E51E16"/>
    <w:rsid w:val="00E53730"/>
    <w:rsid w:val="00E5438D"/>
    <w:rsid w:val="00E54511"/>
    <w:rsid w:val="00E55288"/>
    <w:rsid w:val="00E57577"/>
    <w:rsid w:val="00E62043"/>
    <w:rsid w:val="00E626B9"/>
    <w:rsid w:val="00E627C9"/>
    <w:rsid w:val="00E630F3"/>
    <w:rsid w:val="00E6332F"/>
    <w:rsid w:val="00E637C9"/>
    <w:rsid w:val="00E6680A"/>
    <w:rsid w:val="00E66F0D"/>
    <w:rsid w:val="00E70615"/>
    <w:rsid w:val="00E7207B"/>
    <w:rsid w:val="00E7347A"/>
    <w:rsid w:val="00E75A47"/>
    <w:rsid w:val="00E75D8C"/>
    <w:rsid w:val="00E777F2"/>
    <w:rsid w:val="00E802C9"/>
    <w:rsid w:val="00E80F0A"/>
    <w:rsid w:val="00E815D4"/>
    <w:rsid w:val="00E8291B"/>
    <w:rsid w:val="00E82E70"/>
    <w:rsid w:val="00E8395F"/>
    <w:rsid w:val="00E85E41"/>
    <w:rsid w:val="00E85EA1"/>
    <w:rsid w:val="00E86703"/>
    <w:rsid w:val="00E91044"/>
    <w:rsid w:val="00E910D3"/>
    <w:rsid w:val="00E92154"/>
    <w:rsid w:val="00E923CF"/>
    <w:rsid w:val="00E933A5"/>
    <w:rsid w:val="00E93685"/>
    <w:rsid w:val="00E93C8C"/>
    <w:rsid w:val="00E95111"/>
    <w:rsid w:val="00E95FDF"/>
    <w:rsid w:val="00EA14C8"/>
    <w:rsid w:val="00EA2110"/>
    <w:rsid w:val="00EA283A"/>
    <w:rsid w:val="00EA2E07"/>
    <w:rsid w:val="00EA48F3"/>
    <w:rsid w:val="00EA7365"/>
    <w:rsid w:val="00EA77E9"/>
    <w:rsid w:val="00EA7C0B"/>
    <w:rsid w:val="00EB05D0"/>
    <w:rsid w:val="00EB09EE"/>
    <w:rsid w:val="00EB1151"/>
    <w:rsid w:val="00EB1D49"/>
    <w:rsid w:val="00EB23D9"/>
    <w:rsid w:val="00EB39A0"/>
    <w:rsid w:val="00EB559F"/>
    <w:rsid w:val="00EB5F3D"/>
    <w:rsid w:val="00EC1CEB"/>
    <w:rsid w:val="00EC1DC0"/>
    <w:rsid w:val="00EC24B8"/>
    <w:rsid w:val="00EC268C"/>
    <w:rsid w:val="00EC3753"/>
    <w:rsid w:val="00EC4E71"/>
    <w:rsid w:val="00EC5F1C"/>
    <w:rsid w:val="00ED0365"/>
    <w:rsid w:val="00ED0865"/>
    <w:rsid w:val="00ED1C60"/>
    <w:rsid w:val="00ED1CA5"/>
    <w:rsid w:val="00ED2EB9"/>
    <w:rsid w:val="00ED3A31"/>
    <w:rsid w:val="00ED4469"/>
    <w:rsid w:val="00ED5F23"/>
    <w:rsid w:val="00ED6DC0"/>
    <w:rsid w:val="00ED7A7A"/>
    <w:rsid w:val="00EE038C"/>
    <w:rsid w:val="00EE2F09"/>
    <w:rsid w:val="00EE47C5"/>
    <w:rsid w:val="00EE490C"/>
    <w:rsid w:val="00EE5208"/>
    <w:rsid w:val="00EE5738"/>
    <w:rsid w:val="00EE5E59"/>
    <w:rsid w:val="00EE73D0"/>
    <w:rsid w:val="00EE7B78"/>
    <w:rsid w:val="00EF08A8"/>
    <w:rsid w:val="00EF167B"/>
    <w:rsid w:val="00EF41A8"/>
    <w:rsid w:val="00EF44FB"/>
    <w:rsid w:val="00EF5554"/>
    <w:rsid w:val="00EF5AD8"/>
    <w:rsid w:val="00EF6B90"/>
    <w:rsid w:val="00EF79F7"/>
    <w:rsid w:val="00F006C0"/>
    <w:rsid w:val="00F019AA"/>
    <w:rsid w:val="00F0267E"/>
    <w:rsid w:val="00F02686"/>
    <w:rsid w:val="00F0459B"/>
    <w:rsid w:val="00F04E15"/>
    <w:rsid w:val="00F05DF3"/>
    <w:rsid w:val="00F069EA"/>
    <w:rsid w:val="00F07DDE"/>
    <w:rsid w:val="00F11675"/>
    <w:rsid w:val="00F12557"/>
    <w:rsid w:val="00F13599"/>
    <w:rsid w:val="00F15730"/>
    <w:rsid w:val="00F202C2"/>
    <w:rsid w:val="00F212F6"/>
    <w:rsid w:val="00F22756"/>
    <w:rsid w:val="00F23890"/>
    <w:rsid w:val="00F2504D"/>
    <w:rsid w:val="00F2637F"/>
    <w:rsid w:val="00F268F7"/>
    <w:rsid w:val="00F30B83"/>
    <w:rsid w:val="00F30BDB"/>
    <w:rsid w:val="00F30CF8"/>
    <w:rsid w:val="00F31EDF"/>
    <w:rsid w:val="00F3296D"/>
    <w:rsid w:val="00F32CDE"/>
    <w:rsid w:val="00F32D4C"/>
    <w:rsid w:val="00F3327E"/>
    <w:rsid w:val="00F338C3"/>
    <w:rsid w:val="00F34B14"/>
    <w:rsid w:val="00F34F58"/>
    <w:rsid w:val="00F35DA7"/>
    <w:rsid w:val="00F36A6A"/>
    <w:rsid w:val="00F40101"/>
    <w:rsid w:val="00F404F7"/>
    <w:rsid w:val="00F40CCA"/>
    <w:rsid w:val="00F42D97"/>
    <w:rsid w:val="00F436B2"/>
    <w:rsid w:val="00F43FEE"/>
    <w:rsid w:val="00F45A72"/>
    <w:rsid w:val="00F46723"/>
    <w:rsid w:val="00F4706D"/>
    <w:rsid w:val="00F47D1D"/>
    <w:rsid w:val="00F47F29"/>
    <w:rsid w:val="00F50016"/>
    <w:rsid w:val="00F5118A"/>
    <w:rsid w:val="00F51A21"/>
    <w:rsid w:val="00F52614"/>
    <w:rsid w:val="00F5276E"/>
    <w:rsid w:val="00F52E9F"/>
    <w:rsid w:val="00F53304"/>
    <w:rsid w:val="00F53B81"/>
    <w:rsid w:val="00F540FE"/>
    <w:rsid w:val="00F556FF"/>
    <w:rsid w:val="00F55D12"/>
    <w:rsid w:val="00F5687F"/>
    <w:rsid w:val="00F575C7"/>
    <w:rsid w:val="00F57FD0"/>
    <w:rsid w:val="00F60305"/>
    <w:rsid w:val="00F61B12"/>
    <w:rsid w:val="00F63264"/>
    <w:rsid w:val="00F634E4"/>
    <w:rsid w:val="00F6379E"/>
    <w:rsid w:val="00F64884"/>
    <w:rsid w:val="00F67844"/>
    <w:rsid w:val="00F70799"/>
    <w:rsid w:val="00F70A8B"/>
    <w:rsid w:val="00F724FB"/>
    <w:rsid w:val="00F726B8"/>
    <w:rsid w:val="00F72A26"/>
    <w:rsid w:val="00F733C3"/>
    <w:rsid w:val="00F746A1"/>
    <w:rsid w:val="00F756DD"/>
    <w:rsid w:val="00F80047"/>
    <w:rsid w:val="00F8104D"/>
    <w:rsid w:val="00F81587"/>
    <w:rsid w:val="00F821BA"/>
    <w:rsid w:val="00F8233E"/>
    <w:rsid w:val="00F85B72"/>
    <w:rsid w:val="00F8766F"/>
    <w:rsid w:val="00F91082"/>
    <w:rsid w:val="00F9116D"/>
    <w:rsid w:val="00F91A9A"/>
    <w:rsid w:val="00F93ABB"/>
    <w:rsid w:val="00F94D79"/>
    <w:rsid w:val="00FA16E7"/>
    <w:rsid w:val="00FA31C7"/>
    <w:rsid w:val="00FA472D"/>
    <w:rsid w:val="00FB0CBF"/>
    <w:rsid w:val="00FB18F6"/>
    <w:rsid w:val="00FB2A52"/>
    <w:rsid w:val="00FB57DC"/>
    <w:rsid w:val="00FB6E19"/>
    <w:rsid w:val="00FB71F6"/>
    <w:rsid w:val="00FC0AF8"/>
    <w:rsid w:val="00FC1483"/>
    <w:rsid w:val="00FC1C47"/>
    <w:rsid w:val="00FC39ED"/>
    <w:rsid w:val="00FC4419"/>
    <w:rsid w:val="00FC4791"/>
    <w:rsid w:val="00FC47E2"/>
    <w:rsid w:val="00FC4AA5"/>
    <w:rsid w:val="00FC4B88"/>
    <w:rsid w:val="00FC4BB8"/>
    <w:rsid w:val="00FC5148"/>
    <w:rsid w:val="00FC75AC"/>
    <w:rsid w:val="00FD01BF"/>
    <w:rsid w:val="00FD0525"/>
    <w:rsid w:val="00FD297D"/>
    <w:rsid w:val="00FD2D13"/>
    <w:rsid w:val="00FD6071"/>
    <w:rsid w:val="00FE0794"/>
    <w:rsid w:val="00FE1041"/>
    <w:rsid w:val="00FE24CB"/>
    <w:rsid w:val="00FE323F"/>
    <w:rsid w:val="00FE3473"/>
    <w:rsid w:val="00FE4049"/>
    <w:rsid w:val="00FE4794"/>
    <w:rsid w:val="00FE4998"/>
    <w:rsid w:val="00FE57DE"/>
    <w:rsid w:val="00FE7A68"/>
    <w:rsid w:val="00FF0231"/>
    <w:rsid w:val="00FF1C9B"/>
    <w:rsid w:val="00FF1D49"/>
    <w:rsid w:val="00FF203B"/>
    <w:rsid w:val="00FF2562"/>
    <w:rsid w:val="00FF3499"/>
    <w:rsid w:val="00FF3A41"/>
    <w:rsid w:val="00FF3E5B"/>
    <w:rsid w:val="00FF57E4"/>
    <w:rsid w:val="00FF78E5"/>
    <w:rsid w:val="01433E69"/>
    <w:rsid w:val="01633A84"/>
    <w:rsid w:val="019E41FA"/>
    <w:rsid w:val="01AF3D99"/>
    <w:rsid w:val="02511F9D"/>
    <w:rsid w:val="02C45572"/>
    <w:rsid w:val="03A314B8"/>
    <w:rsid w:val="03D82B98"/>
    <w:rsid w:val="03F83E8B"/>
    <w:rsid w:val="043E2D45"/>
    <w:rsid w:val="04EB3293"/>
    <w:rsid w:val="05C56868"/>
    <w:rsid w:val="05E40672"/>
    <w:rsid w:val="064975A7"/>
    <w:rsid w:val="07592569"/>
    <w:rsid w:val="07B72767"/>
    <w:rsid w:val="08077E72"/>
    <w:rsid w:val="08882DD0"/>
    <w:rsid w:val="089F7B3A"/>
    <w:rsid w:val="08DC033B"/>
    <w:rsid w:val="09CC2AAC"/>
    <w:rsid w:val="0A4E50B0"/>
    <w:rsid w:val="0A652D3E"/>
    <w:rsid w:val="0BAE7A16"/>
    <w:rsid w:val="0C1E2888"/>
    <w:rsid w:val="0C92213C"/>
    <w:rsid w:val="0D84032B"/>
    <w:rsid w:val="0D8A4887"/>
    <w:rsid w:val="0E68155D"/>
    <w:rsid w:val="0F2105C3"/>
    <w:rsid w:val="0F2A74C4"/>
    <w:rsid w:val="0F75624C"/>
    <w:rsid w:val="0F94087F"/>
    <w:rsid w:val="0FBF6DFD"/>
    <w:rsid w:val="0FC90BAA"/>
    <w:rsid w:val="10A27F31"/>
    <w:rsid w:val="11474018"/>
    <w:rsid w:val="11927058"/>
    <w:rsid w:val="12D00574"/>
    <w:rsid w:val="13404800"/>
    <w:rsid w:val="13AF4F03"/>
    <w:rsid w:val="14736E66"/>
    <w:rsid w:val="147F458F"/>
    <w:rsid w:val="14C61D79"/>
    <w:rsid w:val="1534169A"/>
    <w:rsid w:val="154A6D68"/>
    <w:rsid w:val="15C03E03"/>
    <w:rsid w:val="162A25EB"/>
    <w:rsid w:val="163F372F"/>
    <w:rsid w:val="16B52505"/>
    <w:rsid w:val="16F255AC"/>
    <w:rsid w:val="16FD2A55"/>
    <w:rsid w:val="17067C1A"/>
    <w:rsid w:val="17366761"/>
    <w:rsid w:val="17667195"/>
    <w:rsid w:val="177C01F0"/>
    <w:rsid w:val="17CE6630"/>
    <w:rsid w:val="18624ED2"/>
    <w:rsid w:val="186F1AF9"/>
    <w:rsid w:val="1ACC4C3D"/>
    <w:rsid w:val="1AD5699B"/>
    <w:rsid w:val="1AFF0AFE"/>
    <w:rsid w:val="1B4F19F8"/>
    <w:rsid w:val="1B6924D6"/>
    <w:rsid w:val="1B7D63F1"/>
    <w:rsid w:val="1C2D6D7E"/>
    <w:rsid w:val="1CF168EB"/>
    <w:rsid w:val="1D7B0CD9"/>
    <w:rsid w:val="1DB32CEF"/>
    <w:rsid w:val="1E715D3A"/>
    <w:rsid w:val="1E955A2D"/>
    <w:rsid w:val="1ECC44FA"/>
    <w:rsid w:val="1F063325"/>
    <w:rsid w:val="1FBC5DF5"/>
    <w:rsid w:val="20131549"/>
    <w:rsid w:val="204238FD"/>
    <w:rsid w:val="20BC7CBB"/>
    <w:rsid w:val="20C3623F"/>
    <w:rsid w:val="211E3692"/>
    <w:rsid w:val="21685F0C"/>
    <w:rsid w:val="21781212"/>
    <w:rsid w:val="21B83F86"/>
    <w:rsid w:val="221178A8"/>
    <w:rsid w:val="221213CF"/>
    <w:rsid w:val="22327A92"/>
    <w:rsid w:val="22B84C00"/>
    <w:rsid w:val="22CF46CE"/>
    <w:rsid w:val="23121A9D"/>
    <w:rsid w:val="231D53A2"/>
    <w:rsid w:val="236D5383"/>
    <w:rsid w:val="23B7504C"/>
    <w:rsid w:val="23F4473C"/>
    <w:rsid w:val="244324C0"/>
    <w:rsid w:val="24571307"/>
    <w:rsid w:val="24A11155"/>
    <w:rsid w:val="25110A2A"/>
    <w:rsid w:val="256742A6"/>
    <w:rsid w:val="256C0944"/>
    <w:rsid w:val="26446DE3"/>
    <w:rsid w:val="265E5AFE"/>
    <w:rsid w:val="269669E7"/>
    <w:rsid w:val="26D7699F"/>
    <w:rsid w:val="273B0972"/>
    <w:rsid w:val="27A27E14"/>
    <w:rsid w:val="286B12B3"/>
    <w:rsid w:val="28BC19C5"/>
    <w:rsid w:val="290A757D"/>
    <w:rsid w:val="2A2918E6"/>
    <w:rsid w:val="2A575BB3"/>
    <w:rsid w:val="2A6D1762"/>
    <w:rsid w:val="2B774624"/>
    <w:rsid w:val="2C4641C9"/>
    <w:rsid w:val="2C6F3814"/>
    <w:rsid w:val="2C7A72BE"/>
    <w:rsid w:val="2C9A7D75"/>
    <w:rsid w:val="2DB03CC3"/>
    <w:rsid w:val="2DF034A2"/>
    <w:rsid w:val="2DF838B3"/>
    <w:rsid w:val="2E6820F1"/>
    <w:rsid w:val="2E82769D"/>
    <w:rsid w:val="2E9976CE"/>
    <w:rsid w:val="2F401D3C"/>
    <w:rsid w:val="2F5B24E1"/>
    <w:rsid w:val="2FA362A9"/>
    <w:rsid w:val="2FA95C88"/>
    <w:rsid w:val="2FD55C3F"/>
    <w:rsid w:val="3041370F"/>
    <w:rsid w:val="30A43AE2"/>
    <w:rsid w:val="30BD3BF8"/>
    <w:rsid w:val="31120F37"/>
    <w:rsid w:val="312B50A3"/>
    <w:rsid w:val="318F1938"/>
    <w:rsid w:val="31E73C15"/>
    <w:rsid w:val="32203315"/>
    <w:rsid w:val="32453A27"/>
    <w:rsid w:val="32571D65"/>
    <w:rsid w:val="3263064A"/>
    <w:rsid w:val="32A43132"/>
    <w:rsid w:val="32AC0C06"/>
    <w:rsid w:val="33824D58"/>
    <w:rsid w:val="33A379BF"/>
    <w:rsid w:val="34082DAB"/>
    <w:rsid w:val="341A55B9"/>
    <w:rsid w:val="34A959A2"/>
    <w:rsid w:val="34D7796F"/>
    <w:rsid w:val="3537750C"/>
    <w:rsid w:val="3537798C"/>
    <w:rsid w:val="35C13FC9"/>
    <w:rsid w:val="35E04184"/>
    <w:rsid w:val="364257B6"/>
    <w:rsid w:val="36615788"/>
    <w:rsid w:val="37EA5922"/>
    <w:rsid w:val="38276B93"/>
    <w:rsid w:val="38883C3B"/>
    <w:rsid w:val="38A847F6"/>
    <w:rsid w:val="38AC3431"/>
    <w:rsid w:val="397A19F9"/>
    <w:rsid w:val="39E00529"/>
    <w:rsid w:val="3A0B64A7"/>
    <w:rsid w:val="3A2D56DA"/>
    <w:rsid w:val="3A574DDA"/>
    <w:rsid w:val="3AD3075A"/>
    <w:rsid w:val="3AF74C02"/>
    <w:rsid w:val="3B752986"/>
    <w:rsid w:val="3BAB67E7"/>
    <w:rsid w:val="3BC605EC"/>
    <w:rsid w:val="3C0059A5"/>
    <w:rsid w:val="3C134E78"/>
    <w:rsid w:val="3C283890"/>
    <w:rsid w:val="3C75702B"/>
    <w:rsid w:val="3CFC4ECD"/>
    <w:rsid w:val="3D152D48"/>
    <w:rsid w:val="3DF6345D"/>
    <w:rsid w:val="3E4D4F28"/>
    <w:rsid w:val="3E766918"/>
    <w:rsid w:val="3ECC3182"/>
    <w:rsid w:val="3EDC4387"/>
    <w:rsid w:val="3EE13701"/>
    <w:rsid w:val="3F1A4BB3"/>
    <w:rsid w:val="3F2D6826"/>
    <w:rsid w:val="3F93625C"/>
    <w:rsid w:val="3FC277B9"/>
    <w:rsid w:val="40192BA6"/>
    <w:rsid w:val="412C79BC"/>
    <w:rsid w:val="41DC6CE5"/>
    <w:rsid w:val="41EB00AA"/>
    <w:rsid w:val="42495C12"/>
    <w:rsid w:val="42550A18"/>
    <w:rsid w:val="429D496A"/>
    <w:rsid w:val="42F473A1"/>
    <w:rsid w:val="436937F7"/>
    <w:rsid w:val="441E62C0"/>
    <w:rsid w:val="443E3C5E"/>
    <w:rsid w:val="45325D14"/>
    <w:rsid w:val="45811C7C"/>
    <w:rsid w:val="4649653B"/>
    <w:rsid w:val="4660477E"/>
    <w:rsid w:val="468B3EFB"/>
    <w:rsid w:val="46A738A7"/>
    <w:rsid w:val="470A6193"/>
    <w:rsid w:val="47165BB4"/>
    <w:rsid w:val="47385210"/>
    <w:rsid w:val="4767655D"/>
    <w:rsid w:val="47953966"/>
    <w:rsid w:val="47CA5BA7"/>
    <w:rsid w:val="47DC4F5C"/>
    <w:rsid w:val="48087681"/>
    <w:rsid w:val="48362D3C"/>
    <w:rsid w:val="48B40671"/>
    <w:rsid w:val="4969568A"/>
    <w:rsid w:val="499B5738"/>
    <w:rsid w:val="499F244D"/>
    <w:rsid w:val="4A973F3F"/>
    <w:rsid w:val="4AF96BC7"/>
    <w:rsid w:val="4B164A16"/>
    <w:rsid w:val="4B862A85"/>
    <w:rsid w:val="4CEF36E2"/>
    <w:rsid w:val="4CEF4DC5"/>
    <w:rsid w:val="4D4E7E6B"/>
    <w:rsid w:val="4E257655"/>
    <w:rsid w:val="4F372380"/>
    <w:rsid w:val="4F372FFB"/>
    <w:rsid w:val="4F8C2F1C"/>
    <w:rsid w:val="4FD95117"/>
    <w:rsid w:val="504B0252"/>
    <w:rsid w:val="50D13D0C"/>
    <w:rsid w:val="51371704"/>
    <w:rsid w:val="522D2D4A"/>
    <w:rsid w:val="52395ECD"/>
    <w:rsid w:val="523C4669"/>
    <w:rsid w:val="525454F7"/>
    <w:rsid w:val="52847136"/>
    <w:rsid w:val="52C10D75"/>
    <w:rsid w:val="53C27FF8"/>
    <w:rsid w:val="549E1A80"/>
    <w:rsid w:val="54C658F4"/>
    <w:rsid w:val="54E01D73"/>
    <w:rsid w:val="550C4BD7"/>
    <w:rsid w:val="554C1D56"/>
    <w:rsid w:val="55572986"/>
    <w:rsid w:val="55921E06"/>
    <w:rsid w:val="565340FA"/>
    <w:rsid w:val="56F93EFE"/>
    <w:rsid w:val="570C65FF"/>
    <w:rsid w:val="5755205A"/>
    <w:rsid w:val="58B055D0"/>
    <w:rsid w:val="58CB5936"/>
    <w:rsid w:val="5A2F2CC8"/>
    <w:rsid w:val="5A5A7615"/>
    <w:rsid w:val="5BD77315"/>
    <w:rsid w:val="5BF75DFB"/>
    <w:rsid w:val="5C10702D"/>
    <w:rsid w:val="5C6745E6"/>
    <w:rsid w:val="5C8A1B2F"/>
    <w:rsid w:val="5CC90D38"/>
    <w:rsid w:val="5E67482D"/>
    <w:rsid w:val="5EED63E2"/>
    <w:rsid w:val="606007BB"/>
    <w:rsid w:val="60AC7F66"/>
    <w:rsid w:val="60C42332"/>
    <w:rsid w:val="613A0BBA"/>
    <w:rsid w:val="61515D73"/>
    <w:rsid w:val="6173789F"/>
    <w:rsid w:val="61BF10D9"/>
    <w:rsid w:val="62AC22DC"/>
    <w:rsid w:val="647D6169"/>
    <w:rsid w:val="64E45EF7"/>
    <w:rsid w:val="6691014E"/>
    <w:rsid w:val="673D20D1"/>
    <w:rsid w:val="677435B2"/>
    <w:rsid w:val="67EF75F1"/>
    <w:rsid w:val="68A603BD"/>
    <w:rsid w:val="69124F16"/>
    <w:rsid w:val="6920217F"/>
    <w:rsid w:val="69CD5C14"/>
    <w:rsid w:val="69CF0D33"/>
    <w:rsid w:val="69FA423E"/>
    <w:rsid w:val="6B9946B3"/>
    <w:rsid w:val="6BDD2DCB"/>
    <w:rsid w:val="6BE7611D"/>
    <w:rsid w:val="6C7007C7"/>
    <w:rsid w:val="6DE76850"/>
    <w:rsid w:val="6E8938A4"/>
    <w:rsid w:val="6F170B22"/>
    <w:rsid w:val="6F31081C"/>
    <w:rsid w:val="6F6841BB"/>
    <w:rsid w:val="6FB20BD4"/>
    <w:rsid w:val="6FBA59BE"/>
    <w:rsid w:val="70296B3E"/>
    <w:rsid w:val="70611204"/>
    <w:rsid w:val="70D30014"/>
    <w:rsid w:val="70EE5A99"/>
    <w:rsid w:val="70FE32B7"/>
    <w:rsid w:val="72D21FCB"/>
    <w:rsid w:val="7361076C"/>
    <w:rsid w:val="73EB4A06"/>
    <w:rsid w:val="742559FF"/>
    <w:rsid w:val="74600176"/>
    <w:rsid w:val="74FA2C30"/>
    <w:rsid w:val="752D6FDE"/>
    <w:rsid w:val="754D5C4B"/>
    <w:rsid w:val="75B2393A"/>
    <w:rsid w:val="75EF065F"/>
    <w:rsid w:val="75F00A90"/>
    <w:rsid w:val="769B3F17"/>
    <w:rsid w:val="76C240A7"/>
    <w:rsid w:val="775246B7"/>
    <w:rsid w:val="781E69D1"/>
    <w:rsid w:val="785F3B75"/>
    <w:rsid w:val="785F792A"/>
    <w:rsid w:val="78B44B56"/>
    <w:rsid w:val="78E605B9"/>
    <w:rsid w:val="79622E3F"/>
    <w:rsid w:val="79624694"/>
    <w:rsid w:val="7A263B6B"/>
    <w:rsid w:val="7AD3144E"/>
    <w:rsid w:val="7AF46346"/>
    <w:rsid w:val="7AFE37ED"/>
    <w:rsid w:val="7B0F5EBF"/>
    <w:rsid w:val="7B130FB9"/>
    <w:rsid w:val="7B6B298E"/>
    <w:rsid w:val="7B9547A3"/>
    <w:rsid w:val="7BAC256B"/>
    <w:rsid w:val="7BAF2987"/>
    <w:rsid w:val="7BBB6822"/>
    <w:rsid w:val="7BF64EDE"/>
    <w:rsid w:val="7C2F0D69"/>
    <w:rsid w:val="7C400C1E"/>
    <w:rsid w:val="7C4952E8"/>
    <w:rsid w:val="7D94581A"/>
    <w:rsid w:val="7DD11708"/>
    <w:rsid w:val="7EC167BD"/>
    <w:rsid w:val="7F272D9E"/>
    <w:rsid w:val="7F663D41"/>
    <w:rsid w:val="7FCD3E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0" w:semiHidden="0" w:name="heading 4"/>
    <w:lsdException w:qFormat="1" w:unhideWhenUsed="0" w:uiPriority="9" w:semiHidden="0" w:name="heading 5"/>
    <w:lsdException w:qFormat="1" w:uiPriority="9" w:name="heading 6"/>
    <w:lsdException w:qFormat="1" w:uiPriority="9" w:name="heading 7"/>
    <w:lsdException w:qFormat="1" w:unhideWhenUsed="0"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45"/>
    <w:qFormat/>
    <w:uiPriority w:val="9"/>
    <w:pPr>
      <w:keepNext/>
      <w:keepLines/>
      <w:spacing w:before="260" w:after="260" w:line="416" w:lineRule="auto"/>
      <w:outlineLvl w:val="1"/>
    </w:pPr>
    <w:rPr>
      <w:rFonts w:ascii="Cambria" w:hAnsi="Cambria"/>
      <w:b/>
      <w:bCs/>
      <w:sz w:val="32"/>
      <w:szCs w:val="32"/>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4">
    <w:name w:val="heading 5"/>
    <w:basedOn w:val="1"/>
    <w:next w:val="5"/>
    <w:link w:val="32"/>
    <w:qFormat/>
    <w:uiPriority w:val="9"/>
    <w:pPr>
      <w:keepNext/>
      <w:keepLines/>
      <w:spacing w:before="280" w:after="290" w:line="376" w:lineRule="auto"/>
      <w:outlineLvl w:val="4"/>
    </w:pPr>
    <w:rPr>
      <w:b/>
      <w:bCs/>
      <w:sz w:val="28"/>
      <w:szCs w:val="28"/>
    </w:rPr>
  </w:style>
  <w:style w:type="paragraph" w:styleId="6">
    <w:name w:val="heading 8"/>
    <w:basedOn w:val="1"/>
    <w:next w:val="1"/>
    <w:link w:val="36"/>
    <w:qFormat/>
    <w:uiPriority w:val="9"/>
    <w:pPr>
      <w:keepNext/>
      <w:keepLines/>
      <w:spacing w:before="240" w:after="64" w:line="320" w:lineRule="auto"/>
      <w:outlineLvl w:val="7"/>
    </w:pPr>
    <w:rPr>
      <w:rFonts w:ascii="等线 Light" w:hAnsi="等线 Light" w:eastAsia="等线 Light"/>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7">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8">
    <w:name w:val="annotation text"/>
    <w:basedOn w:val="1"/>
    <w:link w:val="28"/>
    <w:qFormat/>
    <w:uiPriority w:val="0"/>
    <w:pPr>
      <w:jc w:val="left"/>
    </w:pPr>
  </w:style>
  <w:style w:type="paragraph" w:styleId="9">
    <w:name w:val="Body Text"/>
    <w:basedOn w:val="1"/>
    <w:link w:val="37"/>
    <w:unhideWhenUsed/>
    <w:qFormat/>
    <w:uiPriority w:val="0"/>
    <w:pPr>
      <w:spacing w:after="120"/>
    </w:pPr>
  </w:style>
  <w:style w:type="paragraph" w:styleId="10">
    <w:name w:val="Body Text Indent"/>
    <w:basedOn w:val="1"/>
    <w:link w:val="26"/>
    <w:qFormat/>
    <w:uiPriority w:val="0"/>
    <w:pPr>
      <w:ind w:firstLine="830" w:firstLineChars="352"/>
    </w:pPr>
    <w:rPr>
      <w:rFonts w:ascii="仿宋_GB2312" w:eastAsia="仿宋_GB2312"/>
      <w:kern w:val="0"/>
      <w:sz w:val="32"/>
      <w:szCs w:val="20"/>
    </w:rPr>
  </w:style>
  <w:style w:type="paragraph" w:styleId="11">
    <w:name w:val="List 2"/>
    <w:basedOn w:val="1"/>
    <w:unhideWhenUsed/>
    <w:qFormat/>
    <w:uiPriority w:val="99"/>
    <w:pPr>
      <w:ind w:left="100" w:leftChars="200" w:hanging="200" w:hangingChars="200"/>
      <w:contextualSpacing/>
    </w:pPr>
  </w:style>
  <w:style w:type="paragraph" w:styleId="12">
    <w:name w:val="Plain Text"/>
    <w:basedOn w:val="1"/>
    <w:link w:val="31"/>
    <w:qFormat/>
    <w:uiPriority w:val="0"/>
    <w:rPr>
      <w:rFonts w:ascii="宋体" w:hAnsi="Courier New"/>
      <w:kern w:val="0"/>
      <w:sz w:val="20"/>
      <w:szCs w:val="21"/>
    </w:rPr>
  </w:style>
  <w:style w:type="paragraph" w:styleId="13">
    <w:name w:val="Date"/>
    <w:basedOn w:val="1"/>
    <w:next w:val="1"/>
    <w:link w:val="38"/>
    <w:unhideWhenUsed/>
    <w:qFormat/>
    <w:uiPriority w:val="99"/>
    <w:pPr>
      <w:ind w:left="100" w:leftChars="2500"/>
    </w:pPr>
  </w:style>
  <w:style w:type="paragraph" w:styleId="14">
    <w:name w:val="Balloon Text"/>
    <w:basedOn w:val="1"/>
    <w:semiHidden/>
    <w:qFormat/>
    <w:uiPriority w:val="0"/>
    <w:rPr>
      <w:sz w:val="18"/>
      <w:szCs w:val="18"/>
    </w:rPr>
  </w:style>
  <w:style w:type="paragraph" w:styleId="15">
    <w:name w:val="footer"/>
    <w:basedOn w:val="1"/>
    <w:link w:val="41"/>
    <w:unhideWhenUsed/>
    <w:qFormat/>
    <w:uiPriority w:val="99"/>
    <w:pPr>
      <w:tabs>
        <w:tab w:val="center" w:pos="4153"/>
        <w:tab w:val="right" w:pos="8306"/>
      </w:tabs>
      <w:snapToGrid w:val="0"/>
      <w:jc w:val="left"/>
    </w:pPr>
    <w:rPr>
      <w:kern w:val="0"/>
      <w:sz w:val="18"/>
      <w:szCs w:val="18"/>
    </w:rPr>
  </w:style>
  <w:style w:type="paragraph" w:styleId="16">
    <w:name w:val="header"/>
    <w:basedOn w:val="1"/>
    <w:link w:val="3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unhideWhenUsed/>
    <w:qFormat/>
    <w:uiPriority w:val="39"/>
  </w:style>
  <w:style w:type="paragraph" w:styleId="18">
    <w:name w:val="toc 2"/>
    <w:basedOn w:val="1"/>
    <w:next w:val="1"/>
    <w:unhideWhenUsed/>
    <w:qFormat/>
    <w:uiPriority w:val="39"/>
    <w:pPr>
      <w:tabs>
        <w:tab w:val="right" w:leader="dot" w:pos="8296"/>
      </w:tabs>
      <w:ind w:left="420" w:leftChars="200"/>
    </w:pPr>
  </w:style>
  <w:style w:type="paragraph" w:styleId="19">
    <w:name w:val="Normal (Web)"/>
    <w:basedOn w:val="1"/>
    <w:unhideWhenUsed/>
    <w:qFormat/>
    <w:uiPriority w:val="99"/>
    <w:rPr>
      <w:rFonts w:ascii="Calibri" w:hAnsi="Calibri"/>
      <w:kern w:val="0"/>
      <w:sz w:val="24"/>
    </w:rPr>
  </w:style>
  <w:style w:type="paragraph" w:styleId="20">
    <w:name w:val="annotation subject"/>
    <w:basedOn w:val="8"/>
    <w:next w:val="8"/>
    <w:link w:val="27"/>
    <w:qFormat/>
    <w:uiPriority w:val="99"/>
    <w:rPr>
      <w:b/>
      <w:bCs/>
    </w:rPr>
  </w:style>
  <w:style w:type="table" w:styleId="22">
    <w:name w:val="Table Grid"/>
    <w:basedOn w:val="2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Hyperlink"/>
    <w:unhideWhenUsed/>
    <w:qFormat/>
    <w:uiPriority w:val="99"/>
    <w:rPr>
      <w:color w:val="0000FF"/>
      <w:u w:val="single"/>
    </w:rPr>
  </w:style>
  <w:style w:type="character" w:styleId="25">
    <w:name w:val="annotation reference"/>
    <w:qFormat/>
    <w:uiPriority w:val="0"/>
    <w:rPr>
      <w:sz w:val="21"/>
      <w:szCs w:val="21"/>
    </w:rPr>
  </w:style>
  <w:style w:type="character" w:customStyle="1" w:styleId="26">
    <w:name w:val="正文文本缩进 Char"/>
    <w:link w:val="10"/>
    <w:qFormat/>
    <w:uiPriority w:val="0"/>
    <w:rPr>
      <w:rFonts w:ascii="仿宋_GB2312" w:hAnsi="Times New Roman" w:eastAsia="仿宋_GB2312" w:cs="Times New Roman"/>
      <w:sz w:val="32"/>
      <w:szCs w:val="20"/>
    </w:rPr>
  </w:style>
  <w:style w:type="character" w:customStyle="1" w:styleId="27">
    <w:name w:val="批注主题 Char"/>
    <w:link w:val="20"/>
    <w:qFormat/>
    <w:uiPriority w:val="99"/>
    <w:rPr>
      <w:rFonts w:ascii="Times New Roman" w:hAnsi="Times New Roman"/>
      <w:b/>
      <w:bCs/>
      <w:kern w:val="2"/>
      <w:sz w:val="21"/>
      <w:szCs w:val="24"/>
    </w:rPr>
  </w:style>
  <w:style w:type="character" w:customStyle="1" w:styleId="28">
    <w:name w:val="批注文字 Char1"/>
    <w:link w:val="8"/>
    <w:qFormat/>
    <w:uiPriority w:val="0"/>
    <w:rPr>
      <w:rFonts w:ascii="Times New Roman" w:hAnsi="Times New Roman"/>
      <w:kern w:val="2"/>
      <w:sz w:val="21"/>
      <w:szCs w:val="24"/>
    </w:rPr>
  </w:style>
  <w:style w:type="character" w:customStyle="1" w:styleId="29">
    <w:name w:val="正文文本 Char"/>
    <w:qFormat/>
    <w:uiPriority w:val="0"/>
    <w:rPr>
      <w:rFonts w:ascii="Times New Roman" w:hAnsi="Times New Roman"/>
      <w:kern w:val="2"/>
      <w:sz w:val="21"/>
      <w:szCs w:val="24"/>
    </w:rPr>
  </w:style>
  <w:style w:type="character" w:customStyle="1" w:styleId="30">
    <w:name w:val="纯文本 字符1"/>
    <w:qFormat/>
    <w:uiPriority w:val="0"/>
    <w:rPr>
      <w:rFonts w:ascii="宋体" w:hAnsi="Courier New"/>
    </w:rPr>
  </w:style>
  <w:style w:type="character" w:customStyle="1" w:styleId="31">
    <w:name w:val="纯文本 Char1"/>
    <w:link w:val="12"/>
    <w:qFormat/>
    <w:uiPriority w:val="0"/>
    <w:rPr>
      <w:rFonts w:ascii="宋体" w:hAnsi="Courier New" w:eastAsia="宋体" w:cs="Courier New"/>
      <w:szCs w:val="21"/>
    </w:rPr>
  </w:style>
  <w:style w:type="character" w:customStyle="1" w:styleId="32">
    <w:name w:val="标题 5 Char"/>
    <w:link w:val="4"/>
    <w:semiHidden/>
    <w:qFormat/>
    <w:uiPriority w:val="9"/>
    <w:rPr>
      <w:rFonts w:ascii="Times New Roman" w:hAnsi="Times New Roman"/>
      <w:b/>
      <w:bCs/>
      <w:kern w:val="2"/>
      <w:sz w:val="28"/>
      <w:szCs w:val="28"/>
    </w:rPr>
  </w:style>
  <w:style w:type="character" w:customStyle="1" w:styleId="33">
    <w:name w:val="纯文本 Char"/>
    <w:qFormat/>
    <w:uiPriority w:val="0"/>
    <w:rPr>
      <w:rFonts w:ascii="宋体" w:hAnsi="Courier New" w:eastAsia="宋体" w:cs="Courier New"/>
      <w:szCs w:val="21"/>
    </w:rPr>
  </w:style>
  <w:style w:type="character" w:customStyle="1" w:styleId="34">
    <w:name w:val="textcontents"/>
    <w:basedOn w:val="23"/>
    <w:qFormat/>
    <w:uiPriority w:val="0"/>
  </w:style>
  <w:style w:type="character" w:customStyle="1" w:styleId="35">
    <w:name w:val="页眉 Char"/>
    <w:link w:val="16"/>
    <w:qFormat/>
    <w:uiPriority w:val="99"/>
    <w:rPr>
      <w:sz w:val="18"/>
      <w:szCs w:val="18"/>
    </w:rPr>
  </w:style>
  <w:style w:type="character" w:customStyle="1" w:styleId="36">
    <w:name w:val="标题 8 Char1"/>
    <w:link w:val="6"/>
    <w:semiHidden/>
    <w:qFormat/>
    <w:uiPriority w:val="9"/>
    <w:rPr>
      <w:rFonts w:ascii="等线 Light" w:hAnsi="等线 Light" w:eastAsia="等线 Light" w:cs="Times New Roman"/>
      <w:kern w:val="2"/>
      <w:sz w:val="24"/>
      <w:szCs w:val="24"/>
    </w:rPr>
  </w:style>
  <w:style w:type="character" w:customStyle="1" w:styleId="37">
    <w:name w:val="正文文本 Char1"/>
    <w:link w:val="9"/>
    <w:qFormat/>
    <w:uiPriority w:val="0"/>
    <w:rPr>
      <w:rFonts w:ascii="Times New Roman" w:hAnsi="Times New Roman"/>
      <w:kern w:val="2"/>
      <w:sz w:val="21"/>
      <w:szCs w:val="24"/>
    </w:rPr>
  </w:style>
  <w:style w:type="character" w:customStyle="1" w:styleId="38">
    <w:name w:val="日期 Char"/>
    <w:link w:val="13"/>
    <w:semiHidden/>
    <w:qFormat/>
    <w:uiPriority w:val="99"/>
    <w:rPr>
      <w:rFonts w:ascii="Times New Roman" w:hAnsi="Times New Roman"/>
      <w:kern w:val="2"/>
      <w:sz w:val="21"/>
      <w:szCs w:val="24"/>
    </w:rPr>
  </w:style>
  <w:style w:type="character" w:customStyle="1" w:styleId="39">
    <w:name w:val="批注文字 Char"/>
    <w:qFormat/>
    <w:uiPriority w:val="0"/>
    <w:rPr>
      <w:rFonts w:ascii="Times New Roman" w:hAnsi="Times New Roman"/>
      <w:kern w:val="2"/>
      <w:sz w:val="21"/>
      <w:szCs w:val="24"/>
    </w:rPr>
  </w:style>
  <w:style w:type="character" w:customStyle="1" w:styleId="40">
    <w:name w:val="标题 8 Char"/>
    <w:qFormat/>
    <w:uiPriority w:val="0"/>
    <w:rPr>
      <w:rFonts w:ascii="Arial" w:hAnsi="Arial" w:eastAsia="黑体"/>
      <w:kern w:val="2"/>
      <w:sz w:val="24"/>
      <w:szCs w:val="24"/>
    </w:rPr>
  </w:style>
  <w:style w:type="character" w:customStyle="1" w:styleId="41">
    <w:name w:val="页脚 Char"/>
    <w:link w:val="15"/>
    <w:qFormat/>
    <w:uiPriority w:val="99"/>
    <w:rPr>
      <w:sz w:val="18"/>
      <w:szCs w:val="18"/>
    </w:rPr>
  </w:style>
  <w:style w:type="character" w:customStyle="1" w:styleId="42">
    <w:name w:val="apple-style-span"/>
    <w:basedOn w:val="23"/>
    <w:qFormat/>
    <w:uiPriority w:val="0"/>
  </w:style>
  <w:style w:type="character" w:customStyle="1" w:styleId="43">
    <w:name w:val="标题 2 Char"/>
    <w:qFormat/>
    <w:uiPriority w:val="9"/>
    <w:rPr>
      <w:rFonts w:ascii="Cambria" w:hAnsi="Cambria" w:eastAsia="宋体" w:cs="Times New Roman"/>
      <w:b/>
      <w:bCs/>
      <w:kern w:val="2"/>
      <w:sz w:val="32"/>
      <w:szCs w:val="32"/>
    </w:rPr>
  </w:style>
  <w:style w:type="character" w:customStyle="1" w:styleId="44">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45">
    <w:name w:val="标题 2 Char1"/>
    <w:link w:val="2"/>
    <w:qFormat/>
    <w:uiPriority w:val="9"/>
    <w:rPr>
      <w:rFonts w:ascii="Cambria" w:hAnsi="Cambria" w:eastAsia="宋体" w:cs="Times New Roman"/>
      <w:b/>
      <w:bCs/>
      <w:kern w:val="2"/>
      <w:sz w:val="32"/>
      <w:szCs w:val="32"/>
    </w:rPr>
  </w:style>
  <w:style w:type="paragraph" w:styleId="46">
    <w:name w:val="List Paragraph"/>
    <w:basedOn w:val="1"/>
    <w:qFormat/>
    <w:uiPriority w:val="34"/>
    <w:pPr>
      <w:ind w:firstLine="420" w:firstLineChars="200"/>
    </w:pPr>
  </w:style>
  <w:style w:type="paragraph" w:customStyle="1" w:styleId="47">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48">
    <w:name w:val="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默认段落字体 Para Char Char Char Char Char Char Char Char Char1 Char Char Char Char"/>
    <w:basedOn w:val="1"/>
    <w:qFormat/>
    <w:uiPriority w:val="0"/>
    <w:rPr>
      <w:rFonts w:ascii="Tahoma" w:hAnsi="Tahoma"/>
      <w:sz w:val="24"/>
      <w:szCs w:val="20"/>
    </w:rPr>
  </w:style>
  <w:style w:type="paragraph" w:customStyle="1" w:styleId="50">
    <w:name w:val="Default"/>
    <w:unhideWhenUsed/>
    <w:qFormat/>
    <w:uiPriority w:val="99"/>
    <w:pPr>
      <w:widowControl w:val="0"/>
      <w:autoSpaceDE w:val="0"/>
      <w:autoSpaceDN w:val="0"/>
      <w:adjustRightInd w:val="0"/>
    </w:pPr>
    <w:rPr>
      <w:rFonts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7169"/>
    <customShpInfo spid="_x0000_s717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8918</Words>
  <Characters>50833</Characters>
  <Lines>423</Lines>
  <Paragraphs>119</Paragraphs>
  <TotalTime>0</TotalTime>
  <ScaleCrop>false</ScaleCrop>
  <LinksUpToDate>false</LinksUpToDate>
  <CharactersWithSpaces>59632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2020-12-15T03:06:00Z</dcterms:created>
  <dc:creator>唐冰</dc:creator>
  <cp:lastModifiedBy>GJC</cp:lastModifiedBy>
  <cp:lastPrinted>2020-12-18T08:11:00Z</cp:lastPrinted>
  <dcterms:modified xsi:type="dcterms:W3CDTF">2020-12-21T01:17:40Z</dcterms:modified>
  <dc:title>竞争性谈判文件规范</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