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宋体" w:hAnsi="宋体" w:cs="宋体"/>
          <w:b/>
          <w:color w:val="auto"/>
          <w:sz w:val="72"/>
          <w:szCs w:val="72"/>
          <w:highlight w:val="none"/>
        </w:rPr>
      </w:pPr>
    </w:p>
    <w:p>
      <w:pPr>
        <w:spacing w:beforeLines="100" w:afterLines="50" w:line="600" w:lineRule="exact"/>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pPr>
        <w:spacing w:beforeLines="100" w:afterLines="50" w:line="600" w:lineRule="exact"/>
        <w:jc w:val="center"/>
        <w:rPr>
          <w:rFonts w:ascii="宋体" w:hAnsi="宋体" w:cs="宋体"/>
          <w:b/>
          <w:color w:val="auto"/>
          <w:sz w:val="44"/>
          <w:szCs w:val="44"/>
          <w:highlight w:val="none"/>
        </w:rPr>
      </w:pPr>
    </w:p>
    <w:p>
      <w:pPr>
        <w:snapToGrid w:val="0"/>
        <w:spacing w:beforeLines="50" w:line="360" w:lineRule="auto"/>
        <w:jc w:val="center"/>
        <w:rPr>
          <w:rFonts w:ascii="宋体" w:hAnsi="宋体" w:cs="宋体"/>
          <w:color w:val="auto"/>
          <w:sz w:val="30"/>
          <w:szCs w:val="72"/>
          <w:highlight w:val="none"/>
        </w:rPr>
      </w:pPr>
    </w:p>
    <w:p>
      <w:pPr>
        <w:spacing w:line="400" w:lineRule="exact"/>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项目名称：平南县医疗收费电子票据信息管理系统建设项目</w:t>
      </w:r>
    </w:p>
    <w:p>
      <w:pPr>
        <w:spacing w:line="400" w:lineRule="exact"/>
        <w:jc w:val="center"/>
        <w:rPr>
          <w:rFonts w:ascii="宋体" w:hAnsi="宋体" w:cs="宋体"/>
          <w:b/>
          <w:color w:val="auto"/>
          <w:sz w:val="32"/>
          <w:szCs w:val="32"/>
          <w:highlight w:val="none"/>
        </w:rPr>
      </w:pPr>
    </w:p>
    <w:p>
      <w:pPr>
        <w:spacing w:line="400" w:lineRule="exact"/>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 xml:space="preserve">项目编号：GGZC2020-C3-62428-GXYL  </w:t>
      </w:r>
    </w:p>
    <w:p>
      <w:pPr>
        <w:spacing w:line="400" w:lineRule="exact"/>
        <w:ind w:firstLine="964" w:firstLineChars="300"/>
        <w:rPr>
          <w:rFonts w:ascii="宋体" w:hAnsi="宋体" w:cs="宋体"/>
          <w:b/>
          <w:color w:val="auto"/>
          <w:sz w:val="32"/>
          <w:szCs w:val="32"/>
          <w:highlight w:val="none"/>
        </w:rPr>
      </w:pPr>
    </w:p>
    <w:p>
      <w:pPr>
        <w:spacing w:line="400" w:lineRule="exact"/>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采 购 人：平南县非税收入管理所</w:t>
      </w:r>
    </w:p>
    <w:p>
      <w:pPr>
        <w:spacing w:line="400" w:lineRule="exact"/>
        <w:ind w:firstLine="964" w:firstLineChars="300"/>
        <w:rPr>
          <w:rFonts w:ascii="宋体" w:hAnsi="宋体" w:cs="宋体"/>
          <w:b/>
          <w:color w:val="auto"/>
          <w:sz w:val="32"/>
          <w:szCs w:val="32"/>
          <w:highlight w:val="none"/>
        </w:rPr>
      </w:pPr>
    </w:p>
    <w:p>
      <w:pPr>
        <w:spacing w:line="400" w:lineRule="exact"/>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采购代理机构：云之龙招标集团有限公司</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2020年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21</w:t>
      </w:r>
      <w:r>
        <w:rPr>
          <w:rFonts w:hint="eastAsia" w:ascii="宋体" w:hAnsi="宋体" w:cs="宋体"/>
          <w:b/>
          <w:color w:val="auto"/>
          <w:sz w:val="32"/>
          <w:szCs w:val="32"/>
          <w:highlight w:val="none"/>
        </w:rPr>
        <w:t>日</w:t>
      </w:r>
    </w:p>
    <w:p>
      <w:pPr>
        <w:spacing w:line="400" w:lineRule="exact"/>
        <w:ind w:firstLine="602" w:firstLineChars="200"/>
        <w:rPr>
          <w:rFonts w:ascii="宋体" w:hAnsi="宋体" w:cs="宋体"/>
          <w:b/>
          <w:color w:val="auto"/>
          <w:sz w:val="32"/>
          <w:szCs w:val="32"/>
          <w:highlight w:val="none"/>
        </w:rPr>
      </w:pPr>
      <w:r>
        <w:rPr>
          <w:rFonts w:hint="eastAsia" w:ascii="宋体" w:hAnsi="宋体" w:cs="宋体"/>
          <w:b/>
          <w:color w:val="auto"/>
          <w:sz w:val="30"/>
          <w:szCs w:val="30"/>
          <w:highlight w:val="none"/>
        </w:rPr>
        <w:br w:type="page"/>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18"/>
        <w:rPr>
          <w:rFonts w:ascii="宋体" w:hAnsi="宋体" w:cs="宋体"/>
          <w:color w:val="auto"/>
          <w:szCs w:val="22"/>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"_Toc44229877" </w:instrText>
      </w:r>
      <w:r>
        <w:rPr>
          <w:color w:val="auto"/>
          <w:highlight w:val="none"/>
        </w:rPr>
        <w:fldChar w:fldCharType="separate"/>
      </w:r>
      <w:r>
        <w:rPr>
          <w:rStyle w:val="24"/>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_Toc44229877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"_Toc44229894" </w:instrText>
      </w:r>
      <w:r>
        <w:rPr>
          <w:color w:val="auto"/>
          <w:highlight w:val="none"/>
        </w:rPr>
        <w:fldChar w:fldCharType="separate"/>
      </w:r>
      <w:r>
        <w:rPr>
          <w:rStyle w:val="24"/>
          <w:rFonts w:hint="eastAsia" w:ascii="宋体" w:hAnsi="宋体" w:cs="宋体"/>
          <w:color w:val="auto"/>
          <w:highlight w:val="none"/>
        </w:rPr>
        <w:t>第二章 供应商须</w:t>
      </w:r>
      <w:bookmarkStart w:id="0" w:name="_Hlt45187174"/>
      <w:bookmarkStart w:id="1" w:name="_Hlt45187173"/>
      <w:r>
        <w:rPr>
          <w:rStyle w:val="24"/>
          <w:rFonts w:hint="eastAsia" w:ascii="宋体" w:hAnsi="宋体" w:cs="宋体"/>
          <w:color w:val="auto"/>
          <w:highlight w:val="none"/>
        </w:rPr>
        <w:t>知</w:t>
      </w:r>
      <w:bookmarkEnd w:id="0"/>
      <w:bookmarkEnd w:id="1"/>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_Toc44229894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"_Toc44229895" </w:instrText>
      </w:r>
      <w:r>
        <w:rPr>
          <w:color w:val="auto"/>
          <w:highlight w:val="none"/>
        </w:rPr>
        <w:fldChar w:fldCharType="separate"/>
      </w:r>
      <w:r>
        <w:rPr>
          <w:rStyle w:val="24"/>
          <w:rFonts w:hint="eastAsia" w:ascii="宋体" w:hAnsi="宋体" w:cs="宋体"/>
          <w:color w:val="auto"/>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_Toc44229895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"_Toc44229896" </w:instrText>
      </w:r>
      <w:r>
        <w:rPr>
          <w:color w:val="auto"/>
          <w:highlight w:val="none"/>
        </w:rPr>
        <w:fldChar w:fldCharType="separate"/>
      </w:r>
      <w:r>
        <w:rPr>
          <w:rStyle w:val="24"/>
          <w:rFonts w:hint="eastAsia" w:ascii="宋体" w:hAnsi="宋体" w:cs="宋体"/>
          <w:color w:val="auto"/>
          <w:highlight w:val="none"/>
        </w:rPr>
        <w:t>第四章 评审程序、评审方法和</w:t>
      </w:r>
      <w:bookmarkStart w:id="2" w:name="_Hlt44924516"/>
      <w:bookmarkStart w:id="3" w:name="_Hlt44924517"/>
      <w:r>
        <w:rPr>
          <w:rStyle w:val="24"/>
          <w:rFonts w:hint="eastAsia" w:ascii="宋体" w:hAnsi="宋体" w:cs="宋体"/>
          <w:color w:val="auto"/>
          <w:highlight w:val="none"/>
        </w:rPr>
        <w:t>评</w:t>
      </w:r>
      <w:bookmarkEnd w:id="2"/>
      <w:bookmarkEnd w:id="3"/>
      <w:r>
        <w:rPr>
          <w:rStyle w:val="24"/>
          <w:rFonts w:hint="eastAsia" w:ascii="宋体" w:hAnsi="宋体" w:cs="宋体"/>
          <w:color w:val="auto"/>
          <w:highlight w:val="none"/>
        </w:rPr>
        <w:t>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_Toc44229896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"_Toc44229897" </w:instrText>
      </w:r>
      <w:r>
        <w:rPr>
          <w:color w:val="auto"/>
          <w:highlight w:val="none"/>
        </w:rPr>
        <w:fldChar w:fldCharType="separate"/>
      </w:r>
      <w:r>
        <w:rPr>
          <w:rStyle w:val="24"/>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_Toc44229897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8"/>
        <w:rPr>
          <w:rFonts w:ascii="宋体" w:hAnsi="宋体" w:cs="宋体"/>
          <w:color w:val="auto"/>
          <w:szCs w:val="22"/>
          <w:highlight w:val="none"/>
        </w:rPr>
      </w:pPr>
      <w:r>
        <w:rPr>
          <w:color w:val="auto"/>
          <w:highlight w:val="none"/>
        </w:rPr>
        <w:fldChar w:fldCharType="begin"/>
      </w:r>
      <w:r>
        <w:rPr>
          <w:color w:val="auto"/>
          <w:highlight w:val="none"/>
        </w:rPr>
        <w:instrText xml:space="preserve"> HYPERLINK \l "_Toc44229900" </w:instrText>
      </w:r>
      <w:r>
        <w:rPr>
          <w:color w:val="auto"/>
          <w:highlight w:val="none"/>
        </w:rPr>
        <w:fldChar w:fldCharType="separate"/>
      </w:r>
      <w:r>
        <w:rPr>
          <w:rStyle w:val="24"/>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t>9</w:t>
      </w:r>
    </w:p>
    <w:p>
      <w:pPr>
        <w:pStyle w:val="18"/>
        <w:rPr>
          <w:rFonts w:ascii="宋体" w:hAnsi="宋体" w:cs="宋体"/>
          <w:color w:val="auto"/>
          <w:sz w:val="28"/>
          <w:szCs w:val="28"/>
          <w:highlight w:val="none"/>
        </w:rPr>
      </w:pPr>
      <w:r>
        <w:rPr>
          <w:rFonts w:hint="eastAsia" w:ascii="宋体" w:hAnsi="宋体" w:cs="宋体"/>
          <w:b/>
          <w:color w:val="auto"/>
          <w:sz w:val="30"/>
          <w:szCs w:val="30"/>
          <w:highlight w:val="none"/>
        </w:rPr>
        <w:fldChar w:fldCharType="end"/>
      </w:r>
    </w:p>
    <w:p>
      <w:pPr>
        <w:spacing w:line="400" w:lineRule="exact"/>
        <w:jc w:val="left"/>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rPr>
          <w:rFonts w:ascii="宋体" w:hAnsi="宋体" w:cs="宋体"/>
          <w:b/>
          <w:color w:val="auto"/>
          <w:sz w:val="32"/>
          <w:szCs w:val="32"/>
          <w:highlight w:val="none"/>
        </w:rPr>
        <w:sectPr>
          <w:headerReference r:id="rId3" w:type="default"/>
          <w:pgSz w:w="11906" w:h="16838"/>
          <w:pgMar w:top="1440" w:right="1440" w:bottom="1440" w:left="1587" w:header="851" w:footer="992" w:gutter="0"/>
          <w:cols w:space="720" w:num="1"/>
          <w:titlePg/>
          <w:docGrid w:type="lines" w:linePitch="312" w:charSpace="0"/>
        </w:sectPr>
      </w:pPr>
    </w:p>
    <w:p>
      <w:pPr>
        <w:pStyle w:val="2"/>
        <w:jc w:val="center"/>
        <w:rPr>
          <w:rFonts w:ascii="宋体" w:hAnsi="宋体" w:cs="宋体"/>
          <w:color w:val="auto"/>
          <w:highlight w:val="none"/>
        </w:rPr>
      </w:pPr>
      <w:bookmarkStart w:id="4" w:name="_Toc44229877"/>
      <w:r>
        <w:rPr>
          <w:rFonts w:hint="eastAsia" w:ascii="宋体" w:hAnsi="宋体" w:cs="宋体"/>
          <w:color w:val="auto"/>
          <w:highlight w:val="none"/>
        </w:rPr>
        <w:t>第一章 竞争性磋商公告</w:t>
      </w:r>
      <w:bookmarkEnd w:id="4"/>
    </w:p>
    <w:p>
      <w:pPr>
        <w:spacing w:line="320" w:lineRule="exact"/>
        <w:rPr>
          <w:rFonts w:ascii="宋体" w:hAnsi="宋体" w:cs="宋体"/>
          <w:b/>
          <w:color w:val="auto"/>
          <w:szCs w:val="21"/>
          <w:highlight w:val="none"/>
        </w:rPr>
      </w:pPr>
    </w:p>
    <w:p>
      <w:pPr>
        <w:spacing w:line="320" w:lineRule="exact"/>
        <w:rPr>
          <w:rFonts w:ascii="宋体" w:hAnsi="宋体" w:cs="宋体"/>
          <w:color w:val="auto"/>
          <w:szCs w:val="21"/>
          <w:highlight w:val="none"/>
        </w:rPr>
      </w:pP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color w:val="auto"/>
          <w:szCs w:val="21"/>
          <w:highlight w:val="none"/>
        </w:rPr>
      </w:pPr>
      <w:bookmarkStart w:id="5" w:name="_Hlk37430271"/>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平南县医疗收费电子票据信息管理系统建设项目</w:t>
      </w:r>
      <w:r>
        <w:rPr>
          <w:rFonts w:hint="eastAsia" w:ascii="宋体" w:hAnsi="宋体" w:cs="宋体"/>
          <w:color w:val="auto"/>
          <w:szCs w:val="21"/>
          <w:highlight w:val="none"/>
        </w:rPr>
        <w:t>的潜在供应商应在政采云平台（www.zcygov.cn）获取竞争性磋商文件，并于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p>
    <w:p>
      <w:pPr>
        <w:pStyle w:val="2"/>
        <w:spacing w:before="0" w:after="0" w:line="320" w:lineRule="exact"/>
        <w:ind w:firstLine="422" w:firstLineChars="200"/>
        <w:rPr>
          <w:rFonts w:ascii="宋体" w:hAnsi="宋体" w:cs="宋体"/>
          <w:bCs w:val="0"/>
          <w:color w:val="auto"/>
          <w:sz w:val="21"/>
          <w:szCs w:val="21"/>
          <w:highlight w:val="none"/>
        </w:rPr>
      </w:pPr>
      <w:bookmarkStart w:id="6" w:name="_Toc28359089"/>
      <w:bookmarkStart w:id="7" w:name="_Toc28359012"/>
      <w:bookmarkStart w:id="8" w:name="_Toc35393629"/>
      <w:bookmarkStart w:id="9" w:name="_Toc35393798"/>
      <w:bookmarkStart w:id="10" w:name="_Toc44229878"/>
      <w:r>
        <w:rPr>
          <w:rFonts w:hint="eastAsia" w:ascii="宋体" w:hAnsi="宋体" w:cs="宋体"/>
          <w:bCs w:val="0"/>
          <w:color w:val="auto"/>
          <w:sz w:val="21"/>
          <w:szCs w:val="21"/>
          <w:highlight w:val="none"/>
        </w:rPr>
        <w:t>一、项目基本情况</w:t>
      </w:r>
      <w:bookmarkEnd w:id="6"/>
      <w:bookmarkEnd w:id="7"/>
      <w:bookmarkEnd w:id="8"/>
      <w:bookmarkEnd w:id="9"/>
      <w:bookmarkEnd w:id="10"/>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1.项目编号：GGZC2020-C3-62428-GXYL  </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2.项目名称：平南县医疗收费电子票据信息管理系统建设项目</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4.预算金额：A分标人民币玖拾捌万元整（￥980000.00）；B分标人民币柒拾万元整（￥700000.00）5.最高限价：/</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6.采购需求：A分标平南县医疗收费电子票据信息管理系统软件部分1项；B分标平南县医疗收费电子票据信息管理系统硬件部分1项。具体详细见《磋商文件》</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7.合同履行期限：A分标</w:t>
      </w:r>
      <w:r>
        <w:rPr>
          <w:rFonts w:hint="eastAsia" w:ascii="宋体" w:hAnsi="宋体" w:cs="宋体"/>
          <w:color w:val="auto"/>
          <w:kern w:val="0"/>
          <w:sz w:val="22"/>
          <w:highlight w:val="none"/>
        </w:rPr>
        <w:t>自合同签订之日起30个工作日</w:t>
      </w:r>
      <w:r>
        <w:rPr>
          <w:rFonts w:hint="eastAsia" w:ascii="宋体" w:hAnsi="宋体" w:cs="宋体"/>
          <w:color w:val="auto"/>
          <w:szCs w:val="21"/>
          <w:highlight w:val="none"/>
        </w:rPr>
        <w:t>。B分标</w:t>
      </w:r>
      <w:r>
        <w:rPr>
          <w:rFonts w:hint="eastAsia" w:ascii="宋体" w:hAnsi="宋体" w:cs="宋体"/>
          <w:color w:val="auto"/>
          <w:kern w:val="0"/>
          <w:sz w:val="22"/>
          <w:highlight w:val="none"/>
        </w:rPr>
        <w:t>自合同签订之日起15个日历日交货安装并调试完毕。</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w:t>
      </w:r>
    </w:p>
    <w:p>
      <w:pPr>
        <w:pStyle w:val="2"/>
        <w:spacing w:before="0" w:after="0" w:line="320" w:lineRule="exact"/>
        <w:ind w:firstLine="422" w:firstLineChars="200"/>
        <w:rPr>
          <w:rFonts w:ascii="宋体" w:hAnsi="宋体" w:cs="宋体"/>
          <w:bCs w:val="0"/>
          <w:color w:val="auto"/>
          <w:sz w:val="21"/>
          <w:szCs w:val="21"/>
          <w:highlight w:val="none"/>
        </w:rPr>
      </w:pPr>
      <w:bookmarkStart w:id="11" w:name="_Toc28359013"/>
      <w:bookmarkStart w:id="12" w:name="_Toc28359090"/>
      <w:bookmarkStart w:id="13" w:name="_Toc44229879"/>
      <w:bookmarkStart w:id="14" w:name="_Toc35393799"/>
      <w:bookmarkStart w:id="15" w:name="_Toc35393630"/>
      <w:r>
        <w:rPr>
          <w:rFonts w:hint="eastAsia" w:ascii="宋体" w:hAnsi="宋体" w:cs="宋体"/>
          <w:bCs w:val="0"/>
          <w:color w:val="auto"/>
          <w:sz w:val="21"/>
          <w:szCs w:val="21"/>
          <w:highlight w:val="none"/>
        </w:rPr>
        <w:t>二、供应商的资格条件：</w:t>
      </w:r>
      <w:bookmarkEnd w:id="11"/>
      <w:bookmarkEnd w:id="12"/>
      <w:bookmarkEnd w:id="13"/>
      <w:bookmarkEnd w:id="14"/>
      <w:bookmarkEnd w:id="15"/>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20" w:lineRule="exact"/>
        <w:ind w:firstLine="420" w:firstLineChars="200"/>
        <w:rPr>
          <w:rFonts w:ascii="宋体" w:hAnsi="宋体" w:cs="宋体"/>
          <w:color w:val="auto"/>
          <w:szCs w:val="21"/>
          <w:highlight w:val="none"/>
        </w:rPr>
      </w:pPr>
      <w:bookmarkStart w:id="16" w:name="_Toc28359091"/>
      <w:bookmarkStart w:id="17" w:name="_Toc28359014"/>
      <w:r>
        <w:rPr>
          <w:rFonts w:hint="eastAsia" w:ascii="宋体" w:hAnsi="宋体" w:cs="宋体"/>
          <w:color w:val="auto"/>
          <w:szCs w:val="21"/>
          <w:highlight w:val="none"/>
        </w:rPr>
        <w:t>2.落实政府采购政策需满足的资格要求：/</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spacing w:before="0" w:after="0" w:line="320" w:lineRule="exact"/>
        <w:ind w:firstLine="422" w:firstLineChars="200"/>
        <w:rPr>
          <w:rFonts w:ascii="宋体" w:hAnsi="宋体" w:cs="宋体"/>
          <w:bCs w:val="0"/>
          <w:color w:val="auto"/>
          <w:sz w:val="21"/>
          <w:szCs w:val="21"/>
          <w:highlight w:val="none"/>
        </w:rPr>
      </w:pPr>
      <w:bookmarkStart w:id="18" w:name="_Toc44229880"/>
      <w:bookmarkStart w:id="19" w:name="_Toc35393800"/>
      <w:bookmarkStart w:id="20" w:name="_Toc35393631"/>
      <w:r>
        <w:rPr>
          <w:rFonts w:hint="eastAsia" w:ascii="宋体" w:hAnsi="宋体" w:cs="宋体"/>
          <w:bCs w:val="0"/>
          <w:color w:val="auto"/>
          <w:sz w:val="21"/>
          <w:szCs w:val="21"/>
          <w:highlight w:val="none"/>
        </w:rPr>
        <w:t>三、获取竞争性磋商文件</w:t>
      </w:r>
      <w:bookmarkEnd w:id="16"/>
      <w:bookmarkEnd w:id="17"/>
      <w:bookmarkEnd w:id="18"/>
      <w:bookmarkEnd w:id="19"/>
      <w:bookmarkEnd w:id="20"/>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1.时间：自本磋商公告发布之时起至202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日9时00分（北京时间）止登陆政采云平台（www.zcygov.cn）获取竞争性磋商文件</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u w:val="single"/>
        </w:rPr>
        <w:t xml:space="preserve">政采云平台（www.zcygov.cn） </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3.方式：登陆政采云平台（www.zcygov.cn）自行免费获取竞争性磋商文件</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1.已获取竞争性磋商文件的供应商不等于符合本项目的供应商资格条件。</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2.为配合采购人进行政府采购项目执行和备案，未在政采云注册的供应商可在获取竞争性磋商文件后登录政采云进行注册，如在操作过程中遇到问题或者需要技术支持，请致电政采云客服热线：400-881-7190。</w:t>
      </w:r>
    </w:p>
    <w:p>
      <w:pPr>
        <w:pStyle w:val="2"/>
        <w:spacing w:before="0" w:after="0" w:line="320" w:lineRule="exact"/>
        <w:ind w:firstLine="422" w:firstLineChars="200"/>
        <w:rPr>
          <w:rFonts w:ascii="宋体" w:hAnsi="宋体" w:cs="宋体"/>
          <w:bCs w:val="0"/>
          <w:color w:val="auto"/>
          <w:sz w:val="21"/>
          <w:szCs w:val="21"/>
          <w:highlight w:val="none"/>
        </w:rPr>
      </w:pPr>
      <w:bookmarkStart w:id="21" w:name="_Toc35393632"/>
      <w:bookmarkStart w:id="22" w:name="_Toc28359015"/>
      <w:bookmarkStart w:id="23" w:name="_Toc28359092"/>
      <w:bookmarkStart w:id="24" w:name="_Toc35393801"/>
      <w:bookmarkStart w:id="25" w:name="_Toc44229881"/>
      <w:r>
        <w:rPr>
          <w:rFonts w:hint="eastAsia" w:ascii="宋体" w:hAnsi="宋体" w:cs="宋体"/>
          <w:bCs w:val="0"/>
          <w:color w:val="auto"/>
          <w:sz w:val="21"/>
          <w:szCs w:val="21"/>
          <w:highlight w:val="none"/>
        </w:rPr>
        <w:t>四、响应文件提交</w:t>
      </w:r>
      <w:bookmarkEnd w:id="21"/>
      <w:bookmarkEnd w:id="22"/>
      <w:bookmarkEnd w:id="23"/>
      <w:bookmarkEnd w:id="24"/>
      <w:bookmarkEnd w:id="25"/>
    </w:p>
    <w:p>
      <w:pPr>
        <w:spacing w:line="32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w:t>
      </w:r>
      <w:r>
        <w:rPr>
          <w:rFonts w:hint="eastAsia" w:ascii="宋体" w:hAnsi="宋体" w:cs="宋体"/>
          <w:bCs/>
          <w:color w:val="auto"/>
          <w:szCs w:val="21"/>
          <w:highlight w:val="none"/>
        </w:rPr>
        <w:t>首次响应文件提交起止时间：</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日8时</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0分至9时00分</w:t>
      </w:r>
      <w:r>
        <w:rPr>
          <w:rFonts w:hint="eastAsia" w:ascii="宋体" w:hAnsi="宋体" w:cs="宋体"/>
          <w:bCs/>
          <w:color w:val="auto"/>
          <w:szCs w:val="21"/>
          <w:highlight w:val="none"/>
        </w:rPr>
        <w:t>（北京时间）</w:t>
      </w:r>
    </w:p>
    <w:p>
      <w:pPr>
        <w:spacing w:line="3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2.</w:t>
      </w:r>
      <w:r>
        <w:rPr>
          <w:rFonts w:hint="eastAsia" w:ascii="宋体" w:hAnsi="宋体" w:cs="宋体"/>
          <w:color w:val="auto"/>
          <w:szCs w:val="21"/>
          <w:highlight w:val="none"/>
        </w:rPr>
        <w:t>首次响应文件提交截止时间：</w:t>
      </w: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日9时00分</w:t>
      </w:r>
      <w:r>
        <w:rPr>
          <w:rFonts w:hint="eastAsia" w:ascii="宋体" w:hAnsi="宋体" w:cs="宋体"/>
          <w:bCs/>
          <w:color w:val="auto"/>
          <w:szCs w:val="21"/>
          <w:highlight w:val="none"/>
        </w:rPr>
        <w:t>（北京时间）</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3.首次响应文件提交地点：</w:t>
      </w:r>
      <w:r>
        <w:rPr>
          <w:rFonts w:hint="eastAsia" w:ascii="宋体" w:hAnsi="宋体" w:cs="宋体"/>
          <w:color w:val="auto"/>
          <w:szCs w:val="21"/>
          <w:highlight w:val="none"/>
          <w:u w:val="single"/>
        </w:rPr>
        <w:t xml:space="preserve"> 平南县公共资源交易中心（平南县交通运输局11楼交易厅） </w:t>
      </w:r>
    </w:p>
    <w:p>
      <w:pPr>
        <w:spacing w:line="3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注：供应商应当在首次响应文件提交截止时间前，将响应文件密封送达首次响应文件提交地点。在首次响应文件提交截止时间后送达的响应文件为无效文件，采购代理机构应当拒收。</w:t>
      </w:r>
    </w:p>
    <w:p>
      <w:pPr>
        <w:pStyle w:val="2"/>
        <w:spacing w:before="0" w:after="0" w:line="320" w:lineRule="exact"/>
        <w:ind w:firstLine="422" w:firstLineChars="200"/>
        <w:rPr>
          <w:rFonts w:ascii="宋体" w:hAnsi="宋体" w:cs="宋体"/>
          <w:bCs w:val="0"/>
          <w:color w:val="auto"/>
          <w:sz w:val="21"/>
          <w:szCs w:val="21"/>
          <w:highlight w:val="none"/>
        </w:rPr>
      </w:pPr>
      <w:bookmarkStart w:id="26" w:name="_Toc28359016"/>
      <w:bookmarkStart w:id="27" w:name="_Toc35393633"/>
      <w:bookmarkStart w:id="28" w:name="_Toc44229882"/>
      <w:bookmarkStart w:id="29" w:name="_Toc35393802"/>
      <w:bookmarkStart w:id="30" w:name="_Toc28359093"/>
      <w:r>
        <w:rPr>
          <w:rFonts w:hint="eastAsia" w:ascii="宋体" w:hAnsi="宋体" w:cs="宋体"/>
          <w:bCs w:val="0"/>
          <w:color w:val="auto"/>
          <w:sz w:val="21"/>
          <w:szCs w:val="21"/>
          <w:highlight w:val="none"/>
        </w:rPr>
        <w:t>五、开启</w:t>
      </w:r>
      <w:bookmarkEnd w:id="26"/>
      <w:bookmarkEnd w:id="27"/>
      <w:bookmarkEnd w:id="28"/>
      <w:bookmarkEnd w:id="29"/>
      <w:bookmarkEnd w:id="30"/>
    </w:p>
    <w:p>
      <w:pPr>
        <w:spacing w:line="32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rPr>
        <w:t>9时00分</w:t>
      </w:r>
      <w:r>
        <w:rPr>
          <w:rFonts w:hint="eastAsia" w:ascii="宋体" w:hAnsi="宋体" w:cs="宋体"/>
          <w:bCs/>
          <w:color w:val="auto"/>
          <w:szCs w:val="21"/>
          <w:highlight w:val="none"/>
        </w:rPr>
        <w:t>（北京时间）</w:t>
      </w:r>
      <w:r>
        <w:rPr>
          <w:rFonts w:hint="eastAsia" w:ascii="宋体" w:hAnsi="宋体" w:cs="宋体"/>
          <w:color w:val="auto"/>
          <w:szCs w:val="21"/>
          <w:highlight w:val="none"/>
        </w:rPr>
        <w:t>后</w:t>
      </w:r>
    </w:p>
    <w:p>
      <w:pPr>
        <w:spacing w:line="32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olor w:val="auto"/>
          <w:highlight w:val="none"/>
          <w:u w:val="single"/>
        </w:rPr>
        <w:t>平南县公共资源交易中心（平南县交通运输局11楼）</w:t>
      </w:r>
    </w:p>
    <w:p>
      <w:pPr>
        <w:pStyle w:val="2"/>
        <w:spacing w:before="0" w:after="0" w:line="320" w:lineRule="exact"/>
        <w:ind w:firstLine="422" w:firstLineChars="200"/>
        <w:rPr>
          <w:rFonts w:ascii="宋体" w:hAnsi="宋体" w:cs="宋体"/>
          <w:bCs w:val="0"/>
          <w:color w:val="auto"/>
          <w:sz w:val="21"/>
          <w:szCs w:val="21"/>
          <w:highlight w:val="none"/>
        </w:rPr>
      </w:pPr>
      <w:bookmarkStart w:id="31" w:name="_Toc35393634"/>
      <w:bookmarkStart w:id="32" w:name="_Toc28359017"/>
      <w:bookmarkStart w:id="33" w:name="_Toc35393803"/>
      <w:bookmarkStart w:id="34" w:name="_Toc28359094"/>
      <w:bookmarkStart w:id="35" w:name="_Toc44229883"/>
      <w:r>
        <w:rPr>
          <w:rFonts w:hint="eastAsia" w:ascii="宋体" w:hAnsi="宋体" w:cs="宋体"/>
          <w:bCs w:val="0"/>
          <w:color w:val="auto"/>
          <w:sz w:val="21"/>
          <w:szCs w:val="21"/>
          <w:highlight w:val="none"/>
        </w:rPr>
        <w:t>六、公告期限</w:t>
      </w:r>
      <w:bookmarkEnd w:id="31"/>
      <w:bookmarkEnd w:id="32"/>
      <w:bookmarkEnd w:id="33"/>
      <w:bookmarkEnd w:id="34"/>
      <w:bookmarkEnd w:id="35"/>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before="0" w:after="0" w:line="320" w:lineRule="exact"/>
        <w:ind w:firstLine="422" w:firstLineChars="200"/>
        <w:rPr>
          <w:rFonts w:ascii="宋体" w:hAnsi="宋体" w:cs="宋体"/>
          <w:bCs w:val="0"/>
          <w:color w:val="auto"/>
          <w:sz w:val="21"/>
          <w:szCs w:val="21"/>
          <w:highlight w:val="none"/>
        </w:rPr>
      </w:pPr>
      <w:bookmarkStart w:id="36" w:name="_Toc44229884"/>
      <w:bookmarkStart w:id="37" w:name="_Toc35393804"/>
      <w:bookmarkStart w:id="38" w:name="_Toc35393635"/>
      <w:r>
        <w:rPr>
          <w:rFonts w:hint="eastAsia" w:ascii="宋体" w:hAnsi="宋体" w:cs="宋体"/>
          <w:bCs w:val="0"/>
          <w:color w:val="auto"/>
          <w:sz w:val="21"/>
          <w:szCs w:val="21"/>
          <w:highlight w:val="none"/>
        </w:rPr>
        <w:t>七、其他补充事宜</w:t>
      </w:r>
      <w:bookmarkEnd w:id="36"/>
      <w:bookmarkEnd w:id="37"/>
      <w:bookmarkEnd w:id="38"/>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1.磋商保证金：无</w:t>
      </w:r>
    </w:p>
    <w:p>
      <w:pPr>
        <w:spacing w:line="320" w:lineRule="exact"/>
        <w:ind w:firstLine="420" w:firstLineChars="200"/>
        <w:rPr>
          <w:rFonts w:ascii="宋体" w:hAnsi="宋体" w:cs="宋体"/>
          <w:color w:val="auto"/>
          <w:kern w:val="0"/>
          <w:highlight w:val="none"/>
        </w:rPr>
      </w:pPr>
      <w:r>
        <w:rPr>
          <w:rFonts w:hint="eastAsia" w:ascii="宋体" w:hAnsi="宋体" w:cs="宋体"/>
          <w:color w:val="auto"/>
          <w:kern w:val="0"/>
          <w:szCs w:val="21"/>
          <w:highlight w:val="none"/>
        </w:rPr>
        <w:t xml:space="preserve">2. </w:t>
      </w:r>
      <w:r>
        <w:rPr>
          <w:rFonts w:hint="eastAsia" w:ascii="宋体" w:hAnsi="宋体" w:cs="宋体"/>
          <w:color w:val="auto"/>
          <w:kern w:val="0"/>
          <w:highlight w:val="none"/>
        </w:rPr>
        <w:t>本项目需要落实的政府采购政策：</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p>
    <w:p>
      <w:pPr>
        <w:spacing w:line="3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http://www.ccgp.gov.cn（中国政府采购网）、http://zfcg.gxzf.gov.cn/（广西壮族自治区政府采购网）、http://zfcg.czj.gxgg.gov.cn/（贵港市政府采购网）、http://ggggjy.gxgg.gov.cn:9005/（贵港市公共资源交易中心）</w:t>
      </w:r>
    </w:p>
    <w:p>
      <w:pPr>
        <w:pStyle w:val="2"/>
        <w:spacing w:before="0" w:after="0" w:line="320" w:lineRule="exact"/>
        <w:ind w:firstLine="422" w:firstLineChars="200"/>
        <w:rPr>
          <w:rFonts w:ascii="宋体" w:hAnsi="宋体" w:cs="宋体"/>
          <w:bCs w:val="0"/>
          <w:color w:val="auto"/>
          <w:sz w:val="21"/>
          <w:szCs w:val="21"/>
          <w:highlight w:val="none"/>
        </w:rPr>
      </w:pPr>
      <w:bookmarkStart w:id="39" w:name="_Toc35393636"/>
      <w:bookmarkStart w:id="40" w:name="_Toc35393805"/>
      <w:bookmarkStart w:id="41" w:name="_Toc28359095"/>
      <w:bookmarkStart w:id="42" w:name="_Toc44229885"/>
      <w:bookmarkStart w:id="43" w:name="_Toc28359018"/>
      <w:r>
        <w:rPr>
          <w:rFonts w:hint="eastAsia" w:ascii="宋体" w:hAnsi="宋体" w:cs="宋体"/>
          <w:bCs w:val="0"/>
          <w:color w:val="auto"/>
          <w:sz w:val="21"/>
          <w:szCs w:val="21"/>
          <w:highlight w:val="none"/>
        </w:rPr>
        <w:t>八、凡对本次采购提出询问，请按以下方式联系。</w:t>
      </w:r>
      <w:bookmarkEnd w:id="39"/>
      <w:bookmarkEnd w:id="40"/>
      <w:bookmarkEnd w:id="41"/>
      <w:bookmarkEnd w:id="42"/>
      <w:bookmarkEnd w:id="43"/>
    </w:p>
    <w:p>
      <w:pPr>
        <w:spacing w:line="320" w:lineRule="exact"/>
        <w:ind w:firstLine="420" w:firstLineChars="200"/>
        <w:rPr>
          <w:rFonts w:ascii="宋体" w:hAnsi="宋体" w:cs="宋体"/>
          <w:color w:val="auto"/>
          <w:kern w:val="0"/>
          <w:szCs w:val="21"/>
          <w:highlight w:val="none"/>
        </w:rPr>
      </w:pPr>
      <w:bookmarkStart w:id="44" w:name="_Toc35393637"/>
      <w:bookmarkStart w:id="45" w:name="_Toc35393806"/>
      <w:bookmarkStart w:id="46" w:name="_Toc28359096"/>
      <w:bookmarkStart w:id="47" w:name="_Toc28359019"/>
      <w:r>
        <w:rPr>
          <w:rFonts w:hint="eastAsia" w:ascii="宋体" w:hAnsi="宋体" w:cs="宋体"/>
          <w:color w:val="auto"/>
          <w:kern w:val="0"/>
          <w:szCs w:val="21"/>
          <w:highlight w:val="none"/>
        </w:rPr>
        <w:t>1.采购人信息</w:t>
      </w:r>
      <w:bookmarkEnd w:id="44"/>
      <w:bookmarkEnd w:id="45"/>
      <w:bookmarkEnd w:id="46"/>
      <w:bookmarkEnd w:id="47"/>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平南县非税收入管理所</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平南县</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0775-7823929</w:t>
      </w:r>
    </w:p>
    <w:p>
      <w:pPr>
        <w:spacing w:line="320" w:lineRule="exact"/>
        <w:ind w:firstLine="420" w:firstLineChars="200"/>
        <w:rPr>
          <w:rFonts w:ascii="宋体" w:hAnsi="宋体" w:cs="宋体"/>
          <w:color w:val="auto"/>
          <w:kern w:val="0"/>
          <w:szCs w:val="21"/>
          <w:highlight w:val="none"/>
        </w:rPr>
      </w:pPr>
      <w:bookmarkStart w:id="48" w:name="_Toc35393807"/>
      <w:bookmarkStart w:id="49" w:name="_Toc35393638"/>
      <w:bookmarkStart w:id="50" w:name="_Toc28359020"/>
      <w:bookmarkStart w:id="51" w:name="_Toc28359097"/>
      <w:r>
        <w:rPr>
          <w:rFonts w:hint="eastAsia" w:ascii="宋体" w:hAnsi="宋体" w:cs="宋体"/>
          <w:color w:val="auto"/>
          <w:kern w:val="0"/>
          <w:szCs w:val="21"/>
          <w:highlight w:val="none"/>
        </w:rPr>
        <w:t>2.采购代理机构信息</w:t>
      </w:r>
      <w:bookmarkEnd w:id="48"/>
      <w:bookmarkEnd w:id="49"/>
      <w:bookmarkEnd w:id="50"/>
      <w:bookmarkEnd w:id="51"/>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云之龙招标集团有限公司</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广西贵港市港北区荷城路 1132 号华泰官邸1栋6楼</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0775-4565100、4569690</w:t>
      </w:r>
    </w:p>
    <w:p>
      <w:pPr>
        <w:spacing w:line="320" w:lineRule="exact"/>
        <w:ind w:firstLine="420" w:firstLineChars="200"/>
        <w:rPr>
          <w:rFonts w:ascii="宋体" w:hAnsi="宋体" w:cs="宋体"/>
          <w:color w:val="auto"/>
          <w:kern w:val="0"/>
          <w:szCs w:val="21"/>
          <w:highlight w:val="none"/>
        </w:rPr>
      </w:pPr>
      <w:bookmarkStart w:id="52" w:name="_Toc35393639"/>
      <w:bookmarkStart w:id="53" w:name="_Toc28359098"/>
      <w:bookmarkStart w:id="54" w:name="_Toc35393808"/>
      <w:bookmarkStart w:id="55" w:name="_Toc28359021"/>
      <w:r>
        <w:rPr>
          <w:rFonts w:hint="eastAsia" w:ascii="宋体" w:hAnsi="宋体" w:cs="宋体"/>
          <w:color w:val="auto"/>
          <w:kern w:val="0"/>
          <w:szCs w:val="21"/>
          <w:highlight w:val="none"/>
        </w:rPr>
        <w:t>3.项目联系方式</w:t>
      </w:r>
      <w:bookmarkEnd w:id="52"/>
      <w:bookmarkEnd w:id="53"/>
      <w:bookmarkEnd w:id="54"/>
      <w:bookmarkEnd w:id="55"/>
    </w:p>
    <w:p>
      <w:pPr>
        <w:pStyle w:val="12"/>
        <w:spacing w:line="320" w:lineRule="exact"/>
        <w:ind w:firstLine="420" w:firstLineChars="200"/>
        <w:rPr>
          <w:rFonts w:hAnsi="宋体" w:cs="宋体"/>
          <w:color w:val="auto"/>
          <w:sz w:val="21"/>
          <w:highlight w:val="none"/>
        </w:rPr>
      </w:pPr>
      <w:r>
        <w:rPr>
          <w:rFonts w:hint="eastAsia" w:hAnsi="宋体" w:cs="宋体"/>
          <w:color w:val="auto"/>
          <w:sz w:val="21"/>
          <w:highlight w:val="none"/>
        </w:rPr>
        <w:t>项目联系人：</w:t>
      </w:r>
      <w:r>
        <w:rPr>
          <w:rFonts w:hint="eastAsia" w:hAnsi="宋体" w:cs="宋体"/>
          <w:color w:val="auto"/>
          <w:sz w:val="21"/>
          <w:highlight w:val="none"/>
          <w:u w:val="single"/>
        </w:rPr>
        <w:t xml:space="preserve"> 区剑波、邓倩秋</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0775-4565100、4569690　</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4.监督部门</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平南县财政局政府采购监督管理股</w:t>
      </w:r>
    </w:p>
    <w:p>
      <w:pPr>
        <w:spacing w:line="3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0775-7820666</w:t>
      </w:r>
    </w:p>
    <w:p>
      <w:pPr>
        <w:spacing w:line="320" w:lineRule="exact"/>
        <w:ind w:firstLine="630" w:firstLineChars="300"/>
        <w:jc w:val="right"/>
        <w:rPr>
          <w:rFonts w:ascii="宋体" w:hAnsi="宋体" w:cs="宋体"/>
          <w:color w:val="auto"/>
          <w:szCs w:val="21"/>
          <w:highlight w:val="none"/>
          <w:u w:val="single"/>
        </w:rPr>
      </w:pPr>
    </w:p>
    <w:p>
      <w:pPr>
        <w:spacing w:line="320" w:lineRule="exact"/>
        <w:ind w:firstLine="630" w:firstLineChars="300"/>
        <w:jc w:val="right"/>
        <w:rPr>
          <w:rFonts w:ascii="宋体" w:hAnsi="宋体" w:cs="宋体"/>
          <w:color w:val="auto"/>
          <w:szCs w:val="21"/>
          <w:highlight w:val="none"/>
          <w:u w:val="single"/>
        </w:rPr>
      </w:pPr>
    </w:p>
    <w:p>
      <w:pPr>
        <w:spacing w:line="320" w:lineRule="exact"/>
        <w:ind w:firstLine="630" w:firstLineChars="300"/>
        <w:jc w:val="right"/>
        <w:rPr>
          <w:rFonts w:ascii="宋体" w:hAnsi="宋体" w:cs="宋体"/>
          <w:color w:val="auto"/>
          <w:szCs w:val="21"/>
          <w:highlight w:val="none"/>
          <w:u w:val="single"/>
        </w:rPr>
      </w:pPr>
    </w:p>
    <w:p>
      <w:pPr>
        <w:spacing w:line="320" w:lineRule="exact"/>
        <w:ind w:firstLine="630" w:firstLineChars="300"/>
        <w:jc w:val="right"/>
        <w:rPr>
          <w:rFonts w:ascii="宋体" w:hAnsi="宋体" w:cs="宋体"/>
          <w:color w:val="auto"/>
          <w:szCs w:val="21"/>
          <w:highlight w:val="none"/>
          <w:u w:val="single"/>
        </w:rPr>
      </w:pPr>
    </w:p>
    <w:p>
      <w:pPr>
        <w:spacing w:line="320" w:lineRule="exact"/>
        <w:ind w:firstLine="630" w:firstLineChars="300"/>
        <w:jc w:val="right"/>
        <w:rPr>
          <w:rFonts w:ascii="宋体" w:hAnsi="宋体" w:cs="宋体"/>
          <w:color w:val="auto"/>
          <w:szCs w:val="21"/>
          <w:highlight w:val="none"/>
          <w:u w:val="single"/>
        </w:rPr>
      </w:pPr>
      <w:r>
        <w:rPr>
          <w:rFonts w:hint="eastAsia" w:ascii="宋体" w:hAnsi="宋体" w:cs="宋体"/>
          <w:color w:val="auto"/>
          <w:szCs w:val="21"/>
          <w:highlight w:val="none"/>
          <w:u w:val="single"/>
        </w:rPr>
        <w:t>云之龙招标集团有限公司</w:t>
      </w:r>
    </w:p>
    <w:bookmarkEnd w:id="5"/>
    <w:p>
      <w:pPr>
        <w:spacing w:line="320" w:lineRule="exact"/>
        <w:jc w:val="right"/>
        <w:rPr>
          <w:rFonts w:ascii="宋体" w:hAnsi="宋体" w:cs="宋体"/>
          <w:b/>
          <w:color w:val="auto"/>
          <w:sz w:val="32"/>
          <w:szCs w:val="32"/>
          <w:highlight w:val="none"/>
        </w:rPr>
      </w:pP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p>
    <w:p>
      <w:pPr>
        <w:pStyle w:val="2"/>
        <w:rPr>
          <w:rFonts w:ascii="宋体" w:hAnsi="宋体" w:cs="宋体"/>
          <w:color w:val="auto"/>
          <w:highlight w:val="none"/>
        </w:rPr>
      </w:pPr>
    </w:p>
    <w:p>
      <w:pPr>
        <w:spacing w:line="320" w:lineRule="exact"/>
        <w:ind w:firstLine="495"/>
        <w:jc w:val="right"/>
        <w:rPr>
          <w:rFonts w:ascii="宋体" w:hAnsi="宋体" w:cs="宋体"/>
          <w:color w:val="auto"/>
          <w:highlight w:val="none"/>
        </w:rPr>
      </w:pPr>
      <w:r>
        <w:rPr>
          <w:rFonts w:hint="eastAsia" w:ascii="宋体" w:hAnsi="宋体" w:cs="宋体"/>
          <w:color w:val="auto"/>
          <w:sz w:val="32"/>
          <w:szCs w:val="32"/>
          <w:highlight w:val="none"/>
        </w:rPr>
        <w:br w:type="page"/>
      </w:r>
    </w:p>
    <w:p>
      <w:pPr>
        <w:pStyle w:val="2"/>
        <w:jc w:val="center"/>
        <w:rPr>
          <w:rFonts w:ascii="宋体" w:hAnsi="宋体" w:cs="宋体"/>
          <w:color w:val="auto"/>
          <w:highlight w:val="none"/>
        </w:rPr>
      </w:pPr>
      <w:bookmarkStart w:id="56" w:name="_Toc44229894"/>
      <w:r>
        <w:rPr>
          <w:rFonts w:hint="eastAsia" w:ascii="宋体" w:hAnsi="宋体" w:cs="宋体"/>
          <w:color w:val="auto"/>
          <w:highlight w:val="none"/>
        </w:rPr>
        <w:t>第二章 供应商须知</w:t>
      </w:r>
      <w:bookmarkEnd w:id="56"/>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pPr>
        <w:spacing w:line="400" w:lineRule="exact"/>
        <w:jc w:val="center"/>
        <w:rPr>
          <w:rFonts w:ascii="宋体" w:hAnsi="宋体" w:cs="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264" w:type="dxa"/>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64" w:type="dxa"/>
            <w:vAlign w:val="center"/>
          </w:tcPr>
          <w:p>
            <w:pPr>
              <w:spacing w:line="320" w:lineRule="exact"/>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826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264" w:type="dxa"/>
            <w:vAlign w:val="center"/>
          </w:tcPr>
          <w:p>
            <w:pPr>
              <w:pStyle w:val="8"/>
              <w:spacing w:line="320" w:lineRule="exact"/>
              <w:rPr>
                <w:rFonts w:ascii="宋体" w:hAnsi="宋体" w:cs="宋体"/>
                <w:color w:val="auto"/>
                <w:szCs w:val="21"/>
                <w:highlight w:val="none"/>
              </w:rPr>
            </w:pPr>
            <w:r>
              <w:rPr>
                <w:rFonts w:hint="eastAsia" w:ascii="宋体" w:hAnsi="宋体" w:cs="宋体"/>
                <w:color w:val="auto"/>
                <w:szCs w:val="21"/>
                <w:highlight w:val="none"/>
              </w:rPr>
              <w:t>是否允许分包：☑不允许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264" w:type="dxa"/>
            <w:vAlign w:val="center"/>
          </w:tcPr>
          <w:p>
            <w:pPr>
              <w:snapToGrid w:val="0"/>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pStyle w:val="8"/>
              <w:rPr>
                <w:rFonts w:ascii="宋体" w:hAnsi="宋体" w:cs="宋体"/>
                <w:color w:val="auto"/>
                <w:highlight w:val="none"/>
              </w:rPr>
            </w:pPr>
            <w:r>
              <w:rPr>
                <w:rFonts w:hint="eastAsia" w:ascii="宋体" w:hAnsi="宋体" w:cs="宋体"/>
                <w:color w:val="auto"/>
                <w:szCs w:val="21"/>
                <w:highlight w:val="none"/>
              </w:rPr>
              <w:t>1.法人或者其他组织的营业执照等证明文件（如营业执照或事业单位法人证书或执业许可证等），自然人的身份证复印件；（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ascii="宋体" w:hAnsi="宋体" w:cs="宋体"/>
                <w:b/>
                <w:color w:val="auto"/>
                <w:szCs w:val="21"/>
                <w:highlight w:val="none"/>
              </w:rPr>
            </w:pPr>
            <w:r>
              <w:rPr>
                <w:rFonts w:hint="eastAsia" w:ascii="宋体" w:hAnsi="宋体" w:cs="宋体"/>
                <w:color w:val="auto"/>
                <w:szCs w:val="21"/>
                <w:highlight w:val="none"/>
              </w:rPr>
              <w:t>2.贵港市政府采购项目投标资格承诺函（格式后附）；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5.除竞争性磋商文件规定必须提供以外，供应商认为需要提供的其他证明材料；</w:t>
            </w:r>
          </w:p>
          <w:p>
            <w:pPr>
              <w:snapToGrid w:val="0"/>
              <w:spacing w:line="320" w:lineRule="exact"/>
              <w:jc w:val="left"/>
              <w:rPr>
                <w:rFonts w:ascii="宋体" w:hAnsi="宋体" w:cs="宋体"/>
                <w:color w:val="auto"/>
                <w:szCs w:val="21"/>
                <w:highlight w:val="none"/>
              </w:rPr>
            </w:pPr>
            <w:r>
              <w:rPr>
                <w:rFonts w:hint="eastAsia" w:ascii="宋体" w:hAnsi="宋体" w:cs="宋体"/>
                <w:bCs/>
                <w:color w:val="auto"/>
                <w:szCs w:val="21"/>
                <w:highlight w:val="none"/>
              </w:rPr>
              <w:t>6.</w:t>
            </w:r>
            <w:r>
              <w:rPr>
                <w:rFonts w:hint="eastAsia" w:ascii="宋体" w:hAnsi="宋体" w:cs="宋体"/>
                <w:color w:val="auto"/>
                <w:szCs w:val="21"/>
                <w:highlight w:val="none"/>
              </w:rPr>
              <w:t xml:space="preserve"> 其他资格证明文件（编制时应与公告的特定资格要求相对应）。</w:t>
            </w:r>
          </w:p>
          <w:p>
            <w:pPr>
              <w:snapToGrid w:val="0"/>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2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3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2.竞标声明必须由法定代表人在规定签章处签字并加盖供应商公章，否则响应文件按无效响应处理。</w:t>
            </w:r>
          </w:p>
          <w:p>
            <w:pPr>
              <w:snapToGrid w:val="0"/>
              <w:spacing w:line="32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3.供应商直接控股、管理关系信息表必须由法定代表人或委托代理人在规定签章处签字并加盖供应商公章，否则响应文件按无效响应处理。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264" w:type="dxa"/>
            <w:vAlign w:val="center"/>
          </w:tcPr>
          <w:p>
            <w:pPr>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6.B分标提供技术偏离表（格式后附）；（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7.B分标提供配置清单（均不含报价）（格式后附）；（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服务质量承诺</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9.项目组织实施方案（格式自拟）；</w:t>
            </w:r>
            <w:r>
              <w:rPr>
                <w:rFonts w:hint="eastAsia" w:ascii="宋体" w:hAnsi="宋体" w:cs="宋体"/>
                <w:b/>
                <w:bCs/>
                <w:color w:val="auto"/>
                <w:szCs w:val="21"/>
                <w:highlight w:val="none"/>
              </w:rPr>
              <w:t xml:space="preserve">（必须提供，否则响应文件按无效响应处理） </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10.对应采购需求的商务条款提供的其他文件资料；</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11.对应采购需求的技术需求提供的其他文件资料；</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12.供应商认为需要提供的有关资料。</w:t>
            </w:r>
          </w:p>
          <w:p>
            <w:pPr>
              <w:snapToGrid w:val="0"/>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2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spacing w:line="32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pPr>
              <w:spacing w:line="32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8264" w:type="dxa"/>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响应文件电子版:无。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264" w:type="dxa"/>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竞标报价应当包含满足本次竞标全部采购需求所应提供的服务，以及伴随的货物和工程（如有）的价格；包含人员的工资、社保费、加班费、福利费、服装费、人员培训费、税费、管理费、合理利润等，以及合同约定的义务而发生的其他费用。</w:t>
            </w:r>
          </w:p>
          <w:p>
            <w:pPr>
              <w:snapToGrid w:val="0"/>
              <w:rPr>
                <w:rFonts w:ascii="宋体" w:hAnsi="宋体" w:cs="宋体"/>
                <w:color w:val="auto"/>
                <w:szCs w:val="21"/>
                <w:highlight w:val="none"/>
              </w:rPr>
            </w:pPr>
            <w:r>
              <w:rPr>
                <w:rFonts w:hint="eastAsia" w:ascii="宋体" w:hAnsi="宋体" w:cs="宋体"/>
                <w:b/>
                <w:color w:val="auto"/>
                <w:highlight w:val="none"/>
              </w:rPr>
              <w:t>☑竞标报价包含验收费用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264" w:type="dxa"/>
            <w:vAlign w:val="center"/>
          </w:tcPr>
          <w:p>
            <w:pPr>
              <w:pStyle w:val="7"/>
              <w:widowControl w:val="0"/>
              <w:tabs>
                <w:tab w:val="clear" w:pos="454"/>
              </w:tabs>
              <w:snapToGrid w:val="0"/>
              <w:spacing w:afterLines="0" w:line="320"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磋商保证金：无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18.2</w:t>
            </w:r>
          </w:p>
        </w:tc>
        <w:tc>
          <w:tcPr>
            <w:tcW w:w="826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响应文件份数：正本一份、副本</w:t>
            </w:r>
            <w:r>
              <w:rPr>
                <w:rFonts w:hint="eastAsia" w:ascii="宋体" w:hAnsi="宋体" w:cs="宋体"/>
                <w:color w:val="auto"/>
                <w:szCs w:val="21"/>
                <w:highlight w:val="none"/>
                <w:u w:val="single"/>
              </w:rPr>
              <w:t xml:space="preserve"> 肆 </w:t>
            </w:r>
            <w:r>
              <w:rPr>
                <w:rFonts w:hint="eastAsia" w:ascii="宋体" w:hAnsi="宋体" w:cs="宋体"/>
                <w:color w:val="auto"/>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264" w:type="dxa"/>
            <w:vAlign w:val="center"/>
          </w:tcPr>
          <w:p>
            <w:pPr>
              <w:snapToGrid w:val="0"/>
              <w:spacing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pPr>
              <w:snapToGrid w:val="0"/>
              <w:spacing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pPr>
              <w:snapToGrid w:val="0"/>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264" w:type="dxa"/>
            <w:vAlign w:val="center"/>
          </w:tcPr>
          <w:p>
            <w:pPr>
              <w:snapToGrid w:val="0"/>
              <w:spacing w:line="320"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24.3</w:t>
            </w:r>
          </w:p>
        </w:tc>
        <w:tc>
          <w:tcPr>
            <w:tcW w:w="8264" w:type="dxa"/>
            <w:vAlign w:val="center"/>
          </w:tcPr>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首次响应文件的开启：</w:t>
            </w:r>
          </w:p>
          <w:p>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☑磋商地点在各地公共资源交易中心时：在交易中心工作人员或现场监督人员的见证下开启首次响应文件。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25.1.1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采购人或者采购代理机构在资格审查结束前，对供应商进行信用查询。</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25.2.1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A分标：</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B分标</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26.1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磋商的顺序：</w:t>
            </w:r>
          </w:p>
          <w:p>
            <w:pPr>
              <w:pStyle w:val="8"/>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按照</w:t>
            </w:r>
            <w:r>
              <w:rPr>
                <w:rFonts w:hint="eastAsia" w:ascii="宋体" w:hAnsi="宋体" w:cs="宋体"/>
                <w:color w:val="auto"/>
                <w:szCs w:val="21"/>
                <w:highlight w:val="none"/>
              </w:rPr>
              <w:t>提交首次响应文件的顺序，</w:t>
            </w:r>
            <w:r>
              <w:rPr>
                <w:rFonts w:hint="eastAsia" w:ascii="宋体" w:hAnsi="宋体" w:cs="宋体"/>
                <w:color w:val="auto"/>
                <w:highlight w:val="none"/>
              </w:rPr>
              <w:t>如出现某供应商不能按时参加磋商的情形，则该供应商的磋商次序往后延，具体由磋商小组确定</w:t>
            </w:r>
            <w:r>
              <w:rPr>
                <w:rFonts w:hint="eastAsia" w:ascii="宋体" w:hAnsi="宋体" w:cs="宋体"/>
                <w:color w:val="auto"/>
                <w:szCs w:val="21"/>
                <w:highlight w:val="none"/>
              </w:rPr>
              <w:t>。</w:t>
            </w:r>
          </w:p>
          <w:p>
            <w:pPr>
              <w:pStyle w:val="8"/>
              <w:spacing w:line="320" w:lineRule="exact"/>
              <w:rPr>
                <w:rFonts w:ascii="宋体" w:hAnsi="宋体" w:cs="宋体"/>
                <w:b/>
                <w:color w:val="auto"/>
                <w:szCs w:val="21"/>
                <w:highlight w:val="none"/>
              </w:rPr>
            </w:pPr>
            <w:r>
              <w:rPr>
                <w:rFonts w:hint="eastAsia" w:ascii="宋体" w:hAnsi="宋体" w:cs="宋体"/>
                <w:b/>
                <w:color w:val="auto"/>
                <w:szCs w:val="21"/>
                <w:highlight w:val="none"/>
              </w:rPr>
              <w:t>参与磋商前，供应商法定代表人或委托代理人必须向磋商小组出示本人有效证件原件[有效证件可以是身份证（含临时身份证明）、机动车驾驶证、社会保障卡或护照的其中一项]，若参与磋商的委托代理人不是响应文件中承诺的授权委托代理人的，应当同时出示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8264"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可能实质性变动的内容：</w:t>
            </w:r>
          </w:p>
          <w:p>
            <w:pPr>
              <w:spacing w:line="320" w:lineRule="exact"/>
              <w:rPr>
                <w:rFonts w:ascii="宋体" w:hAnsi="宋体" w:cs="宋体"/>
                <w:color w:val="auto"/>
                <w:szCs w:val="21"/>
                <w:highlight w:val="none"/>
              </w:rPr>
            </w:pPr>
            <w:r>
              <w:rPr>
                <w:rFonts w:hint="eastAsia" w:ascii="宋体" w:hAnsi="宋体" w:cs="宋体"/>
                <w:color w:val="auto"/>
                <w:szCs w:val="21"/>
                <w:highlight w:val="none"/>
              </w:rPr>
              <w:t>采购需求中的技术、服务要求以及合同草案条款。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履约保证金金额：无</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签订合同携带的证明材料：营业执照副本原件、法定代表人授权委托书及被授权人身份证原件等其它证明材料。</w:t>
            </w:r>
          </w:p>
          <w:p>
            <w:pPr>
              <w:snapToGrid w:val="0"/>
              <w:spacing w:line="320" w:lineRule="exact"/>
              <w:rPr>
                <w:rFonts w:ascii="宋体" w:hAnsi="宋体" w:cs="宋体"/>
                <w:color w:val="auto"/>
                <w:szCs w:val="21"/>
                <w:highlight w:val="none"/>
              </w:rPr>
            </w:pPr>
            <w:r>
              <w:rPr>
                <w:rFonts w:hint="eastAsia"/>
                <w:b/>
                <w:bCs/>
                <w:color w:val="auto"/>
                <w:highlight w:val="none"/>
              </w:rPr>
              <w:t>合同签订时间：自成交通知书发出之日起7个工作日内。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8264" w:type="dxa"/>
            <w:vAlign w:val="center"/>
          </w:tcPr>
          <w:p>
            <w:pPr>
              <w:pStyle w:val="12"/>
              <w:snapToGrid w:val="0"/>
              <w:spacing w:line="320" w:lineRule="exact"/>
              <w:rPr>
                <w:rFonts w:hAnsi="宋体" w:cs="宋体"/>
                <w:color w:val="auto"/>
                <w:sz w:val="21"/>
                <w:highlight w:val="none"/>
              </w:rPr>
            </w:pPr>
            <w:r>
              <w:rPr>
                <w:rFonts w:hint="eastAsia" w:hAnsi="宋体" w:cs="宋体"/>
                <w:color w:val="auto"/>
                <w:sz w:val="21"/>
                <w:highlight w:val="none"/>
              </w:rPr>
              <w:t>1.采购代理费收取方式：</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2.采购代理费收取标准：</w:t>
            </w:r>
          </w:p>
          <w:p>
            <w:pPr>
              <w:pStyle w:val="12"/>
              <w:snapToGrid w:val="0"/>
              <w:spacing w:line="320" w:lineRule="exact"/>
              <w:rPr>
                <w:rFonts w:hAnsi="宋体" w:cs="宋体"/>
                <w:color w:val="auto"/>
                <w:sz w:val="21"/>
                <w:highlight w:val="none"/>
                <w:u w:val="single"/>
              </w:rPr>
            </w:pPr>
            <w:r>
              <w:rPr>
                <w:rFonts w:hint="eastAsia" w:hAnsi="宋体" w:cs="宋体"/>
                <w:color w:val="auto"/>
                <w:sz w:val="21"/>
                <w:highlight w:val="none"/>
                <w:u w:val="single"/>
              </w:rPr>
              <w:t>按国家发展改革委《关于进一步放开建设项目专业服务价格的通知 》发改价格〔2015〕299号文执行：成交服务费为A分标人民币壹万肆仟柒佰元整（￥14700.00），B分标为人民币壹万零伍佰元整（￥10500.00）。</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3. 采购代理费收取银行账户</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开户名称：云之龙招标集团有限公司贵港分公司</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开户银行：中信银行南宁东葛支行</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开户账号：8113001015100158012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8264" w:type="dxa"/>
            <w:vAlign w:val="center"/>
          </w:tcPr>
          <w:p>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12"/>
              <w:snapToGrid w:val="0"/>
              <w:spacing w:line="320" w:lineRule="exact"/>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Courier New"/>
                <w:color w:val="auto"/>
                <w:kern w:val="2"/>
                <w:sz w:val="21"/>
                <w:highlight w:val="none"/>
              </w:rPr>
              <w:t>云之龙招标集团有限公司</w:t>
            </w:r>
            <w:r>
              <w:rPr>
                <w:rFonts w:hint="eastAsia" w:hAnsi="宋体" w:cs="Courier New"/>
                <w:color w:val="auto"/>
                <w:kern w:val="2"/>
                <w:sz w:val="21"/>
                <w:highlight w:val="none"/>
                <w:u w:val="single"/>
              </w:rPr>
              <w:t>招标部</w:t>
            </w:r>
            <w:r>
              <w:rPr>
                <w:rFonts w:hint="eastAsia" w:hAnsi="宋体" w:cs="宋体"/>
                <w:color w:val="auto"/>
                <w:kern w:val="2"/>
                <w:sz w:val="21"/>
                <w:highlight w:val="none"/>
              </w:rPr>
              <w:t>，联系电话：0775-4565100，通讯地址：广西贵港市港北区荷城路1132号华泰官邸1栋6楼。</w:t>
            </w:r>
          </w:p>
          <w:p>
            <w:pPr>
              <w:pStyle w:val="12"/>
              <w:snapToGrid w:val="0"/>
              <w:spacing w:line="320" w:lineRule="exact"/>
              <w:rPr>
                <w:rFonts w:hAnsi="宋体" w:cs="宋体"/>
                <w:color w:val="auto"/>
                <w:kern w:val="2"/>
                <w:sz w:val="21"/>
                <w:highlight w:val="none"/>
              </w:rPr>
            </w:pPr>
            <w:r>
              <w:rPr>
                <w:rFonts w:hint="eastAsia" w:hAnsi="宋体" w:cs="宋体"/>
                <w:color w:val="auto"/>
                <w:sz w:val="21"/>
                <w:highlight w:val="none"/>
              </w:rPr>
              <w:t>业务时间：上午8时00分到12时00分，下午3时00分到6时00分，双休日和法定节假日不办理业务。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rPr>
                <w:rFonts w:ascii="宋体" w:hAnsi="宋体" w:cs="宋体"/>
                <w:color w:val="auto"/>
                <w:szCs w:val="21"/>
                <w:highlight w:val="none"/>
              </w:rPr>
            </w:pPr>
          </w:p>
        </w:tc>
        <w:tc>
          <w:tcPr>
            <w:tcW w:w="8264" w:type="dxa"/>
            <w:vAlign w:val="center"/>
          </w:tcPr>
          <w:p>
            <w:pPr>
              <w:pStyle w:val="12"/>
              <w:snapToGrid w:val="0"/>
              <w:spacing w:line="320" w:lineRule="exact"/>
              <w:rPr>
                <w:rFonts w:hAnsi="宋体" w:cs="宋体"/>
                <w:color w:val="auto"/>
                <w:sz w:val="21"/>
                <w:highlight w:val="none"/>
              </w:rPr>
            </w:pPr>
            <w:r>
              <w:rPr>
                <w:rFonts w:hint="eastAsia" w:hAnsi="宋体" w:cs="宋体"/>
                <w:color w:val="auto"/>
                <w:sz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它形式印章均不能代替公章。</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3.本竞争性磋商文件中描述供应商的“签字”是指供应商的法定代表人或委托代理人亲自在文件规定签署处亲笔写上个人的名字的行为，私章、签字章、印鉴、影印等其它形式均不能代替亲笔签字。</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4.自然人竞标的，竞争性磋商文件规定盖公章处由自然人摁手指指印。</w:t>
            </w:r>
          </w:p>
          <w:p>
            <w:pPr>
              <w:pStyle w:val="12"/>
              <w:snapToGrid w:val="0"/>
              <w:spacing w:line="320" w:lineRule="exact"/>
              <w:rPr>
                <w:rFonts w:hAnsi="宋体" w:cs="宋体"/>
                <w:color w:val="auto"/>
                <w:sz w:val="21"/>
                <w:highlight w:val="none"/>
              </w:rPr>
            </w:pPr>
            <w:r>
              <w:rPr>
                <w:rFonts w:hint="eastAsia" w:hAnsi="宋体" w:cs="宋体"/>
                <w:color w:val="auto"/>
                <w:sz w:val="21"/>
                <w:highlight w:val="none"/>
              </w:rPr>
              <w:t>5.本竞争性磋商文件所称的“以上”“以下”“以内”“届满”，包括本数；所称的“不满”“超过”“以外”，不包括本数。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spacing w:line="400" w:lineRule="exact"/>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1.适用范围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2.定义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2.2“采购代理机构”是指云之龙招标集团有限公司。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3.供应商的资格条件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4.竞标费用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供应商获取竞争性磋商文件、所有与编制和提交响应文件有关的费用（竞争性磋商文件有相关规定的除外），不论竞标结果如何，均应自行承担。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5.联合体竞标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5.1本项目不接受联合体竞标。</w:t>
      </w:r>
    </w:p>
    <w:p>
      <w:pPr>
        <w:spacing w:line="400" w:lineRule="exact"/>
        <w:ind w:left="418" w:leftChars="199"/>
        <w:rPr>
          <w:rFonts w:ascii="宋体" w:hAnsi="宋体" w:cs="宋体"/>
          <w:color w:val="auto"/>
          <w:szCs w:val="21"/>
          <w:highlight w:val="none"/>
        </w:rPr>
      </w:pPr>
      <w:r>
        <w:rPr>
          <w:rFonts w:hint="eastAsia" w:ascii="宋体" w:hAnsi="宋体" w:cs="宋体"/>
          <w:color w:val="auto"/>
          <w:szCs w:val="21"/>
          <w:highlight w:val="none"/>
        </w:rPr>
        <w:t xml:space="preserve">6.转包与分包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400" w:lineRule="exact"/>
        <w:ind w:left="418" w:leftChars="199"/>
        <w:rPr>
          <w:rFonts w:ascii="宋体" w:hAnsi="宋体" w:cs="宋体"/>
          <w:color w:val="auto"/>
          <w:szCs w:val="21"/>
          <w:highlight w:val="none"/>
        </w:rPr>
      </w:pPr>
      <w:bookmarkStart w:id="57" w:name="_Toc254970673"/>
      <w:bookmarkStart w:id="58" w:name="_Toc254970532"/>
      <w:r>
        <w:rPr>
          <w:rFonts w:hint="eastAsia" w:ascii="宋体" w:hAnsi="宋体" w:cs="宋体"/>
          <w:color w:val="auto"/>
          <w:szCs w:val="21"/>
          <w:highlight w:val="none"/>
        </w:rPr>
        <w:t>7.特别说明</w:t>
      </w:r>
      <w:bookmarkEnd w:id="57"/>
      <w:bookmarkEnd w:id="58"/>
    </w:p>
    <w:p>
      <w:pPr>
        <w:spacing w:line="400" w:lineRule="exact"/>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7.3供应商竞标所使用的资格、信誉、荣誉、业绩与企业认证必须为该供应商所拥有。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（4）不同供应商的响应文件异常一致或报价呈规律性差异；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7.8供应商有下列情形之一的，属于恶意串通行为：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（2）生产厂商授权给供应商后自己不得参加同一合同项下的政府采购活动；生产厂商对同一品牌同一型号的货物，仅能委托一个代理商参加竞标。</w:t>
      </w:r>
    </w:p>
    <w:p>
      <w:pPr>
        <w:spacing w:line="400" w:lineRule="exact"/>
        <w:ind w:left="1" w:firstLine="417" w:firstLineChars="199"/>
        <w:jc w:val="center"/>
        <w:rPr>
          <w:rFonts w:ascii="宋体" w:hAnsi="宋体" w:cs="宋体"/>
          <w:color w:val="auto"/>
          <w:highlight w:val="none"/>
        </w:rPr>
      </w:pPr>
      <w:bookmarkStart w:id="60" w:name="_Toc254970675"/>
      <w:bookmarkStart w:id="61" w:name="_Toc254970534"/>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二、竞争性磋商文件</w:t>
      </w:r>
      <w:bookmarkEnd w:id="60"/>
      <w:bookmarkEnd w:id="61"/>
    </w:p>
    <w:p>
      <w:pPr>
        <w:spacing w:line="400" w:lineRule="exact"/>
        <w:jc w:val="center"/>
        <w:rPr>
          <w:rFonts w:ascii="宋体" w:hAnsi="宋体" w:cs="宋体"/>
          <w:color w:val="auto"/>
          <w:szCs w:val="21"/>
          <w:highlight w:val="none"/>
        </w:rPr>
      </w:pP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8.竞争性磋商文件的构成</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9.供应商的询问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10.竞争性磋商文件的澄清和修改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400" w:lineRule="exact"/>
        <w:rPr>
          <w:rFonts w:ascii="宋体" w:hAnsi="宋体" w:cs="宋体"/>
          <w:color w:val="auto"/>
          <w:szCs w:val="21"/>
          <w:highlight w:val="none"/>
        </w:rPr>
      </w:pPr>
    </w:p>
    <w:p>
      <w:pPr>
        <w:spacing w:line="400" w:lineRule="exact"/>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pPr>
        <w:spacing w:line="400" w:lineRule="exact"/>
        <w:rPr>
          <w:rFonts w:ascii="宋体" w:hAnsi="宋体" w:cs="宋体"/>
          <w:color w:val="auto"/>
          <w:szCs w:val="21"/>
          <w:highlight w:val="none"/>
        </w:rPr>
      </w:pPr>
    </w:p>
    <w:p>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11.</w:t>
      </w:r>
      <w:r>
        <w:rPr>
          <w:rFonts w:hint="eastAsia" w:ascii="宋体" w:hAnsi="宋体" w:cs="宋体"/>
          <w:color w:val="auto"/>
          <w:highlight w:val="none"/>
        </w:rPr>
        <w:t>响应文件的编制原则</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供应商应当按照竞争性磋商文件的要求编制响应文件，并对其提交的响应文件的真实性、合法性承担法律责任。响应文件应当对竞争性磋商文件作出实质性响应。</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12.响应文件的组成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400" w:lineRule="exact"/>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400" w:lineRule="exact"/>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400" w:lineRule="exact"/>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13.计量单位</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14.竞标的风险</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15.竞标报价要求和构成</w:t>
      </w:r>
    </w:p>
    <w:p>
      <w:pPr>
        <w:tabs>
          <w:tab w:val="left" w:pos="2492"/>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15.1竞标报价应按竞争性磋商文件中“竞标报价表”格式填写。</w:t>
      </w:r>
    </w:p>
    <w:p>
      <w:pPr>
        <w:tabs>
          <w:tab w:val="left" w:pos="2492"/>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400" w:lineRule="exact"/>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（1）供应商应当就“采购需求”中所竞标的每个分标的全部内容分别作完整唯一总价报价，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（2）供应商应当就所竞标的分标的单项内容作唯一报价。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15.3.2竞标报价（包含首次报价、最后报价）超过所竞标分标规定的采购预算金额或者最高限价的（如本项目公布了最高限价），其响应文件将作无效处理。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62"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62"/>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16.竞标有效期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17.磋商保证金</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（2）采用支票、汇票或本票方式的，以转账方式退回到供应商银行账户或由供应商代表持相关授权证明材料至</w:t>
      </w:r>
      <w:r>
        <w:rPr>
          <w:rFonts w:hint="eastAsia" w:ascii="宋体" w:hAnsi="宋体" w:cs="宋体"/>
          <w:color w:val="auto"/>
          <w:highlight w:val="none"/>
        </w:rPr>
        <w:t>磋商保证金收取单位</w:t>
      </w:r>
      <w:r>
        <w:rPr>
          <w:rFonts w:hint="eastAsia" w:ascii="宋体" w:hAnsi="宋体" w:cs="宋体"/>
          <w:color w:val="auto"/>
          <w:szCs w:val="21"/>
          <w:highlight w:val="none"/>
        </w:rPr>
        <w:t xml:space="preserve">办理支票、汇票或本票原件退还手续。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szCs w:val="21"/>
          <w:highlight w:val="none"/>
        </w:rPr>
        <w:t>（3）采用银行、保险机构出具的保函方式的，由供应商代表持相关授权证明材料至</w:t>
      </w:r>
      <w:r>
        <w:rPr>
          <w:rFonts w:hint="eastAsia" w:ascii="宋体" w:hAnsi="宋体" w:cs="宋体"/>
          <w:color w:val="auto"/>
          <w:highlight w:val="none"/>
        </w:rPr>
        <w:t>磋商保证金收取单位</w:t>
      </w:r>
      <w:r>
        <w:rPr>
          <w:rFonts w:hint="eastAsia" w:ascii="宋体" w:hAnsi="宋体" w:cs="宋体"/>
          <w:color w:val="auto"/>
          <w:szCs w:val="21"/>
          <w:highlight w:val="none"/>
        </w:rPr>
        <w:t xml:space="preserve">办理保函原件退还手续。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（3）除因不可抗力或竞争性磋商文件认可的情形以外，成交供应商不与采购人签订合同的；</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（5）竞争性磋商文件规定的其他情形。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18.响应文件编制的要求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18.1供应商应按本竞争性磋商文件规定的格式和顺序编制、装订响应文件并标注页码，响应文件内容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其他情况导致的不利后果由供应商自行承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18.3响应文件的正本应打印或用不褪色的墨水填写，响应文件正本除本“供应商须知”中规定的可提供复印件外均须提供原件，副本可为正本签字、盖章后的复印件，当副本和正本不一致时，以正本为准。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18.4响应文件须由供应商在规定位置盖公章并由法定代表人或委托代理人签字，否则其响应文件按无效响应处理。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19.响应文件的密封和标记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19.1响应文件正、副本全部装入一个或多个包封袋/箱（响应文件的补充、修改可另行单独递交）中并加以密封，封口处必须加盖供应商公章或</w:t>
      </w:r>
      <w:r>
        <w:rPr>
          <w:rFonts w:hint="eastAsia" w:ascii="宋体" w:hAnsi="宋体" w:cs="宋体"/>
          <w:color w:val="auto"/>
          <w:highlight w:val="none"/>
        </w:rPr>
        <w:t>法定代表人签字</w:t>
      </w:r>
      <w:r>
        <w:rPr>
          <w:rFonts w:hint="eastAsia" w:ascii="宋体" w:hAnsi="宋体" w:cs="宋体"/>
          <w:color w:val="auto"/>
          <w:szCs w:val="21"/>
          <w:highlight w:val="none"/>
        </w:rPr>
        <w:t>或委托代理人签字，以示密封。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19.2响应文件外层包装封面上应标记“项目名称、项目编号、供应商名称、所竞分标、首次响应文件提交截止时间前不得启封”字样。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19.3未按上述规定密封的响应文件将被拒收。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20.响应文件的提交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20.3在首次响应文件提交截止时间后送达的或不符合本须知正文第19.3条的响应文件为无效文件，采购人或者采购代理机构应当拒收。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highlight w:val="none"/>
        </w:rPr>
        <w:t>首次</w:t>
      </w:r>
      <w:r>
        <w:rPr>
          <w:rFonts w:hint="eastAsia" w:ascii="宋体" w:hAnsi="宋体" w:cs="宋体"/>
          <w:color w:val="auto"/>
          <w:szCs w:val="21"/>
          <w:highlight w:val="none"/>
        </w:rPr>
        <w:t>响应文件的补充、修改与撤回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20" w:firstLineChars="200"/>
        <w:rPr>
          <w:rFonts w:ascii="宋体" w:hAnsi="宋体" w:cs="宋体"/>
          <w:color w:val="auto"/>
          <w:szCs w:val="21"/>
          <w:highlight w:val="none"/>
        </w:rPr>
      </w:pPr>
      <w:bookmarkStart w:id="63" w:name="_Hlk45702405"/>
      <w:r>
        <w:rPr>
          <w:rFonts w:hint="eastAsia" w:ascii="宋体" w:hAnsi="宋体" w:cs="宋体"/>
          <w:color w:val="auto"/>
          <w:szCs w:val="21"/>
          <w:highlight w:val="none"/>
        </w:rPr>
        <w:t>22.在首次响应文件提交截止时间止提交响应文件的供应商不足3家时，应当由供应商签字领回响应文件，除此之外采购人和采购代理机构对已提交的响应文件概不退回。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23.供应商在首次响应文件提交截止时间后向采购人、采购代理机构书面申请撤回响应文件的，将根据本须知正文17.4的规定不予退还其磋商保证金。</w:t>
      </w:r>
    </w:p>
    <w:bookmarkEnd w:id="63"/>
    <w:p>
      <w:pPr>
        <w:spacing w:line="400" w:lineRule="exact"/>
        <w:rPr>
          <w:rFonts w:ascii="宋体" w:hAnsi="宋体" w:cs="宋体"/>
          <w:color w:val="auto"/>
          <w:szCs w:val="21"/>
          <w:highlight w:val="none"/>
        </w:rPr>
      </w:pPr>
    </w:p>
    <w:p>
      <w:pPr>
        <w:spacing w:line="400" w:lineRule="exact"/>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400" w:lineRule="exact"/>
        <w:ind w:left="420" w:firstLine="42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24.磋商小组成立及响应文件的开启</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24.3响应文件的开启：具体详见“供应商须知前附表”。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25.响应文件评审程序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25.1资格审查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25.1.1响应文件开启后，由磋商小组依法对供应商的资格证明文件进行审查，详见第四章“评审程序、评审方法和评审标准”第4条“资格审查”，其中信用查询详见“供应商须知前附表”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25.1.2通过资格审查的合格供应商不足3家的，不得进入符合性审查环节，</w:t>
      </w:r>
      <w:bookmarkStart w:id="64" w:name="_Hlk42528660"/>
      <w:r>
        <w:rPr>
          <w:rFonts w:hint="eastAsia" w:ascii="宋体" w:hAnsi="宋体" w:cs="宋体"/>
          <w:color w:val="auto"/>
          <w:szCs w:val="21"/>
          <w:highlight w:val="none"/>
        </w:rPr>
        <w:t>采购人或采购代理机构应当重新开展采购活动。</w:t>
      </w:r>
    </w:p>
    <w:bookmarkEnd w:id="64"/>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25.2符合性审查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25.2.1由磋商小组通过资格审查的合格供应商的响应文件的竞标报价、商务、技术等实质性要求进行符合性审查，以确定其是否满足竞争性磋商文件的实质性要求。详见第四章“评审程序、评审方法和评审标准”第5条“符合性审查”，其中商务条款评审和技术需求评审中允许负偏离的条款数详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25.2.4首次响应文件中报价出现前后不一致的，按照下列规定修正：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25.2.6通过符合性审查的合格供应商不足3家的，不得进入磋商环节，采购人或采购代理机构应当重新开展采购活动。</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供应商应当在采购人或采购代理机构发出磋商通知后30分钟内到达磋商地点，否则视同放弃参加磋商权利，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26.3对竞争性磋商文件作出的实质性变动是竞争性磋商文件的有效组成部分，由磋商小组及时以书面形式同时通知所有参加磋商的供应商。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26.6采购代理机构对磋商过程和重要磋商内容进行记录，磋商双方应在记录上签字确认。</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26.7磋商过程中重新提交的响应文件，供应商可以在开启前补充、修改。</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26.9对磋商过程提交的响应文件进行有效性、完整性和响应程度审查，通过审查的合格供应商不足3家的，除本须知正文第26.8条的情形外，采购人或采购代理机构应当重新开展采购活动。</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27.最后报价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 竞争性磋商文件能够详细列明采购标的的技术、服务要求的，磋商结束后，由磋商小组要求所有继续参加磋商的供应商在规定时间内密封提交最后报价，提交最后报价的供应商不得少于3家。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最后报价是供应商响应文件的有效组成部分。符合《政府采购竞争性磋商采购方式管理暂行办法》（财库〔2014〕214号）第三条第四项“市场竞争不充分的科研项目，以及需要扶持的科技成果转化项目”和本须知正文第26.8条情形的，提交最后报价的供应商可以为2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 已经提交响应文件的供应商，在提交最后报价之前，可以根据磋商情况退出磋商，退出磋商的供应商的响应文件按无效响应处理。采购人、采购代理机构将退还退出磋商的供应商的保证金。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27.4供应商未在规定时间内提交最后报价的，视同退出磋商。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27.5磋商小组收齐某一分标最后报价后统一开启。</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27.6响应文件最后报价出现前后不一致的，按照本正文第25.2.4条的规定修正。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27.7修正后的报价出现下列情形的，按无效响应处理：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27.8经供应商确认修正后的最后报价作为评审及签订合同的依据。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27.9最后报价结束后，磋商小组不得再与供应商进行任何形式的商谈。</w:t>
      </w:r>
    </w:p>
    <w:p>
      <w:pPr>
        <w:pStyle w:val="4"/>
        <w:spacing w:before="0" w:after="0" w:line="400" w:lineRule="exact"/>
        <w:ind w:firstLine="411" w:firstLineChars="196"/>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28.比较与评价</w:t>
      </w:r>
    </w:p>
    <w:p>
      <w:pPr>
        <w:pStyle w:val="5"/>
        <w:spacing w:line="400" w:lineRule="exact"/>
        <w:rPr>
          <w:rFonts w:ascii="宋体" w:hAnsi="宋体" w:cs="宋体"/>
          <w:color w:val="auto"/>
          <w:highlight w:val="none"/>
        </w:rPr>
      </w:pPr>
      <w:r>
        <w:rPr>
          <w:rFonts w:hint="eastAsia" w:ascii="宋体" w:hAnsi="宋体" w:cs="宋体"/>
          <w:color w:val="auto"/>
          <w:kern w:val="0"/>
          <w:szCs w:val="21"/>
          <w:highlight w:val="none"/>
        </w:rPr>
        <w:t>28.1</w:t>
      </w:r>
      <w:r>
        <w:rPr>
          <w:rFonts w:hint="eastAsia" w:ascii="宋体" w:hAnsi="宋体" w:cs="宋体"/>
          <w:color w:val="auto"/>
          <w:highlight w:val="none"/>
        </w:rPr>
        <w:t>评审方法：综合评分法。</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28.2经磋商确定最终采购需求和提交最后报价的供应商后，由磋商小组采用综合评分法对提交最后报价的供应商的响应文件和最后报价进行综合评分。详见第四章“评审程序、评审方法和评审标准”。</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28.3评审时，磋商小组各成员应当独立对每个有效的响应文件进行评价、打分，然后汇总每个供应商每项评分因素的得分。</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（1）磋商小组按照竞争性磋商文件中规定的评审标准计算各供应商的报价得分。项目评审过程中，不得去掉最后报价中的最高报价和最低报价。</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（2）各供应商的得分为磋商小组所有成员的有效评分的算术平均数。</w:t>
      </w:r>
    </w:p>
    <w:p>
      <w:pPr>
        <w:pStyle w:val="5"/>
        <w:spacing w:line="400" w:lineRule="exact"/>
        <w:ind w:firstLineChars="200"/>
        <w:rPr>
          <w:rFonts w:ascii="宋体" w:hAnsi="宋体" w:cs="宋体"/>
          <w:color w:val="auto"/>
          <w:kern w:val="0"/>
          <w:szCs w:val="21"/>
          <w:highlight w:val="none"/>
        </w:rPr>
      </w:pPr>
      <w:r>
        <w:rPr>
          <w:rFonts w:hint="eastAsia" w:ascii="宋体" w:hAnsi="宋体" w:cs="宋体"/>
          <w:color w:val="auto"/>
          <w:kern w:val="0"/>
          <w:szCs w:val="21"/>
          <w:highlight w:val="none"/>
        </w:rPr>
        <w:t>28.4由磋商小组根据综合评分情况，按照评审得分由高到低顺序推荐3名以上成交候选供应商，并编写评审报告。符合本须知正文第27.2条情形的，可以推荐2家成交候选供应商。评审得分相同的，按照最后报价由低到高的顺序推荐。评审得分且最后报价相同的，按照技术指标优劣顺序推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28.5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29.确定成交供应商及结果公告</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spacing w:line="400" w:lineRule="exact"/>
        <w:ind w:firstLine="420" w:firstLineChars="200"/>
        <w:rPr>
          <w:rFonts w:ascii="宋体" w:hAnsi="宋体" w:cs="宋体"/>
          <w:b/>
          <w:color w:val="auto"/>
          <w:highlight w:val="none"/>
        </w:rPr>
      </w:pPr>
      <w:r>
        <w:rPr>
          <w:rFonts w:hint="eastAsia" w:ascii="宋体" w:hAnsi="宋体" w:cs="宋体"/>
          <w:color w:val="auto"/>
          <w:szCs w:val="21"/>
          <w:highlight w:val="none"/>
        </w:rPr>
        <w:t>29.3</w:t>
      </w:r>
      <w:r>
        <w:rPr>
          <w:rFonts w:hint="eastAsia" w:ascii="宋体" w:hAnsi="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30.履约保证金：无。</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31.签订合同</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31.1成交供应商在收到成交通知书后，应当在签订合同时向采购人出示相关证明材料，具体内容详见 “供应商须知前附表”，经采购人核验合格后方可签订合同。</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31.2 签订合同时间：自成交通知书发出之日起7个工作日内。</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31.3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32.政府采购合同公告</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33.适用法律</w:t>
      </w:r>
    </w:p>
    <w:p>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34.其它内容</w:t>
      </w:r>
    </w:p>
    <w:p>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34.1代理服务收费标准及缴费账户详见“供应商须知前附表”。</w:t>
      </w:r>
    </w:p>
    <w:p>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34.2代理服务费收费计算标准：详见“供应商须知前附表”。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 询问、质疑和投诉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35.1供应商对政府采购活动事项有疑问的，可以向采购人、采购代理机构提出询问，采购人或者采购代理机构应当在3个工作日内对供应商依法提出的询问作出答复。</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35.2供应商认为竞争性磋商文件、采购过程或成交结果使自己的合法权益受到损害的，应当在知道或者应知其权益受到损害之日起七个工作日内，以书面形式向采购人、采购代理机构提出质疑，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（1）对可以质疑的竞争性磋商文件提出质疑的，为收到竞争性磋商文件之日或竞争性磋商公告期限届满之日；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35.5采购人、采购代理机构认为供应商质疑不成立，或者成立但未对成交结果构成影响的，继续开展采购活动；认为供应商质疑成立且影响或者可能影响成交结果的，按照下列情况处理：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（1）对竞争性磋商文件提出的质疑，依法通过澄清或者修改可以继续开展采购活动的，澄清或者修改竞争性磋商文件后继续开展采购活动；否则应当在修改竞争性磋商文件后重新开展采购活动。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（2）对采购过程、成交结果提出的质疑，合格供应商符合法定数量时，可以从合格的成交候选人中另行确定成交供应商的，应当依法另行确定成交供应商；否则应当重新开展采购活动。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pStyle w:val="12"/>
        <w:snapToGrid w:val="0"/>
        <w:rPr>
          <w:rFonts w:hAnsi="宋体" w:cs="宋体"/>
          <w:color w:val="auto"/>
          <w:highlight w:val="none"/>
        </w:rPr>
      </w:pPr>
      <w:r>
        <w:rPr>
          <w:rFonts w:hint="eastAsia" w:hAnsi="宋体" w:cs="宋体"/>
          <w:b/>
          <w:color w:val="auto"/>
          <w:highlight w:val="none"/>
        </w:rPr>
        <w:br w:type="page"/>
      </w:r>
      <w:r>
        <w:rPr>
          <w:rFonts w:hint="eastAsia" w:hAnsi="宋体" w:cs="宋体"/>
          <w:bCs/>
          <w:color w:val="auto"/>
          <w:sz w:val="32"/>
          <w:szCs w:val="32"/>
          <w:highlight w:val="none"/>
        </w:rPr>
        <w:t>附件1：</w:t>
      </w:r>
    </w:p>
    <w:p>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ascii="宋体" w:hAnsi="宋体" w:cs="宋体"/>
          <w:color w:val="auto"/>
          <w:kern w:val="0"/>
          <w:sz w:val="32"/>
          <w:szCs w:val="32"/>
          <w:highlight w:val="none"/>
        </w:rPr>
      </w:pP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21"/>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成交供应商负责人签字或盖章：</w:t>
            </w:r>
          </w:p>
          <w:p>
            <w:pPr>
              <w:widowControl/>
              <w:spacing w:before="100" w:beforeAutospacing="1" w:after="100" w:afterAutospacing="1" w:line="320" w:lineRule="atLeast"/>
              <w:jc w:val="left"/>
              <w:rPr>
                <w:rFonts w:ascii="宋体" w:hAnsi="宋体" w:cs="宋体"/>
                <w:color w:val="auto"/>
                <w:kern w:val="0"/>
                <w:szCs w:val="21"/>
                <w:highlight w:val="none"/>
              </w:rPr>
            </w:pP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9"/>
        <w:ind w:left="1" w:firstLine="2" w:firstLineChars="1"/>
        <w:rPr>
          <w:rFonts w:ascii="宋体" w:hAnsi="宋体" w:cs="宋体"/>
          <w:b/>
          <w:color w:val="auto"/>
          <w:sz w:val="32"/>
          <w:szCs w:val="32"/>
          <w:highlight w:val="none"/>
        </w:rPr>
      </w:pPr>
      <w:r>
        <w:rPr>
          <w:rFonts w:hint="eastAsia" w:hAnsi="宋体" w:cs="宋体"/>
          <w:color w:val="auto"/>
          <w:highlight w:val="none"/>
        </w:rPr>
        <w:br w:type="page"/>
      </w:r>
    </w:p>
    <w:p>
      <w:pPr>
        <w:pStyle w:val="2"/>
        <w:numPr>
          <w:ilvl w:val="0"/>
          <w:numId w:val="1"/>
        </w:numPr>
        <w:jc w:val="center"/>
        <w:rPr>
          <w:rFonts w:ascii="宋体" w:hAnsi="宋体" w:cs="宋体"/>
          <w:color w:val="auto"/>
          <w:highlight w:val="none"/>
        </w:rPr>
      </w:pPr>
      <w:bookmarkStart w:id="65" w:name="_Toc44229895"/>
      <w:r>
        <w:rPr>
          <w:rFonts w:hint="eastAsia" w:ascii="宋体" w:hAnsi="宋体" w:cs="宋体"/>
          <w:color w:val="auto"/>
          <w:highlight w:val="none"/>
        </w:rPr>
        <w:t>服务需求</w:t>
      </w:r>
      <w:bookmarkEnd w:id="65"/>
    </w:p>
    <w:p>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A分标</w:t>
      </w:r>
    </w:p>
    <w:tbl>
      <w:tblPr>
        <w:tblStyle w:val="21"/>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02"/>
        <w:gridCol w:w="191"/>
        <w:gridCol w:w="567"/>
        <w:gridCol w:w="708"/>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5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bookmarkStart w:id="66" w:name="_Toc44229896"/>
            <w:r>
              <w:rPr>
                <w:rFonts w:hint="eastAsia" w:ascii="宋体" w:hAnsi="宋体" w:cs="宋体"/>
                <w:b/>
                <w:color w:val="auto"/>
                <w:szCs w:val="21"/>
                <w:highlight w:val="none"/>
              </w:rPr>
              <w:t>一、项目需求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ind w:firstLine="103" w:firstLineChars="49"/>
              <w:rPr>
                <w:rFonts w:ascii="宋体" w:hAnsi="宋体" w:cs="宋体"/>
                <w:b/>
                <w:color w:val="auto"/>
                <w:szCs w:val="21"/>
                <w:highlight w:val="none"/>
              </w:rPr>
            </w:pPr>
            <w:r>
              <w:rPr>
                <w:rFonts w:hint="eastAsia" w:ascii="宋体" w:hAnsi="宋体" w:cs="宋体"/>
                <w:b/>
                <w:color w:val="auto"/>
                <w:szCs w:val="21"/>
                <w:highlight w:val="none"/>
              </w:rPr>
              <w:t>序号</w:t>
            </w:r>
          </w:p>
        </w:tc>
        <w:tc>
          <w:tcPr>
            <w:tcW w:w="14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数量</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单位</w:t>
            </w:r>
          </w:p>
        </w:tc>
        <w:tc>
          <w:tcPr>
            <w:tcW w:w="6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ind w:firstLine="102" w:firstLineChars="49"/>
              <w:rPr>
                <w:rFonts w:ascii="宋体" w:hAnsi="宋体" w:cs="宋体"/>
                <w:color w:val="auto"/>
                <w:szCs w:val="21"/>
                <w:highlight w:val="none"/>
              </w:rPr>
            </w:pPr>
            <w:r>
              <w:rPr>
                <w:rFonts w:hint="eastAsia" w:ascii="宋体" w:hAnsi="宋体" w:cs="宋体"/>
                <w:color w:val="auto"/>
                <w:szCs w:val="21"/>
                <w:highlight w:val="none"/>
              </w:rPr>
              <w:t>1</w:t>
            </w:r>
          </w:p>
        </w:tc>
        <w:tc>
          <w:tcPr>
            <w:tcW w:w="14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平南县医疗收费电子票据信息管理系统系统</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492"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color w:val="auto"/>
                <w:szCs w:val="21"/>
                <w:highlight w:val="none"/>
              </w:rPr>
            </w:pPr>
            <w:r>
              <w:rPr>
                <w:rFonts w:hint="eastAsia" w:ascii="宋体" w:hAnsi="宋体" w:cs="宋体"/>
                <w:b/>
                <w:color w:val="auto"/>
                <w:szCs w:val="21"/>
                <w:highlight w:val="none"/>
              </w:rPr>
              <w:t>一、总体需求：</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满足财政电子票据改革需求,严格遵循财政部关于财政电子票据管理改革的标准规范和业务要求，实现与平南县基层医疗机构业务系统对接，完成财政电子票据从赋码、开具、传送、查验、入账、归档一站式管理，同时满足广西财政厅关于财政电子票据管理的需求，并实现与“广西财政票据电子化管理系统”的</w:t>
            </w:r>
            <w:r>
              <w:rPr>
                <w:rFonts w:hint="eastAsia" w:ascii="宋体" w:hAnsi="宋体" w:cs="宋体"/>
                <w:color w:val="auto"/>
                <w:szCs w:val="21"/>
                <w:highlight w:val="none"/>
                <w:lang w:eastAsia="zh-CN"/>
              </w:rPr>
              <w:t>互联互通</w:t>
            </w:r>
            <w:r>
              <w:rPr>
                <w:rFonts w:hint="eastAsia" w:ascii="宋体" w:hAnsi="宋体" w:cs="宋体"/>
                <w:color w:val="auto"/>
                <w:szCs w:val="21"/>
                <w:highlight w:val="none"/>
              </w:rPr>
              <w:t>。</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实现平南县基层医疗机构业务系统收费结算信息即时生成电子票据传输，解决基层医疗机构现有缴费取票繁杂、票据管理流程复杂及核销工作量大等问题，提升基层医疗机构对外服务水平，提高财务人员办公效率。</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建设的医疗收费电子票据信息管理系统与平南县基层医疗机构现有的业务系统信息化系统集成对接，满足高度的业务协同和数据共享：与平南县基层医疗机构业务系统无缝衔接，建设的财政医疗电子票据管理平台提供标准数据交换接口，支持与基层医疗机构其他信息系统的应用集成。</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建设的医疗收费电子票据信息管理系统一方面满足基层医疗机构接口接入需求（卫生院、卫生所、社区服务站），另一方面满足一些无业务系统基层医疗机构在线登陆系统开票需求。</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建设的医疗收费电子票据信息管理系统数据大集中的同时有满足基层医疗机构归属地管理原则，基层医疗机构的票据申领、核销、销毁、票据印制等归属平南县财政部门管理。</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建设的医疗收费电子票据信息管理系统支持对接邮箱、短信、公众号、小程序等多种通知渠道。全方位满足各类基层医疗机构财政电子票据交付需求。</w:t>
            </w:r>
          </w:p>
          <w:p>
            <w:pPr>
              <w:numPr>
                <w:ilvl w:val="0"/>
                <w:numId w:val="2"/>
              </w:numPr>
              <w:spacing w:line="276" w:lineRule="auto"/>
              <w:rPr>
                <w:rFonts w:ascii="宋体" w:hAnsi="宋体" w:cs="宋体"/>
                <w:color w:val="auto"/>
                <w:szCs w:val="21"/>
                <w:highlight w:val="none"/>
              </w:rPr>
            </w:pPr>
            <w:r>
              <w:rPr>
                <w:rFonts w:hint="eastAsia" w:ascii="宋体" w:hAnsi="宋体" w:cs="宋体"/>
                <w:color w:val="auto"/>
                <w:szCs w:val="21"/>
                <w:highlight w:val="none"/>
              </w:rPr>
              <w:t>系统采用集中部署，能将基层医疗机构信息化管理系统一站式接入，满足采购人对各基层医疗机构的监管，通过各个医疗机构数据大集中为采购人提供数据分析、对比、筛选、统计分析和决策等大数据分析利用。从而从源头上提升采购人对各医疗机构的监督检查。同时各医疗机构社会化职能得到最大化运转。</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二、功能需求：</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（一）医疗机构门诊住院业务需求</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患者持社保卡、就诊卡在基层医疗机构门诊或者住院部完成缴费后，医疗收费电子票据信息管理系统能够接收基层医疗机构HIS业务系统相关缴费结算信息，实时开具财政电子票据，通过患者对应的缴款渠道医疗收费电子票据信息管理系统通知患者接收、查看财政电子票据信息。</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患者接收到财政电子票据信息后，如果有需要可以自行前往基层医疗机构窗口或自助机自行打印财政电子票据板式文件，医疗收费电子票据信息管理系统需支持在线打印和接口对接打印。</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患者进行退费业务操作时，医疗收费电子票据信息管理系统接收HIS业务系统退费结算请求，并返回给HIS业务系统告知患者。</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门诊、住院部进行日终结算时，医疗收费电子票据信息管理系统能够实现与采购人所辖各基层医疗机构HIS系统业务数据进行核对，保证数据准确无误，支持人工、系统自动逐笔或批量对账，排查纠错。同时针对异常数据问题医疗收费电子票据信息管理系统应提供相应处理机制，方便问题及时解决。</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根据各基层医疗结构业务特征，采购人医疗收费电子票据信息管理系统须有应急机制，针对因突发网络故障等不确定因素导致HIS系统确定收款成功，但电子票据生成指令发送不成功，无法及时生成电子票据等情况，提供应急开票系统，保证开票业务不中断，同时不受广西壮族自治区财政厅财政票据电子化管理系统影响或影响降至最低。</w:t>
            </w:r>
          </w:p>
          <w:p>
            <w:pPr>
              <w:numPr>
                <w:ilvl w:val="0"/>
                <w:numId w:val="3"/>
              </w:numPr>
              <w:spacing w:line="276" w:lineRule="auto"/>
              <w:rPr>
                <w:rFonts w:ascii="宋体" w:hAnsi="宋体" w:cs="宋体"/>
                <w:color w:val="auto"/>
                <w:szCs w:val="21"/>
                <w:highlight w:val="none"/>
              </w:rPr>
            </w:pPr>
            <w:r>
              <w:rPr>
                <w:rFonts w:hint="eastAsia" w:ascii="宋体" w:hAnsi="宋体" w:cs="宋体"/>
                <w:color w:val="auto"/>
                <w:szCs w:val="21"/>
                <w:highlight w:val="none"/>
              </w:rPr>
              <w:t>根据财政部、卫健委、医保局财综【2019】29号文的文件要求，医疗收费电子票据信息管理系统需具有最新全国统一财政医疗电子票据相关规范、票据样式、电子清单明细。</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（二）医疗机构预交金管理</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1.  患者通过窗口、支付宝、微信、基层医疗机构APP等渠道办理入院手续，缴存预交金；业务办理人员每收到一笔预交金，通过HIS业务系统向医疗收费电子票据信息管理系统请求生成预交金电子凭证；</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2.  医疗收费电子票据信息管理系统开具预交金凭证，并把该笔预交金缴存明细登记到预交金台账；</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3.  预交金凭证开具成功，返回预交金凭证信息HIS系统，可通过告知渠道通知患者,如：短信、微信/支付宝、基层医疗机构APP、收款凭条等方式。</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4.  医疗收费电子票据信息管理系统定时将预交金凭证信息（缴存记录明细）、预交金电子票据推送给取票小程序；</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5.  患者可通过取票小程序查询到预交金电子凭证、预交金缴存记录明细数据。</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6.  除通过HIS业务系统传输生成预交金电子凭证外，还支持通过医疗收费电子票据信息管理系统在线开具预交金电子凭证。</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（三） 基层医疗机构财务管理</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申领、分发、申退：基层医疗机构业务人员通过医疗收费电子票据信息管理系统向平南县财政票据管理部门发起用票申请，财政票据部门审批后出库，业务人员进行入库确认，按照需要将电子票据分发收费窗口和自助开票点，同时支持收费窗口和自助机票号回退。</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开票点管理：基层医疗机构可自行设置多个开票点，每个开票点可以自定义设置收费项目，可以自定义设置票据种类，可设置单位内不同开票点开具的票据中开票单位名称和电子签章可为不相同。</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资金往来、捐赠、非税收入等其他财政电子票据在线开具：医疗收费电子票据信息管理系统须支持资金往来、捐赠、非税收入等其他财政电子票据在线开具，包括单笔录入与批量导入。</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财政电子票据换开、冲红、作废：当基层医疗机构发生退费业务或操作失误时，需要对已开具的财政电子票据进行冲红或换开的纸质财政票据进行作废。医疗收费电子票据信息管理系统须支持财政电子票据换开、冲红、作废等业业务操作，包含单笔或批量操作。</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纸质财政票据管理：考虑到基层医疗机构目前实际情况，采购人医疗收费电子票据信息管理系统应提供纸质财政票据相关管理功能，主要包含纸质票据申领、入库、分发、申退和作废等功能。</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财政票据核销：按照广西壮族自治区财政票据管理中心管理要求及各级财政票据管理中心要求， 开票单位需及时将超过核销周期的已开具的旧票进行核销，才能领取新票保证业务延续。医疗收费电子票据信息管理系统须提供数据上报核销功能，即包含电子票也含纸质票，方便医疗机构及时进行数据核销，核销过程中确保业务数据准确无误。</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财政票据销毁：按照财政部文件要求，纸质财政票据保管期限最低为5年、财政电子票据最低为30年，基层医疗机构需要对已经超过保管期限的财政票据进行销毁，提高资源使用效率。医疗收费电子票据信息管理系统须提供票据销毁功能，方便业务人员及时销毁已经过保管期限的财政票据。</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纸质票据印制计划申报：按照广西壮族自治区财政票据管理中心要求和各级财政票据管理中心要求，纸质财政票据印制需要通过系统进行印制计划上报，方便汇总全区财政票据印制计划，有计划的安排印制。医疗收费电子票据信息管理系统须提供财政票据印制计划填写上报，方便基层医疗机构在过渡时期及时将本年计划用票情况上报。</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记账：通过基层医疗机构业务系统接口实现电子票据入账。入账后通过医疗收费电子票据信息管理系统接口向广西壮族自治区财政电子票据公共服务平台进行入账反馈。支持电子票据汇总单记账：基层医疗机构财务人员通过医疗收费电子票据信息管理系统定时或手动生成电子票据汇总单。</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对账管理：由医疗机构HIS业务系统提供收费结算数据与医疗收费电子票据信息管理系统的开票数据信息进行对账，其中对账方式可分为系统之间自动对账和手动打印汇总单对账。</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相关业务数据统计报表查询，医疗收费电子票据信息管理系统应提供基本的统计报表，包含包括库存结余表、票据领发情况、票据作废情况、票据领用存情况、单位领入情况表、票据分发情况表、开票明细表、开票汇总表、单位收费情况表、收费员汇总表、缴款渠道汇总表、住院处日报明细表等，同时支持按照基层医疗机构业务人员需要增加相关报表。</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基础信息维护及管理等功能，采购人医疗收费电子票据信息管理系统应提供此功能，方便基层医疗机构业务管理人员维护系统信息，包含开票点、用户、票据种类、收费项目等基础信息增加删除或变动操作。</w:t>
            </w:r>
          </w:p>
          <w:p>
            <w:pPr>
              <w:numPr>
                <w:ilvl w:val="0"/>
                <w:numId w:val="4"/>
              </w:numPr>
              <w:spacing w:line="276" w:lineRule="auto"/>
              <w:rPr>
                <w:rFonts w:ascii="宋体" w:hAnsi="宋体" w:cs="宋体"/>
                <w:color w:val="auto"/>
                <w:szCs w:val="21"/>
                <w:highlight w:val="none"/>
              </w:rPr>
            </w:pPr>
            <w:r>
              <w:rPr>
                <w:rFonts w:hint="eastAsia" w:ascii="宋体" w:hAnsi="宋体" w:cs="宋体"/>
                <w:color w:val="auto"/>
                <w:szCs w:val="21"/>
                <w:highlight w:val="none"/>
              </w:rPr>
              <w:t>日志跟踪查询功能，采购人医疗收费电子票据信息管理系统应提供对应日志操作记录，方面异常问题排查和解决。</w:t>
            </w:r>
          </w:p>
          <w:p>
            <w:pPr>
              <w:pStyle w:val="12"/>
              <w:numPr>
                <w:ilvl w:val="0"/>
                <w:numId w:val="4"/>
              </w:numPr>
              <w:spacing w:line="276" w:lineRule="auto"/>
              <w:rPr>
                <w:rFonts w:hAnsi="宋体" w:cs="宋体"/>
                <w:color w:val="auto"/>
                <w:kern w:val="2"/>
                <w:sz w:val="21"/>
                <w:highlight w:val="none"/>
              </w:rPr>
            </w:pPr>
            <w:r>
              <w:rPr>
                <w:rFonts w:hint="eastAsia" w:hAnsi="宋体" w:cs="宋体"/>
                <w:color w:val="auto"/>
                <w:kern w:val="2"/>
                <w:sz w:val="21"/>
                <w:highlight w:val="none"/>
              </w:rPr>
              <w:t>参数设置：（1）基础参数设置，各基层医疗机构可自定义设置对应的业务流程单据是否启用审核流程，可设置审核流程的单据包括（不限于）期初库存、票据下发、库存作废、手工开票、退票申请等；可自定义设置库存预警设置，库存预警池设置包括票据类型、预警数量；可自定义设置电子票据清单显示设置，电子票据清单设置应包括票据类型、票据代码、限定数量；可自定义设置预警时间设置，包括审验到期预警天数、汇缴到期预警天数。（2）产品参数设置，医疗收费电子票据信息管理系统可做到界面可视化各类参数设置，其中包括（但不限于）电子票打印次数限制、是否启用电子票换开纸质票年度限制、是否启用电子票换开专用机打票、是否限制电子票汇缴后不能做后续业务、是否限制电子票入账后续业务、是否限制项目标准编码不能为空、首页库存预警提示阀值、医保类型值设置、清单明细是否返回、是否开启医保总金额等于票面总金额判断、机打票是否打印清单、是否开启预交金功能、预交金二维码显示规则、预交金退费项描述、预交金退费凭证备注添加凭证代码、票据自动下发（包括开票点票据手动或自动发放方式、开票点单笔下发数额）等。</w:t>
            </w:r>
          </w:p>
          <w:p>
            <w:pPr>
              <w:pStyle w:val="12"/>
              <w:numPr>
                <w:ilvl w:val="0"/>
                <w:numId w:val="4"/>
              </w:numPr>
              <w:spacing w:line="276" w:lineRule="auto"/>
              <w:rPr>
                <w:rFonts w:hAnsi="宋体" w:cs="宋体"/>
                <w:color w:val="auto"/>
                <w:kern w:val="2"/>
                <w:sz w:val="21"/>
                <w:highlight w:val="none"/>
              </w:rPr>
            </w:pPr>
            <w:r>
              <w:rPr>
                <w:rFonts w:hint="eastAsia" w:hAnsi="宋体" w:cs="宋体"/>
                <w:color w:val="auto"/>
                <w:kern w:val="2"/>
                <w:sz w:val="21"/>
                <w:highlight w:val="none"/>
              </w:rPr>
              <w:t>任务调度管理：采购人医疗收费电子票据信息管理系统必须提供可视化界面的任务调度管理，（1）运行报表，应能体现任务数量、调度次数等调度报表可视化内容；（2）调度日志，以列表方式展现出每个任务执行情况，包括任务的执行处理器、执行器触发时间、执行结果等；（3）任务管理，可自定义新增执行器，包括独立部署基础资料同步、库存预警、医疗日结、同步（开票数据下载）、待办事项刷新、预交金日结、预交金月结、批量上传任务等作业处理器，且包括任务的路由策略、阻塞处理策略、失败处理策略、任务描述等关键指标处理。</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（四）数据分析需求</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医疗服务分析：分析基层医疗机构的就诊情况（门诊、住院、体检），根据此数据分析可以优化配置各基层医疗机构资源（如长期超过该基层医疗机构最大的接诊量，则可考虑增加医疗人员扩建医疗场所等），提升医疗质量管理。同时对门急诊人次、住院人次、体检人次增减率的情况进行监控，在异常增减率出现时及时预警，便于上级主管部门及时向基层医疗机构了解增减率异常的原因。</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用药管理：为加强基层医疗机构药事管理工作，促进临床合理用药，保障人民群众用药的安全性、经济性、有效性、避免和减少药物不良反应，全面提高医疗质量，根据《处方管理办法》、《抗菌药物临床应用指导原则》、《医疗机构药事管理暂行规定》等法律法规，结合基层医疗机构的实际情况，制定临床合理用药管理制度。医疗机构用药监控目标：药比不能超过38.5%，住院患者抗菌药物使用不超过60%。</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医疗机构收入情况分析：基层医疗机构业务收入是反映基层医疗机构运营的经济效益、管理水平高低的重要指标之一，它不仅体现了医护人员、行政管理、后勤人员劳动的经济成果，也体现了基层医疗机构在当今医疗市场激烈竞争中的地位。通过统计分析所管辖医疗机构收入情况包括门急诊收入、住院收入、体检收入以及收入增长率及收入构成，有利于上级主管部门及时了解基层医疗机构的收入情况，对基层医疗机构决算和财务收支情况进行审计监督，有利于对基层医疗机构财务管理工作，指导基层医疗机构的内部审计工作，提高基层医疗机构经营管理水平服。</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医疗负担：通过收集各基层医疗机构门急诊、住院费用数据，分析门诊及住院患者均次费用及变化趋势。并对均次费用中药品费占比、卫生材料费占比、检查费占比等情况的分析，了解医疗负担中各项目的占比情况。根据结果引导患者合理流向，严控过度消费，降低费用负担水平，实现医疗费用负担与增长更趋均衡合理。同时可为政府加大医疗保障力度，加大政府投入,提高对经济困难人群的医疗补助,减轻医疗负担，作为参考依据。</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医疗保障：统计门急诊、住院患者医疗保障总费用情况。包括医保患者就诊人次、医保患者费用情况，有助于了解基本医疗保障水平的现状。对政府增加卫生医疗保障措施，完善医疗保障制度。</w:t>
            </w:r>
          </w:p>
          <w:p>
            <w:pPr>
              <w:numPr>
                <w:ilvl w:val="0"/>
                <w:numId w:val="5"/>
              </w:numPr>
              <w:spacing w:line="276" w:lineRule="auto"/>
              <w:rPr>
                <w:rFonts w:ascii="宋体" w:hAnsi="宋体" w:cs="宋体"/>
                <w:color w:val="auto"/>
                <w:szCs w:val="21"/>
                <w:highlight w:val="none"/>
              </w:rPr>
            </w:pPr>
            <w:r>
              <w:rPr>
                <w:rFonts w:hint="eastAsia" w:ascii="宋体" w:hAnsi="宋体" w:cs="宋体"/>
                <w:color w:val="auto"/>
                <w:szCs w:val="21"/>
                <w:highlight w:val="none"/>
              </w:rPr>
              <w:t>监督分析和统计查询：深入挖掘基层医疗机构现有医疗信息资源的数据价值，在数据信息一体化建设的前提下，整合医疗电子票据信息，建设医疗收费电子票据信息管理系统。提供数据采集、数据整理、数据质量检查、数据应用监管、数据分析建模等功能，整理形成医疗数据资源目录，并提供数据信息公开与共享应用管理流程，结合数据脱敏与数据权限管理等功能，形成医疗收费电子票据信息管理系统，方便基层医疗机构相关进行医疗票据使用情况、医疗资源分配情况等内容的查询与公开监督。</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（五） 财政电子票据通知及获取</w:t>
            </w:r>
          </w:p>
          <w:p>
            <w:pPr>
              <w:spacing w:line="276" w:lineRule="auto"/>
              <w:rPr>
                <w:rFonts w:ascii="宋体" w:hAnsi="宋体" w:cs="宋体"/>
                <w:color w:val="auto"/>
                <w:szCs w:val="21"/>
                <w:highlight w:val="none"/>
              </w:rPr>
            </w:pPr>
            <w:r>
              <w:rPr>
                <w:rFonts w:hint="eastAsia" w:ascii="宋体" w:hAnsi="宋体" w:cs="宋体"/>
                <w:color w:val="auto"/>
                <w:szCs w:val="21"/>
                <w:highlight w:val="none"/>
              </w:rPr>
              <w:t>1.电子票据通知：</w:t>
            </w:r>
          </w:p>
          <w:p>
            <w:pPr>
              <w:numPr>
                <w:ilvl w:val="0"/>
                <w:numId w:val="6"/>
              </w:numPr>
              <w:spacing w:line="276" w:lineRule="auto"/>
              <w:rPr>
                <w:rFonts w:ascii="宋体" w:hAnsi="宋体" w:cs="宋体"/>
                <w:color w:val="auto"/>
                <w:szCs w:val="21"/>
                <w:highlight w:val="none"/>
              </w:rPr>
            </w:pPr>
            <w:r>
              <w:rPr>
                <w:rFonts w:hint="eastAsia" w:ascii="宋体" w:hAnsi="宋体" w:cs="宋体"/>
                <w:color w:val="auto"/>
                <w:szCs w:val="21"/>
                <w:highlight w:val="none"/>
              </w:rPr>
              <w:t>直接打印告知单：窗口收费员可以打印告知单交给患者，患者可登录广西壮族自治区财政电子票据公共服务平台查验网站进行查验真伪。考虑到各类缴款人实际需求和基层医疗机构节约成本需求，防止电子票据“乱打印”的现象，基层医疗机构按需仅提供一次打印。</w:t>
            </w:r>
          </w:p>
          <w:p>
            <w:pPr>
              <w:numPr>
                <w:ilvl w:val="0"/>
                <w:numId w:val="6"/>
              </w:numPr>
              <w:spacing w:line="276" w:lineRule="auto"/>
              <w:rPr>
                <w:rFonts w:ascii="宋体" w:hAnsi="宋体" w:cs="宋体"/>
                <w:color w:val="auto"/>
                <w:szCs w:val="21"/>
                <w:highlight w:val="none"/>
              </w:rPr>
            </w:pPr>
            <w:r>
              <w:rPr>
                <w:rFonts w:hint="eastAsia" w:ascii="宋体" w:hAnsi="宋体" w:cs="宋体"/>
                <w:color w:val="auto"/>
                <w:szCs w:val="21"/>
                <w:highlight w:val="none"/>
              </w:rPr>
              <w:t>基层医疗机构公众号/生活号通知：缴款人需要提前关注基层医疗机构公众号、生活号，医疗收费电子票据信息管理系统开具电子票据成功后，通过基层医疗机构业务系统向基层医疗机构公众号、生活号推送电子票据信息。</w:t>
            </w:r>
          </w:p>
          <w:p>
            <w:pPr>
              <w:numPr>
                <w:ilvl w:val="0"/>
                <w:numId w:val="6"/>
              </w:numPr>
              <w:spacing w:line="276" w:lineRule="auto"/>
              <w:rPr>
                <w:rFonts w:ascii="宋体" w:hAnsi="宋体" w:cs="宋体"/>
                <w:color w:val="auto"/>
                <w:szCs w:val="21"/>
                <w:highlight w:val="none"/>
              </w:rPr>
            </w:pPr>
            <w:r>
              <w:rPr>
                <w:rFonts w:hint="eastAsia" w:ascii="宋体" w:hAnsi="宋体" w:cs="宋体"/>
                <w:color w:val="auto"/>
                <w:szCs w:val="21"/>
                <w:highlight w:val="none"/>
              </w:rPr>
              <w:t>采购人专用APP（如有）通知：医疗收费电子票据信息管理系统开具电子票据成功，通过基层医疗机构业务系统向基层医疗机构专用APP推送电子票据信息。</w:t>
            </w:r>
          </w:p>
          <w:p>
            <w:pPr>
              <w:pStyle w:val="12"/>
              <w:numPr>
                <w:ilvl w:val="0"/>
                <w:numId w:val="6"/>
              </w:numPr>
              <w:spacing w:line="276" w:lineRule="auto"/>
              <w:rPr>
                <w:rFonts w:hAnsi="宋体" w:cs="宋体"/>
                <w:color w:val="auto"/>
                <w:kern w:val="2"/>
                <w:sz w:val="21"/>
                <w:highlight w:val="none"/>
              </w:rPr>
            </w:pPr>
            <w:r>
              <w:rPr>
                <w:rFonts w:hint="eastAsia" w:hAnsi="宋体" w:cs="宋体"/>
                <w:color w:val="auto"/>
                <w:kern w:val="2"/>
                <w:sz w:val="21"/>
                <w:highlight w:val="none"/>
              </w:rPr>
              <w:t>采购人短信、邮件通知：医疗收费电子票据信息管理系统应提供短信、邮件自定义格式发送。短信配置可设置运营商、状态是否启用、短信内容自定义配置等信息；邮件配置包括是否可自定义配置、服务地址、端口、邮箱账号、密码、状态是否启用、自定义配置等内容。</w:t>
            </w:r>
          </w:p>
          <w:p>
            <w:pPr>
              <w:spacing w:line="276" w:lineRule="auto"/>
              <w:rPr>
                <w:rFonts w:ascii="宋体" w:hAnsi="宋体" w:cs="宋体"/>
                <w:color w:val="auto"/>
                <w:szCs w:val="21"/>
                <w:highlight w:val="none"/>
              </w:rPr>
            </w:pPr>
            <w:r>
              <w:rPr>
                <w:rFonts w:hint="eastAsia" w:ascii="宋体" w:hAnsi="宋体" w:cs="宋体"/>
                <w:color w:val="auto"/>
                <w:szCs w:val="21"/>
                <w:highlight w:val="none"/>
              </w:rPr>
              <w:t>2.缴款人取票服务：</w:t>
            </w:r>
          </w:p>
          <w:p>
            <w:pPr>
              <w:numPr>
                <w:ilvl w:val="0"/>
                <w:numId w:val="7"/>
              </w:numPr>
              <w:spacing w:line="276" w:lineRule="auto"/>
              <w:rPr>
                <w:rFonts w:ascii="宋体" w:hAnsi="宋体" w:cs="宋体"/>
                <w:color w:val="auto"/>
                <w:szCs w:val="21"/>
                <w:highlight w:val="none"/>
              </w:rPr>
            </w:pPr>
            <w:r>
              <w:rPr>
                <w:rFonts w:hint="eastAsia" w:ascii="宋体" w:hAnsi="宋体" w:cs="宋体"/>
                <w:color w:val="auto"/>
                <w:szCs w:val="21"/>
                <w:highlight w:val="none"/>
              </w:rPr>
              <w:t>财政服务网站取票：患者可通过登录广西壮族自治区财政厅建设的广西壮族自治区财政电子票据公共服务平台，根据电子票据相关要素获取电子票据，可以根据需要下载打印。</w:t>
            </w:r>
          </w:p>
          <w:p>
            <w:pPr>
              <w:numPr>
                <w:ilvl w:val="0"/>
                <w:numId w:val="7"/>
              </w:numPr>
              <w:spacing w:line="276" w:lineRule="auto"/>
              <w:rPr>
                <w:rFonts w:ascii="宋体" w:hAnsi="宋体" w:cs="宋体"/>
                <w:color w:val="auto"/>
                <w:szCs w:val="21"/>
                <w:highlight w:val="none"/>
              </w:rPr>
            </w:pPr>
            <w:r>
              <w:rPr>
                <w:rFonts w:hint="eastAsia" w:ascii="宋体" w:hAnsi="宋体" w:cs="宋体"/>
                <w:color w:val="auto"/>
                <w:szCs w:val="21"/>
                <w:highlight w:val="none"/>
              </w:rPr>
              <w:t>基层医疗机构公众号/生活号取票：缴款人可通过注册或关注基层医疗机构公众号、生活号，查看电子票据通知信息，通过取票小程序，获取电子票据。根据需要选择发送到邮箱、微信卡包、本地。</w:t>
            </w:r>
          </w:p>
          <w:p>
            <w:pPr>
              <w:numPr>
                <w:ilvl w:val="0"/>
                <w:numId w:val="7"/>
              </w:numPr>
              <w:spacing w:line="276" w:lineRule="auto"/>
              <w:rPr>
                <w:rFonts w:ascii="宋体" w:hAnsi="宋体" w:cs="宋体"/>
                <w:color w:val="auto"/>
                <w:szCs w:val="21"/>
                <w:highlight w:val="none"/>
              </w:rPr>
            </w:pPr>
            <w:r>
              <w:rPr>
                <w:rFonts w:hint="eastAsia" w:ascii="宋体" w:hAnsi="宋体" w:cs="宋体"/>
                <w:color w:val="auto"/>
                <w:szCs w:val="21"/>
                <w:highlight w:val="none"/>
              </w:rPr>
              <w:t>基层医疗机构专用APP：缴款人可通过安装基层医疗机构专用APP，根据已发送的电子票据通知记录，通过基层医疗机构专用APP，获取电子票据。</w:t>
            </w:r>
          </w:p>
          <w:p>
            <w:pPr>
              <w:numPr>
                <w:ilvl w:val="0"/>
                <w:numId w:val="7"/>
              </w:numPr>
              <w:spacing w:line="276" w:lineRule="auto"/>
              <w:rPr>
                <w:rFonts w:ascii="宋体" w:hAnsi="宋体" w:cs="宋体"/>
                <w:color w:val="auto"/>
                <w:szCs w:val="21"/>
                <w:highlight w:val="none"/>
              </w:rPr>
            </w:pPr>
            <w:r>
              <w:rPr>
                <w:rFonts w:hint="eastAsia" w:ascii="宋体" w:hAnsi="宋体" w:cs="宋体"/>
                <w:color w:val="auto"/>
                <w:szCs w:val="21"/>
                <w:highlight w:val="none"/>
              </w:rPr>
              <w:t>基层医疗机构通码扫码取票：单位使用微信扫描二维码，输入身份证号/手机号/医保卡号/就诊卡号等信息，查看电子票据信息，通过取票小程序，获取电子票据。根据需要选择发送到邮箱、微信卡包、本地。</w:t>
            </w:r>
          </w:p>
          <w:p>
            <w:pPr>
              <w:numPr>
                <w:ilvl w:val="0"/>
                <w:numId w:val="7"/>
              </w:numPr>
              <w:spacing w:line="276" w:lineRule="auto"/>
              <w:rPr>
                <w:rFonts w:ascii="宋体" w:hAnsi="宋体" w:cs="宋体"/>
                <w:color w:val="auto"/>
                <w:szCs w:val="21"/>
                <w:highlight w:val="none"/>
              </w:rPr>
            </w:pPr>
            <w:r>
              <w:rPr>
                <w:rFonts w:hint="eastAsia" w:ascii="宋体" w:hAnsi="宋体" w:cs="宋体"/>
                <w:color w:val="auto"/>
                <w:szCs w:val="21"/>
                <w:highlight w:val="none"/>
              </w:rPr>
              <w:t>提供接口和查询服务程序，患者可通过基层医疗机构设置的自助机使用就诊卡或者身份证识别读取票据信息，打印电子票据板式文件。</w:t>
            </w:r>
          </w:p>
          <w:p>
            <w:pPr>
              <w:pStyle w:val="12"/>
              <w:numPr>
                <w:ilvl w:val="0"/>
                <w:numId w:val="7"/>
              </w:numPr>
              <w:spacing w:line="276" w:lineRule="auto"/>
              <w:rPr>
                <w:rFonts w:hAnsi="宋体" w:cs="宋体"/>
                <w:color w:val="auto"/>
                <w:kern w:val="2"/>
                <w:sz w:val="21"/>
                <w:highlight w:val="none"/>
              </w:rPr>
            </w:pPr>
            <w:r>
              <w:rPr>
                <w:rFonts w:hint="eastAsia" w:hAnsi="宋体" w:cs="宋体"/>
                <w:color w:val="auto"/>
                <w:kern w:val="2"/>
                <w:sz w:val="21"/>
                <w:highlight w:val="none"/>
              </w:rPr>
              <w:t>取票小程序应提供以下功能，a.扫码查票，通过扫码获取或查看电子票据；b.手工查票，可选择票据类型，通过票据代码、票据号码、校验码信息查找电子票；c.预交金，可按住院日期展示各医疗机构的预交金凭证信息；d.票夹，可按开票日期、票据状态信息展示取到的电子票信息并可展示详细电子票据内容；e.自动取票，可通过进入各基层医疗机构后按照真实姓名、用户编码（手机号/就诊卡号/身份证号）自动获取电子票据。</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四. 接口开发及联调需求：</w:t>
            </w:r>
          </w:p>
          <w:p>
            <w:pPr>
              <w:numPr>
                <w:ilvl w:val="0"/>
                <w:numId w:val="8"/>
              </w:numPr>
              <w:spacing w:line="276" w:lineRule="auto"/>
              <w:rPr>
                <w:rFonts w:ascii="宋体" w:hAnsi="宋体" w:cs="宋体"/>
                <w:color w:val="auto"/>
                <w:szCs w:val="21"/>
                <w:highlight w:val="none"/>
              </w:rPr>
            </w:pPr>
            <w:r>
              <w:rPr>
                <w:rFonts w:hint="eastAsia" w:ascii="宋体" w:hAnsi="宋体" w:cs="宋体"/>
                <w:color w:val="auto"/>
                <w:szCs w:val="21"/>
                <w:highlight w:val="none"/>
              </w:rPr>
              <w:t>医院HIS业务系统接口：医疗机构门诊、住院等绝大部分日常业务操作在采购人基层医疗机构HIS业务系统中完成，所以门诊、住院电子票据的业务数据均来源于HIS业务系统的结算数据；医疗收费电子票据信息管理系统需提供与HIS系统的数据交换接口，实现HIS缴费业务数据的自动传输、电子票据的自动生成等。</w:t>
            </w:r>
          </w:p>
          <w:p>
            <w:pPr>
              <w:numPr>
                <w:ilvl w:val="0"/>
                <w:numId w:val="8"/>
              </w:numPr>
              <w:spacing w:line="276" w:lineRule="auto"/>
              <w:rPr>
                <w:rFonts w:ascii="宋体" w:hAnsi="宋体" w:cs="宋体"/>
                <w:color w:val="auto"/>
                <w:szCs w:val="21"/>
                <w:highlight w:val="none"/>
              </w:rPr>
            </w:pPr>
            <w:r>
              <w:rPr>
                <w:rFonts w:hint="eastAsia" w:ascii="宋体" w:hAnsi="宋体" w:cs="宋体"/>
                <w:color w:val="auto"/>
                <w:szCs w:val="21"/>
                <w:highlight w:val="none"/>
              </w:rPr>
              <w:t>单位业务系统接口：医疗收费电子票据信息管理系统需开发与基层医疗机构业务系统的数据交换接口，实现缴费业务数据的自动传输、电子票据的自动生成等。</w:t>
            </w:r>
          </w:p>
          <w:p>
            <w:pPr>
              <w:numPr>
                <w:ilvl w:val="0"/>
                <w:numId w:val="8"/>
              </w:numPr>
              <w:spacing w:line="276" w:lineRule="auto"/>
              <w:rPr>
                <w:rFonts w:ascii="宋体" w:hAnsi="宋体" w:cs="宋体"/>
                <w:color w:val="auto"/>
                <w:szCs w:val="21"/>
                <w:highlight w:val="none"/>
              </w:rPr>
            </w:pPr>
            <w:r>
              <w:rPr>
                <w:rFonts w:hint="eastAsia" w:ascii="宋体" w:hAnsi="宋体" w:cs="宋体"/>
                <w:color w:val="auto"/>
                <w:szCs w:val="21"/>
                <w:highlight w:val="none"/>
              </w:rPr>
              <w:t>与广西壮族自治区财政票据电子化管理系统数据交换：通过交换服务从广西壮族自治区财政票据电子化管理系统进行基础信息下载、票据库存信息同步、开票信息上传、电子票据本身上传的定时数据交换等。</w:t>
            </w:r>
          </w:p>
          <w:p>
            <w:pPr>
              <w:numPr>
                <w:ilvl w:val="0"/>
                <w:numId w:val="8"/>
              </w:numPr>
              <w:spacing w:line="276" w:lineRule="auto"/>
              <w:rPr>
                <w:rFonts w:ascii="宋体" w:hAnsi="宋体" w:cs="宋体"/>
                <w:color w:val="auto"/>
                <w:szCs w:val="21"/>
                <w:highlight w:val="none"/>
              </w:rPr>
            </w:pPr>
            <w:r>
              <w:rPr>
                <w:rFonts w:hint="eastAsia" w:ascii="宋体" w:hAnsi="宋体" w:cs="宋体"/>
                <w:color w:val="auto"/>
                <w:szCs w:val="21"/>
                <w:highlight w:val="none"/>
              </w:rPr>
              <w:t>医疗机构在线开票系统个性化开发：财务会计的开票业务，如：资金往来票据、捐赠票据、非税收入票据等由医疗收费电子票据信息管理系统开具并实现自动记账反馈。</w:t>
            </w:r>
          </w:p>
          <w:p>
            <w:pPr>
              <w:numPr>
                <w:ilvl w:val="0"/>
                <w:numId w:val="8"/>
              </w:numPr>
              <w:spacing w:line="276" w:lineRule="auto"/>
              <w:rPr>
                <w:rFonts w:ascii="宋体" w:hAnsi="宋体" w:cs="宋体"/>
                <w:color w:val="auto"/>
                <w:szCs w:val="21"/>
                <w:highlight w:val="none"/>
              </w:rPr>
            </w:pPr>
            <w:r>
              <w:rPr>
                <w:rFonts w:hint="eastAsia" w:ascii="宋体" w:hAnsi="宋体" w:cs="宋体"/>
                <w:color w:val="auto"/>
                <w:szCs w:val="21"/>
                <w:highlight w:val="none"/>
              </w:rPr>
              <w:t>接口授权：考虑到采购人所辖基层医疗机构较多，系统必须提供统一的授权管理，方便采购人集中管理接入单位，确保系统高效稳定运行</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五、构建电子票据档案需求：</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财政电子票据应是XML文件格式，为让患者直观阅览，XML格式的电子票据在展示时显示为PNG图片格式。传统的电子档案系统采用所见即所得的查看模式，打开XML文件及出现网页代码式的阅览；为适应财政电子票据的存档、查阅等相关要求，根据电子票据的格式特殊性，系统应实现XML与PNG格式的自动转换，打开XML文件显示PNG图片模式，给用户提供直观展示服务。系统功能包括：</w:t>
            </w:r>
          </w:p>
          <w:p>
            <w:pPr>
              <w:numPr>
                <w:ilvl w:val="0"/>
                <w:numId w:val="9"/>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电子票据接收：医疗收费电子票据信息管理系统通过财政提供的电子票据服务平台之间的接口，按照全国统一信用代码定时（或实时）接收电子票据信息。</w:t>
            </w:r>
          </w:p>
          <w:p>
            <w:pPr>
              <w:numPr>
                <w:ilvl w:val="0"/>
                <w:numId w:val="9"/>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电子票据归档：对于接收到的电子票据，医疗收费电子票据信息管理系统会按照日期、票据种类等条件进行自动归档。</w:t>
            </w:r>
          </w:p>
          <w:p>
            <w:pPr>
              <w:numPr>
                <w:ilvl w:val="0"/>
                <w:numId w:val="9"/>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电子票据查看：基层医疗机构对于已经入账的电子票据信息可通过医疗收费电子票据信息管理系统接口查看相应的电子票据信息。</w:t>
            </w:r>
          </w:p>
          <w:p>
            <w:pPr>
              <w:numPr>
                <w:ilvl w:val="0"/>
                <w:numId w:val="9"/>
              </w:numPr>
              <w:spacing w:line="276" w:lineRule="auto"/>
              <w:rPr>
                <w:rFonts w:ascii="宋体" w:hAnsi="宋体" w:cs="宋体"/>
                <w:color w:val="auto"/>
                <w:szCs w:val="21"/>
                <w:highlight w:val="none"/>
              </w:rPr>
            </w:pPr>
            <w:r>
              <w:rPr>
                <w:rFonts w:hint="eastAsia" w:ascii="宋体" w:hAnsi="宋体" w:cs="宋体"/>
                <w:color w:val="auto"/>
                <w:szCs w:val="21"/>
                <w:highlight w:val="none"/>
              </w:rPr>
              <w:t>电子票据入账反馈：基层医疗机构财务系统对于符合入账要求的电子票据进行入账。财务人员获取医疗收费电子票据信息管理系统的电子票据汇总单，进行记账。记账成功后，财务系统可调用电子档案反馈记账结果信息（凭证号）</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六、系统性能需求：</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高效性：系统的响应时间迅速，必须保证系统使用的高效性，系统能够支持2000并发用户数以上，系统的日签发能力 15000 张以上。</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可用性:系统所提供的各项功能必须可实现所要求的对应业务功能需要，并具有可恢复性操作的功能。</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简便可操作：系统界面简单美观，菜单按钮易辨认。</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开放性：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可靠性：系统必须正常稳定运行，保证所处理事务、数据的完整性。系统平均年故障时间少于5 天；具有较强的灾难恢复能力，平均故障修复时间少于24 小时。</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标准性：系统数据应标准化、规范化，按照分层数据，软件构件化实现。</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兼容性：系统提供其他系统能兼容的、完备的数据输入、输出接口。</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安全性：保证数据和系统的安全性。要有管理员身份认证机制、数据加密机制。</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可维护性：系统管理模块进行数据备份、日志等管理、维护。对系统所涉及到的各项应用及管理必须是可管理和维护的。</w:t>
            </w:r>
          </w:p>
          <w:p>
            <w:pPr>
              <w:numPr>
                <w:ilvl w:val="0"/>
                <w:numId w:val="10"/>
              </w:numPr>
              <w:spacing w:line="276" w:lineRule="auto"/>
              <w:rPr>
                <w:rFonts w:ascii="宋体" w:hAnsi="宋体" w:cs="宋体"/>
                <w:color w:val="auto"/>
                <w:szCs w:val="21"/>
                <w:highlight w:val="none"/>
              </w:rPr>
            </w:pPr>
            <w:r>
              <w:rPr>
                <w:rFonts w:hint="eastAsia" w:ascii="宋体" w:hAnsi="宋体" w:cs="宋体"/>
                <w:color w:val="auto"/>
                <w:szCs w:val="21"/>
                <w:highlight w:val="none"/>
              </w:rPr>
              <w:t>可扩展性：考虑到系统建设是一个循序渐进、不断扩充的过程,系统要采用积木式结构,组件化设计，整体构架要考虑系统间的无缝连接,为今后系统扩展和集成留有扩充余量。</w:t>
            </w:r>
          </w:p>
          <w:p>
            <w:pPr>
              <w:spacing w:line="276" w:lineRule="auto"/>
              <w:rPr>
                <w:rFonts w:ascii="宋体" w:hAnsi="宋体" w:cs="宋体"/>
                <w:b/>
                <w:color w:val="auto"/>
                <w:szCs w:val="21"/>
                <w:highlight w:val="none"/>
              </w:rPr>
            </w:pPr>
            <w:r>
              <w:rPr>
                <w:rFonts w:hint="eastAsia" w:ascii="宋体" w:hAnsi="宋体" w:cs="宋体"/>
                <w:b/>
                <w:color w:val="auto"/>
                <w:szCs w:val="21"/>
                <w:highlight w:val="none"/>
              </w:rPr>
              <w:t>七、部署需求：</w:t>
            </w:r>
          </w:p>
          <w:p>
            <w:pPr>
              <w:spacing w:line="276"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在采购方提供的硬件网络环境中部署医疗收费电子票据信息管理系统，与基层医疗机构的业务系统和广西财政票据电子化管理系统对接，实现基层医疗机构的电子票据全流程管理。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0" w:type="dxa"/>
            <w:gridSpan w:val="6"/>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b/>
                <w:color w:val="auto"/>
                <w:szCs w:val="21"/>
                <w:highlight w:val="none"/>
              </w:rPr>
              <w:t>二、商务条款要求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本项目为交钥匙工程，报价包括定制软件开发、运输、安装、调试、初验、培训等工作，项目实施的整体管理、协调直至通过竣工验收交付采购人使用。自竣工验收合格之日算起，成交人需对项目提供一年的免费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交付使用期限</w:t>
            </w:r>
          </w:p>
          <w:p>
            <w:pPr>
              <w:spacing w:line="36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及</w:t>
            </w:r>
            <w:r>
              <w:rPr>
                <w:rFonts w:hint="eastAsia" w:ascii="宋体" w:hAnsi="宋体" w:cs="宋体"/>
                <w:b/>
                <w:color w:val="auto"/>
                <w:szCs w:val="21"/>
                <w:highlight w:val="none"/>
              </w:rPr>
              <w:t>地点</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交付使用期限：自合同签订之日起30个工作日。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项目实施地点：平南县采购人指定地点。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付款方式</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bCs/>
                <w:snapToGrid w:val="0"/>
                <w:color w:val="auto"/>
                <w:kern w:val="0"/>
                <w:szCs w:val="21"/>
                <w:highlight w:val="none"/>
              </w:rPr>
              <w:t>项目完成全部服务单位上线后</w:t>
            </w:r>
            <w:r>
              <w:rPr>
                <w:rFonts w:hint="eastAsia" w:ascii="宋体" w:hAnsi="宋体" w:cs="宋体"/>
                <w:color w:val="auto"/>
                <w:szCs w:val="21"/>
                <w:highlight w:val="none"/>
              </w:rPr>
              <w:t>15个工作日内甲方向乙方支付合同金额的50%，系统正常运行3个月后向乙方支付合同金额45%，剩余5%在质保期满后30个工作日内支付。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kern w:val="0"/>
                <w:szCs w:val="21"/>
                <w:highlight w:val="none"/>
                <w:lang w:val="zh-CN"/>
              </w:rPr>
              <w:t>售后服务要求</w:t>
            </w:r>
          </w:p>
        </w:tc>
        <w:tc>
          <w:tcPr>
            <w:tcW w:w="7767" w:type="dxa"/>
            <w:gridSpan w:val="3"/>
            <w:tcBorders>
              <w:top w:val="single" w:color="auto" w:sz="4" w:space="0"/>
              <w:left w:val="single" w:color="auto" w:sz="4" w:space="0"/>
              <w:bottom w:val="single" w:color="auto" w:sz="4" w:space="0"/>
              <w:right w:val="single" w:color="auto" w:sz="4" w:space="0"/>
            </w:tcBorders>
          </w:tcPr>
          <w:p>
            <w:pPr>
              <w:pStyle w:val="8"/>
              <w:rPr>
                <w:rFonts w:ascii="宋体" w:hAnsi="宋体" w:cs="宋体"/>
                <w:color w:val="auto"/>
                <w:szCs w:val="21"/>
                <w:highlight w:val="none"/>
              </w:rPr>
            </w:pPr>
            <w:r>
              <w:rPr>
                <w:rFonts w:hint="eastAsia" w:ascii="宋体" w:hAnsi="宋体" w:cs="宋体"/>
                <w:color w:val="auto"/>
                <w:szCs w:val="21"/>
                <w:highlight w:val="none"/>
              </w:rPr>
              <w:t>1、质保期:供应商在完成系统的开发、上线和项目终验之日起，开始提供系统终验后一年的免费质量保证和技术服务；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2、质保期内服务内容提供包括但不限于故障排除、性能调优、技术咨询、系统升级等服务内容；及时、高效地解决在软件使用过程中遇到的故障、操作失误等相关需求。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3、质保期内服务方式提供包括但不限于上门、电话、远程、定期巡查等方式的系统支持服务及系统数据备份，并生成巡检和备份报告。</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4、服务响应时间：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▲（1）提供7×24小时本地化技术服务支持。系统出现故障时，项目实施期间驻场技术人员须在半小时内响应，其它维护力量1 小时内到达采购人指定现场，4 小时内解决故障并恢复系统运行。</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（2）供应商须在响应文件中提供在重大节日、重大活动期间提供技术保障和服务保障的方案，并按方案要求提供保障工作。</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（3）成交人应制定软件运行维护、升级管理的详细方案，并由现场驻点人员按方案定期记录和实施升级服务，成交人需要保证每个月不少于1 次定期系统维护，并出具巡检及维护报告。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知识产权要求</w:t>
            </w:r>
          </w:p>
        </w:tc>
        <w:tc>
          <w:tcPr>
            <w:tcW w:w="776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本项目所定制开发的软件系统及开发取得的成果的所有权归采购人所有，成交人在项目建设过程中所完成的各种文件、电子文档以及其他相关资料和文件，其所有权和知识产权均归采购人所有，未经许可，成交人不得以任何形式转让或提供给第三方。</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为确保系统安全而进行的数据加密口令和密钥，成交方应在设置或修改2小时内告知采购方项目负责人。项目验收后，应移交所有数据加密口令和密钥。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776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1.本项目所采购货物如需执行国家相关标准、行业标准、地方标准要求时，应执行。</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2.合同签订期：自成交通知书发出之日起 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b/>
                <w:color w:val="auto"/>
                <w:szCs w:val="21"/>
                <w:highlight w:val="none"/>
              </w:rPr>
              <w:t>现场演示</w:t>
            </w:r>
          </w:p>
        </w:tc>
        <w:tc>
          <w:tcPr>
            <w:tcW w:w="776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各供应商根据本分标提供的“平南县医疗收费电子票据信息管理系统系统”自行选择是否进行现场演示，演示所需的相关配套设备、配件和线材由供应商自行准备，本项作为加分项，如供应商不提供演示，样品演示分为0分，但不会造成该供应商竞标无效。演示内容：详见第四章评审程序、评审方法和评审标准A分标系统演示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color w:val="auto"/>
                <w:szCs w:val="21"/>
                <w:highlight w:val="none"/>
              </w:rPr>
            </w:pPr>
            <w:r>
              <w:rPr>
                <w:rFonts w:hint="eastAsia" w:ascii="宋体" w:hAnsi="宋体" w:cs="宋体"/>
                <w:color w:val="auto"/>
                <w:szCs w:val="21"/>
                <w:highlight w:val="none"/>
              </w:rPr>
              <w:t>演示要求</w:t>
            </w:r>
          </w:p>
        </w:tc>
        <w:tc>
          <w:tcPr>
            <w:tcW w:w="776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现场演示要求</w:t>
            </w:r>
          </w:p>
          <w:p>
            <w:pPr>
              <w:ind w:left="283" w:hanging="283" w:hangingChars="135"/>
              <w:rPr>
                <w:rFonts w:ascii="宋体" w:hAnsi="宋体" w:cs="宋体"/>
                <w:color w:val="auto"/>
                <w:szCs w:val="21"/>
                <w:highlight w:val="none"/>
              </w:rPr>
            </w:pPr>
            <w:r>
              <w:rPr>
                <w:rFonts w:hint="eastAsia" w:ascii="宋体" w:hAnsi="宋体" w:cs="宋体"/>
                <w:color w:val="auto"/>
                <w:szCs w:val="21"/>
                <w:highlight w:val="none"/>
              </w:rPr>
              <w:t>1、以磋商小组通知的演示时间和演示地点(演示地点为样品递交地点)为准，供应商接通知后应在20分钟内达到演示现场，自行调试演示样品（机），并自备演示所需的一切用品，在指定地点对样品（机）进行演示。</w:t>
            </w:r>
          </w:p>
          <w:p>
            <w:pPr>
              <w:ind w:left="283" w:hanging="283" w:hangingChars="135"/>
              <w:rPr>
                <w:rFonts w:ascii="宋体" w:hAnsi="宋体" w:cs="宋体"/>
                <w:color w:val="auto"/>
                <w:szCs w:val="21"/>
                <w:highlight w:val="none"/>
              </w:rPr>
            </w:pPr>
            <w:r>
              <w:rPr>
                <w:rFonts w:hint="eastAsia" w:ascii="宋体" w:hAnsi="宋体" w:cs="宋体"/>
                <w:color w:val="auto"/>
                <w:szCs w:val="21"/>
                <w:highlight w:val="none"/>
              </w:rPr>
              <w:t>2、演示要求及说明：由磋商小组要求供应商根据磋商文件货物需求中要求的主要功能进行演示，供应商必须按磋商小组的要求进行演示。</w:t>
            </w:r>
          </w:p>
          <w:p>
            <w:pPr>
              <w:ind w:left="283" w:hanging="283" w:hangingChars="135"/>
              <w:rPr>
                <w:rFonts w:ascii="宋体" w:hAnsi="宋体" w:cs="宋体"/>
                <w:color w:val="auto"/>
                <w:szCs w:val="21"/>
                <w:highlight w:val="none"/>
              </w:rPr>
            </w:pPr>
            <w:r>
              <w:rPr>
                <w:rFonts w:hint="eastAsia" w:ascii="宋体" w:hAnsi="宋体" w:cs="宋体"/>
                <w:color w:val="auto"/>
                <w:szCs w:val="21"/>
                <w:highlight w:val="none"/>
              </w:rPr>
              <w:t>3、每家供应商的演示时间为30分钟以内，各供应商可以进入1至2人进行现场演示。具体演示时间以磋商小组通知为准。</w:t>
            </w:r>
          </w:p>
          <w:p>
            <w:pPr>
              <w:ind w:left="283" w:hanging="283" w:hangingChars="135"/>
              <w:rPr>
                <w:rFonts w:ascii="宋体" w:hAnsi="宋体" w:cs="宋体"/>
                <w:color w:val="auto"/>
                <w:szCs w:val="21"/>
                <w:highlight w:val="none"/>
              </w:rPr>
            </w:pPr>
            <w:r>
              <w:rPr>
                <w:rFonts w:hint="eastAsia" w:ascii="宋体" w:hAnsi="宋体" w:cs="宋体"/>
                <w:color w:val="auto"/>
                <w:szCs w:val="21"/>
                <w:highlight w:val="none"/>
              </w:rPr>
              <w:t>4、提交的软件及用于现场演示的所有设备和货物应与响应文件相符。</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5、现场演示内容详见：第四章评审程序、评审方法和评审标准A分标系统演示分内容。</w:t>
            </w:r>
          </w:p>
        </w:tc>
      </w:tr>
    </w:tbl>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B分标</w:t>
      </w:r>
    </w:p>
    <w:p>
      <w:pPr>
        <w:rPr>
          <w:b/>
          <w:bCs/>
          <w:color w:val="auto"/>
          <w:highlight w:val="none"/>
        </w:rPr>
      </w:pPr>
      <w:r>
        <w:rPr>
          <w:rFonts w:hint="eastAsia"/>
          <w:b/>
          <w:bCs/>
          <w:color w:val="auto"/>
          <w:highlight w:val="none"/>
        </w:rPr>
        <w:t>一、采购项目需求一览表</w:t>
      </w:r>
    </w:p>
    <w:tbl>
      <w:tblPr>
        <w:tblStyle w:val="2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704"/>
        <w:gridCol w:w="690"/>
        <w:gridCol w:w="76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5" w:type="dxa"/>
            <w:vAlign w:val="center"/>
          </w:tcPr>
          <w:p>
            <w:pPr>
              <w:wordWrap w:val="0"/>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704" w:type="dxa"/>
            <w:vAlign w:val="center"/>
          </w:tcPr>
          <w:p>
            <w:pPr>
              <w:wordWrap w:val="0"/>
              <w:adjustRightInd w:val="0"/>
              <w:snapToGrid w:val="0"/>
              <w:spacing w:line="36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货物名称</w:t>
            </w:r>
          </w:p>
        </w:tc>
        <w:tc>
          <w:tcPr>
            <w:tcW w:w="690" w:type="dxa"/>
          </w:tcPr>
          <w:p>
            <w:pPr>
              <w:wordWrap w:val="0"/>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60" w:type="dxa"/>
            <w:vAlign w:val="center"/>
          </w:tcPr>
          <w:p>
            <w:pPr>
              <w:wordWrap w:val="0"/>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4568" w:type="dxa"/>
            <w:vAlign w:val="center"/>
          </w:tcPr>
          <w:p>
            <w:pPr>
              <w:widowControl/>
              <w:jc w:val="center"/>
              <w:rPr>
                <w:rFonts w:ascii="宋体" w:hAnsi="宋体" w:cs="宋体"/>
                <w:b/>
                <w:color w:val="auto"/>
                <w:szCs w:val="21"/>
                <w:highlight w:val="none"/>
              </w:rPr>
            </w:pPr>
            <w:r>
              <w:rPr>
                <w:rFonts w:hint="eastAsia" w:ascii="宋体" w:hAnsi="宋体" w:cs="宋体"/>
                <w:b/>
                <w:color w:val="auto"/>
                <w:szCs w:val="21"/>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1</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电子签名服务器</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1、数字签名性能≥ 4500次/秒，签名服务器需与广西财政厅使用的签名服务器兼容，能与“广西财政票据电子化管理系统”互联互通。</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要求系统严格遵循《中华人民共和国电子签名法》和相关国家标准，并基于标准的 PKI 体系架构。支持对数据、文件制作数字签名，签名结构符合 PKCS#7 标准，支持验证符合 PKCS#7 标准的 签名结果；支持对数据制作数字签名，签名结构符合 PKCS#1 标准； 支持通过证书导入、证书配置方式验证符合 PKCS#1 标准的签名结 果；支持对数据、文件制作数字信封，信封结构符合 PKCS#7 标准； 支持解密符合 PKCS#7 标准的信封结果；</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 xml:space="preserve"> 支持对签名、加密证书进行全面验证。可根据配置不同 CA 签发 的根证书，验证证书的信任域；根据系统时间，验证证书的有效期； 根据 CRL 或 OCSP 验证证书状态。证书状态验证方式包括，标准 OCSP 协议验证证书，连接 LDAP 服务器更新 CRL 验证，连接 WEB 服务器 更新 CRL 验证</w:t>
            </w:r>
            <w:r>
              <w:rPr>
                <w:rFonts w:hint="eastAsia" w:ascii="宋体" w:hAnsi="宋体" w:cs="宋体"/>
                <w:color w:val="auto"/>
                <w:szCs w:val="21"/>
                <w:highlight w:val="none"/>
              </w:rPr>
              <w:t>；</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支持多种操作系统：可支持多种主流的操作系统，如 Windows系列，Linux系列，Solaris、AIX、HP-UX 等 Unix 操作系统；</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、算法支持：支持 SM2 非对称算法、SM3 杂凑算法、SM4 对称算法、SM1对称算法等； 用户访问权限控制：具有用户管理功能，提高了密码设备自身的安全性；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2</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虚拟化服务器（电子票据平台服务器、WEB服务器）</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1、2路服务器，</w:t>
            </w:r>
            <w:r>
              <w:rPr>
                <w:rFonts w:hint="eastAsia" w:ascii="宋体" w:hAnsi="宋体" w:cs="宋体"/>
                <w:color w:val="auto"/>
                <w:szCs w:val="21"/>
                <w:highlight w:val="none"/>
                <w:lang w:eastAsia="zh-CN"/>
              </w:rPr>
              <w:t>相当于</w:t>
            </w:r>
            <w:r>
              <w:rPr>
                <w:rFonts w:hint="eastAsia" w:ascii="宋体" w:hAnsi="宋体" w:cs="宋体"/>
                <w:color w:val="auto"/>
                <w:szCs w:val="21"/>
                <w:highlight w:val="none"/>
              </w:rPr>
              <w:t>CPU 5218 16核*2同等级别或以上参考品牌型号，主频2.3C以上;内存-32GB DDR4-2666MHz*4;存储2.5英寸 SAS1.2T*3,双交流电源模块，双GE电口双10G光口，raid缓存卡，上架导轨</w:t>
            </w:r>
            <w:r>
              <w:rPr>
                <w:rFonts w:ascii="宋体" w:hAnsi="宋体" w:cs="宋体"/>
                <w:color w:val="auto"/>
                <w:szCs w:val="21"/>
                <w:highlight w:val="none"/>
              </w:rPr>
              <w:t xml:space="preserve"> </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操作系统支持：</w:t>
            </w:r>
            <w:r>
              <w:rPr>
                <w:rFonts w:hint="eastAsia" w:ascii="宋体" w:hAnsi="宋体" w:cs="宋体"/>
                <w:color w:val="auto"/>
                <w:szCs w:val="21"/>
                <w:highlight w:val="none"/>
              </w:rPr>
              <w:t>linux   CentOS-6.7或6.9及正版授权</w:t>
            </w:r>
            <w:r>
              <w:rPr>
                <w:rFonts w:ascii="宋体" w:hAnsi="宋体" w:cs="宋体"/>
                <w:color w:val="auto"/>
                <w:szCs w:val="21"/>
                <w:highlight w:val="none"/>
              </w:rPr>
              <w:t xml:space="preserve"> ； </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 xml:space="preserve">vmware for linux </w:t>
            </w:r>
            <w:r>
              <w:rPr>
                <w:rFonts w:hint="eastAsia" w:ascii="宋体" w:hAnsi="宋体" w:cs="宋体"/>
                <w:color w:val="auto"/>
                <w:szCs w:val="21"/>
                <w:highlight w:val="none"/>
              </w:rPr>
              <w:t>6.0或</w:t>
            </w:r>
            <w:r>
              <w:rPr>
                <w:rFonts w:ascii="宋体" w:hAnsi="宋体" w:cs="宋体"/>
                <w:color w:val="auto"/>
                <w:szCs w:val="21"/>
                <w:highlight w:val="none"/>
              </w:rPr>
              <w:t>6.5</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服务：3 年全国上门有限保修服务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3</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数据库服务器</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1、4路服务器，</w:t>
            </w:r>
            <w:r>
              <w:rPr>
                <w:rFonts w:hint="eastAsia" w:ascii="宋体" w:hAnsi="宋体" w:cs="宋体"/>
                <w:color w:val="auto"/>
                <w:szCs w:val="21"/>
                <w:highlight w:val="none"/>
                <w:lang w:eastAsia="zh-CN"/>
              </w:rPr>
              <w:t>相当于</w:t>
            </w:r>
            <w:r>
              <w:rPr>
                <w:rFonts w:hint="eastAsia" w:ascii="宋体" w:hAnsi="宋体" w:cs="宋体"/>
                <w:color w:val="auto"/>
                <w:szCs w:val="21"/>
                <w:highlight w:val="none"/>
              </w:rPr>
              <w:t>CPU 6132（2.6GHz/14-core/19.25MB）同等级别或以上参考品牌型号处理器*4;2T*4;内存-32GB DDR4-2666MHz*2;存储2.5英寸 SAS1.2T*4,双交流电源模块，四GE电口双10G光口，raid缓存卡，上架导轨</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操作系统支持：</w:t>
            </w:r>
            <w:r>
              <w:rPr>
                <w:rFonts w:hint="eastAsia" w:ascii="宋体" w:hAnsi="宋体" w:cs="宋体"/>
                <w:color w:val="auto"/>
                <w:szCs w:val="21"/>
                <w:highlight w:val="none"/>
              </w:rPr>
              <w:t>linux   CentOS-6.7或6.9及正版授权</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3、</w:t>
            </w:r>
            <w:r>
              <w:rPr>
                <w:rFonts w:ascii="宋体" w:hAnsi="宋体" w:cs="宋体"/>
                <w:color w:val="auto"/>
                <w:szCs w:val="21"/>
                <w:highlight w:val="none"/>
              </w:rPr>
              <w:t>服务：3 年全国上门有限保修服务.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4</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文件系统服务器</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1、2路服务器，</w:t>
            </w:r>
            <w:r>
              <w:rPr>
                <w:rFonts w:hint="eastAsia" w:ascii="宋体" w:hAnsi="宋体" w:cs="宋体"/>
                <w:color w:val="auto"/>
                <w:szCs w:val="21"/>
                <w:highlight w:val="none"/>
                <w:lang w:eastAsia="zh-CN"/>
              </w:rPr>
              <w:t>相当于</w:t>
            </w:r>
            <w:r>
              <w:rPr>
                <w:rFonts w:hint="eastAsia" w:ascii="宋体" w:hAnsi="宋体" w:cs="宋体"/>
                <w:color w:val="auto"/>
                <w:szCs w:val="21"/>
                <w:highlight w:val="none"/>
              </w:rPr>
              <w:t>CPU 4114 10核*2同等级别或以上参考品牌型号，主频2.2以上;内存-32GB DDR4-2666MHz*2;存储3.5英寸 SAS 6T*2,双交流电源模块，双GE电口双10G光口，raid缓存卡</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操作系统支持：</w:t>
            </w:r>
            <w:r>
              <w:rPr>
                <w:rFonts w:hint="eastAsia" w:ascii="宋体" w:hAnsi="宋体" w:cs="宋体"/>
                <w:color w:val="auto"/>
                <w:szCs w:val="21"/>
                <w:highlight w:val="none"/>
              </w:rPr>
              <w:t>linux   CentOS-6.7或6.9及正版授权</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3、</w:t>
            </w:r>
            <w:r>
              <w:rPr>
                <w:rFonts w:ascii="宋体" w:hAnsi="宋体" w:cs="宋体"/>
                <w:color w:val="auto"/>
                <w:szCs w:val="21"/>
                <w:highlight w:val="none"/>
              </w:rPr>
              <w:t>服务：3 年全国上门有限保修服务.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5</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核心交换机</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以太网交换机主机，交换路由引擎模块，一块48端口千兆以太网电接口业务板，一块24端口千兆以太网电接口(RJ45)+4端口万兆以太网光接口业务板，交流电源模块，300W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6</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机柜</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42U服务器机柜(含PDU排插)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7</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网闸</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硬件:采用2+1硬件架构，内外端机+专用传输隔离部件，2U高设备，≥64G SSD固态硬盘，内端机有≥5个千兆电口+2个千兆光口+1个管理口，外端机有≥5个千兆电口+2个千兆光口+1个HA口。性能:网络吞吐量为≥700Mbps,系统整体时延&lt;1ms,并发连接数≥20000。功能:内外端机为TCP/IP网络协议的终点，内外端机之间采用专用硬件和专用协议进行连接；支持只能通过内端机上的管理口对网闸进行配置，支持上网访问、邮件访问、文件传输、文件同步、数据库访问等功能，支持视频传输模块，支持自定义专用协议，安全管理支持由安全管理员、系统管理员和安全审计员进行三权分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8</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数据库审计</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性能指标:单向数据库流量400M硬件指标: 1U,单电源，≥6个千兆电口+≥2个千兆光口，≥2TB SATA硬盘；内存≥8G，双电源，吞吐能力≥2000M，峰值事务处理能力≥20000(条/秒)，日志数量存储≥4亿条，支持≥12个数据库实例。能为用户提供完整的数据库审计分析、泄密轨迹分析、数据库访问关系可视、数据库攻击威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9</w:t>
            </w:r>
          </w:p>
        </w:tc>
        <w:tc>
          <w:tcPr>
            <w:tcW w:w="2704" w:type="dxa"/>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防火墙</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多核AMP+架构，网络处理能力为8G，并发连接≥210万，每秒新建连接10万/秒， 标准2U机箱，单交流电源，标准配置6个10/100/1000M自适应电口，2个SFP插槽，支持1个扩展槽，1个Console口，配置64GB SSD固态硬盘，支持液晶屏；含应用控制、URL过滤、病毒防护、入侵防御、威胁情报检测功能模块 ；及3年全功能模块升级服务。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15" w:type="dxa"/>
            <w:vAlign w:val="center"/>
          </w:tcPr>
          <w:p>
            <w:pPr>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10</w:t>
            </w:r>
          </w:p>
        </w:tc>
        <w:tc>
          <w:tcPr>
            <w:tcW w:w="2704" w:type="dxa"/>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路由器</w:t>
            </w:r>
          </w:p>
        </w:tc>
        <w:tc>
          <w:tcPr>
            <w:tcW w:w="690"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0"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4568"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千兆综合业务网关(4GE(2Combo)+2SFP,支持HD,双交流电源)  IPV4转发性能：9～40Mpps；支持SATA HDD硬盘；支持SIC插槽； 1个机架高度（1RU）；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437" w:type="dxa"/>
            <w:gridSpan w:val="5"/>
            <w:vAlign w:val="center"/>
          </w:tcPr>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二、采购预算：人民币柒拾万元整（￥700000.00），供应商的最终报价超过采购预算的，将导致其谈判被拒绝。</w:t>
            </w:r>
          </w:p>
          <w:p>
            <w:pPr>
              <w:tabs>
                <w:tab w:val="left" w:pos="180"/>
                <w:tab w:val="left" w:pos="1620"/>
              </w:tabs>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三、核心产品：本表的核心产品为</w:t>
            </w:r>
            <w:r>
              <w:rPr>
                <w:rFonts w:hint="eastAsia" w:ascii="宋体" w:hAnsi="宋体" w:cs="宋体"/>
                <w:b/>
                <w:bCs/>
                <w:color w:val="auto"/>
                <w:szCs w:val="21"/>
                <w:highlight w:val="none"/>
                <w:u w:val="single"/>
              </w:rPr>
              <w:t>：电子签名服务器</w:t>
            </w:r>
          </w:p>
          <w:p>
            <w:pPr>
              <w:tabs>
                <w:tab w:val="left" w:pos="180"/>
                <w:tab w:val="left" w:pos="1620"/>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四、商务条款:</w:t>
            </w:r>
          </w:p>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1.交货期：自合同签订之日起15个日历日交货安装并调试完毕。</w:t>
            </w:r>
          </w:p>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2.合同签订时间：自成交通知书发出之日起7个工作日内。</w:t>
            </w:r>
          </w:p>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3.交货地点：平南县采购人指定地点；</w:t>
            </w:r>
          </w:p>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4.付款方式：硬件安装调试验收合格完毕后15个工作日内支付50%合同款，硬件安装正常运行3个月后向乙方支付合同金额的45%，剩余5%在三年期满后30个工作日内支付。</w:t>
            </w:r>
          </w:p>
          <w:p>
            <w:pPr>
              <w:tabs>
                <w:tab w:val="left" w:pos="180"/>
                <w:tab w:val="left" w:pos="1620"/>
              </w:tabs>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5.服务要求：</w:t>
            </w:r>
            <w:r>
              <w:rPr>
                <w:rFonts w:hint="eastAsia" w:ascii="宋体" w:hAnsi="宋体" w:cs="宋体"/>
                <w:color w:val="auto"/>
                <w:szCs w:val="21"/>
                <w:highlight w:val="none"/>
              </w:rPr>
              <w:tab/>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按厂家承诺实行“三包”，所有货物质保期为三年，三年内免费上门服务。（1）所有货物均免费送货上门，免费提供基本的使用、操作培训；（2）发生质量问题时接到通知后2小时内响应，24小时内到达现场处理；（3）定期回访；</w:t>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2、竞标报价包含货物、随配附件、备品备件、工具、运抵指定交货地点、安装、投放所需设备、委托培训费和售后服务、税金、检验、验收及所有的不定因素的风险等费用的总和；</w:t>
            </w:r>
          </w:p>
          <w:p>
            <w:pPr>
              <w:tabs>
                <w:tab w:val="left" w:pos="180"/>
                <w:tab w:val="left" w:pos="1620"/>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四、进口产品说明</w:t>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本项目货物不接受进口产品（即通过中国海关报关验放进入中国境内且产自关境外的产品）参与竞标，如有此类产品参与竞标的</w:t>
            </w:r>
            <w:r>
              <w:rPr>
                <w:rFonts w:hint="eastAsia" w:ascii="宋体" w:hAnsi="宋体" w:cs="宋体"/>
                <w:b/>
                <w:color w:val="auto"/>
                <w:szCs w:val="21"/>
                <w:highlight w:val="none"/>
              </w:rPr>
              <w:t>响应文件作无效处理</w:t>
            </w:r>
            <w:r>
              <w:rPr>
                <w:rFonts w:hint="eastAsia" w:ascii="宋体" w:hAnsi="宋体" w:cs="宋体"/>
                <w:color w:val="auto"/>
                <w:szCs w:val="21"/>
                <w:highlight w:val="none"/>
              </w:rPr>
              <w:t>。</w:t>
            </w:r>
          </w:p>
          <w:p>
            <w:pPr>
              <w:numPr>
                <w:ilvl w:val="0"/>
                <w:numId w:val="11"/>
              </w:numPr>
              <w:tabs>
                <w:tab w:val="left" w:pos="180"/>
                <w:tab w:val="left" w:pos="1620"/>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验收标准</w:t>
            </w:r>
          </w:p>
          <w:p>
            <w:pPr>
              <w:tabs>
                <w:tab w:val="left" w:pos="180"/>
                <w:tab w:val="left" w:pos="1620"/>
              </w:tabs>
              <w:spacing w:line="400" w:lineRule="exact"/>
              <w:rPr>
                <w:rFonts w:ascii="宋体" w:hAnsi="宋体" w:cs="宋体"/>
                <w:color w:val="auto"/>
                <w:szCs w:val="21"/>
                <w:highlight w:val="none"/>
              </w:rPr>
            </w:pPr>
            <w:r>
              <w:rPr>
                <w:rFonts w:hint="eastAsia" w:ascii="宋体" w:hAnsi="宋体" w:cs="宋体"/>
                <w:color w:val="auto"/>
                <w:szCs w:val="21"/>
                <w:highlight w:val="none"/>
              </w:rPr>
              <w:t>1、中标人交货前应对产品作出全面检查和对验收文件进行整理列出清单，作为采购人收货验收和使用的技术条件依据，检验的结果应随货物交采购人。</w:t>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2、采购人对中标人所交货物及服务依照磋商文件上的技术规格要求和国家有关标准进行现场验收。 </w:t>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3、成交人所竞标产品，在质保期如有质量监督部门要求对产品进行检测、检验时，必须派出厂方代表协助检查，无论产品有无质量问题，成交人均应承担全部费用及相应的责任；</w:t>
            </w:r>
          </w:p>
          <w:p>
            <w:pPr>
              <w:tabs>
                <w:tab w:val="left" w:pos="180"/>
                <w:tab w:val="left" w:pos="162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4、交货时，所有产品均严格按签订的政府采购合同、供应商响应和承诺的技术参数及性能和国家有关标准进行验收，达不到要求的不予验收，视为产品验收不合格，采购单位可解除双方的供货合同。</w:t>
            </w:r>
          </w:p>
          <w:p>
            <w:pPr>
              <w:tabs>
                <w:tab w:val="left" w:pos="180"/>
                <w:tab w:val="left" w:pos="1620"/>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六、其他要求：无。</w:t>
            </w:r>
          </w:p>
          <w:p>
            <w:pPr>
              <w:adjustRightInd w:val="0"/>
              <w:snapToGrid w:val="0"/>
              <w:spacing w:line="360" w:lineRule="exact"/>
              <w:ind w:firstLine="310" w:firstLineChars="147"/>
              <w:rPr>
                <w:rFonts w:ascii="宋体" w:hAnsi="宋体" w:cs="宋体"/>
                <w:b/>
                <w:color w:val="auto"/>
                <w:szCs w:val="21"/>
                <w:highlight w:val="none"/>
              </w:rPr>
            </w:pPr>
            <w:r>
              <w:rPr>
                <w:rFonts w:hint="eastAsia" w:ascii="宋体" w:hAnsi="宋体" w:cs="宋体"/>
                <w:b/>
                <w:color w:val="auto"/>
                <w:szCs w:val="21"/>
                <w:highlight w:val="none"/>
              </w:rPr>
              <w:t>说明：</w:t>
            </w:r>
          </w:p>
          <w:p>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1.上表中的品牌型号、技术参数仅起参考作用，竞争性谈判供应商可选用其他品牌型号替代，但这些替代的产品要实质上相当于或优于参考品牌型号及其技术参数性能（配置）要求。否则，其谈判无效。</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2.凡在“技术参数及性能（配置）要求”中表述为“标配”或“标准配置”的设备，竞争性谈判供应商应在谈判报价表中将其标配参数详细列明。</w:t>
            </w:r>
            <w:r>
              <w:rPr>
                <w:rFonts w:hint="eastAsia" w:ascii="宋体" w:hAnsi="宋体" w:cs="宋体"/>
                <w:bCs/>
                <w:color w:val="auto"/>
                <w:szCs w:val="21"/>
                <w:highlight w:val="none"/>
              </w:rPr>
              <w:t>谈判过程中有可能对</w:t>
            </w:r>
            <w:r>
              <w:rPr>
                <w:rFonts w:hint="eastAsia" w:ascii="宋体" w:hAnsi="宋体" w:cs="宋体"/>
                <w:color w:val="auto"/>
                <w:szCs w:val="21"/>
                <w:highlight w:val="none"/>
              </w:rPr>
              <w:t>采购需求中的技术、服务要求以及合同草案条款做实质性变动。</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3.保修和服务要求：上述有要求的按上述要求；上述无要求的按国家规定实行三包。</w:t>
            </w:r>
          </w:p>
          <w:p>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.谈判报价包括</w:t>
            </w:r>
            <w:r>
              <w:rPr>
                <w:rFonts w:hint="eastAsia" w:ascii="宋体" w:hAnsi="宋体" w:cs="宋体"/>
                <w:color w:val="auto"/>
                <w:highlight w:val="none"/>
              </w:rPr>
              <w:t>货物、服务、随配附件、备品备件、工具、货物运抵指定交货地点、安装、调试的各种费用和售后服务、税金及其它所有成本、费用的总和</w:t>
            </w:r>
            <w:r>
              <w:rPr>
                <w:rFonts w:hint="eastAsia" w:ascii="宋体" w:hAnsi="宋体" w:cs="宋体"/>
                <w:bCs/>
                <w:color w:val="auto"/>
                <w:szCs w:val="21"/>
                <w:highlight w:val="none"/>
              </w:rPr>
              <w:t>。</w:t>
            </w:r>
          </w:p>
          <w:p>
            <w:pPr>
              <w:adjustRightInd w:val="0"/>
              <w:snapToGrid w:val="0"/>
              <w:spacing w:line="36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5.技术需求中带▲参数、要求≥或≤的参数、要求不低于的参数必须完全满足，否则视为实质不响应，谈判无效。</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6.最终报价有时间限制，请竞争性谈判供应商事前准备好各分项报价</w:t>
            </w:r>
          </w:p>
        </w:tc>
      </w:tr>
    </w:tbl>
    <w:p>
      <w:pPr>
        <w:rPr>
          <w:color w:val="auto"/>
          <w:highlight w:val="none"/>
        </w:rPr>
      </w:pPr>
    </w:p>
    <w:p>
      <w:pPr>
        <w:pStyle w:val="2"/>
        <w:jc w:val="center"/>
        <w:rPr>
          <w:rFonts w:ascii="宋体" w:hAnsi="宋体" w:cs="宋体"/>
          <w:color w:val="auto"/>
          <w:highlight w:val="none"/>
        </w:rPr>
      </w:pPr>
      <w:r>
        <w:rPr>
          <w:rFonts w:hint="eastAsia" w:ascii="宋体" w:hAnsi="宋体" w:cs="宋体"/>
          <w:color w:val="auto"/>
          <w:highlight w:val="none"/>
        </w:rPr>
        <w:t>第四章  评审程序、评审方法和评审标准</w:t>
      </w:r>
      <w:bookmarkEnd w:id="66"/>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一、评审程序和评审方法</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（一）磋商小组成立</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3.响应文件的开启：具体详见“供应商须知前附表”。</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（二）响应文件评审程序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4.资格审查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4.1响应文件开启后，磋商小组依法对供应商的资格证明文件进行审查。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4.2资格审查标准为本竞争性磋商文件中载明对供应商资格要求的条件。资格审查采用合格制，凡符合竞争性磋商文件规定的供应商资格要求的响应文件均通过资格审查。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4.3供应商有下列情形之一的，资格审查不通过，其响应文件按无效响应处理：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（1）未按竞争性磋商文件规定的方式获取本竞争性磋商文件的供应商；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（2）不具备竞争性磋商文件中规定的资格要求的；（注：其中信用查询规则见“供应商须知前附表”）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（3）响应文件未提供任一项“供应商须知前附表”资格证明文件规定的“必须提供”的文件资料的；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（4）响应文件提供的资格证明文件出现任一项不符合“供应商须知前附表”资格证明文件规定的“必须提供”的文件资料要求或者无效的。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4.4通过资格审查的合格供应商不足3家的，不得进入符合性审查环节，采购人或采购代理机构应当重新开展采购活动。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5.符合性审查</w:t>
      </w:r>
    </w:p>
    <w:p>
      <w:pPr>
        <w:spacing w:line="400" w:lineRule="exact"/>
        <w:ind w:firstLine="420" w:firstLineChars="200"/>
        <w:rPr>
          <w:rFonts w:ascii="宋体" w:hAnsi="宋体" w:cs="宋体"/>
          <w:color w:val="auto"/>
          <w:szCs w:val="21"/>
          <w:highlight w:val="none"/>
        </w:rPr>
      </w:pPr>
      <w:bookmarkStart w:id="67" w:name="_Hlk42528882"/>
      <w:r>
        <w:rPr>
          <w:rFonts w:hint="eastAsia" w:ascii="宋体" w:hAnsi="宋体" w:cs="宋体"/>
          <w:color w:val="auto"/>
          <w:szCs w:val="21"/>
          <w:highlight w:val="none"/>
        </w:rPr>
        <w:t>5.1由磋商小组对通过资格审查的合格供应商的响应文件的竞标报价、商务、技术等实质性要求进行符合性审查，以确定其是否满足竞争性磋商文件的实质性要求。</w:t>
      </w:r>
    </w:p>
    <w:bookmarkEnd w:id="67"/>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w:t>
      </w:r>
      <w:r>
        <w:rPr>
          <w:rFonts w:hint="eastAsia" w:ascii="宋体" w:hAnsi="宋体" w:cs="宋体"/>
          <w:color w:val="auto"/>
          <w:highlight w:val="none"/>
        </w:rPr>
        <w:t>有利于采购人</w:t>
      </w:r>
      <w:r>
        <w:rPr>
          <w:rFonts w:hint="eastAsia" w:ascii="宋体" w:hAnsi="宋体" w:cs="宋体"/>
          <w:color w:val="auto"/>
          <w:szCs w:val="21"/>
          <w:highlight w:val="none"/>
        </w:rPr>
        <w:t>的原则由磋商小组进行判定。供应商的澄清、说明或者更正应当由法定代表人或其授权代表签字或者加盖公章。由授权代表签字的，</w:t>
      </w:r>
      <w:r>
        <w:rPr>
          <w:rFonts w:hint="eastAsia" w:ascii="宋体" w:hAnsi="宋体" w:cs="宋体"/>
          <w:color w:val="auto"/>
          <w:spacing w:val="-6"/>
          <w:szCs w:val="21"/>
          <w:highlight w:val="none"/>
        </w:rPr>
        <w:t>应当附法定代表人授权书</w:t>
      </w:r>
      <w:r>
        <w:rPr>
          <w:rFonts w:hint="eastAsia" w:ascii="宋体" w:hAnsi="宋体" w:cs="宋体"/>
          <w:color w:val="auto"/>
          <w:szCs w:val="21"/>
          <w:highlight w:val="none"/>
        </w:rPr>
        <w:t>（若委托代理人为响应文件中承诺的授权委托代理人的，无须出示法定代表人授权委托书）</w:t>
      </w:r>
      <w:r>
        <w:rPr>
          <w:rFonts w:hint="eastAsia" w:ascii="宋体" w:hAnsi="宋体" w:cs="宋体"/>
          <w:color w:val="auto"/>
          <w:spacing w:val="-6"/>
          <w:szCs w:val="21"/>
          <w:highlight w:val="none"/>
        </w:rPr>
        <w:t>。供应商为自然人的，应当由本人签字并附身份证明。</w:t>
      </w:r>
    </w:p>
    <w:p>
      <w:pPr>
        <w:spacing w:line="400" w:lineRule="exact"/>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5.4</w:t>
      </w:r>
      <w:r>
        <w:rPr>
          <w:rFonts w:hint="eastAsia" w:ascii="宋体" w:hAnsi="宋体" w:cs="宋体"/>
          <w:color w:val="auto"/>
          <w:szCs w:val="21"/>
          <w:highlight w:val="none"/>
        </w:rPr>
        <w:t xml:space="preserve">首次响应文件报价出现前后不一致的，按照下列规定修正：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5.5商务技术报价评审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2）响应文件未按竞争性磋商文件要求签署、盖章的；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3）委托代理人未能出具有效身份证明或出具的身份证明与授权委托书中的信息不符的；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4）提交的磋商保证金无效的或未按照竞争性磋商文件的规定提交磋商保证金的；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6）商务条款中标“▲”的条款发生负偏离的或允许负偏离的条款数超过“供应商须知前附表”规定项数的或标明实质性的要求发生负偏离的；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7）未对竞标有效期作出响应或响应文件承诺的竞标有效期不满足竞争性磋商文件要求的；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8）响应文件的实质性内容未使用中文表述、使用计量单位不符合竞争性磋商文件要求的；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10）响应文件含有采购人不能接受的附加条件的；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11）属于“供应商须知正文”第7.7条和第7.9条（2）的情形的；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12）明显不满足竞争性磋商文件要求的技术规格、安全、质量标准，或者与竞争性磋商文件中标“▲”的技术需求或标明实质性的要求发生负偏离的；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13）技术需求允许负偏离的条款数超过“供应商须知前附表”规定项数的；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15）竞标技术方案不明确，竞争性磋商文件未允许</w:t>
      </w:r>
      <w:r>
        <w:rPr>
          <w:rFonts w:hint="eastAsia" w:ascii="宋体" w:hAnsi="宋体" w:cs="宋体"/>
          <w:color w:val="auto"/>
          <w:highlight w:val="none"/>
        </w:rPr>
        <w:t>但响应文件中</w:t>
      </w:r>
      <w:r>
        <w:rPr>
          <w:rFonts w:hint="eastAsia" w:ascii="宋体" w:hAnsi="宋体" w:cs="宋体"/>
          <w:color w:val="auto"/>
          <w:szCs w:val="21"/>
          <w:highlight w:val="none"/>
        </w:rPr>
        <w:t>存在一个或一个以上备选（替代）竞标方案的；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16）未响应竞争性磋商文件实质性要求的；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17）法律、法规和竞争性磋商文件规定的其他无效情形。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响应文件未提供“供应商须知前附表”第12.2条规定中的“竞标报价表”的；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8" w:name="_Hlk42596405"/>
      <w:r>
        <w:rPr>
          <w:rFonts w:hint="eastAsia" w:ascii="宋体" w:hAnsi="宋体" w:cs="宋体"/>
          <w:color w:val="auto"/>
          <w:szCs w:val="21"/>
          <w:highlight w:val="none"/>
        </w:rPr>
        <w:t>竞标报价（包含首次报价、最后报价）</w:t>
      </w:r>
      <w:bookmarkEnd w:id="68"/>
      <w:bookmarkStart w:id="69" w:name="_Hlk42596276"/>
      <w:r>
        <w:rPr>
          <w:rFonts w:hint="eastAsia" w:ascii="宋体" w:hAnsi="宋体" w:cs="宋体"/>
          <w:color w:val="auto"/>
          <w:szCs w:val="21"/>
          <w:highlight w:val="none"/>
        </w:rPr>
        <w:t>超过竞争性磋商文件分项采购预算金额或者最高限价的</w:t>
      </w:r>
      <w:bookmarkEnd w:id="69"/>
      <w:r>
        <w:rPr>
          <w:rFonts w:hint="eastAsia" w:ascii="宋体" w:hAnsi="宋体" w:cs="宋体"/>
          <w:color w:val="auto"/>
          <w:szCs w:val="21"/>
          <w:highlight w:val="none"/>
        </w:rPr>
        <w:t>（如本项目公布了最高限价）；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5.7通过符合性审查的合格供应商不足3家的，不得进入磋商环节，采购人或采购代理机构应当重新开展采购活动。</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（三）磋商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8.对竞争性磋商文件作出的实质性变动是竞争性磋商文件的有效组成部分，由磋商小组及时以书面形式同时通知所有参加磋商的供应商。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 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11.采购代理机构对磋商过程和重要磋商内容进行记录，磋商双方在记录上签字确认。</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12.磋商过程中重新提交的响应文件，供应商可以在开启前补充、修改。</w:t>
      </w:r>
    </w:p>
    <w:p>
      <w:pPr>
        <w:widowControl/>
        <w:tabs>
          <w:tab w:val="left" w:pos="54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 对磋商过程提交的响应文件进行有效性、完整性和响应程度审查，通过审查的合格供应商不足3家的，除本章第13条的情形外，采购人或采购代理机构应当重新开展采购活动。</w:t>
      </w:r>
    </w:p>
    <w:p>
      <w:pPr>
        <w:widowControl/>
        <w:tabs>
          <w:tab w:val="left" w:pos="540"/>
        </w:tabs>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（四）最后报价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15.竞争性磋商文件能够详细列明采购标的的技术、服务要求的，磋商结束后，由磋商小组要求所有继续参加磋商的供应商在规定时间内密封提交最后报价，提交最后报价的供应商不得少于3家。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 最后报价是供应商响应文件的有效组成部分。符合《政府采购竞争性磋商采购方式管理暂行办法》（财库〔2014〕214号）第三条第四项“市场竞争不充分的科研项目，以及需要扶持的科技成果转化项目”和本章第13条情形的，提交最后报价的供应商可以为2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17.已经提交响应文件的供应商，在提交最后报价之前，可以根据磋商情况退出磋商，退出磋商的供应商的响应文件按无效响应处理。采购人、采购代理机构将退还退出磋商的供应商的保证金。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18.供应商未在规定时间内提交最后报价的，视同退出磋商。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19.磋商小组收齐某一分标最后报价后统一开启，磋商小组对最后报价进行有效性、完整性和响应程度的审查。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20.响应文件最后报价出现前后不一致的，按照本章第5.4条的规定修正。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21.修正后的报价出现下列情形的，按无效响应处理：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22.经供应商确认修正后的最后报价作为评审及签订合同的依据。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23.最后报价结束后，磋商小组不得再与供应商进行任何形式的商谈。</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（五）比较与评价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24.评审方法：综合评分法。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25.经磋商确定最终采购需求和提交最后报价的供应商后，由磋商小组采用综合评分法对提交最后报价的供应商的响应文件和最后报价进行综合评分。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26.评审时，磋商小组各成员应当独立对每个有效响应的文件进行评价、打分，然后汇总每个供应商每项评分因素的得分。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27.评审价为供应商的最后报价进行政策性扣除后的价格，评审价只是作为评审时使用。最终成交供应商的成交金额等于最后报价（如有修正，以确认修正后的最后报价为准）。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二、评审标准</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评审依据：磋商小组将以磋商响应文件为评审依据，对供应商的报价、技术、商务等方面内容按百分制打分。（计分方法按四舍五入取至百分位）</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A分标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18" w:type="dxa"/>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288" w:type="dxa"/>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18"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288" w:type="dxa"/>
          </w:tcPr>
          <w:p>
            <w:pPr>
              <w:spacing w:line="400" w:lineRule="exact"/>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评审价为供应商的最后报价进行政策性扣除后的价格，评审价只是作为评审时使用。最终成交供应商的成交金额等于最后报价（如有修正，以确认修正后的最后报价为准）。</w:t>
            </w:r>
          </w:p>
          <w:p>
            <w:pPr>
              <w:pStyle w:val="12"/>
              <w:spacing w:line="400" w:lineRule="exact"/>
              <w:rPr>
                <w:rFonts w:hAnsi="宋体" w:cs="宋体"/>
                <w:color w:val="auto"/>
                <w:highlight w:val="none"/>
              </w:rPr>
            </w:pPr>
            <w:r>
              <w:rPr>
                <w:rFonts w:hint="eastAsia" w:hAnsi="宋体" w:cs="宋体"/>
                <w:bCs/>
                <w:color w:val="auto"/>
                <w:kern w:val="2"/>
                <w:sz w:val="21"/>
                <w:highlight w:val="none"/>
              </w:rPr>
              <w:t>2.政府采购政策性扣除计算方法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按照《政府采购促进中小企业发展暂行办法》（财库〔2011〕181号）的规定，供应商为小型和微型企业，并在其响应文件中提供《中小企业声明函》，且其所竞标产品全部为小型和微型企业产品的，对其最后报价给予10%的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（4）政策性扣除计算方法。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供应商被评定为监狱企业或残疾人福利性单位或小型和微型企业且其所竞标全部产品为小型和微型企业产品的，该供应商的最后报价给予10%的扣除，扣除后的价格为评审价，即评审价=最后报价×（1-10%）。</w:t>
            </w:r>
          </w:p>
          <w:p>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（5）除上述情况外，评审价＝最后报价。</w:t>
            </w:r>
          </w:p>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（6）以进入比较与评价环节的最低的评审价为基准价，基准价得分为</w:t>
            </w:r>
            <w:r>
              <w:rPr>
                <w:rFonts w:hint="eastAsia" w:hAnsi="宋体" w:cs="宋体"/>
                <w:bCs/>
                <w:color w:val="auto"/>
                <w:kern w:val="2"/>
                <w:sz w:val="21"/>
                <w:highlight w:val="none"/>
                <w:u w:val="single"/>
              </w:rPr>
              <w:t>10分</w:t>
            </w:r>
            <w:r>
              <w:rPr>
                <w:rFonts w:hint="eastAsia" w:hAnsi="宋体" w:cs="宋体"/>
                <w:bCs/>
                <w:color w:val="auto"/>
                <w:kern w:val="2"/>
                <w:sz w:val="21"/>
                <w:highlight w:val="none"/>
              </w:rPr>
              <w:t>。</w:t>
            </w:r>
          </w:p>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（7）价格分计算公式：</w:t>
            </w:r>
          </w:p>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报价得分=（基准价/评审价）×</w:t>
            </w:r>
            <w:r>
              <w:rPr>
                <w:rFonts w:hint="eastAsia" w:hAnsi="宋体" w:cs="宋体"/>
                <w:bCs/>
                <w:color w:val="auto"/>
                <w:kern w:val="2"/>
                <w:sz w:val="21"/>
                <w:highlight w:val="none"/>
                <w:u w:val="single"/>
              </w:rPr>
              <w:t xml:space="preserve"> 10分</w:t>
            </w:r>
          </w:p>
        </w:tc>
        <w:tc>
          <w:tcPr>
            <w:tcW w:w="851"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2</w:t>
            </w:r>
          </w:p>
        </w:tc>
        <w:tc>
          <w:tcPr>
            <w:tcW w:w="1418"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7139" w:type="dxa"/>
            <w:gridSpan w:val="2"/>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33" w:type="dxa"/>
            <w:vAlign w:val="center"/>
          </w:tcPr>
          <w:p>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418" w:type="dxa"/>
            <w:vAlign w:val="center"/>
          </w:tcPr>
          <w:p>
            <w:pPr>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b/>
                <w:bCs/>
                <w:color w:val="auto"/>
                <w:kern w:val="0"/>
                <w:szCs w:val="21"/>
                <w:highlight w:val="none"/>
              </w:rPr>
              <w:t>系统建设技术方案分</w:t>
            </w:r>
          </w:p>
        </w:tc>
        <w:tc>
          <w:tcPr>
            <w:tcW w:w="6288" w:type="dxa"/>
            <w:vAlign w:val="center"/>
          </w:tcPr>
          <w:p>
            <w:pPr>
              <w:widowControl/>
              <w:spacing w:line="360" w:lineRule="exact"/>
              <w:ind w:firstLine="420" w:firstLineChars="200"/>
              <w:rPr>
                <w:rFonts w:ascii="宋体" w:hAnsi="宋体" w:cs="微软雅黑"/>
                <w:color w:val="auto"/>
                <w:szCs w:val="21"/>
                <w:highlight w:val="none"/>
              </w:rPr>
            </w:pPr>
            <w:r>
              <w:rPr>
                <w:rFonts w:hint="eastAsia" w:ascii="宋体" w:hAnsi="宋体" w:cs="微软雅黑"/>
                <w:color w:val="auto"/>
                <w:szCs w:val="21"/>
                <w:highlight w:val="none"/>
              </w:rPr>
              <w:t>一档（5分）：基本满足系统功能需求，能描述分析医疗收费电子票据信息管理系统基础数据、票据管理、开票管理、对账管理、归档管理、报表查询、预交金管理、数据核对、监管分析、接口管理十大模块，基本满足建设需求。</w:t>
            </w:r>
          </w:p>
          <w:p>
            <w:pPr>
              <w:widowControl/>
              <w:spacing w:line="360" w:lineRule="exact"/>
              <w:ind w:firstLine="420" w:firstLineChars="200"/>
              <w:rPr>
                <w:rFonts w:ascii="宋体" w:hAnsi="宋体" w:cs="微软雅黑"/>
                <w:color w:val="auto"/>
                <w:szCs w:val="21"/>
                <w:highlight w:val="none"/>
              </w:rPr>
            </w:pPr>
            <w:r>
              <w:rPr>
                <w:rFonts w:hint="eastAsia" w:ascii="宋体" w:hAnsi="宋体" w:cs="微软雅黑"/>
                <w:color w:val="auto"/>
                <w:szCs w:val="21"/>
                <w:highlight w:val="none"/>
              </w:rPr>
              <w:t>二档（14分）：在一档基础上，详细阐述医疗收费电子票据信息管理系统管理员业务功能如基础数据、系统管理、接口管理、系统配置等功能模块；票管员模块如票据管理、开票管理、对账管理、归档管理、报表统计、预交金管理、数据核对等功能模块。按照财政部【财综〔 2017 〕 32号】财政电子票据业务规范，医疗财政电子票据作为财政票据的一种，最终需要完成和省级财政票据管理系统的对接，可提供完整的技术保障方案，系统构架合理，基本满足系统功能需求。（每个功能及其子模块均须提供系统操作界面截图和描述介绍，同时提供省一级财政部门财政票据建设案例合同（包括但不限于合同封面页、采购标的物页、合同日期和金额页、签字盖章页及发票），（缺少对应材料该档不得分）</w:t>
            </w:r>
          </w:p>
          <w:p>
            <w:pPr>
              <w:widowControl/>
              <w:spacing w:line="360" w:lineRule="exact"/>
              <w:ind w:firstLine="420" w:firstLineChars="200"/>
              <w:rPr>
                <w:rFonts w:ascii="宋体" w:hAnsi="宋体" w:cs="微软雅黑"/>
                <w:color w:val="auto"/>
                <w:szCs w:val="21"/>
                <w:highlight w:val="none"/>
              </w:rPr>
            </w:pPr>
            <w:r>
              <w:rPr>
                <w:rFonts w:hint="eastAsia" w:ascii="宋体" w:hAnsi="宋体" w:cs="微软雅黑"/>
                <w:color w:val="auto"/>
                <w:szCs w:val="21"/>
                <w:highlight w:val="none"/>
              </w:rPr>
              <w:t>三档（25分）：在完全满足二档基础上，分析基层医疗机构和采购人的现状，建设内容、建设原则、业务功能架构、网络部署结构、业务流程、系统架构和技术需求，详细阐述系统的业务架构、技术架构、部署结构；合理设计系统多类应用的开发框架、开发语言、开发工具、设计工具、中间件应用和数据存储方式；有一定的质量控制措施，安全和应急保障措施；同时全面考虑系统安全及代码的可靠性，须提供供应商开发或所投的医疗收费电子票据信息管理系统与财政对接的系统满足中国网络安全审查技术与认证中心出具的IT产品信息安全认证证书（提供相关报告及机构认证证书复印件并加盖公章，缺少对应材料该档不得分）</w:t>
            </w:r>
          </w:p>
        </w:tc>
        <w:tc>
          <w:tcPr>
            <w:tcW w:w="851" w:type="dxa"/>
            <w:vAlign w:val="center"/>
          </w:tcPr>
          <w:p>
            <w:pPr>
              <w:spacing w:line="400" w:lineRule="exact"/>
              <w:jc w:val="center"/>
              <w:rPr>
                <w:rFonts w:ascii="宋体" w:hAnsi="宋体" w:cs="宋体"/>
                <w:color w:val="auto"/>
                <w:kern w:val="0"/>
                <w:szCs w:val="21"/>
                <w:highlight w:val="none"/>
              </w:rPr>
            </w:pPr>
            <w:r>
              <w:rPr>
                <w:rFonts w:hint="eastAsia" w:ascii="宋体" w:hAnsi="宋体"/>
                <w:b/>
                <w:bCs/>
                <w:color w:val="auto"/>
                <w:kern w:val="0"/>
                <w:szCs w:val="21"/>
                <w:highlight w:val="none"/>
              </w:rPr>
              <w:t>满分</w:t>
            </w:r>
            <w:r>
              <w:rPr>
                <w:rFonts w:ascii="宋体" w:hAnsi="宋体"/>
                <w:b/>
                <w:bCs/>
                <w:color w:val="auto"/>
                <w:kern w:val="0"/>
                <w:szCs w:val="21"/>
                <w:highlight w:val="none"/>
              </w:rPr>
              <w:t>25</w:t>
            </w:r>
            <w:r>
              <w:rPr>
                <w:rFonts w:hint="eastAsia" w:ascii="宋体" w:hAnsi="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418" w:type="dxa"/>
            <w:vAlign w:val="center"/>
          </w:tcPr>
          <w:p>
            <w:pPr>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b/>
                <w:bCs/>
                <w:color w:val="auto"/>
                <w:kern w:val="0"/>
                <w:szCs w:val="21"/>
                <w:highlight w:val="none"/>
              </w:rPr>
              <w:t>项目实施及</w:t>
            </w:r>
            <w:r>
              <w:rPr>
                <w:rFonts w:ascii="宋体" w:hAnsi="宋体"/>
                <w:b/>
                <w:bCs/>
                <w:color w:val="auto"/>
                <w:kern w:val="0"/>
                <w:szCs w:val="21"/>
                <w:highlight w:val="none"/>
              </w:rPr>
              <w:t>培训</w:t>
            </w:r>
            <w:r>
              <w:rPr>
                <w:rFonts w:hint="eastAsia" w:ascii="宋体" w:hAnsi="宋体"/>
                <w:b/>
                <w:bCs/>
                <w:color w:val="auto"/>
                <w:kern w:val="0"/>
                <w:szCs w:val="21"/>
                <w:highlight w:val="none"/>
              </w:rPr>
              <w:t>方案分</w:t>
            </w:r>
          </w:p>
        </w:tc>
        <w:tc>
          <w:tcPr>
            <w:tcW w:w="6288" w:type="dxa"/>
            <w:vAlign w:val="center"/>
          </w:tcPr>
          <w:p>
            <w:pPr>
              <w:pStyle w:val="12"/>
              <w:spacing w:line="400" w:lineRule="exact"/>
              <w:ind w:firstLine="420" w:firstLineChars="200"/>
              <w:rPr>
                <w:rFonts w:hAnsi="宋体" w:cs="微软雅黑"/>
                <w:color w:val="auto"/>
                <w:sz w:val="21"/>
                <w:szCs w:val="21"/>
                <w:highlight w:val="none"/>
              </w:rPr>
            </w:pPr>
            <w:r>
              <w:rPr>
                <w:rFonts w:hint="eastAsia" w:hAnsi="宋体" w:cs="微软雅黑"/>
                <w:color w:val="auto"/>
                <w:sz w:val="21"/>
                <w:szCs w:val="21"/>
                <w:highlight w:val="none"/>
              </w:rPr>
              <w:t>一档（5分）：方案一般，基本满足建设需求。</w:t>
            </w:r>
          </w:p>
          <w:p>
            <w:pPr>
              <w:pStyle w:val="12"/>
              <w:spacing w:line="400" w:lineRule="exact"/>
              <w:ind w:firstLine="420" w:firstLineChars="200"/>
              <w:rPr>
                <w:rFonts w:hAnsi="宋体" w:cs="微软雅黑"/>
                <w:color w:val="auto"/>
                <w:sz w:val="21"/>
                <w:szCs w:val="21"/>
                <w:highlight w:val="none"/>
              </w:rPr>
            </w:pPr>
            <w:r>
              <w:rPr>
                <w:rFonts w:hint="eastAsia" w:hAnsi="宋体" w:cs="微软雅黑"/>
                <w:color w:val="auto"/>
                <w:sz w:val="21"/>
                <w:szCs w:val="21"/>
                <w:highlight w:val="none"/>
              </w:rPr>
              <w:t>二档（9分）：能根据采购人管理的要求，充分考虑医疗机构的需求。以基层医疗机构预交金等业务为例，提出有针对性的系统设计和实施服务方案。详细阐述票管员模块如票据管理、开票管理、对账管理、归档管理、报表统计、预交金管理、数据核对等功能模块。（每个功能及其子模块均须提供系统操作界面截图和描述介绍，缺少对应材料该档不得分）。同时应充分证明该系统设计符合基层医疗机构和采购人使用诉求，稳定安全可靠，售后服务及时到位且具备一定软件服务交付能力。【须提供供应商或供应商所用系统开发商的医疗收费电子票据信息管理系统的用户使用证明及合同文件（包括但不限于合同封面页、采购标的物页、合同日期和金额页、签字盖章页、发票及上线报告）复印件加盖公章，缺少对应材料该档不得分；提供中国软件行业协会颁发的“软件服务商交付能力证书”达到二级或以上交付能力证书，缺少对应材料该档不得分】。</w:t>
            </w:r>
          </w:p>
          <w:p>
            <w:pPr>
              <w:pStyle w:val="12"/>
              <w:spacing w:line="400" w:lineRule="exact"/>
              <w:ind w:firstLine="420" w:firstLineChars="200"/>
              <w:rPr>
                <w:rFonts w:hAnsi="宋体" w:cs="微软雅黑"/>
                <w:color w:val="auto"/>
                <w:highlight w:val="none"/>
              </w:rPr>
            </w:pPr>
            <w:r>
              <w:rPr>
                <w:rFonts w:hint="eastAsia" w:hAnsi="宋体" w:cs="微软雅黑"/>
                <w:color w:val="auto"/>
                <w:sz w:val="21"/>
                <w:szCs w:val="21"/>
                <w:highlight w:val="none"/>
              </w:rPr>
              <w:t>三档（15分）：结合做过的实际上线案例经验，详细分析业务需求，提出合理可行的系统建设优化建议和解决措施，说明系统建设和实施培训过程中存在的关键问题和解决方案，包括系统建设的开发、测试、部署上线，以及财政部、自治区财政厅、归属财政局、采购人和医疗机构本身的要求。同时应充分考虑医疗收费电子票据信息管理系统和广西壮族自治区财政票据电子化管理系统的无缝连接，根据广西壮族自治区财政票据电子化管理系统协调推进工作要求提出对应的设计和实施方案。（为了响应国产化要求，须提供供应商或供应商所用系统开发商的财政电子票据管理系统与采购人现有的深圳金蝶天燕Apusic应用服务器产品兼容性认证，提供相关报告及机构认证证书复印件并加盖公章，缺少对应材料该档不得分）</w:t>
            </w:r>
          </w:p>
        </w:tc>
        <w:tc>
          <w:tcPr>
            <w:tcW w:w="851" w:type="dxa"/>
            <w:vAlign w:val="center"/>
          </w:tcPr>
          <w:p>
            <w:pPr>
              <w:spacing w:line="400" w:lineRule="exact"/>
              <w:jc w:val="center"/>
              <w:rPr>
                <w:rFonts w:ascii="宋体" w:hAnsi="宋体" w:cs="宋体"/>
                <w:color w:val="auto"/>
                <w:kern w:val="0"/>
                <w:szCs w:val="21"/>
                <w:highlight w:val="none"/>
              </w:rPr>
            </w:pPr>
            <w:r>
              <w:rPr>
                <w:rFonts w:hint="eastAsia" w:ascii="宋体" w:hAnsi="宋体"/>
                <w:b/>
                <w:color w:val="auto"/>
                <w:sz w:val="22"/>
                <w:highlight w:val="none"/>
              </w:rPr>
              <w:t>满分</w:t>
            </w:r>
            <w:r>
              <w:rPr>
                <w:rFonts w:ascii="宋体" w:hAnsi="宋体"/>
                <w:b/>
                <w:color w:val="auto"/>
                <w:sz w:val="22"/>
                <w:highlight w:val="none"/>
              </w:rPr>
              <w:t>1</w:t>
            </w:r>
            <w:r>
              <w:rPr>
                <w:rFonts w:hint="eastAsia" w:ascii="宋体" w:hAnsi="宋体"/>
                <w:b/>
                <w:color w:val="auto"/>
                <w:sz w:val="22"/>
                <w:highlight w:val="none"/>
                <w:lang w:val="en-US" w:eastAsia="zh-CN"/>
              </w:rPr>
              <w:t>5</w:t>
            </w:r>
            <w:bookmarkStart w:id="181" w:name="_GoBack"/>
            <w:bookmarkEnd w:id="181"/>
            <w:r>
              <w:rPr>
                <w:rFonts w:hint="eastAsia" w:ascii="宋体" w:hAnsi="宋体"/>
                <w:b/>
                <w:color w:val="auto"/>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3" w:type="dxa"/>
            <w:vAlign w:val="center"/>
          </w:tcPr>
          <w:p>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418" w:type="dxa"/>
            <w:vAlign w:val="center"/>
          </w:tcPr>
          <w:p>
            <w:pPr>
              <w:adjustRightInd w:val="0"/>
              <w:snapToGrid w:val="0"/>
              <w:spacing w:line="400" w:lineRule="exact"/>
              <w:ind w:firstLine="105" w:firstLineChars="50"/>
              <w:rPr>
                <w:rFonts w:ascii="宋体" w:hAnsi="宋体" w:cs="宋体"/>
                <w:bCs/>
                <w:color w:val="auto"/>
                <w:szCs w:val="21"/>
                <w:highlight w:val="none"/>
              </w:rPr>
            </w:pPr>
            <w:r>
              <w:rPr>
                <w:rFonts w:hint="eastAsia" w:ascii="宋体" w:hAnsi="宋体" w:cs="宋体"/>
                <w:b/>
                <w:bCs w:val="0"/>
                <w:color w:val="auto"/>
                <w:szCs w:val="21"/>
                <w:highlight w:val="none"/>
              </w:rPr>
              <w:t>系统演示分</w:t>
            </w:r>
          </w:p>
        </w:tc>
        <w:tc>
          <w:tcPr>
            <w:tcW w:w="6288" w:type="dxa"/>
            <w:vAlign w:val="center"/>
          </w:tcPr>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演示说明：不能提供演示的则演示分为0分。演示时必须提供具备实时动态数据的医疗收费电子票据信息管理系统系统进行演示，不得使用静态页面系统、PPT或截图等方式进行演示，否则视为演示无效得0分。供应商在进行演示时，应先简述系统所含全部功能，并在演示过程中直接指出系统在界面直观友好、操作简便上的特点。</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主要演示：</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医疗机构票据申领、票据申退、票据开具及查验、票据审验、票据作废和销毁、单位票据期初库存导入、单位票据印制计划编制上报、单位票据印制计划调整、电子票据单笔和批量入账功能、系统参数设置、开票点管理、任务调度管理、接收授权管理；</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2、采购人监管分析及统计查询功能，包含：医疗机构用票总览、门诊/住院开票分析、医疗收入统计分析、医疗收费价格监管；</w:t>
            </w:r>
          </w:p>
          <w:p>
            <w:pPr>
              <w:widowControl/>
              <w:spacing w:line="40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一档（6分）：简单描述系统功能，业务数据都是已经生成的，无任何实时动态数据演示。</w:t>
            </w:r>
          </w:p>
          <w:p>
            <w:pPr>
              <w:widowControl/>
              <w:spacing w:line="40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二档（18分）：在一档的基础上能够详细描述系统功能和业务逻辑，能够提供具备实时动态数据的医疗收费电子票据信息管理系统演示，能演示以下基础数据管理功能：</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票据申领功能：以具备实时动态数据的医疗收费电子票据信息管理系统作为展示系统，可通过用户登录系统，通过新增，填写申领人、联系电话、单位地址、票据编码、票据名称、数量等票据申领信息，通过系统数据上报功能，报送财政票据管理部门，财政票据管理部门进行审核出库后，单位通过系统进行入库确认操作，单位可以根据需要在申领界面查询历史以往数据及申领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票据申退功能：以具备实时动态数据的医疗收费电子票据信息管理系统作为展示系统，1、演示开票点人员对于票管员已经下发入库的票据进行申退，申退给票管员，票管员可以实时根据单位开票情况及时重新分配各个开票点库存；2、演示因为财政出库失误导致票管员已经出库给开票点的入库票据回收给票管员，由票管员核对后申退给财政部门，由财政部门审批备案。</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3）期初票据库存导入功能：以具备实时动态数据的医疗收费电子票据信息管理系统作为展示系统，票管员通过登录系统，对于已经和财政部门确认的单位旧的票据库存，通过在线录入或导入方式维护，维护后上报财政票据管理部门审核确认备案。单位可以根据需要在期初票据库存导入界面查询历史以往数据及财政库存确认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4）票据印制计划编制功能：以具备实时动态数据的医疗收费电子票据信息管理系统作为展示系统，票管员通过登录系统按照财政部门要求上报本年度纸质票据印制计划，主要信息包含票据编码、票据名称、每季度票据印制数量及印制总量等信息，填写完成后通过上报功能，提交财政部门接收审核。单位可以根据需要在印制计划界面查询历史以往数据及财政接收审核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5）票据印制计划调整功能：以具备实时动态数据的医疗收费电子票据信息管理系统作为展示系统，票管员通过登录系统按照财政部门要求对已上报本年度纸质票据印制计划进行调整（增加或减少），主要信息包含票据编码、票据名称、每季度票据印制数量及印制总量等信息，填写完成后通过上报功能，提交财政部门接收审核。单位可以根据需要在印制计划调整界面查询历史以往数据及财政接收审核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6）系统参数设置：a.基础参数设置，基层医疗机构可自定义设置对应的业务流程单据是否启用审核流程，可设置审核流程的单据包括期初库存、票据下发、库存作废、手工开票、退票申请等；可自定义设置库存预警设置，库存预警池设置包括票据类型、预警数量；可自定义设置电子票据清单显示设置，电子票据清单设置应包括票据类型、票据代码、限定数量；可自定义设置预警时间设置，包括审验到期预警天数、汇缴到期预警天数。b.产品参数设置，医疗收费电子票据信息管理系统可做到界面可视化各类参数设置，其中包括电子票打印次数限制、是否启用电子票换开纸质票年度限制、是否启用电子票换开专用机打票、首页库存预警提示阀值、医保类型值设置、清单明细是否返回、是否开启医保总金额等于票面总金额判断、机打票是否打印清单、是否开启预交金功能、预交金二维码显示规则、预交金退费项描述、预交金退费凭证备注添加凭证代码、票据自动下发（包括开票点票据手动或自动发放方式、开票点单笔下发数额）。</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（7）开票点管理：基层医疗机构可自行设置多个开票点，每个开票点可以自定义设置收费项目，可以自定义设置票据种类，可设置基层医疗机构内不同开票点开具的票据中开票单位名称和电子签章可为不相同。</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任务调度管理：采购人医疗收费电子票据信息管理系统必须提供可视化界面的任务调度管理，a.运行报表，应能体现任务数量、调度次数等调度报表可视化内容；b.调度日志，以列表方式展现出每个任务执行情况，包括任务的执行处理器、执行器触发时间、执行结果等；c.任务管理，可自定义新增执行器，包括独立部署基础资料同步、库存预警、医疗日结、同步（开票数据下载）、待办事项刷新、预交金日结、预交金月结、批量上传任务等作业处理器，且包括任务的路由策略、阻塞处理策略、失败处理策略、任务描述等关键指标处理。</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（9）接口授权管理: 采购人医疗收费电子票据信息管理系统必须提供可视化界面的接收授权管理，a.接入应用管理，采购人可以为每个单位设置对应的应用接入名称，方便识别不同的单位；b.不同单位采购人可以设置多个应该接入名称，采购人可以根据需要设置启用或者不启用对应的应用接入名称；c.采购人可以对单位设置的应用接入授权具体接口，严格控制接入单位接入接口数量；d.采购人对于已经有接入权限的接口可以设置接口字段权限，包含参数标志、是否必填、默认值等。</w:t>
            </w:r>
          </w:p>
          <w:p>
            <w:pPr>
              <w:widowControl/>
              <w:spacing w:line="40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三档（20分）：在完全满足二档的基础上能够详细阐述系统功能和业务逻辑，能够提供具备实时动态数据的医疗收费电子票据信息管理系统演示，能演示以下业务处理功能：</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1）基层医疗机构票据开具及查验功能：以具备实时动态数据的医疗收费电子票据信息管理系统作为展示系统，票据管理人员可以在线开具医疗门诊、住院、资金往来、捐赠、非税收入等票据种类，票据管理人员可以根据不同的业务模式，选择使用单笔录入或批量导入开具电子票据，演示单位先签名、财政后签名过程，演示开具出符合财政部规范标准的电子票据，通过互联网在线查验真伪，同时根据业务需要演示电子票据冲红及通过互联网在线查验冲红信息。单位可以根据需要在开具界面查询历史以往数据及电子票据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票据审验功能：以具备实时动态数据的医疗收费电子票据信息管理系统作为展示系统，票管员对于超过审验周期或者按照财政部门要求进行审验的数据，需要上报数据进行审验，数据上报审验票管员可以根据需要自行选择上报截止日期内的审验数据，包含已开票数据、收缴信息、已冲红或作废数据、已冲销数据等，财政部门接收到审验数据后，进行审验，单位可以根据需要在审验界面查询历史以往数据及审验状态。</w:t>
            </w:r>
          </w:p>
          <w:p>
            <w:pPr>
              <w:widowControl/>
              <w:spacing w:line="400" w:lineRule="exact"/>
              <w:rPr>
                <w:rFonts w:ascii="宋体" w:hAnsi="宋体" w:cs="宋体"/>
                <w:bCs/>
                <w:color w:val="auto"/>
                <w:sz w:val="21"/>
                <w:szCs w:val="21"/>
                <w:highlight w:val="none"/>
              </w:rPr>
            </w:pPr>
            <w:r>
              <w:rPr>
                <w:rFonts w:hint="eastAsia" w:ascii="宋体" w:hAnsi="宋体" w:cs="宋体"/>
                <w:bCs/>
                <w:color w:val="auto"/>
                <w:sz w:val="21"/>
                <w:szCs w:val="21"/>
                <w:highlight w:val="none"/>
              </w:rPr>
              <w:t>（3）票据作废和销毁功能：以具备实时动态数据的医疗收费电子票据信息管理系统作为展示系统，展示票管员因为开票点人员失误造成的票据丢失或者开具空白票据后，票管员作废库存，同时对于已经作废的库存及时上报财政备案。票管员对于开票人员反馈的丢失或者空白票据进行库存作废，作废后通过票据销毁申请，上报财政部门进行审核备案，防止因为信息传递不及时造成的损失，单位可以根据需要在作废或销毁界面查询历史以往数据及财政销毁备案状态。</w:t>
            </w:r>
          </w:p>
          <w:p>
            <w:pPr>
              <w:widowControl/>
              <w:spacing w:line="400" w:lineRule="exact"/>
              <w:rPr>
                <w:rFonts w:ascii="宋体" w:hAnsi="宋体" w:cs="宋体"/>
                <w:bCs/>
                <w:color w:val="auto"/>
                <w:szCs w:val="21"/>
                <w:highlight w:val="none"/>
              </w:rPr>
            </w:pPr>
            <w:r>
              <w:rPr>
                <w:rFonts w:hint="eastAsia" w:ascii="宋体" w:hAnsi="宋体" w:cs="宋体"/>
                <w:bCs/>
                <w:color w:val="auto"/>
                <w:szCs w:val="21"/>
                <w:highlight w:val="none"/>
              </w:rPr>
              <w:t>（4）演示财政电子票据线下归档入账功能：1：财政电子票据是单位财务收支和会计核算的原始凭证，是财政、审计等部门进行监督检查的重要依据。同时按照【财综〔 2017 〕 32号】业务流程，财政部门、开票单位、缴款人需分别进行归档。需现场演示将开具的电子票据三方归档。2：缴款人获取财政电子票据后，并将票据提供至对应报销机构，报销机构对电子票据进行查验，下载电子票据生成报销依据。需现场演示将电子票据提供给报销机构，报销机构财务系统输入电子票据进行查验、下载，生成相关记账凭证。</w:t>
            </w:r>
          </w:p>
          <w:p>
            <w:pPr>
              <w:widowControl/>
              <w:spacing w:line="400" w:lineRule="exact"/>
              <w:rPr>
                <w:rFonts w:ascii="宋体" w:hAnsi="宋体" w:cs="宋体"/>
                <w:bCs/>
                <w:color w:val="auto"/>
                <w:szCs w:val="21"/>
                <w:highlight w:val="none"/>
              </w:rPr>
            </w:pPr>
            <w:r>
              <w:rPr>
                <w:rFonts w:hint="eastAsia" w:ascii="宋体" w:hAnsi="宋体" w:cs="宋体"/>
                <w:bCs/>
                <w:color w:val="auto"/>
                <w:szCs w:val="21"/>
                <w:highlight w:val="none"/>
              </w:rPr>
              <w:t>（5）演示采购人作为监管机构，监管分析大数据利用功能，主要包含1、医疗机构用票总览：以具备实时动态数据的医疗收费电子票据信息管理系统通过动态数据展示医疗机构开票量前TOP10，可以按照医疗机构类型分别展示，通过统计分析形成动态数据对比数据，例如开票占比分析、开票趋势分析等；2、门诊/住院开票分析：以具备实时动态数据的医疗收费电子票据信息管理系统通过动态数据展示下属医疗机构门诊/住院开票情况，统计分析医疗机构业务科室就诊量排行前TOP10，通过统计分析形成动态数据展示，例如门诊均次费用趋势分析、票面支付信息等;3、医疗收入统计分析: 以具备实时动态数据的医疗收费电子票据信息管理系统通过动态数据展示医疗机构收入情况，通过大数据分析利用筛选医疗机构前TOP5名单，通过统计分析形成动态数据对比展示，例如医疗机构药品收入占比TOP5、门诊/住院项目收入占比等；4、医疗收费价格监管：以具备实时动态数据的医疗收费电子票据信息管理系统通过动态数据展示医疗机构违规开票收费情况，通过大数据分析利用筛选医疗机构异常收费项目。</w:t>
            </w:r>
          </w:p>
        </w:tc>
        <w:tc>
          <w:tcPr>
            <w:tcW w:w="851"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33"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18" w:type="dxa"/>
            <w:vAlign w:val="center"/>
          </w:tcPr>
          <w:p>
            <w:pPr>
              <w:widowControl/>
              <w:spacing w:line="400" w:lineRule="exact"/>
              <w:jc w:val="center"/>
              <w:rPr>
                <w:rFonts w:ascii="宋体" w:hAnsi="宋体" w:cs="宋体"/>
                <w:bCs/>
                <w:color w:val="auto"/>
                <w:highlight w:val="none"/>
              </w:rPr>
            </w:pPr>
            <w:r>
              <w:rPr>
                <w:rFonts w:hint="eastAsia" w:ascii="宋体" w:hAnsi="宋体" w:cs="宋体"/>
                <w:bCs/>
                <w:color w:val="auto"/>
                <w:highlight w:val="none"/>
              </w:rPr>
              <w:t>商务分</w:t>
            </w:r>
          </w:p>
        </w:tc>
        <w:tc>
          <w:tcPr>
            <w:tcW w:w="7139" w:type="dxa"/>
            <w:gridSpan w:val="2"/>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418" w:type="dxa"/>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售后服务</w:t>
            </w:r>
          </w:p>
        </w:tc>
        <w:tc>
          <w:tcPr>
            <w:tcW w:w="6288" w:type="dxa"/>
          </w:tcPr>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一档（3分）：供应商提供的售后服务方案简单，基本满足项目要求。</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二档（6分）：供应商提供的售后服务方案内容完整，可行性较强，售后服务人员组织结构较合理、维护体系较健全的，投入售后服务团队合理配备具备专业知识的技术人员≥3人，其中项目经理≥1人（具有有效的信息系统项目管理师高级资质），安全工程师≥1人（具有有效的国家信息安全测评注册信息安全专业人员证书（CISP）），软件架构师≥1人（具有有效的软件架构师专业人员资格认证证书）。</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三档（10）：</w:t>
            </w:r>
            <w:r>
              <w:rPr>
                <w:rFonts w:hint="eastAsia" w:ascii="宋体" w:hAnsi="宋体" w:cs="宋体"/>
                <w:bCs/>
                <w:color w:val="auto"/>
                <w:highlight w:val="none"/>
                <w:lang w:eastAsia="zh-CN"/>
              </w:rPr>
              <w:t>在满足二档的基础上</w:t>
            </w:r>
            <w:r>
              <w:rPr>
                <w:rFonts w:hint="eastAsia" w:ascii="宋体" w:hAnsi="宋体" w:cs="宋体"/>
                <w:bCs/>
                <w:color w:val="auto"/>
                <w:highlight w:val="none"/>
              </w:rPr>
              <w:t>供应商提供详细的售后服务方案，内容完整可行，售后服务人员组织结构合理、维护体系健全，技术支持保障到位，具有快速的服务及应急相应机制，支持力度高的，配备充足的运维服务人员≥7人,其中运维工程师≥4人（具有有效的系统集成项目管理工程师证书（中级以上资质）</w:t>
            </w:r>
          </w:p>
        </w:tc>
        <w:tc>
          <w:tcPr>
            <w:tcW w:w="851" w:type="dxa"/>
            <w:vAlign w:val="center"/>
          </w:tcPr>
          <w:p>
            <w:pPr>
              <w:spacing w:line="400" w:lineRule="exact"/>
              <w:jc w:val="center"/>
              <w:rPr>
                <w:rFonts w:ascii="宋体" w:hAnsi="宋体" w:cs="宋体"/>
                <w:color w:val="auto"/>
                <w:kern w:val="0"/>
                <w:szCs w:val="21"/>
                <w:highlight w:val="none"/>
              </w:rPr>
            </w:pPr>
            <w:r>
              <w:rPr>
                <w:rFonts w:hint="eastAsia" w:ascii="宋体" w:hAnsi="宋体"/>
                <w:b/>
                <w:color w:val="auto"/>
                <w:sz w:val="22"/>
                <w:highlight w:val="none"/>
              </w:rPr>
              <w:t>满分</w:t>
            </w:r>
            <w:r>
              <w:rPr>
                <w:rFonts w:ascii="宋体" w:hAnsi="宋体"/>
                <w:b/>
                <w:color w:val="auto"/>
                <w:sz w:val="22"/>
                <w:highlight w:val="none"/>
              </w:rPr>
              <w:t>10</w:t>
            </w:r>
            <w:r>
              <w:rPr>
                <w:rFonts w:hint="eastAsia" w:ascii="宋体" w:hAnsi="宋体"/>
                <w:b/>
                <w:color w:val="auto"/>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418" w:type="dxa"/>
            <w:vAlign w:val="center"/>
          </w:tcPr>
          <w:p>
            <w:pPr>
              <w:widowControl/>
              <w:spacing w:line="400" w:lineRule="exact"/>
              <w:jc w:val="center"/>
              <w:rPr>
                <w:rFonts w:ascii="宋体" w:hAnsi="宋体" w:cs="宋体"/>
                <w:bCs/>
                <w:color w:val="auto"/>
                <w:highlight w:val="none"/>
              </w:rPr>
            </w:pPr>
            <w:r>
              <w:rPr>
                <w:rFonts w:hint="eastAsia" w:ascii="宋体" w:hAnsi="宋体" w:cs="宋体"/>
                <w:b/>
                <w:bCs w:val="0"/>
                <w:color w:val="auto"/>
                <w:highlight w:val="none"/>
              </w:rPr>
              <w:t>供应商资质、项目建设人员资质、业绩分</w:t>
            </w:r>
          </w:p>
        </w:tc>
        <w:tc>
          <w:tcPr>
            <w:tcW w:w="6288" w:type="dxa"/>
          </w:tcPr>
          <w:p>
            <w:pPr>
              <w:spacing w:line="400" w:lineRule="exact"/>
              <w:rPr>
                <w:rFonts w:ascii="宋体" w:hAnsi="宋体" w:cs="宋体"/>
                <w:bCs/>
                <w:color w:val="auto"/>
                <w:highlight w:val="none"/>
              </w:rPr>
            </w:pPr>
            <w:r>
              <w:rPr>
                <w:rFonts w:hint="eastAsia" w:ascii="宋体" w:hAnsi="宋体" w:cs="宋体"/>
                <w:bCs/>
                <w:color w:val="auto"/>
                <w:highlight w:val="none"/>
              </w:rPr>
              <w:t>a.为了统一规范财政电子票据管理，按照财政部标准及规范完成项目建设，供应商可提供自2017年以来医疗收费电子票据管理平台类似项目案例，并提供合同证明材料的，达到3个的得6分（未达到不得分），达到6个的得9分，达到9个的得13分，最多得13分。</w:t>
            </w:r>
          </w:p>
          <w:p>
            <w:pPr>
              <w:spacing w:line="400" w:lineRule="exact"/>
              <w:rPr>
                <w:rFonts w:ascii="宋体" w:hAnsi="宋体" w:cs="宋体"/>
                <w:bCs/>
                <w:color w:val="auto"/>
                <w:highlight w:val="none"/>
              </w:rPr>
            </w:pPr>
            <w:r>
              <w:rPr>
                <w:rFonts w:hint="eastAsia" w:ascii="宋体" w:hAnsi="宋体" w:cs="宋体"/>
                <w:bCs/>
                <w:color w:val="auto"/>
                <w:highlight w:val="none"/>
              </w:rPr>
              <w:t>b.供应商通过ISO9001国际质量管理体系认定的、ISO27001信息安全管理体系认证的（响应文件提供有效证书复印件，并加盖供应商公章为评审依据，否则不得分）每有一个得0.5分，满分1分。</w:t>
            </w:r>
          </w:p>
          <w:p>
            <w:pPr>
              <w:spacing w:line="400" w:lineRule="exact"/>
              <w:rPr>
                <w:rFonts w:ascii="宋体" w:hAnsi="宋体" w:cs="宋体"/>
                <w:bCs/>
                <w:color w:val="auto"/>
                <w:highlight w:val="none"/>
              </w:rPr>
            </w:pPr>
            <w:r>
              <w:rPr>
                <w:rFonts w:hint="eastAsia" w:ascii="宋体" w:hAnsi="宋体" w:cs="宋体"/>
                <w:bCs/>
                <w:color w:val="auto"/>
                <w:highlight w:val="none"/>
              </w:rPr>
              <w:t>c.供应商具备ITSS信息系统运行维护三级及以上资质的（响应文件提供证书复印件并加盖供应商公章为评标依据，否则不得分），得0.5分。</w:t>
            </w:r>
          </w:p>
          <w:p>
            <w:pPr>
              <w:spacing w:line="400" w:lineRule="exact"/>
              <w:rPr>
                <w:rFonts w:ascii="宋体" w:hAnsi="宋体" w:cs="宋体"/>
                <w:bCs/>
                <w:color w:val="auto"/>
                <w:highlight w:val="none"/>
              </w:rPr>
            </w:pPr>
            <w:r>
              <w:rPr>
                <w:rFonts w:hint="eastAsia" w:ascii="宋体" w:hAnsi="宋体" w:cs="宋体"/>
                <w:bCs/>
                <w:color w:val="auto"/>
                <w:highlight w:val="none"/>
              </w:rPr>
              <w:t>d.供应商通过CMMI3级资质认证的得0.5分，通过CMMI4级资质认证得1.5分，通过CMMI5级资质认证得2.5分（响应文件需提供证书复印件并加盖供应商公章为评标依据，否则不得分），本项满分2.5分。</w:t>
            </w:r>
          </w:p>
          <w:p>
            <w:pPr>
              <w:spacing w:line="400" w:lineRule="exact"/>
              <w:rPr>
                <w:rFonts w:ascii="宋体" w:hAnsi="宋体" w:cs="宋体"/>
                <w:bCs/>
                <w:color w:val="auto"/>
                <w:highlight w:val="none"/>
              </w:rPr>
            </w:pPr>
            <w:r>
              <w:rPr>
                <w:rFonts w:hint="eastAsia" w:ascii="宋体" w:hAnsi="宋体" w:cs="宋体"/>
                <w:bCs/>
                <w:color w:val="auto"/>
                <w:highlight w:val="none"/>
              </w:rPr>
              <w:t>e.供应商有财政票据电子化（或电子票类）软件系统软件著作权证书或专利证书的，每个得0.5分，满分2分。（响应文件需提供计算机软件著作权证书或专利证书复印件并加盖供应商公章为评标依据，否则不得分）。</w:t>
            </w:r>
          </w:p>
          <w:p>
            <w:pPr>
              <w:spacing w:line="400" w:lineRule="exact"/>
              <w:rPr>
                <w:rFonts w:ascii="宋体" w:hAnsi="宋体" w:cs="宋体"/>
                <w:bCs/>
                <w:color w:val="auto"/>
                <w:highlight w:val="none"/>
              </w:rPr>
            </w:pPr>
            <w:r>
              <w:rPr>
                <w:rFonts w:hint="eastAsia" w:ascii="宋体" w:hAnsi="宋体" w:cs="宋体"/>
                <w:bCs/>
                <w:color w:val="auto"/>
                <w:highlight w:val="none"/>
              </w:rPr>
              <w:t>f.供应商拟参与本项目的工程师中具有有效的国家信息安全测评注册信息安全专业人员证书（CISP）的得0.5分，软件架构师专业人员资格认证证书得0.5分，满分1分。（须在响应文件中提供上述拟参与人员的相关证书及供应商为其依法缴纳的近连续三个月或近一个季度社保证明。所有证明材料复印件均加盖供应商公章。）</w:t>
            </w:r>
          </w:p>
        </w:tc>
        <w:tc>
          <w:tcPr>
            <w:tcW w:w="851" w:type="dxa"/>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总得分＝1＋2＋3</w:t>
            </w:r>
          </w:p>
        </w:tc>
        <w:tc>
          <w:tcPr>
            <w:tcW w:w="851" w:type="dxa"/>
            <w:vAlign w:val="center"/>
          </w:tcPr>
          <w:p>
            <w:pPr>
              <w:widowControl/>
              <w:spacing w:line="400" w:lineRule="exact"/>
              <w:jc w:val="center"/>
              <w:rPr>
                <w:rFonts w:ascii="宋体" w:hAnsi="宋体" w:cs="宋体"/>
                <w:color w:val="auto"/>
                <w:kern w:val="0"/>
                <w:szCs w:val="21"/>
                <w:highlight w:val="none"/>
              </w:rPr>
            </w:pPr>
          </w:p>
        </w:tc>
      </w:tr>
    </w:tbl>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B分标</w:t>
      </w: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（30分）</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磋商报价</w:t>
            </w:r>
          </w:p>
        </w:tc>
        <w:tc>
          <w:tcPr>
            <w:tcW w:w="60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评审价为供应商的最后报价进行政策性扣除后的价格，评审价只是作为评审时使用。最终成交供应商的成交金额等于最后报价（如有修正，以确认修正后的最后报价为准）。</w:t>
            </w:r>
          </w:p>
          <w:p>
            <w:pPr>
              <w:pStyle w:val="12"/>
              <w:spacing w:line="400" w:lineRule="exact"/>
              <w:rPr>
                <w:rFonts w:hAnsi="宋体" w:cs="宋体"/>
                <w:color w:val="auto"/>
                <w:highlight w:val="none"/>
              </w:rPr>
            </w:pPr>
            <w:r>
              <w:rPr>
                <w:rFonts w:hint="eastAsia" w:hAnsi="宋体" w:cs="宋体"/>
                <w:bCs/>
                <w:color w:val="auto"/>
                <w:kern w:val="2"/>
                <w:sz w:val="21"/>
                <w:highlight w:val="none"/>
              </w:rPr>
              <w:t>2.政府采购政策性扣除计算方法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按照《政府采购促进中小企业发展暂行办法》（财库〔2011〕181号）的规定，供应商为小型和微型企业，并在其响应文件中提供《中小企业声明函》，且其所竞标产品全部为小型和微型企业产品的，对其最后报价给予10%的扣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（4）政策性扣除计算方法。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供应商被评定为监狱企业或残疾人福利性单位或小型和微型企业且其所竞标全部产品为小型和微型企业产品的，该供应商的最后报价给予10%的扣除，扣除后的价格为评审价，即评审价=最后报价×（1-10%）。</w:t>
            </w:r>
          </w:p>
          <w:p>
            <w:pPr>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（5）除上述情况外，评审价＝最后报价。</w:t>
            </w:r>
          </w:p>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（6）以进入比较与评价环节的最低的评审价为基准价，基准价得分为</w:t>
            </w:r>
            <w:r>
              <w:rPr>
                <w:rFonts w:hint="eastAsia" w:hAnsi="宋体" w:cs="宋体"/>
                <w:bCs/>
                <w:color w:val="auto"/>
                <w:kern w:val="2"/>
                <w:sz w:val="21"/>
                <w:highlight w:val="none"/>
                <w:u w:val="single"/>
              </w:rPr>
              <w:t>30分</w:t>
            </w:r>
            <w:r>
              <w:rPr>
                <w:rFonts w:hint="eastAsia" w:hAnsi="宋体" w:cs="宋体"/>
                <w:bCs/>
                <w:color w:val="auto"/>
                <w:kern w:val="2"/>
                <w:sz w:val="21"/>
                <w:highlight w:val="none"/>
              </w:rPr>
              <w:t>。</w:t>
            </w:r>
          </w:p>
          <w:p>
            <w:pPr>
              <w:pStyle w:val="12"/>
              <w:spacing w:line="40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（7）价格分计算公式：</w:t>
            </w:r>
          </w:p>
          <w:p>
            <w:pPr>
              <w:spacing w:line="360" w:lineRule="exact"/>
              <w:ind w:firstLine="420" w:firstLineChars="200"/>
              <w:rPr>
                <w:rFonts w:ascii="宋体" w:hAnsi="宋体" w:cs="宋体"/>
                <w:b/>
                <w:color w:val="auto"/>
                <w:szCs w:val="21"/>
                <w:highlight w:val="none"/>
              </w:rPr>
            </w:pPr>
            <w:r>
              <w:rPr>
                <w:rFonts w:hint="eastAsia" w:hAnsi="宋体" w:cs="宋体"/>
                <w:bCs/>
                <w:color w:val="auto"/>
                <w:highlight w:val="none"/>
              </w:rPr>
              <w:t>报价得分=（基准价/评审价）×</w:t>
            </w:r>
            <w:r>
              <w:rPr>
                <w:rFonts w:hint="eastAsia" w:hAnsi="宋体" w:cs="宋体"/>
                <w:bCs/>
                <w:color w:val="auto"/>
                <w:highlight w:val="none"/>
                <w:u w:val="single"/>
              </w:rPr>
              <w:t xml:space="preserve">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bCs/>
                <w:color w:val="auto"/>
                <w:highlight w:val="none"/>
              </w:rPr>
              <w:t>技术分</w:t>
            </w:r>
          </w:p>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（满分25分）</w:t>
            </w:r>
          </w:p>
        </w:tc>
        <w:tc>
          <w:tcPr>
            <w:tcW w:w="1518" w:type="dxa"/>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bCs w:val="0"/>
                <w:color w:val="auto"/>
                <w:highlight w:val="none"/>
              </w:rPr>
              <w:t>货物参数及性能分</w:t>
            </w:r>
            <w:r>
              <w:rPr>
                <w:rFonts w:hint="eastAsia" w:ascii="宋体" w:hAnsi="宋体" w:cs="宋体"/>
                <w:color w:val="auto"/>
                <w:szCs w:val="21"/>
                <w:highlight w:val="none"/>
              </w:rPr>
              <w:t>（满分25分）</w:t>
            </w:r>
          </w:p>
        </w:tc>
        <w:tc>
          <w:tcPr>
            <w:tcW w:w="6087" w:type="dxa"/>
            <w:tcBorders>
              <w:top w:val="single" w:color="auto" w:sz="4" w:space="0"/>
              <w:left w:val="single" w:color="auto" w:sz="4" w:space="0"/>
              <w:right w:val="single" w:color="auto" w:sz="4" w:space="0"/>
            </w:tcBorders>
            <w:vAlign w:val="center"/>
          </w:tcPr>
          <w:p>
            <w:pPr>
              <w:pStyle w:val="12"/>
              <w:spacing w:line="360" w:lineRule="exact"/>
              <w:ind w:firstLine="422"/>
              <w:jc w:val="left"/>
              <w:rPr>
                <w:rFonts w:hAnsi="宋体" w:cs="宋体"/>
                <w:bCs/>
                <w:color w:val="auto"/>
                <w:sz w:val="21"/>
                <w:szCs w:val="21"/>
                <w:highlight w:val="none"/>
              </w:rPr>
            </w:pPr>
            <w:r>
              <w:rPr>
                <w:rFonts w:hint="eastAsia" w:hAnsi="宋体" w:cs="宋体"/>
                <w:bCs/>
                <w:color w:val="auto"/>
                <w:sz w:val="21"/>
                <w:szCs w:val="21"/>
                <w:highlight w:val="none"/>
              </w:rPr>
              <w:t>本项基本分为20分。</w:t>
            </w:r>
          </w:p>
          <w:p>
            <w:pPr>
              <w:pStyle w:val="12"/>
              <w:spacing w:line="360" w:lineRule="exact"/>
              <w:ind w:firstLine="422"/>
              <w:jc w:val="left"/>
              <w:rPr>
                <w:rFonts w:hAnsi="宋体" w:cs="宋体"/>
                <w:bCs/>
                <w:color w:val="auto"/>
                <w:sz w:val="21"/>
                <w:szCs w:val="21"/>
                <w:highlight w:val="none"/>
              </w:rPr>
            </w:pPr>
            <w:r>
              <w:rPr>
                <w:rFonts w:hint="eastAsia" w:hAnsi="宋体" w:cs="宋体"/>
                <w:bCs/>
                <w:color w:val="auto"/>
                <w:sz w:val="21"/>
                <w:szCs w:val="21"/>
                <w:highlight w:val="none"/>
              </w:rPr>
              <w:t>（1）在基本分基础上一般性技术参数有正偏离的每1项加1分。</w:t>
            </w:r>
          </w:p>
          <w:p>
            <w:pPr>
              <w:pStyle w:val="12"/>
              <w:spacing w:line="360" w:lineRule="exact"/>
              <w:ind w:firstLine="422"/>
              <w:jc w:val="left"/>
              <w:rPr>
                <w:rFonts w:hAnsi="宋体" w:cs="宋体"/>
                <w:bCs/>
                <w:color w:val="auto"/>
                <w:sz w:val="21"/>
                <w:szCs w:val="21"/>
                <w:highlight w:val="none"/>
              </w:rPr>
            </w:pPr>
            <w:r>
              <w:rPr>
                <w:rFonts w:hint="eastAsia" w:hAnsi="宋体" w:cs="宋体"/>
                <w:bCs/>
                <w:color w:val="auto"/>
                <w:sz w:val="21"/>
                <w:szCs w:val="21"/>
                <w:highlight w:val="none"/>
              </w:rPr>
              <w:t>（2）一般性技术参数有负偏离的每1项扣1分，最多扣完本项分值（在磋商文件允许偏离的项数内）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bCs/>
                <w:color w:val="auto"/>
                <w:highlight w:val="none"/>
              </w:rPr>
              <w:t>项目组织实施方案分</w:t>
            </w:r>
            <w:r>
              <w:rPr>
                <w:rFonts w:hint="eastAsia" w:ascii="宋体" w:hAnsi="宋体" w:cs="宋体"/>
                <w:b/>
                <w:color w:val="auto"/>
                <w:szCs w:val="21"/>
                <w:highlight w:val="none"/>
              </w:rPr>
              <w:t>（满分15分）</w:t>
            </w:r>
          </w:p>
        </w:tc>
        <w:tc>
          <w:tcPr>
            <w:tcW w:w="1518" w:type="dxa"/>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bCs/>
                <w:color w:val="auto"/>
                <w:highlight w:val="none"/>
              </w:rPr>
              <w:t>项目组织实施方案</w:t>
            </w:r>
          </w:p>
        </w:tc>
        <w:tc>
          <w:tcPr>
            <w:tcW w:w="6087" w:type="dxa"/>
            <w:tcBorders>
              <w:top w:val="single" w:color="auto" w:sz="4" w:space="0"/>
              <w:left w:val="single" w:color="auto" w:sz="4" w:space="0"/>
              <w:right w:val="single" w:color="auto" w:sz="4" w:space="0"/>
            </w:tcBorders>
            <w:vAlign w:val="center"/>
          </w:tcPr>
          <w:p>
            <w:pPr>
              <w:pStyle w:val="12"/>
              <w:snapToGrid w:val="0"/>
              <w:spacing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 xml:space="preserve">根据响应文件提供的项目实施安装方案，内容包括项目技术方案、项目管理机构、实施人员队伍及技术水平、物流管理、项目实施质量、安装实施计划等。由评委在相应档次内独立打分。 </w:t>
            </w:r>
          </w:p>
          <w:p>
            <w:pPr>
              <w:pStyle w:val="12"/>
              <w:snapToGrid w:val="0"/>
              <w:spacing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一档（2分）：基本满足磋商文件要求。</w:t>
            </w:r>
          </w:p>
          <w:p>
            <w:pPr>
              <w:pStyle w:val="12"/>
              <w:snapToGrid w:val="0"/>
              <w:spacing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二档（5分）：项目实施细节可行但不完善，合理性不足，没有详细实施办法、项目实施队伍能力不能体现、人员安排人数相对较少，无详细的运输配送方案。</w:t>
            </w:r>
          </w:p>
          <w:p>
            <w:pPr>
              <w:pStyle w:val="12"/>
              <w:snapToGrid w:val="0"/>
              <w:spacing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三档（10分）：项目实施细节合理、相对完善，有详细实施办法、能体现项目实施队伍能力、人员安排人数能满足本次项目需求，有较详细的运输配送方案，有较详细的供配货方案。</w:t>
            </w:r>
          </w:p>
          <w:p>
            <w:pPr>
              <w:pStyle w:val="12"/>
              <w:snapToGrid w:val="0"/>
              <w:spacing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四档（15分）：项目实施细节科学合理、切合实际，较完善，有清晰科学的实施办法、项目实施队伍能力较强、人员安排人数较多，优于本次项目需求，有详细的运输配送方案，有详细的供配货方案、供货期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w:t>
            </w:r>
          </w:p>
        </w:tc>
        <w:tc>
          <w:tcPr>
            <w:tcW w:w="1320" w:type="dxa"/>
            <w:vMerge w:val="restart"/>
            <w:tcBorders>
              <w:top w:val="single" w:color="auto" w:sz="4" w:space="0"/>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售后服务分（满分18分）</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bCs/>
                <w:color w:val="auto"/>
                <w:szCs w:val="21"/>
                <w:highlight w:val="none"/>
              </w:rPr>
              <w:t>售后服务方案</w:t>
            </w:r>
            <w:r>
              <w:rPr>
                <w:rFonts w:hint="eastAsia" w:ascii="宋体" w:hAnsi="宋体" w:cs="宋体"/>
                <w:color w:val="auto"/>
                <w:szCs w:val="21"/>
                <w:highlight w:val="none"/>
              </w:rPr>
              <w:t>（满分12分）</w:t>
            </w:r>
          </w:p>
        </w:tc>
        <w:tc>
          <w:tcPr>
            <w:tcW w:w="6087" w:type="dxa"/>
            <w:tcBorders>
              <w:top w:val="single" w:color="auto" w:sz="4" w:space="0"/>
              <w:left w:val="single" w:color="auto" w:sz="4" w:space="0"/>
              <w:bottom w:val="single" w:color="auto" w:sz="4" w:space="0"/>
              <w:right w:val="single" w:color="auto" w:sz="4" w:space="0"/>
            </w:tcBorders>
            <w:vAlign w:val="center"/>
          </w:tcPr>
          <w:p>
            <w:pPr>
              <w:pStyle w:val="12"/>
              <w:spacing w:line="37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对供应商的响应文件中售后服务承诺书内容的完整性、可行性、到达故障现场时间、故障出现解决方案、定期维护（注明时间）、免费技术培训方案、质保期外维修方案、承诺本地化售后服务措施、其他优惠措施、安装要求及方案等方面，由评委在相应档次内独立打分。</w:t>
            </w:r>
          </w:p>
          <w:p>
            <w:pPr>
              <w:widowControl/>
              <w:spacing w:line="37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一档（4分）：售后服务方案粗略简单, 基本能满足采购要求，</w:t>
            </w:r>
            <w:r>
              <w:rPr>
                <w:rFonts w:hint="eastAsia" w:ascii="宋体" w:hAnsi="宋体" w:cs="宋体"/>
                <w:color w:val="auto"/>
                <w:kern w:val="0"/>
                <w:sz w:val="21"/>
                <w:szCs w:val="21"/>
                <w:highlight w:val="none"/>
              </w:rPr>
              <w:t>有免费培训计划、定期回访的，</w:t>
            </w:r>
            <w:r>
              <w:rPr>
                <w:rFonts w:hint="eastAsia" w:ascii="宋体" w:hAnsi="宋体" w:cs="宋体"/>
                <w:color w:val="auto"/>
                <w:sz w:val="21"/>
                <w:szCs w:val="21"/>
                <w:highlight w:val="none"/>
              </w:rPr>
              <w:t>到达故障现场时间仅满足磋商文件要求；</w:t>
            </w:r>
          </w:p>
          <w:p>
            <w:pPr>
              <w:widowControl/>
              <w:spacing w:line="370" w:lineRule="exact"/>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二档（8分）：售后服务方案比较详细，</w:t>
            </w:r>
            <w:r>
              <w:rPr>
                <w:rFonts w:hint="eastAsia" w:ascii="宋体" w:hAnsi="宋体" w:cs="宋体"/>
                <w:color w:val="auto"/>
                <w:kern w:val="0"/>
                <w:sz w:val="21"/>
                <w:szCs w:val="21"/>
                <w:highlight w:val="none"/>
              </w:rPr>
              <w:t>有良好的免费培训计划、培训场地（供应商提供），定期回访的，同时</w:t>
            </w:r>
            <w:r>
              <w:rPr>
                <w:rFonts w:hint="eastAsia" w:ascii="宋体" w:hAnsi="宋体" w:cs="宋体"/>
                <w:color w:val="auto"/>
                <w:sz w:val="21"/>
                <w:szCs w:val="21"/>
                <w:highlight w:val="none"/>
              </w:rPr>
              <w:t>到达故障现场时间优于磋商文件要求</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有明确的项目实施保障措施，承诺有本地化售后服务措施等</w:t>
            </w:r>
            <w:r>
              <w:rPr>
                <w:rFonts w:hint="eastAsia" w:ascii="宋体" w:hAnsi="宋体" w:cs="宋体"/>
                <w:color w:val="auto"/>
                <w:kern w:val="0"/>
                <w:sz w:val="21"/>
                <w:szCs w:val="21"/>
                <w:highlight w:val="none"/>
              </w:rPr>
              <w:t>；</w:t>
            </w:r>
          </w:p>
          <w:p>
            <w:pPr>
              <w:widowControl/>
              <w:spacing w:line="37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三档（12分）：售后服务方案内容翔实，可行性强，科学合理，</w:t>
            </w:r>
            <w:r>
              <w:rPr>
                <w:rFonts w:hint="eastAsia" w:ascii="宋体" w:hAnsi="宋体" w:cs="宋体"/>
                <w:color w:val="auto"/>
                <w:kern w:val="0"/>
                <w:sz w:val="21"/>
                <w:szCs w:val="21"/>
                <w:highlight w:val="none"/>
              </w:rPr>
              <w:t>有优秀的免费培训计划、培训场地（供应商提供），定期回访的，同时</w:t>
            </w:r>
            <w:r>
              <w:rPr>
                <w:rFonts w:hint="eastAsia" w:ascii="宋体" w:hAnsi="宋体" w:cs="宋体"/>
                <w:color w:val="auto"/>
                <w:sz w:val="21"/>
                <w:szCs w:val="21"/>
                <w:highlight w:val="none"/>
              </w:rPr>
              <w:t>到达故障现场时间优于磋商文件要求</w:t>
            </w:r>
            <w:r>
              <w:rPr>
                <w:rFonts w:hint="eastAsia" w:ascii="宋体" w:hAnsi="宋体" w:cs="宋体"/>
                <w:color w:val="auto"/>
                <w:kern w:val="0"/>
                <w:sz w:val="21"/>
                <w:szCs w:val="21"/>
                <w:highlight w:val="none"/>
              </w:rPr>
              <w:t>，有具体</w:t>
            </w:r>
            <w:r>
              <w:rPr>
                <w:rFonts w:hint="eastAsia" w:ascii="宋体" w:hAnsi="宋体" w:cs="宋体"/>
                <w:color w:val="auto"/>
                <w:sz w:val="21"/>
                <w:szCs w:val="21"/>
                <w:highlight w:val="none"/>
              </w:rPr>
              <w:t>质保期外维修方案，</w:t>
            </w:r>
            <w:r>
              <w:rPr>
                <w:rFonts w:hint="eastAsia" w:ascii="宋体" w:hAnsi="宋体" w:cs="宋体"/>
                <w:color w:val="auto"/>
                <w:kern w:val="0"/>
                <w:sz w:val="21"/>
                <w:szCs w:val="21"/>
                <w:highlight w:val="none"/>
              </w:rPr>
              <w:t>保证售后服务工作有序进行，</w:t>
            </w:r>
            <w:r>
              <w:rPr>
                <w:rFonts w:hint="eastAsia" w:ascii="宋体" w:hAnsi="宋体" w:cs="宋体"/>
                <w:color w:val="auto"/>
                <w:sz w:val="21"/>
                <w:szCs w:val="21"/>
                <w:highlight w:val="none"/>
              </w:rPr>
              <w:t>优于采购要求，培训人员经验丰富、有明确可靠的项目实施保障措施，承诺有本地化售后服务且措施详细，合理等</w:t>
            </w:r>
            <w:r>
              <w:rPr>
                <w:rFonts w:hint="eastAsia" w:ascii="宋体" w:hAns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320"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41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质保期</w:t>
            </w:r>
          </w:p>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分）</w:t>
            </w:r>
          </w:p>
        </w:tc>
        <w:tc>
          <w:tcPr>
            <w:tcW w:w="6087" w:type="dxa"/>
            <w:tcBorders>
              <w:top w:val="single" w:color="auto" w:sz="4" w:space="0"/>
              <w:left w:val="single" w:color="auto" w:sz="4" w:space="0"/>
              <w:bottom w:val="single" w:color="auto" w:sz="4" w:space="0"/>
              <w:right w:val="single" w:color="auto" w:sz="4" w:space="0"/>
            </w:tcBorders>
            <w:vAlign w:val="center"/>
          </w:tcPr>
          <w:p>
            <w:pPr>
              <w:widowControl/>
              <w:spacing w:line="37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响应文件中针对本项目采购内容承诺的质保期每超过磋商文件要求一年的，加</w:t>
            </w:r>
            <w:r>
              <w:rPr>
                <w:rFonts w:hint="eastAsia" w:ascii="宋体" w:hAnsi="宋体" w:cs="宋体"/>
                <w:color w:val="auto"/>
                <w:szCs w:val="21"/>
                <w:highlight w:val="none"/>
                <w:u w:val="single"/>
              </w:rPr>
              <w:t>1</w:t>
            </w:r>
            <w:r>
              <w:rPr>
                <w:rFonts w:hint="eastAsia" w:ascii="宋体" w:hAnsi="宋体" w:cs="宋体"/>
                <w:bCs/>
                <w:color w:val="auto"/>
                <w:szCs w:val="21"/>
                <w:highlight w:val="none"/>
              </w:rPr>
              <w:t>分</w:t>
            </w:r>
            <w:r>
              <w:rPr>
                <w:rFonts w:hint="eastAsia" w:ascii="宋体" w:hAnsi="宋体" w:cs="宋体"/>
                <w:color w:val="auto"/>
                <w:kern w:val="0"/>
                <w:szCs w:val="21"/>
                <w:highlight w:val="none"/>
              </w:rPr>
              <w:t>（以提供投标供应商保修服务承诺书为准）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320" w:type="dxa"/>
            <w:vMerge w:val="continue"/>
            <w:tcBorders>
              <w:left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hAnsi="宋体" w:cs="宋体"/>
                <w:b/>
                <w:bCs/>
                <w:color w:val="auto"/>
                <w:kern w:val="2"/>
                <w:sz w:val="21"/>
                <w:highlight w:val="none"/>
              </w:rPr>
            </w:pPr>
            <w:r>
              <w:rPr>
                <w:rFonts w:hint="eastAsia" w:hAnsi="宋体" w:cs="宋体"/>
                <w:b/>
                <w:bCs/>
                <w:color w:val="auto"/>
                <w:kern w:val="2"/>
                <w:sz w:val="21"/>
                <w:highlight w:val="none"/>
              </w:rPr>
              <w:t>备用机</w:t>
            </w:r>
          </w:p>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highlight w:val="none"/>
              </w:rPr>
              <w:t>（满分</w:t>
            </w:r>
            <w:r>
              <w:rPr>
                <w:rFonts w:hint="eastAsia" w:ascii="宋体" w:hAnsi="宋体" w:cs="宋体"/>
                <w:color w:val="auto"/>
                <w:highlight w:val="none"/>
                <w:u w:val="single"/>
              </w:rPr>
              <w:t xml:space="preserve"> 2 </w:t>
            </w:r>
            <w:r>
              <w:rPr>
                <w:rFonts w:hint="eastAsia" w:ascii="宋体" w:hAnsi="宋体" w:cs="宋体"/>
                <w:color w:val="auto"/>
                <w:highlight w:val="none"/>
              </w:rPr>
              <w:t>分）</w:t>
            </w:r>
          </w:p>
        </w:tc>
        <w:tc>
          <w:tcPr>
            <w:tcW w:w="6087" w:type="dxa"/>
            <w:tcBorders>
              <w:top w:val="single" w:color="auto" w:sz="4" w:space="0"/>
              <w:left w:val="single" w:color="auto" w:sz="4" w:space="0"/>
              <w:bottom w:val="single" w:color="auto" w:sz="4" w:space="0"/>
              <w:right w:val="single" w:color="auto" w:sz="4" w:space="0"/>
            </w:tcBorders>
            <w:vAlign w:val="center"/>
          </w:tcPr>
          <w:p>
            <w:pPr>
              <w:widowControl/>
              <w:spacing w:line="370" w:lineRule="exact"/>
              <w:ind w:firstLine="420" w:firstLineChars="200"/>
              <w:rPr>
                <w:rFonts w:ascii="宋体" w:hAnsi="宋体" w:cs="宋体"/>
                <w:bCs/>
                <w:color w:val="auto"/>
                <w:szCs w:val="21"/>
                <w:highlight w:val="none"/>
              </w:rPr>
            </w:pPr>
            <w:r>
              <w:rPr>
                <w:rFonts w:hint="eastAsia" w:ascii="宋体" w:hAnsi="宋体" w:cs="宋体"/>
                <w:bCs/>
                <w:color w:val="auto"/>
                <w:highlight w:val="none"/>
              </w:rPr>
              <w:t>响应文件中针对本项目采购内容承诺在设备经维修后</w:t>
            </w:r>
            <w:r>
              <w:rPr>
                <w:rFonts w:hint="eastAsia" w:ascii="宋体" w:hAnsi="宋体" w:cs="宋体"/>
                <w:bCs/>
                <w:color w:val="auto"/>
                <w:highlight w:val="none"/>
                <w:u w:val="single"/>
              </w:rPr>
              <w:t xml:space="preserve"> 8 </w:t>
            </w:r>
            <w:r>
              <w:rPr>
                <w:rFonts w:hint="eastAsia" w:ascii="宋体" w:hAnsi="宋体" w:cs="宋体"/>
                <w:bCs/>
                <w:color w:val="auto"/>
                <w:highlight w:val="none"/>
              </w:rPr>
              <w:t>小时后仍不能正常使用，提供同等档次的备用机给采购人使用的，每台得</w:t>
            </w:r>
            <w:r>
              <w:rPr>
                <w:rFonts w:hint="eastAsia" w:ascii="宋体" w:hAnsi="宋体" w:cs="宋体"/>
                <w:color w:val="auto"/>
                <w:highlight w:val="none"/>
                <w:u w:val="single"/>
              </w:rPr>
              <w:t xml:space="preserve"> 0.5 </w:t>
            </w:r>
            <w:r>
              <w:rPr>
                <w:rFonts w:hint="eastAsia" w:ascii="宋体" w:hAnsi="宋体" w:cs="宋体"/>
                <w:bCs/>
                <w:color w:val="auto"/>
                <w:highlight w:val="none"/>
              </w:rPr>
              <w:t>分，满分</w:t>
            </w:r>
            <w:r>
              <w:rPr>
                <w:rFonts w:hint="eastAsia" w:ascii="宋体" w:hAnsi="宋体" w:cs="宋体"/>
                <w:color w:val="auto"/>
                <w:highlight w:val="none"/>
                <w:u w:val="single"/>
              </w:rPr>
              <w:t xml:space="preserve"> 2 </w:t>
            </w:r>
            <w:r>
              <w:rPr>
                <w:rFonts w:hint="eastAsia" w:ascii="宋体" w:hAnsi="宋体" w:cs="宋体"/>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320" w:type="dxa"/>
            <w:vMerge w:val="continue"/>
            <w:tcBorders>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hAnsi="宋体" w:cs="宋体"/>
                <w:b/>
                <w:bCs/>
                <w:color w:val="auto"/>
                <w:kern w:val="2"/>
                <w:sz w:val="21"/>
                <w:highlight w:val="none"/>
              </w:rPr>
            </w:pPr>
            <w:r>
              <w:rPr>
                <w:rFonts w:hint="eastAsia" w:hAnsi="宋体" w:cs="宋体"/>
                <w:b/>
                <w:bCs/>
                <w:color w:val="auto"/>
                <w:kern w:val="2"/>
                <w:sz w:val="21"/>
                <w:highlight w:val="none"/>
              </w:rPr>
              <w:t>保修期外</w:t>
            </w:r>
          </w:p>
          <w:p>
            <w:pPr>
              <w:pStyle w:val="12"/>
              <w:spacing w:line="360" w:lineRule="exact"/>
              <w:jc w:val="center"/>
              <w:rPr>
                <w:rFonts w:hAnsi="宋体" w:cs="宋体"/>
                <w:b/>
                <w:bCs/>
                <w:color w:val="auto"/>
                <w:kern w:val="2"/>
                <w:sz w:val="21"/>
                <w:highlight w:val="none"/>
              </w:rPr>
            </w:pPr>
            <w:r>
              <w:rPr>
                <w:rFonts w:hint="eastAsia" w:hAnsi="宋体" w:cs="宋体"/>
                <w:b/>
                <w:bCs/>
                <w:color w:val="auto"/>
                <w:kern w:val="2"/>
                <w:sz w:val="21"/>
                <w:highlight w:val="none"/>
              </w:rPr>
              <w:t>零配件</w:t>
            </w:r>
          </w:p>
          <w:p>
            <w:pPr>
              <w:adjustRightInd w:val="0"/>
              <w:spacing w:line="360" w:lineRule="exact"/>
              <w:jc w:val="center"/>
              <w:textAlignment w:val="baseline"/>
              <w:rPr>
                <w:rFonts w:ascii="宋体" w:hAnsi="宋体" w:cs="宋体"/>
                <w:color w:val="auto"/>
                <w:highlight w:val="none"/>
              </w:rPr>
            </w:pPr>
            <w:r>
              <w:rPr>
                <w:rFonts w:hint="eastAsia" w:ascii="宋体" w:hAnsi="宋体" w:cs="宋体"/>
                <w:color w:val="auto"/>
                <w:highlight w:val="none"/>
              </w:rPr>
              <w:t>（满分</w:t>
            </w:r>
            <w:r>
              <w:rPr>
                <w:rFonts w:hint="eastAsia" w:ascii="宋体" w:hAnsi="宋体" w:cs="宋体"/>
                <w:color w:val="auto"/>
                <w:highlight w:val="none"/>
                <w:u w:val="single"/>
              </w:rPr>
              <w:t xml:space="preserve"> 2 </w:t>
            </w:r>
            <w:r>
              <w:rPr>
                <w:rFonts w:hint="eastAsia" w:ascii="宋体" w:hAnsi="宋体" w:cs="宋体"/>
                <w:color w:val="auto"/>
                <w:highlight w:val="none"/>
              </w:rPr>
              <w:t>分）</w:t>
            </w:r>
          </w:p>
        </w:tc>
        <w:tc>
          <w:tcPr>
            <w:tcW w:w="6087" w:type="dxa"/>
            <w:tcBorders>
              <w:top w:val="single" w:color="auto" w:sz="4" w:space="0"/>
              <w:left w:val="single" w:color="auto" w:sz="4" w:space="0"/>
              <w:bottom w:val="single" w:color="auto" w:sz="4" w:space="0"/>
              <w:right w:val="single" w:color="auto" w:sz="4" w:space="0"/>
            </w:tcBorders>
            <w:vAlign w:val="center"/>
          </w:tcPr>
          <w:p>
            <w:pPr>
              <w:widowControl/>
              <w:spacing w:line="37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响应文件中承诺在保修期外，零配件价格比投标报价每优惠1%得</w:t>
            </w:r>
            <w:r>
              <w:rPr>
                <w:rFonts w:hint="eastAsia" w:ascii="宋体" w:hAnsi="宋体" w:cs="宋体"/>
                <w:color w:val="auto"/>
                <w:sz w:val="21"/>
                <w:szCs w:val="21"/>
                <w:highlight w:val="none"/>
                <w:u w:val="single"/>
              </w:rPr>
              <w:t xml:space="preserve"> 0.5 </w:t>
            </w:r>
            <w:r>
              <w:rPr>
                <w:rFonts w:hint="eastAsia" w:ascii="宋体" w:hAnsi="宋体" w:cs="宋体"/>
                <w:bCs/>
                <w:color w:val="auto"/>
                <w:sz w:val="21"/>
                <w:szCs w:val="21"/>
                <w:highlight w:val="none"/>
              </w:rPr>
              <w:t>分，满分</w:t>
            </w:r>
            <w:r>
              <w:rPr>
                <w:rFonts w:hint="eastAsia" w:ascii="宋体" w:hAnsi="宋体" w:cs="宋体"/>
                <w:color w:val="auto"/>
                <w:sz w:val="21"/>
                <w:szCs w:val="21"/>
                <w:highlight w:val="none"/>
                <w:u w:val="single"/>
              </w:rPr>
              <w:t xml:space="preserve"> 2 </w:t>
            </w:r>
            <w:r>
              <w:rPr>
                <w:rFonts w:hint="eastAsia" w:ascii="宋体" w:hAnsi="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5</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bCs/>
                <w:color w:val="auto"/>
                <w:highlight w:val="none"/>
              </w:rPr>
              <w:t>信誉及业绩分</w:t>
            </w:r>
            <w:r>
              <w:rPr>
                <w:rFonts w:hint="eastAsia" w:ascii="宋体" w:hAnsi="宋体" w:cs="宋体"/>
                <w:b/>
                <w:color w:val="auto"/>
                <w:szCs w:val="21"/>
                <w:highlight w:val="none"/>
              </w:rPr>
              <w:t>（满分10分）</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bCs/>
                <w:color w:val="auto"/>
                <w:highlight w:val="none"/>
              </w:rPr>
              <w:t>信誉及业绩</w:t>
            </w:r>
          </w:p>
        </w:tc>
        <w:tc>
          <w:tcPr>
            <w:tcW w:w="608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3" w:firstLineChars="135"/>
              <w:rPr>
                <w:rFonts w:ascii="宋体" w:hAnsi="宋体" w:cs="宋体"/>
                <w:color w:val="auto"/>
                <w:sz w:val="21"/>
                <w:szCs w:val="21"/>
                <w:highlight w:val="none"/>
              </w:rPr>
            </w:pPr>
            <w:r>
              <w:rPr>
                <w:rFonts w:hint="eastAsia" w:ascii="宋体" w:hAnsi="宋体" w:cs="宋体"/>
                <w:color w:val="auto"/>
                <w:sz w:val="21"/>
                <w:szCs w:val="21"/>
                <w:highlight w:val="none"/>
              </w:rPr>
              <w:t>（1）投标产品的生产企业通过ISO9001质量管理体系认证、ISO14001环境管理体系认证、SA8000社会道德责任标准等证书的每一项得1分，满分3分。</w:t>
            </w:r>
          </w:p>
          <w:p>
            <w:pPr>
              <w:pStyle w:val="12"/>
              <w:spacing w:line="370" w:lineRule="exact"/>
              <w:ind w:firstLine="283" w:firstLineChars="135"/>
              <w:jc w:val="left"/>
              <w:rPr>
                <w:rFonts w:hAnsi="宋体" w:cs="宋体"/>
                <w:bCs/>
                <w:color w:val="auto"/>
                <w:sz w:val="21"/>
                <w:szCs w:val="21"/>
                <w:highlight w:val="none"/>
              </w:rPr>
            </w:pPr>
            <w:r>
              <w:rPr>
                <w:rFonts w:hint="eastAsia" w:hAnsi="宋体" w:cs="宋体"/>
                <w:color w:val="auto"/>
                <w:sz w:val="21"/>
                <w:szCs w:val="21"/>
                <w:highlight w:val="none"/>
              </w:rPr>
              <w:t>（2）供应商自2017年以来完成类似项目业绩的（响应文件中提供相关合同或中标通知书复印件</w:t>
            </w:r>
            <w:r>
              <w:rPr>
                <w:rFonts w:hint="eastAsia" w:hAnsi="宋体" w:cs="宋体"/>
                <w:bCs/>
                <w:color w:val="auto"/>
                <w:sz w:val="21"/>
                <w:szCs w:val="21"/>
                <w:highlight w:val="none"/>
                <w:lang w:val="zh-CN"/>
              </w:rPr>
              <w:t>，合同原件备查）。</w:t>
            </w:r>
            <w:r>
              <w:rPr>
                <w:rFonts w:hint="eastAsia" w:hAnsi="宋体" w:cs="宋体"/>
                <w:color w:val="auto"/>
                <w:sz w:val="21"/>
                <w:szCs w:val="21"/>
                <w:highlight w:val="none"/>
              </w:rPr>
              <w:t>每有一项得1分，</w:t>
            </w:r>
            <w:r>
              <w:rPr>
                <w:rFonts w:hint="eastAsia" w:hAnsi="宋体" w:cs="宋体"/>
                <w:bCs/>
                <w:color w:val="auto"/>
                <w:sz w:val="21"/>
                <w:szCs w:val="21"/>
                <w:highlight w:val="none"/>
                <w:lang w:val="zh-CN"/>
              </w:rPr>
              <w:t>满分</w:t>
            </w:r>
            <w:r>
              <w:rPr>
                <w:rFonts w:hint="eastAsia" w:hAnsi="宋体" w:cs="宋体"/>
                <w:bCs/>
                <w:color w:val="auto"/>
                <w:sz w:val="21"/>
                <w:szCs w:val="21"/>
                <w:highlight w:val="none"/>
              </w:rPr>
              <w:t>7</w:t>
            </w:r>
            <w:r>
              <w:rPr>
                <w:rFonts w:hint="eastAsia" w:hAnsi="宋体" w:cs="宋体"/>
                <w:bCs/>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6</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政策功能分（满分2分）</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cs="宋体"/>
                <w:color w:val="auto"/>
                <w:szCs w:val="21"/>
                <w:highlight w:val="none"/>
              </w:rPr>
            </w:pPr>
            <w:r>
              <w:rPr>
                <w:rFonts w:hint="eastAsia" w:ascii="宋体" w:hAnsi="宋体" w:cs="宋体"/>
                <w:b/>
                <w:bCs/>
                <w:color w:val="auto"/>
                <w:szCs w:val="21"/>
                <w:highlight w:val="none"/>
              </w:rPr>
              <w:t>节能、环保及区内产品</w:t>
            </w:r>
          </w:p>
        </w:tc>
        <w:tc>
          <w:tcPr>
            <w:tcW w:w="6087"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hAnsi="宋体" w:cs="宋体"/>
                <w:bCs/>
                <w:color w:val="auto"/>
                <w:kern w:val="2"/>
                <w:sz w:val="21"/>
                <w:szCs w:val="21"/>
                <w:highlight w:val="none"/>
              </w:rPr>
            </w:pPr>
            <w:r>
              <w:rPr>
                <w:rFonts w:hint="eastAsia" w:hAnsi="宋体" w:cs="宋体"/>
                <w:bCs/>
                <w:color w:val="auto"/>
                <w:kern w:val="2"/>
                <w:sz w:val="21"/>
                <w:szCs w:val="21"/>
                <w:highlight w:val="none"/>
              </w:rPr>
              <w:t>（1）属于财政部《节能产品政府采购品目清单》内优先采购（清单内未标注“★”的品目）的产品[响应文件中提供有效的认证证书复印件及品目清单（标注出投标产品在品目清单中所属的品目），并加盖供应商公章]，根据其所占项目（或分标）预算金额比例得0至</w:t>
            </w:r>
            <w:r>
              <w:rPr>
                <w:rFonts w:hint="eastAsia" w:hAnsi="宋体" w:cs="宋体"/>
                <w:bCs/>
                <w:color w:val="auto"/>
                <w:kern w:val="2"/>
                <w:sz w:val="21"/>
                <w:szCs w:val="21"/>
                <w:highlight w:val="none"/>
                <w:u w:val="single"/>
              </w:rPr>
              <w:t xml:space="preserve"> 1 </w:t>
            </w:r>
            <w:r>
              <w:rPr>
                <w:rFonts w:hint="eastAsia" w:hAnsi="宋体" w:cs="宋体"/>
                <w:bCs/>
                <w:color w:val="auto"/>
                <w:kern w:val="2"/>
                <w:sz w:val="21"/>
                <w:szCs w:val="21"/>
                <w:highlight w:val="none"/>
              </w:rPr>
              <w:t>分，满分</w:t>
            </w:r>
            <w:r>
              <w:rPr>
                <w:rFonts w:hint="eastAsia" w:hAnsi="宋体" w:cs="宋体"/>
                <w:bCs/>
                <w:color w:val="auto"/>
                <w:kern w:val="2"/>
                <w:sz w:val="21"/>
                <w:szCs w:val="21"/>
                <w:highlight w:val="none"/>
                <w:u w:val="single"/>
              </w:rPr>
              <w:t>1</w:t>
            </w:r>
            <w:r>
              <w:rPr>
                <w:rFonts w:hint="eastAsia" w:hAnsi="宋体" w:cs="宋体"/>
                <w:bCs/>
                <w:color w:val="auto"/>
                <w:kern w:val="2"/>
                <w:sz w:val="21"/>
                <w:szCs w:val="21"/>
                <w:highlight w:val="none"/>
              </w:rPr>
              <w:t>分。</w:t>
            </w:r>
          </w:p>
          <w:p>
            <w:pPr>
              <w:pStyle w:val="12"/>
              <w:spacing w:line="360" w:lineRule="exact"/>
              <w:rPr>
                <w:rFonts w:hAnsi="宋体" w:cs="宋体"/>
                <w:bCs/>
                <w:color w:val="auto"/>
                <w:kern w:val="2"/>
                <w:sz w:val="21"/>
                <w:szCs w:val="21"/>
                <w:highlight w:val="none"/>
              </w:rPr>
            </w:pPr>
            <w:r>
              <w:rPr>
                <w:rFonts w:hint="eastAsia" w:hAnsi="宋体" w:cs="宋体"/>
                <w:bCs/>
                <w:color w:val="auto"/>
                <w:kern w:val="2"/>
                <w:sz w:val="21"/>
                <w:szCs w:val="21"/>
                <w:highlight w:val="none"/>
              </w:rPr>
              <w:t>（2）属于财政部《环境标志产品政府采购品目清单》内的产品[响应文件中提供有效的认证证书复印件及品目清单（标注出投标产品在品目清单中所属的品目），并加盖供应商公章]，根据其所占项目（或分标）预算金额比例得0至</w:t>
            </w:r>
            <w:r>
              <w:rPr>
                <w:rFonts w:hint="eastAsia" w:hAnsi="宋体" w:cs="宋体"/>
                <w:bCs/>
                <w:color w:val="auto"/>
                <w:kern w:val="2"/>
                <w:sz w:val="21"/>
                <w:szCs w:val="21"/>
                <w:highlight w:val="none"/>
                <w:u w:val="single"/>
              </w:rPr>
              <w:t>1</w:t>
            </w:r>
            <w:r>
              <w:rPr>
                <w:rFonts w:hint="eastAsia" w:hAnsi="宋体" w:cs="宋体"/>
                <w:bCs/>
                <w:color w:val="auto"/>
                <w:kern w:val="2"/>
                <w:sz w:val="21"/>
                <w:szCs w:val="21"/>
                <w:highlight w:val="none"/>
              </w:rPr>
              <w:t>分，满分</w:t>
            </w:r>
            <w:r>
              <w:rPr>
                <w:rFonts w:hint="eastAsia" w:hAnsi="宋体" w:cs="宋体"/>
                <w:bCs/>
                <w:color w:val="auto"/>
                <w:kern w:val="2"/>
                <w:sz w:val="21"/>
                <w:szCs w:val="21"/>
                <w:highlight w:val="none"/>
                <w:u w:val="single"/>
              </w:rPr>
              <w:t>1</w:t>
            </w:r>
            <w:r>
              <w:rPr>
                <w:rFonts w:hint="eastAsia" w:hAnsi="宋体" w:cs="宋体"/>
                <w:bCs/>
                <w:color w:val="auto"/>
                <w:kern w:val="2"/>
                <w:sz w:val="21"/>
                <w:szCs w:val="21"/>
                <w:highlight w:val="none"/>
              </w:rPr>
              <w:t>分；</w:t>
            </w:r>
          </w:p>
          <w:p>
            <w:pPr>
              <w:pStyle w:val="12"/>
              <w:spacing w:line="340" w:lineRule="exact"/>
              <w:rPr>
                <w:rFonts w:hAnsi="宋体" w:cs="宋体"/>
                <w:bCs/>
                <w:color w:val="auto"/>
                <w:sz w:val="21"/>
                <w:szCs w:val="21"/>
                <w:highlight w:val="none"/>
              </w:rPr>
            </w:pPr>
            <w:r>
              <w:rPr>
                <w:rFonts w:hint="eastAsia" w:hAnsi="宋体" w:cs="宋体"/>
                <w:bCs/>
                <w:color w:val="auto"/>
                <w:kern w:val="2"/>
                <w:sz w:val="21"/>
                <w:szCs w:val="21"/>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420"/>
              <w:rPr>
                <w:rFonts w:hAnsi="宋体" w:cs="宋体"/>
                <w:bCs/>
                <w:color w:val="auto"/>
                <w:highlight w:val="none"/>
              </w:rPr>
            </w:pPr>
            <w:r>
              <w:rPr>
                <w:rFonts w:hint="eastAsia" w:hAnsi="宋体" w:cs="宋体"/>
                <w:b/>
                <w:bCs/>
                <w:color w:val="auto"/>
                <w:sz w:val="21"/>
                <w:szCs w:val="21"/>
                <w:highlight w:val="none"/>
              </w:rPr>
              <w:t>总得分=1+2+3+4+5+6。</w:t>
            </w:r>
          </w:p>
        </w:tc>
      </w:tr>
    </w:tbl>
    <w:p>
      <w:pPr>
        <w:spacing w:line="400" w:lineRule="exact"/>
        <w:ind w:firstLine="422" w:firstLineChars="200"/>
        <w:rPr>
          <w:rFonts w:ascii="宋体" w:hAnsi="宋体" w:cs="宋体"/>
          <w:b/>
          <w:color w:val="auto"/>
          <w:highlight w:val="none"/>
        </w:rPr>
      </w:pP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三、成交候选人推荐原则</w:t>
      </w: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28.由磋商小组根据综合评分情况，按照评审得分由高到低顺序推荐3名以上成交候选供应商，并编写评审报告。符合本章第16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pStyle w:val="2"/>
        <w:rPr>
          <w:rFonts w:ascii="宋体" w:hAnsi="宋体" w:cs="宋体"/>
          <w:color w:val="auto"/>
          <w:highlight w:val="none"/>
        </w:rPr>
      </w:pPr>
    </w:p>
    <w:p>
      <w:pPr>
        <w:pStyle w:val="2"/>
        <w:jc w:val="center"/>
        <w:rPr>
          <w:rFonts w:ascii="宋体" w:hAnsi="宋体" w:cs="宋体"/>
          <w:color w:val="auto"/>
          <w:highlight w:val="none"/>
        </w:rPr>
      </w:pPr>
      <w:r>
        <w:rPr>
          <w:rFonts w:hint="eastAsia" w:ascii="宋体" w:hAnsi="宋体" w:cs="宋体"/>
          <w:color w:val="auto"/>
          <w:highlight w:val="none"/>
        </w:rPr>
        <w:br w:type="page"/>
      </w:r>
      <w:bookmarkStart w:id="70" w:name="_Toc44229897"/>
      <w:r>
        <w:rPr>
          <w:rFonts w:hint="eastAsia" w:ascii="宋体" w:hAnsi="宋体" w:cs="宋体"/>
          <w:color w:val="auto"/>
          <w:highlight w:val="none"/>
        </w:rPr>
        <w:t>第五章 响应文件格式</w:t>
      </w:r>
      <w:bookmarkEnd w:id="70"/>
    </w:p>
    <w:p>
      <w:pPr>
        <w:spacing w:line="240" w:lineRule="atLeast"/>
        <w:rPr>
          <w:rFonts w:ascii="宋体" w:hAnsi="宋体" w:cs="宋体"/>
          <w:b/>
          <w:color w:val="auto"/>
          <w:sz w:val="32"/>
          <w:szCs w:val="32"/>
          <w:highlight w:val="none"/>
        </w:rPr>
      </w:pPr>
    </w:p>
    <w:p>
      <w:pPr>
        <w:snapToGrid w:val="0"/>
        <w:spacing w:before="50" w:after="50"/>
        <w:outlineLvl w:val="1"/>
        <w:rPr>
          <w:rFonts w:ascii="宋体" w:hAnsi="宋体" w:cs="宋体"/>
          <w:b/>
          <w:bCs/>
          <w:color w:val="auto"/>
          <w:sz w:val="24"/>
          <w:highlight w:val="none"/>
        </w:rPr>
      </w:pPr>
    </w:p>
    <w:p>
      <w:pPr>
        <w:snapToGrid w:val="0"/>
        <w:spacing w:before="50" w:after="50"/>
        <w:outlineLvl w:val="1"/>
        <w:rPr>
          <w:rFonts w:ascii="宋体" w:hAnsi="宋体" w:cs="宋体"/>
          <w:b/>
          <w:bCs/>
          <w:color w:val="auto"/>
          <w:sz w:val="32"/>
          <w:szCs w:val="32"/>
          <w:highlight w:val="none"/>
        </w:rPr>
      </w:pPr>
      <w:bookmarkStart w:id="71" w:name="_Toc44229898"/>
      <w:r>
        <w:rPr>
          <w:rFonts w:hint="eastAsia" w:ascii="宋体" w:hAnsi="宋体" w:cs="宋体"/>
          <w:b/>
          <w:color w:val="auto"/>
          <w:sz w:val="32"/>
          <w:szCs w:val="32"/>
          <w:highlight w:val="none"/>
        </w:rPr>
        <w:t>（</w:t>
      </w:r>
      <w:bookmarkStart w:id="72" w:name="_Toc35611437"/>
      <w:bookmarkStart w:id="73" w:name="_Toc35611515"/>
      <w:r>
        <w:rPr>
          <w:rFonts w:hint="eastAsia" w:ascii="宋体" w:hAnsi="宋体" w:cs="宋体"/>
          <w:b/>
          <w:bCs/>
          <w:color w:val="auto"/>
          <w:sz w:val="32"/>
          <w:szCs w:val="32"/>
          <w:highlight w:val="none"/>
        </w:rPr>
        <w:t>响应文件外层包装封面格式</w:t>
      </w:r>
      <w:bookmarkEnd w:id="72"/>
      <w:bookmarkEnd w:id="73"/>
      <w:r>
        <w:rPr>
          <w:rFonts w:hint="eastAsia" w:ascii="宋体" w:hAnsi="宋体" w:cs="宋体"/>
          <w:b/>
          <w:color w:val="auto"/>
          <w:sz w:val="32"/>
          <w:szCs w:val="32"/>
          <w:highlight w:val="none"/>
        </w:rPr>
        <w:t xml:space="preserve"> ）</w:t>
      </w:r>
      <w:bookmarkEnd w:id="71"/>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480" w:firstLineChars="1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480" w:firstLineChars="1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所竞分标（如有则填写，无分标时填写“无”或留空）：</w:t>
      </w:r>
    </w:p>
    <w:p>
      <w:pPr>
        <w:snapToGrid w:val="0"/>
        <w:spacing w:beforeLines="50" w:after="50"/>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Lines="50" w:after="50"/>
        <w:rPr>
          <w:rFonts w:ascii="宋体" w:hAnsi="宋体" w:cs="宋体"/>
          <w:bCs/>
          <w:color w:val="auto"/>
          <w:sz w:val="32"/>
          <w:szCs w:val="32"/>
          <w:highlight w:val="none"/>
        </w:rPr>
      </w:pPr>
    </w:p>
    <w:p>
      <w:pPr>
        <w:snapToGrid w:val="0"/>
        <w:spacing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首次响应文件提交截止时间前不得启封</w:t>
      </w:r>
    </w:p>
    <w:p>
      <w:pPr>
        <w:snapToGrid w:val="0"/>
        <w:spacing w:beforeLines="50" w:after="50"/>
        <w:ind w:firstLine="5440" w:firstLineChars="1700"/>
        <w:jc w:val="center"/>
        <w:rPr>
          <w:rFonts w:ascii="宋体" w:hAnsi="宋体" w:cs="宋体"/>
          <w:bCs/>
          <w:color w:val="auto"/>
          <w:sz w:val="32"/>
          <w:szCs w:val="32"/>
          <w:highlight w:val="none"/>
        </w:rPr>
      </w:pPr>
    </w:p>
    <w:p>
      <w:pPr>
        <w:snapToGrid w:val="0"/>
        <w:spacing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pPr>
        <w:spacing w:line="240" w:lineRule="atLeast"/>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44"/>
          <w:szCs w:val="44"/>
          <w:highlight w:val="none"/>
        </w:rPr>
      </w:pPr>
    </w:p>
    <w:p>
      <w:pPr>
        <w:spacing w:line="240" w:lineRule="atLeast"/>
        <w:jc w:val="center"/>
        <w:rPr>
          <w:rFonts w:ascii="宋体" w:hAnsi="宋体" w:cs="宋体"/>
          <w:bCs/>
          <w:color w:val="auto"/>
          <w:sz w:val="44"/>
          <w:szCs w:val="44"/>
          <w:highlight w:val="none"/>
        </w:rPr>
      </w:pPr>
    </w:p>
    <w:p>
      <w:pPr>
        <w:spacing w:line="240" w:lineRule="atLeast"/>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color w:val="auto"/>
          <w:szCs w:val="21"/>
          <w:highlight w:val="none"/>
        </w:rPr>
        <w:t>(封面)</w:t>
      </w: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left"/>
        <w:rPr>
          <w:rFonts w:ascii="宋体" w:hAnsi="宋体" w:cs="宋体"/>
          <w:color w:val="auto"/>
          <w:sz w:val="32"/>
          <w:szCs w:val="32"/>
          <w:highlight w:val="none"/>
        </w:rPr>
      </w:pPr>
    </w:p>
    <w:p>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p>
    <w:p>
      <w:pPr>
        <w:tabs>
          <w:tab w:val="left" w:pos="3240"/>
        </w:tabs>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p>
    <w:p>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所竞分标</w:t>
      </w:r>
      <w:r>
        <w:rPr>
          <w:rFonts w:hint="eastAsia" w:ascii="宋体" w:hAnsi="宋体" w:cs="宋体"/>
          <w:bCs/>
          <w:color w:val="auto"/>
          <w:sz w:val="32"/>
          <w:szCs w:val="32"/>
          <w:highlight w:val="none"/>
        </w:rPr>
        <w:t>（如有则填写，无分标时填写“无”或留空）</w:t>
      </w:r>
      <w:r>
        <w:rPr>
          <w:rFonts w:hint="eastAsia" w:ascii="宋体" w:hAnsi="宋体" w:cs="宋体"/>
          <w:color w:val="auto"/>
          <w:sz w:val="32"/>
          <w:szCs w:val="32"/>
          <w:highlight w:val="none"/>
        </w:rPr>
        <w:t>：</w:t>
      </w:r>
    </w:p>
    <w:p>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供应商名称：</w:t>
      </w:r>
    </w:p>
    <w:p>
      <w:pPr>
        <w:snapToGrid w:val="0"/>
        <w:spacing w:beforeLines="50" w:after="50"/>
        <w:rPr>
          <w:rFonts w:ascii="宋体" w:hAnsi="宋体" w:cs="宋体"/>
          <w:color w:val="auto"/>
          <w:sz w:val="32"/>
          <w:szCs w:val="32"/>
          <w:highlight w:val="none"/>
        </w:rPr>
      </w:pPr>
    </w:p>
    <w:p>
      <w:pPr>
        <w:snapToGrid w:val="0"/>
        <w:spacing w:beforeLines="50" w:after="50"/>
        <w:rPr>
          <w:rFonts w:ascii="宋体" w:hAnsi="宋体" w:cs="宋体"/>
          <w:color w:val="auto"/>
          <w:sz w:val="32"/>
          <w:szCs w:val="32"/>
          <w:highlight w:val="none"/>
        </w:rPr>
      </w:pPr>
    </w:p>
    <w:p>
      <w:pPr>
        <w:snapToGrid w:val="0"/>
        <w:spacing w:beforeLines="50" w:after="50"/>
        <w:rPr>
          <w:rFonts w:ascii="宋体" w:hAnsi="宋体" w:cs="宋体"/>
          <w:color w:val="auto"/>
          <w:sz w:val="32"/>
          <w:szCs w:val="32"/>
          <w:highlight w:val="none"/>
        </w:rPr>
      </w:pPr>
    </w:p>
    <w:p>
      <w:pPr>
        <w:snapToGrid w:val="0"/>
        <w:spacing w:beforeLines="50" w:after="50"/>
        <w:jc w:val="center"/>
        <w:rPr>
          <w:rFonts w:ascii="宋体" w:hAnsi="宋体" w:cs="宋体"/>
          <w:bCs/>
          <w:color w:val="auto"/>
          <w:sz w:val="32"/>
          <w:szCs w:val="32"/>
          <w:highlight w:val="none"/>
        </w:rPr>
      </w:pPr>
      <w:r>
        <w:rPr>
          <w:rFonts w:hint="eastAsia" w:ascii="宋体" w:hAnsi="宋体" w:cs="宋体"/>
          <w:color w:val="auto"/>
          <w:sz w:val="32"/>
          <w:szCs w:val="32"/>
          <w:highlight w:val="none"/>
        </w:rPr>
        <w:t>年    月    日</w:t>
      </w: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napToGrid w:val="0"/>
        <w:spacing w:beforeLines="50" w:after="50"/>
        <w:outlineLvl w:val="1"/>
        <w:rPr>
          <w:rFonts w:ascii="宋体" w:hAnsi="宋体" w:cs="宋体"/>
          <w:b/>
          <w:bCs/>
          <w:color w:val="auto"/>
          <w:sz w:val="32"/>
          <w:szCs w:val="32"/>
          <w:highlight w:val="none"/>
        </w:rPr>
      </w:pPr>
      <w:bookmarkStart w:id="74" w:name="_Toc44229899"/>
      <w:bookmarkStart w:id="75" w:name="_Toc35611438"/>
      <w:bookmarkStart w:id="76" w:name="_Toc31728084"/>
      <w:bookmarkStart w:id="77" w:name="_Toc35611516"/>
      <w:bookmarkStart w:id="78" w:name="_Toc31723070"/>
      <w:r>
        <w:rPr>
          <w:rFonts w:hint="eastAsia" w:ascii="宋体" w:hAnsi="宋体" w:cs="宋体"/>
          <w:b/>
          <w:bCs/>
          <w:color w:val="auto"/>
          <w:sz w:val="32"/>
          <w:szCs w:val="32"/>
          <w:highlight w:val="none"/>
        </w:rPr>
        <w:t>一、资格证明文件格式</w:t>
      </w:r>
      <w:bookmarkEnd w:id="74"/>
      <w:bookmarkEnd w:id="75"/>
      <w:bookmarkEnd w:id="76"/>
      <w:bookmarkEnd w:id="77"/>
      <w:bookmarkEnd w:id="78"/>
    </w:p>
    <w:p>
      <w:pPr>
        <w:snapToGrid w:val="0"/>
        <w:spacing w:beforeLines="50" w:after="50"/>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p>
    <w:p>
      <w:pPr>
        <w:snapToGrid w:val="0"/>
        <w:spacing w:beforeLines="50" w:after="50"/>
        <w:rPr>
          <w:rFonts w:ascii="宋体" w:hAnsi="宋体" w:cs="宋体"/>
          <w:bCs/>
          <w:color w:val="auto"/>
          <w:sz w:val="32"/>
          <w:szCs w:val="20"/>
          <w:highlight w:val="none"/>
        </w:rPr>
      </w:pPr>
      <w:r>
        <w:rPr>
          <w:rFonts w:hint="eastAsia" w:ascii="宋体" w:hAnsi="宋体" w:cs="宋体"/>
          <w:bCs/>
          <w:color w:val="auto"/>
          <w:highlight w:val="none"/>
        </w:rPr>
        <w:t>正本/副本</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所竞分标（如有则填写，无分标时填写“无”或留空）：</w:t>
      </w:r>
    </w:p>
    <w:p>
      <w:pPr>
        <w:snapToGrid w:val="0"/>
        <w:spacing w:beforeLines="50" w:after="50"/>
        <w:ind w:firstLine="720" w:firstLineChars="225"/>
        <w:rPr>
          <w:rFonts w:ascii="宋体" w:hAnsi="宋体" w:cs="宋体"/>
          <w:bCs/>
          <w:color w:val="auto"/>
          <w:sz w:val="32"/>
          <w:szCs w:val="32"/>
          <w:highlight w:val="none"/>
        </w:rPr>
      </w:pPr>
    </w:p>
    <w:p>
      <w:pPr>
        <w:pStyle w:val="5"/>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5"/>
        <w:snapToGrid w:val="0"/>
        <w:spacing w:before="50" w:after="50"/>
        <w:ind w:firstLine="720" w:firstLineChars="225"/>
        <w:rPr>
          <w:rFonts w:ascii="宋体" w:hAnsi="宋体" w:cs="宋体"/>
          <w:bCs/>
          <w:color w:val="auto"/>
          <w:sz w:val="32"/>
          <w:szCs w:val="32"/>
          <w:highlight w:val="none"/>
        </w:rPr>
      </w:pPr>
    </w:p>
    <w:p>
      <w:pPr>
        <w:pStyle w:val="5"/>
        <w:snapToGrid w:val="0"/>
        <w:spacing w:before="50" w:after="50"/>
        <w:ind w:firstLine="720" w:firstLineChars="225"/>
        <w:rPr>
          <w:rFonts w:ascii="宋体" w:hAnsi="宋体" w:cs="宋体"/>
          <w:bCs/>
          <w:color w:val="auto"/>
          <w:sz w:val="32"/>
          <w:szCs w:val="32"/>
          <w:highlight w:val="none"/>
        </w:rPr>
      </w:pPr>
    </w:p>
    <w:p>
      <w:pPr>
        <w:pStyle w:val="5"/>
        <w:snapToGrid w:val="0"/>
        <w:spacing w:before="50" w:after="50"/>
        <w:ind w:firstLine="720" w:firstLineChars="225"/>
        <w:rPr>
          <w:rFonts w:ascii="宋体" w:hAnsi="宋体" w:cs="宋体"/>
          <w:bCs/>
          <w:color w:val="auto"/>
          <w:sz w:val="32"/>
          <w:szCs w:val="32"/>
          <w:highlight w:val="none"/>
        </w:rPr>
      </w:pPr>
    </w:p>
    <w:p>
      <w:pPr>
        <w:pStyle w:val="5"/>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Lines="50" w:after="50"/>
        <w:ind w:firstLine="645"/>
        <w:rPr>
          <w:rFonts w:ascii="宋体" w:hAnsi="宋体" w:cs="宋体"/>
          <w:color w:val="auto"/>
          <w:sz w:val="32"/>
          <w:szCs w:val="32"/>
          <w:highlight w:val="none"/>
        </w:rPr>
      </w:pPr>
      <w:r>
        <w:rPr>
          <w:rFonts w:hint="eastAsia" w:ascii="宋体" w:hAnsi="宋体" w:cs="宋体"/>
          <w:color w:val="auto"/>
          <w:sz w:val="32"/>
          <w:szCs w:val="32"/>
          <w:highlight w:val="none"/>
        </w:rPr>
        <w:t>根据竞争性磋商文件规定及供应商提供的材料自行编写目录（部分格式后附）。</w:t>
      </w:r>
    </w:p>
    <w:p>
      <w:pPr>
        <w:snapToGrid w:val="0"/>
        <w:spacing w:beforeLines="50" w:after="50"/>
        <w:rPr>
          <w:rFonts w:ascii="宋体" w:hAnsi="宋体" w:cs="宋体"/>
          <w:color w:val="auto"/>
          <w:sz w:val="24"/>
          <w:szCs w:val="20"/>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spacing w:beforeLines="50" w:after="50" w:line="320" w:lineRule="exact"/>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云之龙招标集团有限公司</w:t>
      </w:r>
      <w:r>
        <w:rPr>
          <w:rFonts w:hint="eastAsia" w:ascii="宋体" w:hAnsi="宋体" w:cs="宋体"/>
          <w:color w:val="auto"/>
          <w:szCs w:val="21"/>
          <w:highlight w:val="none"/>
        </w:rPr>
        <w:t>：</w:t>
      </w:r>
    </w:p>
    <w:p>
      <w:pPr>
        <w:spacing w:beforeLines="50" w:after="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（1）将按竞争性磋商文件的约定履行合同责任和义务；</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（2）已详细审查全部竞争性磋商文件，包括澄清或更正公告（如有）；</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（3）同意提供按照贵方可能要求的与磋商有关的一切数据或资料；</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（4）响应竞争性磋商文件规定的竞标有效期。</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Lines="50"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p>
    <w:p>
      <w:pPr>
        <w:pStyle w:val="12"/>
        <w:spacing w:line="320" w:lineRule="exact"/>
        <w:ind w:firstLine="420" w:firstLineChars="20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7.与本磋商有关的一切正式往来信函请寄：邮政编号：</w:t>
      </w:r>
    </w:p>
    <w:p>
      <w:pPr>
        <w:pStyle w:val="12"/>
        <w:spacing w:line="320" w:lineRule="exact"/>
        <w:ind w:firstLine="420" w:firstLineChars="200"/>
        <w:contextualSpacing/>
        <w:rPr>
          <w:rFonts w:hAnsi="宋体" w:cs="宋体"/>
          <w:color w:val="auto"/>
          <w:sz w:val="21"/>
          <w:highlight w:val="none"/>
        </w:rPr>
      </w:pPr>
      <w:r>
        <w:rPr>
          <w:rFonts w:hint="eastAsia" w:hAnsi="宋体" w:cs="宋体"/>
          <w:color w:val="auto"/>
          <w:sz w:val="21"/>
          <w:highlight w:val="none"/>
        </w:rPr>
        <w:t>电话/传真： 电子函件：</w:t>
      </w:r>
    </w:p>
    <w:p>
      <w:pPr>
        <w:pStyle w:val="11"/>
        <w:tabs>
          <w:tab w:val="left" w:pos="939"/>
        </w:tabs>
        <w:spacing w:line="320" w:lineRule="exact"/>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开户银行：  帐号：</w:t>
      </w:r>
    </w:p>
    <w:p>
      <w:pPr>
        <w:pStyle w:val="11"/>
        <w:tabs>
          <w:tab w:val="left" w:pos="939"/>
        </w:tabs>
        <w:spacing w:line="3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8.以上事项如有虚假或隐瞒，我方愿意承担一切后果，并不再寻求任何旨在减轻或免除法律责任的辩解。</w:t>
      </w:r>
    </w:p>
    <w:p>
      <w:pPr>
        <w:pStyle w:val="11"/>
        <w:tabs>
          <w:tab w:val="left" w:pos="939"/>
        </w:tabs>
        <w:spacing w:line="320" w:lineRule="exact"/>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pPr>
        <w:spacing w:line="320" w:lineRule="exact"/>
        <w:ind w:firstLine="3780" w:firstLineChars="1800"/>
        <w:rPr>
          <w:rFonts w:ascii="宋体" w:hAnsi="宋体" w:cs="宋体"/>
          <w:color w:val="auto"/>
          <w:highlight w:val="none"/>
        </w:rPr>
      </w:pPr>
      <w:r>
        <w:rPr>
          <w:rFonts w:hint="eastAsia" w:ascii="宋体" w:hAnsi="宋体" w:cs="宋体"/>
          <w:color w:val="auto"/>
          <w:highlight w:val="none"/>
        </w:rPr>
        <w:t>法定代表人（签字）：</w:t>
      </w:r>
    </w:p>
    <w:p>
      <w:pPr>
        <w:spacing w:line="320" w:lineRule="exact"/>
        <w:ind w:firstLine="3780" w:firstLineChars="1800"/>
        <w:rPr>
          <w:rFonts w:ascii="宋体" w:hAnsi="宋体" w:cs="宋体"/>
          <w:color w:val="auto"/>
          <w:szCs w:val="21"/>
          <w:highlight w:val="none"/>
          <w:u w:val="single"/>
        </w:rPr>
      </w:pPr>
      <w:r>
        <w:rPr>
          <w:rFonts w:hint="eastAsia" w:ascii="宋体" w:hAnsi="宋体" w:cs="宋体"/>
          <w:color w:val="auto"/>
          <w:highlight w:val="none"/>
        </w:rPr>
        <w:t>供应商（盖公章）：</w:t>
      </w:r>
    </w:p>
    <w:p>
      <w:pPr>
        <w:wordWrap w:val="0"/>
        <w:spacing w:beforeLines="50" w:after="50" w:line="320" w:lineRule="exact"/>
        <w:ind w:right="482" w:firstLine="210" w:firstLineChars="100"/>
        <w:contextualSpacing/>
        <w:jc w:val="center"/>
        <w:rPr>
          <w:rFonts w:ascii="宋体" w:hAnsi="宋体" w:cs="宋体"/>
          <w:color w:val="auto"/>
          <w:szCs w:val="21"/>
          <w:highlight w:val="none"/>
        </w:rPr>
      </w:pPr>
      <w:r>
        <w:rPr>
          <w:rFonts w:hint="eastAsia" w:ascii="宋体" w:hAnsi="宋体" w:cs="宋体"/>
          <w:color w:val="auto"/>
          <w:highlight w:val="none"/>
        </w:rPr>
        <w:t xml:space="preserve"> 年    月    日 </w:t>
      </w: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widowControl/>
        <w:jc w:val="center"/>
        <w:rPr>
          <w:color w:val="auto"/>
          <w:highlight w:val="none"/>
        </w:rPr>
      </w:pPr>
      <w:r>
        <w:rPr>
          <w:rFonts w:hint="eastAsia" w:ascii="宋体" w:hAnsi="宋体" w:cs="宋体"/>
          <w:b/>
          <w:color w:val="auto"/>
          <w:sz w:val="32"/>
          <w:szCs w:val="32"/>
          <w:highlight w:val="none"/>
        </w:rPr>
        <w:tab/>
      </w:r>
      <w:r>
        <w:rPr>
          <w:rFonts w:hint="eastAsia" w:ascii="宋体" w:hAnsi="宋体" w:cs="宋体"/>
          <w:b/>
          <w:color w:val="auto"/>
          <w:sz w:val="32"/>
          <w:szCs w:val="32"/>
          <w:highlight w:val="none"/>
        </w:rPr>
        <w:t>贵港市政府采购项目投标资格承诺函</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本公司郑重承诺，根据《中华人民共和国政府采购法》第二十二条的规定，本公司为参加政府采购活动的合格供应商。即本公司同时满足以下条件：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1.具有独立承担民事责任的能力。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2.具有良好的商业信誉和健全的财务会计制度。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3.具有履行合同所必需的设备和专业技术能力。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4.有依法缴纳税收和社会保障资金的良好记录。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 提交响应文件截止日期前三年内，在经营活动中没有重大 </w:t>
      </w:r>
    </w:p>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违法记录。 </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本公司对上述承诺的真实性负责，并接受政府采购、税务、社会保障等监督管理部门、采购文件规定的资格审查机构、社会公众的监督和检查。如有虚假，将依法承担相应责任。 </w:t>
      </w:r>
    </w:p>
    <w:p>
      <w:pPr>
        <w:widowControl/>
        <w:spacing w:line="360" w:lineRule="auto"/>
        <w:jc w:val="right"/>
        <w:rPr>
          <w:rFonts w:ascii="宋体" w:hAnsi="宋体" w:cs="宋体"/>
          <w:color w:val="auto"/>
          <w:kern w:val="0"/>
          <w:szCs w:val="21"/>
          <w:highlight w:val="none"/>
        </w:rPr>
      </w:pPr>
    </w:p>
    <w:p>
      <w:pPr>
        <w:widowControl/>
        <w:spacing w:line="360" w:lineRule="auto"/>
        <w:jc w:val="right"/>
        <w:rPr>
          <w:rFonts w:ascii="宋体" w:hAnsi="宋体" w:cs="宋体"/>
          <w:color w:val="auto"/>
          <w:kern w:val="0"/>
          <w:szCs w:val="21"/>
          <w:highlight w:val="none"/>
        </w:rPr>
      </w:pPr>
    </w:p>
    <w:p>
      <w:pPr>
        <w:widowControl/>
        <w:spacing w:line="360" w:lineRule="auto"/>
        <w:jc w:val="right"/>
        <w:rPr>
          <w:rFonts w:ascii="宋体" w:hAnsi="宋体" w:cs="宋体"/>
          <w:color w:val="auto"/>
          <w:kern w:val="0"/>
          <w:szCs w:val="21"/>
          <w:highlight w:val="none"/>
        </w:rPr>
      </w:pPr>
    </w:p>
    <w:p>
      <w:pPr>
        <w:widowControl/>
        <w:spacing w:line="360" w:lineRule="auto"/>
        <w:jc w:val="right"/>
        <w:rPr>
          <w:rFonts w:ascii="宋体" w:hAnsi="宋体" w:cs="宋体"/>
          <w:color w:val="auto"/>
          <w:kern w:val="0"/>
          <w:szCs w:val="21"/>
          <w:highlight w:val="none"/>
        </w:rPr>
      </w:pPr>
    </w:p>
    <w:p>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 xml:space="preserve">                                                          企业名称（盖章）： </w:t>
      </w:r>
    </w:p>
    <w:p>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 xml:space="preserve">                                                             法定代表人（签名）： </w:t>
      </w:r>
    </w:p>
    <w:p>
      <w:pPr>
        <w:tabs>
          <w:tab w:val="left" w:pos="3484"/>
        </w:tabs>
        <w:snapToGrid w:val="0"/>
        <w:spacing w:beforeLines="50" w:after="50"/>
        <w:jc w:val="right"/>
        <w:rPr>
          <w:rFonts w:ascii="宋体" w:hAnsi="宋体" w:cs="宋体"/>
          <w:b/>
          <w:color w:val="auto"/>
          <w:sz w:val="32"/>
          <w:szCs w:val="32"/>
          <w:highlight w:val="none"/>
        </w:rPr>
      </w:pPr>
      <w:r>
        <w:rPr>
          <w:rFonts w:hint="eastAsia" w:ascii="宋体" w:hAnsi="宋体" w:cs="宋体"/>
          <w:color w:val="auto"/>
          <w:kern w:val="0"/>
          <w:szCs w:val="21"/>
          <w:highlight w:val="none"/>
        </w:rPr>
        <w:t>日期： 年 月 日</w:t>
      </w: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napToGrid w:val="0"/>
        <w:spacing w:before="50" w:afterLines="50"/>
        <w:jc w:val="center"/>
        <w:rPr>
          <w:rFonts w:ascii="宋体" w:hAnsi="宋体" w:cs="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bl>
    <w:p>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spacing w:beforeLines="50"/>
        <w:ind w:right="480" w:firstLine="1680" w:firstLineChars="800"/>
        <w:rPr>
          <w:rFonts w:ascii="宋体" w:hAnsi="宋体" w:cs="宋体"/>
          <w:color w:val="auto"/>
          <w:szCs w:val="21"/>
          <w:highlight w:val="none"/>
          <w:u w:val="single"/>
        </w:rPr>
      </w:pPr>
      <w:r>
        <w:rPr>
          <w:rFonts w:hint="eastAsia" w:ascii="宋体" w:hAnsi="宋体" w:cs="宋体"/>
          <w:color w:val="auto"/>
          <w:szCs w:val="21"/>
          <w:highlight w:val="none"/>
        </w:rPr>
        <w:t>法定代表人或委托代理人签字：</w:t>
      </w:r>
    </w:p>
    <w:p>
      <w:pPr>
        <w:snapToGrid w:val="0"/>
        <w:spacing w:beforeLines="50" w:after="50"/>
        <w:ind w:right="480"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供应商（盖公章 ）：</w:t>
      </w:r>
    </w:p>
    <w:p>
      <w:pPr>
        <w:snapToGrid w:val="0"/>
        <w:spacing w:beforeLines="50" w:after="50"/>
        <w:ind w:right="480" w:firstLine="4620" w:firstLineChars="2200"/>
        <w:rPr>
          <w:rFonts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Cs w:val="21"/>
          <w:highlight w:val="none"/>
        </w:rPr>
        <w:br w:type="page"/>
      </w:r>
    </w:p>
    <w:p>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jc w:val="center"/>
        <w:rPr>
          <w:rFonts w:ascii="宋体" w:hAnsi="宋体" w:cs="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Cs w:val="21"/>
                <w:highlight w:val="none"/>
              </w:rPr>
            </w:pPr>
          </w:p>
        </w:tc>
      </w:tr>
    </w:tbl>
    <w:p>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jc w:val="left"/>
        <w:rPr>
          <w:rFonts w:ascii="宋体" w:hAnsi="宋体" w:cs="宋体"/>
          <w:color w:val="auto"/>
          <w:szCs w:val="21"/>
          <w:highlight w:val="none"/>
        </w:rPr>
      </w:pPr>
    </w:p>
    <w:p>
      <w:pPr>
        <w:snapToGrid w:val="0"/>
        <w:spacing w:beforeLines="50"/>
        <w:ind w:right="480"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法定代表人或委托代理人签字：</w:t>
      </w:r>
    </w:p>
    <w:p>
      <w:pPr>
        <w:snapToGrid w:val="0"/>
        <w:spacing w:beforeLines="50" w:after="50"/>
        <w:ind w:right="480" w:firstLine="2940" w:firstLineChars="1400"/>
        <w:rPr>
          <w:rFonts w:ascii="宋体" w:hAnsi="宋体" w:cs="宋体"/>
          <w:color w:val="auto"/>
          <w:szCs w:val="21"/>
          <w:highlight w:val="none"/>
        </w:rPr>
      </w:pPr>
      <w:r>
        <w:rPr>
          <w:rFonts w:hint="eastAsia" w:ascii="宋体" w:hAnsi="宋体" w:cs="宋体"/>
          <w:color w:val="auto"/>
          <w:szCs w:val="21"/>
          <w:highlight w:val="none"/>
        </w:rPr>
        <w:t>供应商（盖公章）：</w:t>
      </w:r>
    </w:p>
    <w:p>
      <w:pPr>
        <w:snapToGrid w:val="0"/>
        <w:spacing w:beforeLines="50" w:after="50"/>
        <w:ind w:right="48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Lines="50" w:after="50"/>
        <w:ind w:right="480" w:firstLine="280" w:firstLineChars="100"/>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报价商务技术文件格式 </w:t>
      </w:r>
    </w:p>
    <w:p>
      <w:pPr>
        <w:snapToGrid w:val="0"/>
        <w:spacing w:beforeLines="50" w:after="50"/>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Lines="50" w:after="50"/>
        <w:rPr>
          <w:rFonts w:ascii="宋体" w:hAnsi="宋体" w:cs="宋体"/>
          <w:bCs/>
          <w:color w:val="auto"/>
          <w:sz w:val="32"/>
          <w:szCs w:val="20"/>
          <w:highlight w:val="none"/>
        </w:rPr>
      </w:pPr>
      <w:r>
        <w:rPr>
          <w:rFonts w:hint="eastAsia" w:ascii="宋体" w:hAnsi="宋体" w:cs="宋体"/>
          <w:bCs/>
          <w:color w:val="auto"/>
          <w:highlight w:val="none"/>
        </w:rPr>
        <w:t>正本/副本</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商  务  技  术  文  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Lines="50" w:after="50"/>
        <w:ind w:firstLine="720" w:firstLineChars="225"/>
        <w:rPr>
          <w:rFonts w:ascii="宋体" w:hAnsi="宋体" w:cs="宋体"/>
          <w:bCs/>
          <w:color w:val="auto"/>
          <w:sz w:val="32"/>
          <w:szCs w:val="32"/>
          <w:highlight w:val="none"/>
        </w:rPr>
      </w:pPr>
    </w:p>
    <w:p>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所竞分标（如有则填写，无分标时填写“无”或留空）：</w:t>
      </w:r>
    </w:p>
    <w:p>
      <w:pPr>
        <w:snapToGrid w:val="0"/>
        <w:spacing w:beforeLines="50" w:after="50"/>
        <w:ind w:firstLine="720" w:firstLineChars="225"/>
        <w:rPr>
          <w:rFonts w:ascii="宋体" w:hAnsi="宋体" w:cs="宋体"/>
          <w:bCs/>
          <w:color w:val="auto"/>
          <w:sz w:val="32"/>
          <w:szCs w:val="32"/>
          <w:highlight w:val="none"/>
        </w:rPr>
      </w:pPr>
    </w:p>
    <w:p>
      <w:pPr>
        <w:pStyle w:val="5"/>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5"/>
        <w:snapToGrid w:val="0"/>
        <w:spacing w:before="50" w:after="50"/>
        <w:ind w:firstLine="720" w:firstLineChars="225"/>
        <w:rPr>
          <w:rFonts w:ascii="宋体" w:hAnsi="宋体" w:cs="宋体"/>
          <w:bCs/>
          <w:color w:val="auto"/>
          <w:sz w:val="32"/>
          <w:szCs w:val="32"/>
          <w:highlight w:val="none"/>
        </w:rPr>
      </w:pPr>
    </w:p>
    <w:p>
      <w:pPr>
        <w:pStyle w:val="5"/>
        <w:snapToGrid w:val="0"/>
        <w:spacing w:before="50" w:after="50"/>
        <w:ind w:firstLine="720" w:firstLineChars="225"/>
        <w:rPr>
          <w:rFonts w:ascii="宋体" w:hAnsi="宋体" w:cs="宋体"/>
          <w:bCs/>
          <w:color w:val="auto"/>
          <w:sz w:val="32"/>
          <w:szCs w:val="32"/>
          <w:highlight w:val="none"/>
        </w:rPr>
      </w:pPr>
    </w:p>
    <w:p>
      <w:pPr>
        <w:pStyle w:val="5"/>
        <w:snapToGrid w:val="0"/>
        <w:spacing w:before="50" w:after="50"/>
        <w:ind w:firstLine="1280" w:firstLineChars="400"/>
        <w:rPr>
          <w:rFonts w:ascii="宋体" w:hAnsi="宋体" w:cs="宋体"/>
          <w:bCs/>
          <w:color w:val="auto"/>
          <w:sz w:val="32"/>
          <w:szCs w:val="32"/>
          <w:highlight w:val="none"/>
        </w:rPr>
      </w:pPr>
    </w:p>
    <w:p>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Lines="50" w:after="50"/>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Lines="50" w:after="50"/>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根据竞争性磋商文件规定及供应商提供的材料自行编写目录（部分格式后附）。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400" w:lineRule="exact"/>
        <w:ind w:firstLine="640" w:firstLineChars="200"/>
        <w:rPr>
          <w:rFonts w:ascii="宋体" w:hAnsi="宋体" w:cs="宋体"/>
          <w:color w:val="auto"/>
          <w:sz w:val="32"/>
          <w:szCs w:val="32"/>
          <w:highlight w:val="none"/>
        </w:rPr>
      </w:pP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同供应商的响应文件异常一致或竞标报价呈规律性差异；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spacing w:line="400" w:lineRule="exact"/>
        <w:ind w:firstLine="420" w:firstLineChars="200"/>
        <w:rPr>
          <w:rFonts w:ascii="宋体" w:hAnsi="宋体" w:cs="宋体"/>
          <w:color w:val="auto"/>
          <w:szCs w:val="21"/>
          <w:highlight w:val="none"/>
        </w:rPr>
      </w:pP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以上情形一经核查属实，我方愿意承担一切后果，并不再寻求任何旨在减轻或免除法律责任的辩解。</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供应商（盖公章）：</w:t>
      </w:r>
    </w:p>
    <w:p>
      <w:pPr>
        <w:spacing w:line="52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竞  标  报  价  表</w:t>
      </w:r>
    </w:p>
    <w:p>
      <w:pPr>
        <w:spacing w:line="440" w:lineRule="exact"/>
        <w:jc w:val="center"/>
        <w:rPr>
          <w:rFonts w:ascii="宋体" w:hAnsi="宋体" w:cs="宋体"/>
          <w:bCs/>
          <w:color w:val="auto"/>
          <w:sz w:val="32"/>
          <w:szCs w:val="32"/>
          <w:highlight w:val="none"/>
        </w:rPr>
      </w:pPr>
    </w:p>
    <w:p>
      <w:pPr>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项目名称：项目编号：</w:t>
      </w:r>
    </w:p>
    <w:p>
      <w:pPr>
        <w:snapToGrid w:val="0"/>
        <w:spacing w:before="50" w:after="50" w:line="440" w:lineRule="exact"/>
        <w:rPr>
          <w:rFonts w:ascii="宋体" w:hAnsi="宋体" w:cs="宋体"/>
          <w:color w:val="auto"/>
          <w:szCs w:val="21"/>
          <w:highlight w:val="none"/>
          <w:u w:val="single"/>
        </w:rPr>
      </w:pPr>
      <w:r>
        <w:rPr>
          <w:rFonts w:hint="eastAsia" w:ascii="宋体" w:hAnsi="宋体" w:cs="宋体"/>
          <w:color w:val="auto"/>
          <w:szCs w:val="21"/>
          <w:highlight w:val="none"/>
        </w:rPr>
        <w:t>分标（如有）：</w:t>
      </w:r>
      <w:r>
        <w:rPr>
          <w:rFonts w:hint="eastAsia" w:ascii="宋体" w:hAnsi="宋体" w:cs="宋体"/>
          <w:color w:val="auto"/>
          <w:szCs w:val="21"/>
          <w:highlight w:val="none"/>
          <w:u w:val="single"/>
        </w:rPr>
        <w:t xml:space="preserve">   A                                      </w:t>
      </w:r>
    </w:p>
    <w:p>
      <w:pPr>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供应商名称：                     单位：元</w:t>
      </w:r>
    </w:p>
    <w:tbl>
      <w:tblPr>
        <w:tblStyle w:val="21"/>
        <w:tblW w:w="10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334"/>
        <w:gridCol w:w="760"/>
        <w:gridCol w:w="5471"/>
        <w:gridCol w:w="1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服务名称</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54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服务期限</w:t>
            </w:r>
          </w:p>
        </w:tc>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3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仿宋"/>
                <w:color w:val="auto"/>
                <w:szCs w:val="21"/>
                <w:highlight w:val="none"/>
              </w:rPr>
            </w:pPr>
          </w:p>
        </w:tc>
        <w:tc>
          <w:tcPr>
            <w:tcW w:w="760" w:type="dxa"/>
            <w:tcBorders>
              <w:top w:val="single" w:color="auto" w:sz="4" w:space="0"/>
              <w:left w:val="single" w:color="auto" w:sz="4" w:space="0"/>
              <w:right w:val="single" w:color="auto" w:sz="4" w:space="0"/>
            </w:tcBorders>
            <w:vAlign w:val="center"/>
          </w:tcPr>
          <w:p>
            <w:pPr>
              <w:snapToGrid w:val="0"/>
              <w:spacing w:before="50" w:after="5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1项</w:t>
            </w:r>
          </w:p>
        </w:tc>
        <w:tc>
          <w:tcPr>
            <w:tcW w:w="5471" w:type="dxa"/>
            <w:tcBorders>
              <w:top w:val="single" w:color="auto" w:sz="4" w:space="0"/>
              <w:left w:val="single" w:color="auto" w:sz="4" w:space="0"/>
              <w:right w:val="single" w:color="auto" w:sz="4" w:space="0"/>
            </w:tcBorders>
            <w:vAlign w:val="center"/>
          </w:tcPr>
          <w:p>
            <w:pPr>
              <w:snapToGrid w:val="0"/>
              <w:spacing w:before="50" w:after="50"/>
              <w:rPr>
                <w:rFonts w:ascii="仿宋_GB2312" w:hAnsi="仿宋_GB2312" w:eastAsia="仿宋_GB2312" w:cs="仿宋_GB2312"/>
                <w:color w:val="auto"/>
                <w:sz w:val="24"/>
                <w:highlight w:val="none"/>
              </w:rPr>
            </w:pPr>
          </w:p>
        </w:tc>
        <w:tc>
          <w:tcPr>
            <w:tcW w:w="1782" w:type="dxa"/>
            <w:tcBorders>
              <w:top w:val="single" w:color="auto" w:sz="4" w:space="0"/>
              <w:left w:val="single" w:color="auto" w:sz="4" w:space="0"/>
              <w:right w:val="single" w:color="auto" w:sz="4" w:space="0"/>
            </w:tcBorders>
            <w:vAlign w:val="center"/>
          </w:tcPr>
          <w:p>
            <w:pPr>
              <w:snapToGrid w:val="0"/>
              <w:spacing w:before="50" w:after="50"/>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019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_GB2312" w:hAnsi="仿宋_GB2312" w:eastAsia="仿宋_GB2312" w:cs="仿宋_GB2312"/>
                <w:color w:val="auto"/>
                <w:sz w:val="24"/>
                <w:highlight w:val="none"/>
              </w:rPr>
            </w:pPr>
            <w:r>
              <w:rPr>
                <w:rFonts w:hint="eastAsia" w:ascii="宋体" w:hAnsi="宋体" w:cs="仿宋"/>
                <w:color w:val="auto"/>
                <w:szCs w:val="21"/>
                <w:highlight w:val="none"/>
              </w:rPr>
              <w:t>投标总报价</w:t>
            </w:r>
            <w:r>
              <w:rPr>
                <w:rFonts w:hint="eastAsia" w:ascii="仿宋_GB2312" w:hAnsi="仿宋_GB2312" w:eastAsia="仿宋_GB2312" w:cs="仿宋_GB2312"/>
                <w:color w:val="auto"/>
                <w:sz w:val="24"/>
                <w:highlight w:val="none"/>
              </w:rPr>
              <w:t>：（大写） ￥</w:t>
            </w:r>
            <w:r>
              <w:rPr>
                <w:rFonts w:hint="eastAsia" w:ascii="仿宋_GB2312" w:hAnsi="仿宋_GB2312" w:eastAsia="仿宋_GB2312" w:cs="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019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投标报价应包含但不限于人员的工资、社保费、加班费、福利费、服装费、人员培训费、税费、管理费、合理利润等，以及合同约定的义务而发生的其他费用。</w:t>
            </w:r>
          </w:p>
        </w:tc>
      </w:tr>
    </w:tbl>
    <w:p>
      <w:pPr>
        <w:snapToGrid w:val="0"/>
        <w:spacing w:before="50" w:after="50"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pPr>
        <w:snapToGrid w:val="0"/>
        <w:spacing w:before="50" w:after="50" w:line="440" w:lineRule="exact"/>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报价一经涂改，应在涂改处加盖供应商公章或由法定代表人或委托代理人签字或盖章</w:t>
      </w:r>
      <w:r>
        <w:rPr>
          <w:rFonts w:hint="eastAsia" w:ascii="宋体" w:hAnsi="宋体" w:cs="宋体"/>
          <w:b/>
          <w:color w:val="auto"/>
          <w:szCs w:val="21"/>
          <w:highlight w:val="none"/>
        </w:rPr>
        <w:t>，否则其响应文件按无效响应处理。</w:t>
      </w:r>
    </w:p>
    <w:p>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3.如为联合体竞标，“供应商名称”处必须列明联合体各方名称，标注联合体牵头人名称，</w:t>
      </w:r>
      <w:r>
        <w:rPr>
          <w:rFonts w:hint="eastAsia" w:ascii="宋体" w:hAnsi="宋体" w:cs="宋体"/>
          <w:b/>
          <w:color w:val="auto"/>
          <w:szCs w:val="21"/>
          <w:highlight w:val="none"/>
        </w:rPr>
        <w:t>否则其响应文件按无效响应处理。</w:t>
      </w:r>
    </w:p>
    <w:p>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4.如为联合体竞标，盖章处须加盖联合体各方公章，</w:t>
      </w:r>
      <w:r>
        <w:rPr>
          <w:rFonts w:hint="eastAsia" w:ascii="宋体" w:hAnsi="宋体" w:cs="宋体"/>
          <w:b/>
          <w:color w:val="auto"/>
          <w:szCs w:val="21"/>
          <w:highlight w:val="none"/>
        </w:rPr>
        <w:t>否则其响应文件按无效响应处理。</w:t>
      </w:r>
    </w:p>
    <w:p>
      <w:pPr>
        <w:snapToGrid w:val="0"/>
        <w:spacing w:before="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pPr>
        <w:snapToGrid w:val="0"/>
        <w:spacing w:before="50" w:after="50" w:line="440" w:lineRule="exact"/>
        <w:ind w:right="-817" w:rightChars="-389"/>
        <w:rPr>
          <w:rFonts w:ascii="宋体" w:hAnsi="宋体" w:cs="宋体"/>
          <w:color w:val="auto"/>
          <w:szCs w:val="21"/>
          <w:highlight w:val="none"/>
        </w:rPr>
      </w:pPr>
    </w:p>
    <w:p>
      <w:pPr>
        <w:snapToGrid w:val="0"/>
        <w:spacing w:before="50" w:after="50" w:line="440" w:lineRule="exact"/>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法定代表人或委托代理人（签字）：                    </w:t>
      </w:r>
    </w:p>
    <w:p>
      <w:pPr>
        <w:snapToGrid w:val="0"/>
        <w:spacing w:before="50" w:after="50" w:line="440" w:lineRule="exact"/>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440" w:lineRule="exact"/>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pPr>
        <w:spacing w:beforeLines="100" w:afterLines="50" w:line="520" w:lineRule="exact"/>
        <w:ind w:left="540"/>
        <w:jc w:val="center"/>
        <w:rPr>
          <w:rFonts w:ascii="宋体" w:hAnsi="宋体" w:cs="宋体"/>
          <w:b/>
          <w:color w:val="auto"/>
          <w:sz w:val="32"/>
          <w:szCs w:val="32"/>
          <w:highlight w:val="none"/>
        </w:rPr>
      </w:pPr>
    </w:p>
    <w:p>
      <w:pPr>
        <w:spacing w:beforeLines="100" w:afterLines="50" w:line="520" w:lineRule="exact"/>
        <w:ind w:left="540"/>
        <w:jc w:val="center"/>
        <w:rPr>
          <w:rFonts w:ascii="宋体" w:hAnsi="宋体" w:cs="宋体"/>
          <w:b/>
          <w:color w:val="auto"/>
          <w:sz w:val="32"/>
          <w:szCs w:val="32"/>
          <w:highlight w:val="none"/>
        </w:rPr>
      </w:pPr>
    </w:p>
    <w:p>
      <w:pPr>
        <w:spacing w:beforeLines="100" w:afterLines="50" w:line="520" w:lineRule="exact"/>
        <w:ind w:left="540"/>
        <w:jc w:val="center"/>
        <w:rPr>
          <w:rFonts w:ascii="宋体" w:hAnsi="宋体" w:cs="宋体"/>
          <w:b/>
          <w:color w:val="auto"/>
          <w:sz w:val="32"/>
          <w:szCs w:val="32"/>
          <w:highlight w:val="none"/>
        </w:rPr>
      </w:pPr>
    </w:p>
    <w:p>
      <w:pPr>
        <w:spacing w:beforeLines="100" w:afterLines="50" w:line="520" w:lineRule="exact"/>
        <w:ind w:left="540"/>
        <w:jc w:val="center"/>
        <w:rPr>
          <w:rFonts w:ascii="宋体" w:hAnsi="宋体" w:cs="宋体"/>
          <w:b/>
          <w:color w:val="auto"/>
          <w:sz w:val="32"/>
          <w:szCs w:val="32"/>
          <w:highlight w:val="none"/>
        </w:rPr>
      </w:pPr>
    </w:p>
    <w:p>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pPr>
        <w:spacing w:line="520" w:lineRule="exact"/>
        <w:jc w:val="center"/>
        <w:rPr>
          <w:rFonts w:ascii="宋体" w:hAnsi="宋体" w:cs="宋体"/>
          <w:bCs/>
          <w:color w:val="auto"/>
          <w:sz w:val="32"/>
          <w:szCs w:val="32"/>
          <w:highlight w:val="none"/>
        </w:rPr>
      </w:pPr>
    </w:p>
    <w:p>
      <w:pPr>
        <w:snapToGrid w:val="0"/>
        <w:spacing w:before="50" w:after="50" w:line="276" w:lineRule="auto"/>
        <w:rPr>
          <w:rFonts w:ascii="宋体" w:hAnsi="宋体" w:cs="宋体"/>
          <w:color w:val="auto"/>
          <w:sz w:val="24"/>
          <w:highlight w:val="none"/>
        </w:rPr>
      </w:pPr>
      <w:r>
        <w:rPr>
          <w:rFonts w:hint="eastAsia" w:ascii="宋体" w:hAnsi="宋体" w:cs="宋体"/>
          <w:color w:val="auto"/>
          <w:sz w:val="24"/>
          <w:highlight w:val="none"/>
        </w:rPr>
        <w:t>项目名称：项目编号：</w:t>
      </w:r>
    </w:p>
    <w:p>
      <w:pPr>
        <w:snapToGrid w:val="0"/>
        <w:spacing w:before="50" w:after="50" w:line="276" w:lineRule="auto"/>
        <w:rPr>
          <w:rFonts w:ascii="宋体" w:hAnsi="宋体" w:cs="宋体"/>
          <w:color w:val="auto"/>
          <w:sz w:val="24"/>
          <w:highlight w:val="none"/>
          <w:u w:val="single"/>
        </w:rPr>
      </w:pPr>
      <w:r>
        <w:rPr>
          <w:rFonts w:hint="eastAsia" w:ascii="宋体" w:hAnsi="宋体" w:cs="宋体"/>
          <w:color w:val="auto"/>
          <w:sz w:val="24"/>
          <w:highlight w:val="none"/>
        </w:rPr>
        <w:t>分标（如有）：</w:t>
      </w:r>
      <w:r>
        <w:rPr>
          <w:rFonts w:hint="eastAsia" w:ascii="宋体" w:hAnsi="宋体" w:cs="宋体"/>
          <w:color w:val="auto"/>
          <w:sz w:val="24"/>
          <w:highlight w:val="none"/>
          <w:u w:val="single"/>
        </w:rPr>
        <w:t xml:space="preserve">   B         </w:t>
      </w:r>
    </w:p>
    <w:p>
      <w:pPr>
        <w:snapToGrid w:val="0"/>
        <w:spacing w:before="50" w:after="50" w:line="276" w:lineRule="auto"/>
        <w:rPr>
          <w:rFonts w:ascii="宋体" w:hAnsi="宋体" w:cs="宋体"/>
          <w:color w:val="auto"/>
          <w:sz w:val="24"/>
          <w:highlight w:val="none"/>
        </w:rPr>
      </w:pPr>
      <w:r>
        <w:rPr>
          <w:rFonts w:hint="eastAsia" w:ascii="宋体" w:hAnsi="宋体" w:cs="宋体"/>
          <w:color w:val="auto"/>
          <w:sz w:val="24"/>
          <w:highlight w:val="none"/>
        </w:rPr>
        <w:t>供应商名称：                      单位：元</w:t>
      </w:r>
    </w:p>
    <w:tbl>
      <w:tblPr>
        <w:tblStyle w:val="21"/>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货物</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①</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计量</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产地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品牌及</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厂家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规格</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型号</w:t>
            </w: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单价</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竞标报价</w:t>
            </w:r>
          </w:p>
          <w:p>
            <w:pPr>
              <w:spacing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12"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50" w:after="50" w:line="520" w:lineRule="exact"/>
              <w:rPr>
                <w:rFonts w:ascii="宋体" w:hAnsi="宋体" w:cs="宋体"/>
                <w:color w:val="auto"/>
                <w:sz w:val="24"/>
                <w:highlight w:val="none"/>
              </w:rPr>
            </w:pPr>
            <w:r>
              <w:rPr>
                <w:rFonts w:hint="eastAsia" w:ascii="宋体" w:hAnsi="宋体" w:cs="宋体"/>
                <w:color w:val="auto"/>
                <w:sz w:val="24"/>
                <w:highlight w:val="none"/>
              </w:rPr>
              <w:t>合计金额大写：人民币（￥）</w:t>
            </w:r>
          </w:p>
          <w:p>
            <w:pPr>
              <w:snapToGrid w:val="0"/>
              <w:spacing w:before="50" w:after="50" w:line="520" w:lineRule="exact"/>
              <w:rPr>
                <w:rFonts w:ascii="宋体" w:hAnsi="宋体" w:cs="宋体"/>
                <w:color w:val="auto"/>
                <w:sz w:val="24"/>
                <w:highlight w:val="none"/>
                <w:u w:val="single"/>
              </w:rPr>
            </w:pPr>
            <w:r>
              <w:rPr>
                <w:rFonts w:hint="eastAsia" w:ascii="宋体" w:hAnsi="宋体" w:cs="宋体"/>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napToGrid w:val="0"/>
        <w:spacing w:before="50" w:after="50" w:line="52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1.供应商的报价表必须加盖供应商公章并由法定代表人（负责人或自然人）或委托代理人签字，</w:t>
      </w:r>
      <w:r>
        <w:rPr>
          <w:rFonts w:hint="eastAsia" w:ascii="宋体" w:hAnsi="宋体" w:cs="宋体"/>
          <w:b/>
          <w:color w:val="auto"/>
          <w:sz w:val="24"/>
          <w:highlight w:val="none"/>
        </w:rPr>
        <w:t>否则其响应文件作无效处理</w:t>
      </w:r>
      <w:r>
        <w:rPr>
          <w:rFonts w:hint="eastAsia" w:ascii="宋体" w:hAnsi="宋体" w:cs="宋体"/>
          <w:color w:val="auto"/>
          <w:sz w:val="24"/>
          <w:highlight w:val="none"/>
        </w:rPr>
        <w:t>。</w:t>
      </w:r>
    </w:p>
    <w:p>
      <w:pPr>
        <w:snapToGrid w:val="0"/>
        <w:spacing w:before="50" w:after="50"/>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报价一经涂改，应在涂改处加盖供应商公章或者由法定代表人或授权委托人签字或盖章</w:t>
      </w:r>
      <w:r>
        <w:rPr>
          <w:rFonts w:hint="eastAsia" w:ascii="宋体" w:hAnsi="宋体" w:cs="宋体"/>
          <w:b/>
          <w:color w:val="auto"/>
          <w:sz w:val="24"/>
          <w:highlight w:val="none"/>
        </w:rPr>
        <w:t>，否则其响应文件作无效处理。</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3.竞争性谈判文件中列明采购专用耗材的，应按竞争性谈判文件规定的耗材量或按耗材的常规试用量提供报价。</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4.如为联合体竞标,“供应商名称”处必须列明联合体各方名称，标注联合体牵头人名称，</w:t>
      </w:r>
      <w:r>
        <w:rPr>
          <w:rFonts w:hint="eastAsia" w:ascii="宋体" w:hAnsi="宋体" w:cs="宋体"/>
          <w:b/>
          <w:color w:val="auto"/>
          <w:sz w:val="24"/>
          <w:highlight w:val="none"/>
        </w:rPr>
        <w:t>否则其响应文件作无效处理。</w:t>
      </w:r>
    </w:p>
    <w:p>
      <w:pPr>
        <w:snapToGrid w:val="0"/>
        <w:spacing w:before="50" w:after="50"/>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5.如为联合体竞标,盖章处须加盖联合体各方公章，</w:t>
      </w:r>
      <w:r>
        <w:rPr>
          <w:rFonts w:hint="eastAsia" w:ascii="宋体" w:hAnsi="宋体" w:cs="宋体"/>
          <w:b/>
          <w:color w:val="auto"/>
          <w:sz w:val="24"/>
          <w:highlight w:val="none"/>
        </w:rPr>
        <w:t>否则其响应文件作无效处理。</w:t>
      </w:r>
    </w:p>
    <w:p>
      <w:pPr>
        <w:snapToGrid w:val="0"/>
        <w:spacing w:before="50" w:after="50"/>
        <w:ind w:firstLine="480" w:firstLineChars="200"/>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color w:val="auto"/>
          <w:spacing w:val="-6"/>
          <w:sz w:val="24"/>
          <w:highlight w:val="none"/>
        </w:rPr>
        <w:t>如有多分标，分别列明各分标的报价表，</w:t>
      </w:r>
      <w:r>
        <w:rPr>
          <w:rFonts w:hint="eastAsia" w:ascii="宋体" w:hAnsi="宋体" w:cs="宋体"/>
          <w:b/>
          <w:color w:val="auto"/>
          <w:spacing w:val="-6"/>
          <w:sz w:val="24"/>
          <w:highlight w:val="none"/>
        </w:rPr>
        <w:t>否则其响应文件作无效处理。</w:t>
      </w:r>
    </w:p>
    <w:p>
      <w:pPr>
        <w:snapToGrid w:val="0"/>
        <w:spacing w:before="50" w:after="50" w:line="520" w:lineRule="exact"/>
        <w:ind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法定代表人（负责人或自然人）或委托代理人（签字）：                    </w:t>
      </w:r>
    </w:p>
    <w:p>
      <w:pPr>
        <w:snapToGrid w:val="0"/>
        <w:spacing w:before="50" w:after="50" w:line="520" w:lineRule="exact"/>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      </w:t>
      </w:r>
    </w:p>
    <w:p>
      <w:pPr>
        <w:snapToGrid w:val="0"/>
        <w:spacing w:before="50" w:after="50" w:line="520" w:lineRule="exact"/>
        <w:ind w:right="-817" w:rightChars="-389" w:firstLine="4080" w:firstLineChars="1700"/>
        <w:rPr>
          <w:rFonts w:ascii="宋体" w:hAnsi="宋体" w:cs="宋体"/>
          <w:b/>
          <w:color w:val="auto"/>
          <w:sz w:val="32"/>
          <w:szCs w:val="32"/>
          <w:highlight w:val="none"/>
        </w:rPr>
      </w:pPr>
      <w:r>
        <w:rPr>
          <w:rFonts w:hint="eastAsia" w:ascii="宋体" w:hAnsi="宋体" w:cs="宋体"/>
          <w:color w:val="auto"/>
          <w:sz w:val="24"/>
          <w:highlight w:val="none"/>
        </w:rPr>
        <w:t>日期：   年   月   日</w:t>
      </w:r>
    </w:p>
    <w:p>
      <w:pPr>
        <w:spacing w:beforeLines="100" w:afterLines="50" w:line="520" w:lineRule="exact"/>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Cs/>
          <w:color w:val="auto"/>
          <w:sz w:val="44"/>
          <w:szCs w:val="44"/>
          <w:highlight w:val="none"/>
        </w:rPr>
        <w:t>法定代表人证明书</w:t>
      </w:r>
    </w:p>
    <w:p>
      <w:pPr>
        <w:spacing w:line="520" w:lineRule="exact"/>
        <w:ind w:left="540"/>
        <w:rPr>
          <w:rFonts w:ascii="宋体" w:hAnsi="宋体" w:cs="宋体"/>
          <w:color w:val="auto"/>
          <w:sz w:val="32"/>
          <w:szCs w:val="32"/>
          <w:highlight w:val="none"/>
        </w:rPr>
      </w:pP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供应商名称：</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地    址：</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成立时间：年月日</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经营期限：</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姓    名：性     别：</w:t>
      </w:r>
    </w:p>
    <w:p>
      <w:pPr>
        <w:spacing w:line="520" w:lineRule="exact"/>
        <w:ind w:left="540"/>
        <w:rPr>
          <w:rFonts w:ascii="宋体" w:hAnsi="宋体" w:cs="宋体"/>
          <w:color w:val="auto"/>
          <w:szCs w:val="21"/>
          <w:highlight w:val="none"/>
          <w:u w:val="single"/>
        </w:rPr>
      </w:pPr>
      <w:r>
        <w:rPr>
          <w:rFonts w:hint="eastAsia" w:ascii="宋体" w:hAnsi="宋体" w:cs="宋体"/>
          <w:color w:val="auto"/>
          <w:szCs w:val="21"/>
          <w:highlight w:val="none"/>
        </w:rPr>
        <w:t>年    龄：职     务：</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身份证号码：</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系（供应商名称）的法定代表人。</w:t>
      </w: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特此证明。</w:t>
      </w:r>
    </w:p>
    <w:p>
      <w:pPr>
        <w:spacing w:line="520" w:lineRule="exact"/>
        <w:ind w:left="540"/>
        <w:rPr>
          <w:rFonts w:ascii="宋体" w:hAnsi="宋体" w:cs="宋体"/>
          <w:color w:val="auto"/>
          <w:szCs w:val="21"/>
          <w:highlight w:val="none"/>
        </w:rPr>
      </w:pPr>
    </w:p>
    <w:p>
      <w:pPr>
        <w:spacing w:line="520" w:lineRule="exact"/>
        <w:ind w:left="540"/>
        <w:rPr>
          <w:rFonts w:ascii="宋体" w:hAnsi="宋体" w:cs="宋体"/>
          <w:color w:val="auto"/>
          <w:szCs w:val="21"/>
          <w:highlight w:val="none"/>
        </w:rPr>
      </w:pPr>
    </w:p>
    <w:p>
      <w:pPr>
        <w:spacing w:line="520" w:lineRule="exact"/>
        <w:ind w:left="540"/>
        <w:rPr>
          <w:rFonts w:ascii="宋体" w:hAnsi="宋体" w:cs="宋体"/>
          <w:color w:val="auto"/>
          <w:szCs w:val="21"/>
          <w:highlight w:val="none"/>
        </w:rPr>
      </w:pPr>
    </w:p>
    <w:p>
      <w:pPr>
        <w:spacing w:line="520" w:lineRule="exact"/>
        <w:ind w:left="540"/>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spacing w:line="520" w:lineRule="exact"/>
        <w:ind w:left="540"/>
        <w:rPr>
          <w:rFonts w:ascii="宋体" w:hAnsi="宋体" w:cs="宋体"/>
          <w:color w:val="auto"/>
          <w:szCs w:val="21"/>
          <w:highlight w:val="none"/>
        </w:rPr>
      </w:pPr>
    </w:p>
    <w:p>
      <w:pPr>
        <w:wordWrap w:val="0"/>
        <w:spacing w:line="520" w:lineRule="exact"/>
        <w:ind w:left="540"/>
        <w:jc w:val="right"/>
        <w:rPr>
          <w:rFonts w:ascii="宋体" w:hAnsi="宋体" w:cs="宋体"/>
          <w:color w:val="auto"/>
          <w:szCs w:val="21"/>
          <w:highlight w:val="none"/>
        </w:rPr>
      </w:pPr>
      <w:r>
        <w:rPr>
          <w:rFonts w:hint="eastAsia" w:ascii="宋体" w:hAnsi="宋体" w:cs="宋体"/>
          <w:color w:val="auto"/>
          <w:szCs w:val="21"/>
          <w:highlight w:val="none"/>
        </w:rPr>
        <w:t>供应商（盖公章）：</w:t>
      </w:r>
    </w:p>
    <w:p>
      <w:pPr>
        <w:snapToGrid w:val="0"/>
        <w:spacing w:beforeLines="50" w:after="50" w:line="520" w:lineRule="exact"/>
        <w:ind w:firstLine="3570" w:firstLineChars="1700"/>
        <w:rPr>
          <w:rFonts w:ascii="宋体" w:hAnsi="宋体" w:cs="宋体"/>
          <w:color w:val="auto"/>
          <w:szCs w:val="21"/>
          <w:highlight w:val="none"/>
        </w:rPr>
      </w:pPr>
      <w:r>
        <w:rPr>
          <w:rFonts w:hint="eastAsia" w:ascii="宋体" w:hAnsi="宋体" w:cs="宋体"/>
          <w:color w:val="auto"/>
          <w:szCs w:val="21"/>
          <w:highlight w:val="none"/>
        </w:rPr>
        <w:t>年月日</w:t>
      </w:r>
    </w:p>
    <w:p>
      <w:pPr>
        <w:snapToGrid w:val="0"/>
        <w:spacing w:beforeLines="50" w:after="50" w:line="520" w:lineRule="exact"/>
        <w:jc w:val="center"/>
        <w:rPr>
          <w:rFonts w:ascii="宋体" w:hAnsi="宋体" w:cs="宋体"/>
          <w:b/>
          <w:color w:val="auto"/>
          <w:szCs w:val="21"/>
          <w:highlight w:val="none"/>
        </w:rPr>
      </w:pPr>
    </w:p>
    <w:p>
      <w:pPr>
        <w:snapToGrid w:val="0"/>
        <w:spacing w:beforeLines="50" w:after="50" w:line="360" w:lineRule="exact"/>
        <w:jc w:val="left"/>
        <w:rPr>
          <w:rFonts w:ascii="宋体" w:hAnsi="宋体" w:cs="宋体"/>
          <w:color w:val="auto"/>
          <w:szCs w:val="21"/>
          <w:highlight w:val="none"/>
        </w:rPr>
      </w:pPr>
    </w:p>
    <w:p>
      <w:pPr>
        <w:snapToGrid w:val="0"/>
        <w:spacing w:beforeLines="50" w:after="50" w:line="360" w:lineRule="exact"/>
        <w:jc w:val="left"/>
        <w:rPr>
          <w:rFonts w:ascii="宋体" w:hAnsi="宋体" w:cs="宋体"/>
          <w:color w:val="auto"/>
          <w:szCs w:val="21"/>
          <w:highlight w:val="none"/>
        </w:rPr>
      </w:pPr>
      <w:r>
        <w:rPr>
          <w:rFonts w:hint="eastAsia" w:ascii="宋体" w:hAnsi="宋体" w:cs="宋体"/>
          <w:color w:val="auto"/>
          <w:szCs w:val="21"/>
          <w:highlight w:val="none"/>
        </w:rPr>
        <w:t>注：1.自然人竞标的无需提供，联合体竞标的只需牵头人出具。</w:t>
      </w:r>
    </w:p>
    <w:p>
      <w:pPr>
        <w:snapToGrid w:val="0"/>
        <w:spacing w:beforeLines="50" w:after="50"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adjustRightInd w:val="0"/>
        <w:snapToGrid w:val="0"/>
        <w:spacing w:line="300" w:lineRule="auto"/>
        <w:jc w:val="left"/>
        <w:rPr>
          <w:rFonts w:ascii="宋体" w:hAnsi="宋体" w:cs="宋体"/>
          <w:b/>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w:t>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20" w:lineRule="exact"/>
        <w:rPr>
          <w:rFonts w:ascii="宋体" w:hAnsi="宋体" w:cs="宋体"/>
          <w:color w:val="auto"/>
          <w:sz w:val="32"/>
          <w:szCs w:val="32"/>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以我方的名义参加项目的竞标活动，并代表我方全权办理针对上述项目的所有采购程序和环节的具体事务和签署相关文件。</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520" w:lineRule="exact"/>
        <w:rPr>
          <w:rFonts w:ascii="宋体" w:hAnsi="宋体" w:cs="宋体"/>
          <w:color w:val="auto"/>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注：1.法定代表人和委托代理人必须在授权委托书上亲笔签名，不得使用印章、签名章或其他电子制版签名代替；</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spacing w:line="360" w:lineRule="exact"/>
        <w:jc w:val="center"/>
        <w:rPr>
          <w:rFonts w:ascii="宋体" w:hAnsi="宋体" w:cs="宋体"/>
          <w:bCs/>
          <w:color w:val="auto"/>
          <w:sz w:val="44"/>
          <w:szCs w:val="44"/>
          <w:highlight w:val="none"/>
        </w:rPr>
      </w:pPr>
      <w:r>
        <w:rPr>
          <w:rFonts w:hint="eastAsia" w:ascii="宋体" w:hAnsi="宋体" w:cs="宋体"/>
          <w:color w:val="auto"/>
          <w:sz w:val="32"/>
          <w:szCs w:val="32"/>
          <w:highlight w:val="none"/>
        </w:rPr>
        <w:br w:type="page"/>
      </w:r>
      <w:r>
        <w:rPr>
          <w:rFonts w:hint="eastAsia" w:ascii="宋体" w:hAnsi="宋体" w:cs="宋体"/>
          <w:b/>
          <w:color w:val="auto"/>
          <w:sz w:val="36"/>
          <w:szCs w:val="36"/>
          <w:highlight w:val="none"/>
        </w:rPr>
        <w:t>商务条款偏离表格式</w:t>
      </w:r>
    </w:p>
    <w:p>
      <w:pPr>
        <w:snapToGrid w:val="0"/>
        <w:spacing w:before="50"/>
        <w:jc w:val="left"/>
        <w:rPr>
          <w:rFonts w:ascii="宋体" w:hAnsi="宋体" w:cs="宋体"/>
          <w:color w:val="auto"/>
          <w:sz w:val="24"/>
          <w:highlight w:val="none"/>
        </w:rPr>
      </w:pPr>
    </w:p>
    <w:p>
      <w:pPr>
        <w:pStyle w:val="12"/>
        <w:spacing w:line="520" w:lineRule="exact"/>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A</w:t>
      </w:r>
    </w:p>
    <w:p>
      <w:pPr>
        <w:snapToGrid w:val="0"/>
        <w:spacing w:before="50" w:line="520" w:lineRule="exact"/>
        <w:jc w:val="left"/>
        <w:rPr>
          <w:rFonts w:ascii="宋体" w:hAnsi="宋体" w:cs="宋体"/>
          <w:color w:val="auto"/>
          <w:szCs w:val="21"/>
          <w:highlight w:val="none"/>
          <w:u w:val="single"/>
        </w:rPr>
      </w:pPr>
    </w:p>
    <w:tbl>
      <w:tblPr>
        <w:tblStyle w:val="21"/>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1144"/>
        <w:gridCol w:w="3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竞争性磋商文件商务条款要求</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付款方式、时间和条件</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bl>
    <w:p>
      <w:pPr>
        <w:snapToGrid w:val="0"/>
        <w:spacing w:before="50" w:line="520" w:lineRule="exact"/>
        <w:jc w:val="left"/>
        <w:rPr>
          <w:rFonts w:ascii="宋体" w:hAnsi="宋体" w:cs="宋体"/>
          <w:color w:val="auto"/>
          <w:szCs w:val="21"/>
          <w:highlight w:val="none"/>
          <w:u w:val="single"/>
        </w:rPr>
      </w:pPr>
    </w:p>
    <w:p>
      <w:pPr>
        <w:snapToGrid w:val="0"/>
        <w:spacing w:before="50" w:after="50" w:line="520" w:lineRule="exact"/>
        <w:ind w:right="-817" w:rightChars="-389"/>
        <w:rPr>
          <w:rFonts w:ascii="宋体" w:hAnsi="宋体" w:cs="宋体"/>
          <w:color w:val="auto"/>
          <w:szCs w:val="21"/>
          <w:highlight w:val="none"/>
        </w:rPr>
      </w:pPr>
    </w:p>
    <w:p>
      <w:pPr>
        <w:snapToGrid w:val="0"/>
        <w:spacing w:before="50" w:after="50" w:line="520" w:lineRule="exact"/>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法定代表人或委托代理人（签字）：                    </w:t>
      </w:r>
    </w:p>
    <w:p>
      <w:pPr>
        <w:snapToGrid w:val="0"/>
        <w:spacing w:before="50" w:after="50" w:line="520" w:lineRule="exact"/>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520" w:lineRule="exact"/>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
          <w:color w:val="auto"/>
          <w:sz w:val="36"/>
          <w:szCs w:val="36"/>
          <w:highlight w:val="none"/>
        </w:rPr>
      </w:pPr>
    </w:p>
    <w:p>
      <w:pPr>
        <w:spacing w:line="360" w:lineRule="exact"/>
        <w:jc w:val="center"/>
        <w:rPr>
          <w:rFonts w:ascii="宋体" w:hAnsi="宋体" w:cs="宋体"/>
          <w:bCs/>
          <w:color w:val="auto"/>
          <w:sz w:val="44"/>
          <w:szCs w:val="44"/>
          <w:highlight w:val="none"/>
        </w:rPr>
      </w:pPr>
      <w:r>
        <w:rPr>
          <w:rFonts w:hint="eastAsia" w:ascii="宋体" w:hAnsi="宋体" w:cs="宋体"/>
          <w:b/>
          <w:color w:val="auto"/>
          <w:sz w:val="36"/>
          <w:szCs w:val="36"/>
          <w:highlight w:val="none"/>
        </w:rPr>
        <w:t>商务条款偏离表格式</w:t>
      </w:r>
    </w:p>
    <w:p>
      <w:pPr>
        <w:snapToGrid w:val="0"/>
        <w:spacing w:before="50"/>
        <w:jc w:val="left"/>
        <w:rPr>
          <w:rFonts w:ascii="宋体" w:hAnsi="宋体" w:cs="宋体"/>
          <w:color w:val="auto"/>
          <w:sz w:val="24"/>
          <w:highlight w:val="none"/>
        </w:rPr>
      </w:pPr>
    </w:p>
    <w:p>
      <w:pPr>
        <w:pStyle w:val="12"/>
        <w:spacing w:line="520" w:lineRule="exact"/>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B</w:t>
      </w:r>
    </w:p>
    <w:p>
      <w:pPr>
        <w:snapToGrid w:val="0"/>
        <w:spacing w:before="50" w:line="520" w:lineRule="exact"/>
        <w:jc w:val="left"/>
        <w:rPr>
          <w:rFonts w:ascii="宋体" w:hAnsi="宋体" w:cs="宋体"/>
          <w:color w:val="auto"/>
          <w:szCs w:val="21"/>
          <w:highlight w:val="none"/>
          <w:u w:val="single"/>
        </w:rPr>
      </w:pPr>
    </w:p>
    <w:tbl>
      <w:tblPr>
        <w:tblStyle w:val="21"/>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1144"/>
        <w:gridCol w:w="3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竞争性磋商文件商务条款要求</w:t>
            </w: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交货期</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付款方式、时间和条件</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pPr>
              <w:snapToGrid w:val="0"/>
              <w:spacing w:beforeLines="50" w:line="520" w:lineRule="exact"/>
              <w:jc w:val="center"/>
              <w:rPr>
                <w:rFonts w:ascii="宋体" w:hAnsi="宋体" w:cs="宋体"/>
                <w:color w:val="auto"/>
                <w:szCs w:val="21"/>
                <w:highlight w:val="none"/>
              </w:rPr>
            </w:pPr>
          </w:p>
        </w:tc>
      </w:tr>
    </w:tbl>
    <w:p>
      <w:pPr>
        <w:snapToGrid w:val="0"/>
        <w:spacing w:before="50" w:line="520" w:lineRule="exact"/>
        <w:jc w:val="left"/>
        <w:rPr>
          <w:rFonts w:ascii="宋体" w:hAnsi="宋体" w:cs="宋体"/>
          <w:color w:val="auto"/>
          <w:szCs w:val="21"/>
          <w:highlight w:val="none"/>
          <w:u w:val="single"/>
        </w:rPr>
      </w:pPr>
    </w:p>
    <w:p>
      <w:pPr>
        <w:snapToGrid w:val="0"/>
        <w:spacing w:before="50" w:after="50" w:line="520" w:lineRule="exact"/>
        <w:ind w:right="-817" w:rightChars="-389"/>
        <w:rPr>
          <w:rFonts w:ascii="宋体" w:hAnsi="宋体" w:cs="宋体"/>
          <w:color w:val="auto"/>
          <w:szCs w:val="21"/>
          <w:highlight w:val="none"/>
        </w:rPr>
      </w:pPr>
    </w:p>
    <w:p>
      <w:pPr>
        <w:snapToGrid w:val="0"/>
        <w:spacing w:before="50" w:after="50" w:line="520" w:lineRule="exact"/>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法定代表人或委托代理人（签字）：                    </w:t>
      </w:r>
    </w:p>
    <w:p>
      <w:pPr>
        <w:snapToGrid w:val="0"/>
        <w:spacing w:before="50" w:after="50" w:line="520" w:lineRule="exact"/>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520" w:lineRule="exact"/>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ind w:firstLine="7040" w:firstLineChars="1600"/>
        <w:jc w:val="center"/>
        <w:rPr>
          <w:rFonts w:ascii="宋体" w:hAnsi="宋体" w:cs="宋体"/>
          <w:bCs/>
          <w:color w:val="auto"/>
          <w:sz w:val="44"/>
          <w:szCs w:val="44"/>
          <w:highlight w:val="none"/>
        </w:rPr>
      </w:pPr>
    </w:p>
    <w:p>
      <w:pPr>
        <w:adjustRightInd w:val="0"/>
        <w:snapToGrid w:val="0"/>
        <w:spacing w:line="520" w:lineRule="exact"/>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520" w:lineRule="exact"/>
        <w:jc w:val="center"/>
        <w:rPr>
          <w:rFonts w:ascii="宋体" w:hAnsi="宋体" w:cs="宋体"/>
          <w:b/>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Cs/>
          <w:color w:val="auto"/>
          <w:sz w:val="44"/>
          <w:szCs w:val="44"/>
          <w:highlight w:val="none"/>
        </w:rPr>
        <w:t>货物配置清单</w:t>
      </w:r>
    </w:p>
    <w:p>
      <w:pPr>
        <w:spacing w:line="300" w:lineRule="auto"/>
        <w:rPr>
          <w:rFonts w:ascii="宋体" w:hAnsi="宋体" w:cs="宋体"/>
          <w:color w:val="auto"/>
          <w:szCs w:val="21"/>
          <w:highlight w:val="none"/>
        </w:rPr>
      </w:pPr>
    </w:p>
    <w:p>
      <w:pPr>
        <w:spacing w:line="520" w:lineRule="exact"/>
        <w:rPr>
          <w:rFonts w:ascii="宋体" w:hAnsi="宋体" w:cs="宋体"/>
          <w:color w:val="auto"/>
          <w:sz w:val="32"/>
          <w:szCs w:val="32"/>
          <w:highlight w:val="none"/>
        </w:rPr>
      </w:pPr>
      <w:r>
        <w:rPr>
          <w:rFonts w:hint="eastAsia" w:ascii="宋体" w:hAnsi="宋体" w:cs="宋体"/>
          <w:color w:val="auto"/>
          <w:sz w:val="32"/>
          <w:szCs w:val="32"/>
          <w:highlight w:val="none"/>
        </w:rPr>
        <w:t>项目编号：</w:t>
      </w:r>
    </w:p>
    <w:p>
      <w:pPr>
        <w:spacing w:line="520" w:lineRule="exact"/>
        <w:rPr>
          <w:rFonts w:ascii="宋体" w:hAnsi="宋体" w:cs="宋体"/>
          <w:color w:val="auto"/>
          <w:sz w:val="32"/>
          <w:szCs w:val="32"/>
          <w:highlight w:val="none"/>
        </w:rPr>
      </w:pPr>
      <w:r>
        <w:rPr>
          <w:rFonts w:hint="eastAsia" w:ascii="宋体" w:hAnsi="宋体" w:cs="宋体"/>
          <w:color w:val="auto"/>
          <w:sz w:val="32"/>
          <w:szCs w:val="32"/>
          <w:highlight w:val="none"/>
        </w:rPr>
        <w:t>项目名称：</w:t>
      </w:r>
    </w:p>
    <w:p>
      <w:pPr>
        <w:spacing w:line="520" w:lineRule="exact"/>
        <w:rPr>
          <w:rFonts w:ascii="宋体" w:hAnsi="宋体" w:cs="宋体"/>
          <w:color w:val="auto"/>
          <w:sz w:val="32"/>
          <w:szCs w:val="32"/>
          <w:highlight w:val="none"/>
          <w:u w:val="single"/>
        </w:rPr>
      </w:pPr>
      <w:r>
        <w:rPr>
          <w:rFonts w:hint="eastAsia" w:ascii="宋体" w:hAnsi="宋体" w:cs="宋体"/>
          <w:color w:val="auto"/>
          <w:sz w:val="32"/>
          <w:szCs w:val="32"/>
          <w:highlight w:val="none"/>
        </w:rPr>
        <w:t>所竞分标：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2565"/>
        <w:gridCol w:w="2760"/>
        <w:gridCol w:w="2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序号</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货物名称</w:t>
            </w: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品牌及规格型号</w:t>
            </w: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1</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2</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3</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4</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5</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28" w:type="dxa"/>
            <w:vAlign w:val="center"/>
          </w:tcPr>
          <w:p>
            <w:pPr>
              <w:adjustRightInd w:val="0"/>
              <w:snapToGrid w:val="0"/>
              <w:spacing w:line="520" w:lineRule="exact"/>
              <w:ind w:left="-88" w:leftChars="-42"/>
              <w:jc w:val="center"/>
              <w:rPr>
                <w:rFonts w:ascii="宋体" w:hAnsi="宋体" w:cs="宋体"/>
                <w:color w:val="auto"/>
                <w:sz w:val="32"/>
                <w:szCs w:val="32"/>
                <w:highlight w:val="none"/>
              </w:rPr>
            </w:pPr>
            <w:r>
              <w:rPr>
                <w:rFonts w:hint="eastAsia" w:ascii="宋体" w:hAnsi="宋体" w:cs="宋体"/>
                <w:color w:val="auto"/>
                <w:sz w:val="32"/>
                <w:szCs w:val="32"/>
                <w:highlight w:val="none"/>
              </w:rPr>
              <w:t>…</w:t>
            </w:r>
          </w:p>
        </w:tc>
        <w:tc>
          <w:tcPr>
            <w:tcW w:w="2565" w:type="dxa"/>
            <w:vAlign w:val="center"/>
          </w:tcPr>
          <w:p>
            <w:pPr>
              <w:adjustRightInd w:val="0"/>
              <w:snapToGrid w:val="0"/>
              <w:spacing w:line="520" w:lineRule="exact"/>
              <w:ind w:left="-88" w:leftChars="-42"/>
              <w:jc w:val="center"/>
              <w:rPr>
                <w:rFonts w:ascii="宋体" w:hAnsi="宋体" w:cs="宋体"/>
                <w:color w:val="auto"/>
                <w:sz w:val="32"/>
                <w:szCs w:val="32"/>
                <w:highlight w:val="none"/>
              </w:rPr>
            </w:pPr>
          </w:p>
        </w:tc>
        <w:tc>
          <w:tcPr>
            <w:tcW w:w="2760" w:type="dxa"/>
            <w:vAlign w:val="center"/>
          </w:tcPr>
          <w:p>
            <w:pPr>
              <w:adjustRightInd w:val="0"/>
              <w:snapToGrid w:val="0"/>
              <w:spacing w:line="520" w:lineRule="exact"/>
              <w:jc w:val="center"/>
              <w:rPr>
                <w:rFonts w:ascii="宋体" w:hAnsi="宋体" w:cs="宋体"/>
                <w:color w:val="auto"/>
                <w:sz w:val="32"/>
                <w:szCs w:val="32"/>
                <w:highlight w:val="none"/>
              </w:rPr>
            </w:pPr>
          </w:p>
        </w:tc>
        <w:tc>
          <w:tcPr>
            <w:tcW w:w="2280" w:type="dxa"/>
            <w:vAlign w:val="center"/>
          </w:tcPr>
          <w:p>
            <w:pPr>
              <w:adjustRightInd w:val="0"/>
              <w:snapToGrid w:val="0"/>
              <w:spacing w:line="520" w:lineRule="exact"/>
              <w:jc w:val="center"/>
              <w:rPr>
                <w:rFonts w:ascii="宋体" w:hAnsi="宋体" w:cs="宋体"/>
                <w:color w:val="auto"/>
                <w:sz w:val="32"/>
                <w:szCs w:val="32"/>
                <w:highlight w:val="none"/>
              </w:rPr>
            </w:pPr>
          </w:p>
        </w:tc>
      </w:tr>
    </w:tbl>
    <w:p>
      <w:pPr>
        <w:tabs>
          <w:tab w:val="left" w:pos="1065"/>
        </w:tabs>
        <w:adjustRightInd w:val="0"/>
        <w:snapToGrid w:val="0"/>
        <w:spacing w:line="520" w:lineRule="exact"/>
        <w:rPr>
          <w:rFonts w:ascii="宋体" w:hAnsi="宋体" w:cs="宋体"/>
          <w:color w:val="auto"/>
          <w:sz w:val="32"/>
          <w:szCs w:val="32"/>
          <w:highlight w:val="none"/>
        </w:rPr>
      </w:pPr>
      <w:r>
        <w:rPr>
          <w:rFonts w:hint="eastAsia" w:ascii="宋体" w:hAnsi="宋体" w:cs="宋体"/>
          <w:color w:val="auto"/>
          <w:sz w:val="32"/>
          <w:szCs w:val="32"/>
          <w:highlight w:val="none"/>
        </w:rPr>
        <w:tab/>
      </w:r>
    </w:p>
    <w:p>
      <w:pPr>
        <w:adjustRightInd w:val="0"/>
        <w:snapToGrid w:val="0"/>
        <w:spacing w:line="520" w:lineRule="exact"/>
        <w:rPr>
          <w:rFonts w:ascii="宋体" w:hAnsi="宋体" w:cs="宋体"/>
          <w:color w:val="auto"/>
          <w:sz w:val="32"/>
          <w:szCs w:val="32"/>
          <w:highlight w:val="none"/>
        </w:rPr>
      </w:pPr>
      <w:r>
        <w:rPr>
          <w:rFonts w:hint="eastAsia" w:ascii="宋体" w:hAnsi="宋体" w:cs="宋体"/>
          <w:color w:val="auto"/>
          <w:sz w:val="32"/>
          <w:szCs w:val="32"/>
          <w:highlight w:val="none"/>
        </w:rPr>
        <w:t>说明：提供所竞货物详细的供货范围，包括主机、主要配件及生产厂家、软件系统、备品备件等。</w:t>
      </w:r>
    </w:p>
    <w:p>
      <w:pPr>
        <w:adjustRightInd w:val="0"/>
        <w:snapToGrid w:val="0"/>
        <w:spacing w:line="520" w:lineRule="exact"/>
        <w:jc w:val="left"/>
        <w:rPr>
          <w:rFonts w:ascii="宋体" w:hAnsi="宋体" w:cs="宋体"/>
          <w:color w:val="auto"/>
          <w:sz w:val="32"/>
          <w:szCs w:val="32"/>
          <w:highlight w:val="none"/>
        </w:rPr>
      </w:pPr>
    </w:p>
    <w:p>
      <w:pPr>
        <w:adjustRightInd w:val="0"/>
        <w:snapToGrid w:val="0"/>
        <w:spacing w:line="520" w:lineRule="exact"/>
        <w:jc w:val="left"/>
        <w:rPr>
          <w:rFonts w:ascii="宋体" w:hAnsi="宋体" w:cs="宋体"/>
          <w:color w:val="auto"/>
          <w:sz w:val="32"/>
          <w:szCs w:val="32"/>
          <w:highlight w:val="none"/>
        </w:rPr>
      </w:pPr>
    </w:p>
    <w:p>
      <w:pPr>
        <w:adjustRightInd w:val="0"/>
        <w:snapToGrid w:val="0"/>
        <w:spacing w:line="520" w:lineRule="exact"/>
        <w:jc w:val="left"/>
        <w:rPr>
          <w:rFonts w:ascii="宋体" w:hAnsi="宋体" w:cs="宋体"/>
          <w:color w:val="auto"/>
          <w:sz w:val="32"/>
          <w:szCs w:val="32"/>
          <w:highlight w:val="none"/>
        </w:rPr>
      </w:pPr>
    </w:p>
    <w:p>
      <w:pPr>
        <w:snapToGrid w:val="0"/>
        <w:spacing w:before="50" w:after="50" w:line="520" w:lineRule="exact"/>
        <w:ind w:right="-817" w:rightChars="-389"/>
        <w:rPr>
          <w:rFonts w:ascii="宋体" w:hAnsi="宋体" w:cs="宋体"/>
          <w:color w:val="auto"/>
          <w:sz w:val="32"/>
          <w:szCs w:val="32"/>
          <w:highlight w:val="none"/>
        </w:rPr>
      </w:pPr>
      <w:r>
        <w:rPr>
          <w:rFonts w:hint="eastAsia" w:ascii="宋体" w:hAnsi="宋体" w:cs="宋体"/>
          <w:color w:val="auto"/>
          <w:sz w:val="32"/>
          <w:szCs w:val="32"/>
          <w:highlight w:val="none"/>
        </w:rPr>
        <w:t xml:space="preserve">法定代表人（负责人或自然人）或委托代理人（签字）：                    </w:t>
      </w:r>
    </w:p>
    <w:p>
      <w:pPr>
        <w:snapToGrid w:val="0"/>
        <w:spacing w:before="50" w:after="50" w:line="520" w:lineRule="exact"/>
        <w:ind w:right="-817" w:rightChars="-389" w:firstLine="3520" w:firstLineChars="1100"/>
        <w:rPr>
          <w:rFonts w:ascii="宋体" w:hAnsi="宋体" w:cs="宋体"/>
          <w:color w:val="auto"/>
          <w:sz w:val="32"/>
          <w:szCs w:val="32"/>
          <w:highlight w:val="none"/>
        </w:rPr>
      </w:pPr>
      <w:r>
        <w:rPr>
          <w:rFonts w:hint="eastAsia" w:ascii="宋体" w:hAnsi="宋体" w:cs="宋体"/>
          <w:color w:val="auto"/>
          <w:sz w:val="32"/>
          <w:szCs w:val="32"/>
          <w:highlight w:val="none"/>
        </w:rPr>
        <w:t xml:space="preserve">供应商（盖公章）：      </w:t>
      </w:r>
    </w:p>
    <w:p>
      <w:pPr>
        <w:snapToGrid w:val="0"/>
        <w:spacing w:before="50" w:after="50" w:line="520" w:lineRule="exact"/>
        <w:ind w:right="-817" w:rightChars="-389" w:firstLine="5440" w:firstLineChars="1700"/>
        <w:rPr>
          <w:rFonts w:ascii="宋体" w:hAnsi="宋体" w:cs="宋体"/>
          <w:b/>
          <w:color w:val="auto"/>
          <w:sz w:val="32"/>
          <w:szCs w:val="32"/>
          <w:highlight w:val="none"/>
        </w:rPr>
      </w:pPr>
      <w:r>
        <w:rPr>
          <w:rFonts w:hint="eastAsia" w:ascii="宋体" w:hAnsi="宋体" w:cs="宋体"/>
          <w:color w:val="auto"/>
          <w:sz w:val="32"/>
          <w:szCs w:val="32"/>
          <w:highlight w:val="none"/>
        </w:rPr>
        <w:t>日期：   年   月   日</w:t>
      </w: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rPr>
          <w:rFonts w:ascii="宋体" w:hAnsi="宋体" w:cs="宋体"/>
          <w:color w:val="auto"/>
          <w:szCs w:val="21"/>
          <w:highlight w:val="none"/>
          <w:u w:val="single"/>
        </w:rPr>
      </w:pPr>
    </w:p>
    <w:p>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p>
    <w:p>
      <w:pPr>
        <w:spacing w:line="520" w:lineRule="exact"/>
        <w:rPr>
          <w:rFonts w:ascii="宋体" w:hAnsi="宋体" w:cs="宋体"/>
          <w:color w:val="auto"/>
          <w:sz w:val="32"/>
          <w:szCs w:val="32"/>
          <w:highlight w:val="none"/>
        </w:rPr>
      </w:pPr>
      <w:r>
        <w:rPr>
          <w:rFonts w:hint="eastAsia" w:ascii="宋体" w:hAnsi="宋体" w:cs="宋体"/>
          <w:color w:val="auto"/>
          <w:sz w:val="32"/>
          <w:szCs w:val="32"/>
          <w:highlight w:val="none"/>
        </w:rPr>
        <w:t>采购项目名称：</w:t>
      </w:r>
    </w:p>
    <w:p>
      <w:pPr>
        <w:spacing w:line="520" w:lineRule="exact"/>
        <w:rPr>
          <w:rFonts w:ascii="宋体" w:hAnsi="宋体" w:cs="宋体"/>
          <w:color w:val="auto"/>
          <w:sz w:val="32"/>
          <w:szCs w:val="32"/>
          <w:highlight w:val="none"/>
          <w:u w:val="single"/>
        </w:rPr>
      </w:pPr>
      <w:r>
        <w:rPr>
          <w:rFonts w:hint="eastAsia" w:ascii="宋体" w:hAnsi="宋体" w:cs="宋体"/>
          <w:color w:val="auto"/>
          <w:sz w:val="32"/>
          <w:szCs w:val="32"/>
          <w:highlight w:val="none"/>
        </w:rPr>
        <w:t>分标号：</w:t>
      </w:r>
    </w:p>
    <w:tbl>
      <w:tblPr>
        <w:tblStyle w:val="21"/>
        <w:tblW w:w="488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2"/>
        <w:gridCol w:w="882"/>
        <w:gridCol w:w="2926"/>
        <w:gridCol w:w="2633"/>
        <w:gridCol w:w="1437"/>
        <w:gridCol w:w="8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79" w:name="_Toc383699906"/>
            <w:bookmarkStart w:id="80" w:name="_Toc295404981"/>
            <w:bookmarkStart w:id="81" w:name="_Toc301781611"/>
            <w:bookmarkStart w:id="82" w:name="_Toc254970729"/>
            <w:bookmarkStart w:id="83" w:name="_Toc254970588"/>
            <w:bookmarkStart w:id="84" w:name="_Toc297193185"/>
            <w:bookmarkStart w:id="85" w:name="_Toc373333689"/>
            <w:bookmarkStart w:id="86" w:name="_Toc173211900"/>
            <w:bookmarkStart w:id="87" w:name="_Toc173066401"/>
            <w:r>
              <w:rPr>
                <w:rFonts w:hint="eastAsia" w:ascii="宋体" w:hAnsi="宋体" w:eastAsia="宋体" w:cs="宋体"/>
                <w:color w:val="auto"/>
                <w:kern w:val="2"/>
                <w:szCs w:val="32"/>
                <w:highlight w:val="none"/>
              </w:rPr>
              <w:t>序号</w:t>
            </w:r>
            <w:bookmarkEnd w:id="79"/>
            <w:bookmarkEnd w:id="80"/>
            <w:bookmarkEnd w:id="81"/>
            <w:bookmarkEnd w:id="82"/>
            <w:bookmarkEnd w:id="83"/>
            <w:bookmarkEnd w:id="84"/>
            <w:bookmarkEnd w:id="85"/>
            <w:bookmarkEnd w:id="86"/>
            <w:bookmarkEnd w:id="87"/>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r>
              <w:rPr>
                <w:rFonts w:hint="eastAsia" w:ascii="宋体" w:hAnsi="宋体" w:eastAsia="宋体" w:cs="宋体"/>
                <w:color w:val="auto"/>
                <w:kern w:val="2"/>
                <w:szCs w:val="32"/>
                <w:highlight w:val="none"/>
              </w:rPr>
              <w:t>名称</w:t>
            </w: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88" w:name="_Toc295404982"/>
            <w:bookmarkStart w:id="89" w:name="_Toc254970589"/>
            <w:bookmarkStart w:id="90" w:name="_Toc297193186"/>
            <w:bookmarkStart w:id="91" w:name="_Toc383699907"/>
            <w:bookmarkStart w:id="92" w:name="_Toc301781612"/>
            <w:bookmarkStart w:id="93" w:name="_Toc373333690"/>
            <w:bookmarkStart w:id="94" w:name="_Toc173066402"/>
            <w:bookmarkStart w:id="95" w:name="_Toc254970730"/>
            <w:bookmarkStart w:id="96" w:name="_Toc173211901"/>
            <w:r>
              <w:rPr>
                <w:rFonts w:hint="eastAsia" w:ascii="宋体" w:hAnsi="宋体" w:eastAsia="宋体" w:cs="宋体"/>
                <w:color w:val="auto"/>
                <w:kern w:val="2"/>
                <w:szCs w:val="32"/>
                <w:highlight w:val="none"/>
              </w:rPr>
              <w:t>竞争性谈判文件要求</w:t>
            </w:r>
            <w:bookmarkEnd w:id="88"/>
            <w:bookmarkEnd w:id="89"/>
            <w:bookmarkEnd w:id="90"/>
            <w:bookmarkEnd w:id="91"/>
            <w:bookmarkEnd w:id="92"/>
            <w:bookmarkEnd w:id="93"/>
            <w:bookmarkEnd w:id="94"/>
            <w:bookmarkEnd w:id="95"/>
            <w:bookmarkEnd w:id="96"/>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97" w:name="_Toc301781613"/>
            <w:bookmarkStart w:id="98" w:name="_Toc383699908"/>
            <w:bookmarkStart w:id="99" w:name="_Toc295404983"/>
            <w:bookmarkStart w:id="100" w:name="_Toc373333691"/>
            <w:bookmarkStart w:id="101" w:name="_Toc254970590"/>
            <w:bookmarkStart w:id="102" w:name="_Toc297193187"/>
            <w:bookmarkStart w:id="103" w:name="_Toc173211902"/>
            <w:bookmarkStart w:id="104" w:name="_Toc173066403"/>
            <w:bookmarkStart w:id="105" w:name="_Toc254970731"/>
            <w:r>
              <w:rPr>
                <w:rFonts w:hint="eastAsia" w:ascii="宋体" w:hAnsi="宋体" w:eastAsia="宋体" w:cs="宋体"/>
                <w:color w:val="auto"/>
                <w:kern w:val="2"/>
                <w:szCs w:val="32"/>
                <w:highlight w:val="none"/>
              </w:rPr>
              <w:t>响应文件具体响应</w:t>
            </w:r>
            <w:bookmarkEnd w:id="97"/>
            <w:bookmarkEnd w:id="98"/>
            <w:bookmarkEnd w:id="99"/>
            <w:bookmarkEnd w:id="100"/>
            <w:bookmarkEnd w:id="101"/>
            <w:bookmarkEnd w:id="102"/>
            <w:bookmarkEnd w:id="103"/>
            <w:bookmarkEnd w:id="104"/>
            <w:bookmarkEnd w:id="105"/>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06" w:name="_Toc173066404"/>
            <w:bookmarkStart w:id="107" w:name="_Toc301781614"/>
            <w:bookmarkStart w:id="108" w:name="_Toc173211903"/>
            <w:bookmarkStart w:id="109" w:name="_Toc254970732"/>
            <w:bookmarkStart w:id="110" w:name="_Toc254970591"/>
            <w:bookmarkStart w:id="111" w:name="_Toc297193188"/>
            <w:bookmarkStart w:id="112" w:name="_Toc295404984"/>
            <w:bookmarkStart w:id="113" w:name="_Toc373333692"/>
            <w:bookmarkStart w:id="114" w:name="_Toc383699909"/>
            <w:r>
              <w:rPr>
                <w:rFonts w:hint="eastAsia" w:ascii="宋体" w:hAnsi="宋体" w:eastAsia="宋体" w:cs="宋体"/>
                <w:color w:val="auto"/>
                <w:kern w:val="2"/>
                <w:szCs w:val="32"/>
                <w:highlight w:val="none"/>
              </w:rPr>
              <w:t>响应/偏离</w:t>
            </w:r>
            <w:bookmarkEnd w:id="106"/>
            <w:bookmarkEnd w:id="107"/>
            <w:bookmarkEnd w:id="108"/>
            <w:bookmarkEnd w:id="109"/>
            <w:bookmarkEnd w:id="110"/>
            <w:bookmarkEnd w:id="111"/>
            <w:bookmarkEnd w:id="112"/>
            <w:bookmarkEnd w:id="113"/>
            <w:bookmarkEnd w:id="114"/>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15" w:name="_Toc173066405"/>
            <w:bookmarkStart w:id="116" w:name="_Toc173211904"/>
            <w:bookmarkStart w:id="117" w:name="_Toc254970733"/>
            <w:bookmarkStart w:id="118" w:name="_Toc254970592"/>
            <w:bookmarkStart w:id="119" w:name="_Toc301781615"/>
            <w:bookmarkStart w:id="120" w:name="_Toc383699910"/>
            <w:bookmarkStart w:id="121" w:name="_Toc297193189"/>
            <w:bookmarkStart w:id="122" w:name="_Toc373333693"/>
            <w:bookmarkStart w:id="123" w:name="_Toc295404985"/>
            <w:r>
              <w:rPr>
                <w:rFonts w:hint="eastAsia" w:ascii="宋体" w:hAnsi="宋体" w:eastAsia="宋体" w:cs="宋体"/>
                <w:color w:val="auto"/>
                <w:kern w:val="2"/>
                <w:szCs w:val="32"/>
                <w:highlight w:val="none"/>
              </w:rPr>
              <w:t>说明</w:t>
            </w:r>
            <w:bookmarkEnd w:id="115"/>
            <w:bookmarkEnd w:id="116"/>
            <w:bookmarkEnd w:id="117"/>
            <w:bookmarkEnd w:id="118"/>
            <w:bookmarkEnd w:id="119"/>
            <w:bookmarkEnd w:id="120"/>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24" w:name="_Toc297193190"/>
            <w:bookmarkStart w:id="125" w:name="_Toc295404986"/>
            <w:bookmarkStart w:id="126" w:name="_Toc254970593"/>
            <w:bookmarkStart w:id="127" w:name="_Toc383699911"/>
            <w:bookmarkStart w:id="128" w:name="_Toc301781616"/>
            <w:bookmarkStart w:id="129" w:name="_Toc173211905"/>
            <w:bookmarkStart w:id="130" w:name="_Toc173066406"/>
            <w:bookmarkStart w:id="131" w:name="_Toc373333694"/>
            <w:bookmarkStart w:id="132" w:name="_Toc254970734"/>
            <w:r>
              <w:rPr>
                <w:rFonts w:hint="eastAsia" w:ascii="宋体" w:hAnsi="宋体" w:eastAsia="宋体" w:cs="宋体"/>
                <w:color w:val="auto"/>
                <w:kern w:val="2"/>
                <w:szCs w:val="32"/>
                <w:highlight w:val="none"/>
              </w:rPr>
              <w:t>1</w:t>
            </w:r>
            <w:bookmarkEnd w:id="124"/>
            <w:bookmarkEnd w:id="125"/>
            <w:bookmarkEnd w:id="126"/>
            <w:bookmarkEnd w:id="127"/>
            <w:bookmarkEnd w:id="128"/>
            <w:bookmarkEnd w:id="129"/>
            <w:bookmarkEnd w:id="130"/>
            <w:bookmarkEnd w:id="131"/>
            <w:bookmarkEnd w:id="132"/>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33" w:name="_Toc173066407"/>
            <w:bookmarkStart w:id="134" w:name="_Toc173211906"/>
            <w:bookmarkStart w:id="135" w:name="_Toc383699912"/>
            <w:bookmarkStart w:id="136" w:name="_Toc254970735"/>
            <w:bookmarkStart w:id="137" w:name="_Toc373333695"/>
            <w:bookmarkStart w:id="138" w:name="_Toc295404987"/>
            <w:bookmarkStart w:id="139" w:name="_Toc297193191"/>
            <w:bookmarkStart w:id="140" w:name="_Toc301781617"/>
            <w:bookmarkStart w:id="141" w:name="_Toc254970594"/>
            <w:r>
              <w:rPr>
                <w:rFonts w:hint="eastAsia" w:ascii="宋体" w:hAnsi="宋体" w:eastAsia="宋体" w:cs="宋体"/>
                <w:color w:val="auto"/>
                <w:kern w:val="2"/>
                <w:szCs w:val="32"/>
                <w:highlight w:val="none"/>
              </w:rPr>
              <w:t>2</w:t>
            </w:r>
            <w:bookmarkEnd w:id="133"/>
            <w:bookmarkEnd w:id="134"/>
            <w:bookmarkEnd w:id="135"/>
            <w:bookmarkEnd w:id="136"/>
            <w:bookmarkEnd w:id="137"/>
            <w:bookmarkEnd w:id="138"/>
            <w:bookmarkEnd w:id="139"/>
            <w:bookmarkEnd w:id="140"/>
            <w:bookmarkEnd w:id="141"/>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42" w:name="_Toc383699913"/>
            <w:bookmarkStart w:id="143" w:name="_Toc173211907"/>
            <w:bookmarkStart w:id="144" w:name="_Toc295404988"/>
            <w:bookmarkStart w:id="145" w:name="_Toc373333696"/>
            <w:bookmarkStart w:id="146" w:name="_Toc173066408"/>
            <w:bookmarkStart w:id="147" w:name="_Toc254970736"/>
            <w:bookmarkStart w:id="148" w:name="_Toc297193192"/>
            <w:bookmarkStart w:id="149" w:name="_Toc301781618"/>
            <w:bookmarkStart w:id="150" w:name="_Toc254970595"/>
            <w:r>
              <w:rPr>
                <w:rFonts w:hint="eastAsia" w:ascii="宋体" w:hAnsi="宋体" w:eastAsia="宋体" w:cs="宋体"/>
                <w:color w:val="auto"/>
                <w:kern w:val="2"/>
                <w:szCs w:val="32"/>
                <w:highlight w:val="none"/>
              </w:rPr>
              <w:t>3</w:t>
            </w:r>
            <w:bookmarkEnd w:id="142"/>
            <w:bookmarkEnd w:id="143"/>
            <w:bookmarkEnd w:id="144"/>
            <w:bookmarkEnd w:id="145"/>
            <w:bookmarkEnd w:id="146"/>
            <w:bookmarkEnd w:id="147"/>
            <w:bookmarkEnd w:id="148"/>
            <w:bookmarkEnd w:id="149"/>
            <w:bookmarkEnd w:id="150"/>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51" w:name="_Toc254970596"/>
            <w:bookmarkStart w:id="152" w:name="_Toc295404989"/>
            <w:bookmarkStart w:id="153" w:name="_Toc297193193"/>
            <w:bookmarkStart w:id="154" w:name="_Toc173066409"/>
            <w:bookmarkStart w:id="155" w:name="_Toc373333697"/>
            <w:bookmarkStart w:id="156" w:name="_Toc301781619"/>
            <w:bookmarkStart w:id="157" w:name="_Toc383699914"/>
            <w:bookmarkStart w:id="158" w:name="_Toc254970737"/>
            <w:bookmarkStart w:id="159" w:name="_Toc173211908"/>
            <w:r>
              <w:rPr>
                <w:rFonts w:hint="eastAsia" w:ascii="宋体" w:hAnsi="宋体" w:eastAsia="宋体" w:cs="宋体"/>
                <w:color w:val="auto"/>
                <w:kern w:val="2"/>
                <w:szCs w:val="32"/>
                <w:highlight w:val="none"/>
              </w:rPr>
              <w:t>4</w:t>
            </w:r>
            <w:bookmarkEnd w:id="151"/>
            <w:bookmarkEnd w:id="152"/>
            <w:bookmarkEnd w:id="153"/>
            <w:bookmarkEnd w:id="154"/>
            <w:bookmarkEnd w:id="155"/>
            <w:bookmarkEnd w:id="156"/>
            <w:bookmarkEnd w:id="157"/>
            <w:bookmarkEnd w:id="158"/>
            <w:bookmarkEnd w:id="159"/>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60" w:name="_Toc383699915"/>
            <w:bookmarkStart w:id="161" w:name="_Toc254970597"/>
            <w:bookmarkStart w:id="162" w:name="_Toc373333698"/>
            <w:bookmarkStart w:id="163" w:name="_Toc297193194"/>
            <w:bookmarkStart w:id="164" w:name="_Toc173211909"/>
            <w:bookmarkStart w:id="165" w:name="_Toc301781620"/>
            <w:bookmarkStart w:id="166" w:name="_Toc295404990"/>
            <w:bookmarkStart w:id="167" w:name="_Toc254970738"/>
            <w:bookmarkStart w:id="168" w:name="_Toc173066410"/>
            <w:r>
              <w:rPr>
                <w:rFonts w:hint="eastAsia" w:ascii="宋体" w:hAnsi="宋体" w:eastAsia="宋体" w:cs="宋体"/>
                <w:color w:val="auto"/>
                <w:kern w:val="2"/>
                <w:szCs w:val="32"/>
                <w:highlight w:val="none"/>
              </w:rPr>
              <w:t>5</w:t>
            </w:r>
            <w:bookmarkEnd w:id="160"/>
            <w:bookmarkEnd w:id="161"/>
            <w:bookmarkEnd w:id="162"/>
            <w:bookmarkEnd w:id="163"/>
            <w:bookmarkEnd w:id="164"/>
            <w:bookmarkEnd w:id="165"/>
            <w:bookmarkEnd w:id="166"/>
            <w:bookmarkEnd w:id="167"/>
            <w:bookmarkEnd w:id="168"/>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8" w:type="pct"/>
            <w:vAlign w:val="center"/>
          </w:tcPr>
          <w:p>
            <w:pPr>
              <w:pStyle w:val="10"/>
              <w:spacing w:line="520" w:lineRule="exact"/>
              <w:ind w:firstLine="0" w:firstLineChars="0"/>
              <w:jc w:val="center"/>
              <w:rPr>
                <w:rFonts w:ascii="宋体" w:hAnsi="宋体" w:eastAsia="宋体" w:cs="宋体"/>
                <w:color w:val="auto"/>
                <w:kern w:val="2"/>
                <w:szCs w:val="32"/>
                <w:highlight w:val="none"/>
              </w:rPr>
            </w:pPr>
            <w:bookmarkStart w:id="169" w:name="_Toc173066415"/>
            <w:bookmarkStart w:id="170" w:name="_Toc383699916"/>
            <w:bookmarkStart w:id="171" w:name="_Toc295404991"/>
            <w:bookmarkStart w:id="172" w:name="_Toc297193195"/>
            <w:bookmarkStart w:id="173" w:name="_Toc173211914"/>
            <w:bookmarkStart w:id="174" w:name="_Toc254970743"/>
            <w:bookmarkStart w:id="175" w:name="_Toc373333699"/>
            <w:bookmarkStart w:id="176" w:name="_Toc301781621"/>
            <w:bookmarkStart w:id="177" w:name="_Toc254970602"/>
            <w:r>
              <w:rPr>
                <w:rFonts w:hint="eastAsia" w:ascii="宋体" w:hAnsi="宋体" w:eastAsia="宋体" w:cs="宋体"/>
                <w:color w:val="auto"/>
                <w:kern w:val="2"/>
                <w:szCs w:val="32"/>
                <w:highlight w:val="none"/>
              </w:rPr>
              <w:t>…</w:t>
            </w:r>
            <w:bookmarkEnd w:id="169"/>
            <w:bookmarkEnd w:id="170"/>
            <w:bookmarkEnd w:id="171"/>
            <w:bookmarkEnd w:id="172"/>
            <w:bookmarkEnd w:id="173"/>
            <w:bookmarkEnd w:id="174"/>
            <w:bookmarkEnd w:id="175"/>
            <w:bookmarkEnd w:id="176"/>
            <w:bookmarkEnd w:id="177"/>
          </w:p>
        </w:tc>
        <w:tc>
          <w:tcPr>
            <w:tcW w:w="458"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519"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1367" w:type="pct"/>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746" w:type="pct"/>
            <w:tcBorders>
              <w:righ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c>
          <w:tcPr>
            <w:tcW w:w="450" w:type="pct"/>
            <w:tcBorders>
              <w:left w:val="single" w:color="auto" w:sz="4" w:space="0"/>
            </w:tcBorders>
            <w:vAlign w:val="center"/>
          </w:tcPr>
          <w:p>
            <w:pPr>
              <w:pStyle w:val="10"/>
              <w:spacing w:line="520" w:lineRule="exact"/>
              <w:ind w:firstLine="0" w:firstLineChars="0"/>
              <w:jc w:val="center"/>
              <w:rPr>
                <w:rFonts w:ascii="宋体" w:hAnsi="宋体" w:eastAsia="宋体" w:cs="宋体"/>
                <w:color w:val="auto"/>
                <w:kern w:val="2"/>
                <w:szCs w:val="32"/>
                <w:highlight w:val="none"/>
              </w:rPr>
            </w:pPr>
          </w:p>
        </w:tc>
      </w:tr>
    </w:tbl>
    <w:p>
      <w:pPr>
        <w:adjustRightInd w:val="0"/>
        <w:snapToGrid w:val="0"/>
        <w:spacing w:line="520" w:lineRule="exact"/>
        <w:rPr>
          <w:rFonts w:ascii="宋体" w:hAnsi="宋体" w:cs="宋体"/>
          <w:color w:val="auto"/>
          <w:sz w:val="32"/>
          <w:szCs w:val="32"/>
          <w:highlight w:val="none"/>
        </w:rPr>
      </w:pPr>
    </w:p>
    <w:p>
      <w:pPr>
        <w:pStyle w:val="10"/>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Cs w:val="32"/>
          <w:highlight w:val="none"/>
        </w:rPr>
        <w:t>说明：应对照竞争性谈判文件“第三章 谈判采购技术规格、参数及要求”，逐条说明所提供货物和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pPr>
        <w:pStyle w:val="12"/>
        <w:spacing w:line="520" w:lineRule="exact"/>
        <w:rPr>
          <w:rFonts w:hAnsi="宋体" w:cs="宋体"/>
          <w:color w:val="auto"/>
          <w:sz w:val="32"/>
          <w:szCs w:val="32"/>
          <w:highlight w:val="none"/>
        </w:rPr>
      </w:pPr>
    </w:p>
    <w:p>
      <w:pPr>
        <w:snapToGrid w:val="0"/>
        <w:spacing w:before="50" w:after="50" w:line="520" w:lineRule="exact"/>
        <w:ind w:right="-817" w:rightChars="-389"/>
        <w:rPr>
          <w:rFonts w:ascii="宋体" w:hAnsi="宋体" w:cs="宋体"/>
          <w:color w:val="auto"/>
          <w:sz w:val="32"/>
          <w:szCs w:val="32"/>
          <w:highlight w:val="none"/>
        </w:rPr>
      </w:pPr>
    </w:p>
    <w:p>
      <w:pPr>
        <w:snapToGrid w:val="0"/>
        <w:spacing w:before="50" w:after="50" w:line="520" w:lineRule="exact"/>
        <w:ind w:right="-817" w:rightChars="-389"/>
        <w:rPr>
          <w:rFonts w:ascii="宋体" w:hAnsi="宋体" w:cs="宋体"/>
          <w:color w:val="auto"/>
          <w:sz w:val="32"/>
          <w:szCs w:val="32"/>
          <w:highlight w:val="none"/>
        </w:rPr>
      </w:pPr>
      <w:r>
        <w:rPr>
          <w:rFonts w:hint="eastAsia" w:ascii="宋体" w:hAnsi="宋体" w:cs="宋体"/>
          <w:color w:val="auto"/>
          <w:sz w:val="32"/>
          <w:szCs w:val="32"/>
          <w:highlight w:val="none"/>
        </w:rPr>
        <w:t xml:space="preserve">法定代表人（负责人或自然人）或委托代理人（签字）：                    </w:t>
      </w:r>
    </w:p>
    <w:p>
      <w:pPr>
        <w:snapToGrid w:val="0"/>
        <w:spacing w:before="50" w:after="50" w:line="520" w:lineRule="exact"/>
        <w:ind w:right="-817" w:rightChars="-389" w:firstLine="3520" w:firstLineChars="1100"/>
        <w:rPr>
          <w:rFonts w:ascii="宋体" w:hAnsi="宋体" w:cs="宋体"/>
          <w:color w:val="auto"/>
          <w:sz w:val="32"/>
          <w:szCs w:val="32"/>
          <w:highlight w:val="none"/>
        </w:rPr>
      </w:pPr>
      <w:r>
        <w:rPr>
          <w:rFonts w:hint="eastAsia" w:ascii="宋体" w:hAnsi="宋体" w:cs="宋体"/>
          <w:color w:val="auto"/>
          <w:sz w:val="32"/>
          <w:szCs w:val="32"/>
          <w:highlight w:val="none"/>
        </w:rPr>
        <w:t xml:space="preserve">供应商（盖公章）：      </w:t>
      </w:r>
    </w:p>
    <w:p>
      <w:pPr>
        <w:snapToGrid w:val="0"/>
        <w:spacing w:before="50" w:after="50" w:line="520" w:lineRule="exact"/>
        <w:ind w:right="-817" w:rightChars="-389" w:firstLine="5440" w:firstLineChars="1700"/>
        <w:rPr>
          <w:rFonts w:ascii="宋体" w:hAnsi="宋体" w:cs="宋体"/>
          <w:b/>
          <w:color w:val="auto"/>
          <w:sz w:val="32"/>
          <w:szCs w:val="32"/>
          <w:highlight w:val="none"/>
        </w:rPr>
      </w:pPr>
      <w:r>
        <w:rPr>
          <w:rFonts w:hint="eastAsia" w:ascii="宋体" w:hAnsi="宋体" w:cs="宋体"/>
          <w:color w:val="auto"/>
          <w:sz w:val="32"/>
          <w:szCs w:val="32"/>
          <w:highlight w:val="none"/>
        </w:rPr>
        <w:t>日期：   年   月   日</w:t>
      </w:r>
    </w:p>
    <w:p>
      <w:pPr>
        <w:spacing w:line="300" w:lineRule="auto"/>
        <w:rPr>
          <w:rFonts w:ascii="宋体" w:hAnsi="宋体" w:cs="宋体"/>
          <w:b/>
          <w:bCs/>
          <w:color w:val="auto"/>
          <w:sz w:val="24"/>
          <w:highlight w:val="none"/>
        </w:rPr>
      </w:pPr>
    </w:p>
    <w:p>
      <w:pPr>
        <w:spacing w:line="300" w:lineRule="auto"/>
        <w:rPr>
          <w:rFonts w:ascii="宋体" w:hAnsi="宋体" w:cs="宋体"/>
          <w:b/>
          <w:bCs/>
          <w:color w:val="auto"/>
          <w:sz w:val="24"/>
          <w:highlight w:val="none"/>
        </w:rPr>
      </w:pPr>
    </w:p>
    <w:p>
      <w:pPr>
        <w:spacing w:line="300" w:lineRule="auto"/>
        <w:rPr>
          <w:rFonts w:ascii="宋体" w:hAnsi="宋体" w:cs="宋体"/>
          <w:b/>
          <w:bCs/>
          <w:color w:val="auto"/>
          <w:sz w:val="24"/>
          <w:highlight w:val="none"/>
        </w:rPr>
      </w:pP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t>其他文书、文件格式</w:t>
      </w: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中小企业声明函</w:t>
      </w:r>
    </w:p>
    <w:p>
      <w:pPr>
        <w:spacing w:line="520" w:lineRule="exact"/>
        <w:rPr>
          <w:rFonts w:ascii="宋体" w:hAnsi="宋体" w:cs="宋体"/>
          <w:color w:val="auto"/>
          <w:sz w:val="32"/>
          <w:szCs w:val="32"/>
          <w:highlight w:val="none"/>
        </w:rPr>
      </w:pP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本公司郑重声明，根据《政府采购促进中小企业发展暂行办法》（财库〔2011〕181号）的规定，本公司为</w:t>
      </w:r>
      <w:bookmarkStart w:id="178" w:name="OLE_LINK2"/>
      <w:bookmarkStart w:id="179" w:name="OLE_LINK5"/>
      <w:r>
        <w:rPr>
          <w:rFonts w:hint="eastAsia" w:ascii="宋体" w:hAnsi="宋体" w:cs="宋体"/>
          <w:color w:val="auto"/>
          <w:szCs w:val="21"/>
          <w:highlight w:val="none"/>
        </w:rPr>
        <w:t>（请填写：中型、小型、微型）企业</w:t>
      </w:r>
      <w:bookmarkEnd w:id="178"/>
      <w:bookmarkEnd w:id="179"/>
      <w:r>
        <w:rPr>
          <w:rFonts w:hint="eastAsia" w:ascii="宋体" w:hAnsi="宋体" w:cs="宋体"/>
          <w:color w:val="auto"/>
          <w:szCs w:val="21"/>
          <w:highlight w:val="none"/>
        </w:rPr>
        <w:t>。即本公司同时满足以下条件：</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本公司对上述声明的真实性负责。如有虚假，将依法承担相应责任。</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企业名称（盖章）： </w:t>
      </w:r>
    </w:p>
    <w:p>
      <w:pPr>
        <w:spacing w:line="520" w:lineRule="exact"/>
        <w:rPr>
          <w:rFonts w:ascii="宋体" w:hAnsi="宋体" w:cs="宋体"/>
          <w:color w:val="auto"/>
          <w:sz w:val="32"/>
          <w:szCs w:val="32"/>
          <w:highlight w:val="none"/>
        </w:rPr>
      </w:pPr>
      <w:r>
        <w:rPr>
          <w:rFonts w:hint="eastAsia" w:ascii="宋体" w:hAnsi="宋体" w:cs="宋体"/>
          <w:color w:val="auto"/>
          <w:szCs w:val="21"/>
          <w:highlight w:val="none"/>
        </w:rPr>
        <w:t xml:space="preserve">                               日  期：     </w:t>
      </w: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注：请根据自己的真实情况出具《中小企业声明函》。依法享受中小企业优惠政策的，采购人或采购代理机构在公告中标结果时，同时公告其《中小企业声明函》，接受社会监督。</w:t>
      </w:r>
    </w:p>
    <w:p>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520" w:lineRule="exact"/>
        <w:rPr>
          <w:rFonts w:ascii="宋体" w:hAnsi="宋体" w:cs="宋体"/>
          <w:color w:val="auto"/>
          <w:sz w:val="32"/>
          <w:szCs w:val="32"/>
          <w:highlight w:val="none"/>
        </w:rPr>
      </w:pP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pPr>
        <w:spacing w:line="520" w:lineRule="exact"/>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注：请根据自己的真实情况出具《残疾人福利性单位声明函》。依法享受中小企业优惠政策的，采购人或采购代理机构在公告中标结果时，同时公告其《残疾人福利性单位声明函》，接受社会监督。</w:t>
      </w: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spacing w:line="520" w:lineRule="exact"/>
        <w:rPr>
          <w:rFonts w:ascii="宋体" w:hAnsi="宋体" w:cs="宋体"/>
          <w:color w:val="auto"/>
          <w:sz w:val="32"/>
          <w:szCs w:val="32"/>
          <w:highlight w:val="none"/>
        </w:rPr>
      </w:pPr>
    </w:p>
    <w:p>
      <w:pPr>
        <w:autoSpaceDE w:val="0"/>
        <w:autoSpaceDN w:val="0"/>
        <w:spacing w:line="300" w:lineRule="auto"/>
        <w:rPr>
          <w:rFonts w:ascii="宋体" w:hAnsi="宋体" w:cs="宋体"/>
          <w:color w:val="auto"/>
          <w:szCs w:val="21"/>
          <w:highlight w:val="none"/>
        </w:rPr>
      </w:pPr>
    </w:p>
    <w:p>
      <w:pPr>
        <w:pStyle w:val="2"/>
        <w:spacing w:line="520" w:lineRule="exact"/>
        <w:jc w:val="center"/>
        <w:rPr>
          <w:rFonts w:ascii="宋体" w:hAnsi="宋体" w:cs="宋体"/>
          <w:color w:val="auto"/>
          <w:highlight w:val="none"/>
        </w:rPr>
      </w:pPr>
      <w:bookmarkStart w:id="180" w:name="_Toc44229900"/>
      <w:r>
        <w:rPr>
          <w:rFonts w:hint="eastAsia" w:ascii="宋体" w:hAnsi="宋体" w:cs="宋体"/>
          <w:color w:val="auto"/>
          <w:highlight w:val="none"/>
        </w:rPr>
        <w:t>第六章 合同文本</w:t>
      </w:r>
      <w:bookmarkEnd w:id="180"/>
    </w:p>
    <w:p>
      <w:pPr>
        <w:snapToGrid w:val="0"/>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r>
        <w:rPr>
          <w:rFonts w:hint="eastAsia" w:ascii="宋体" w:hAnsi="宋体" w:cs="宋体"/>
          <w:b/>
          <w:color w:val="auto"/>
          <w:sz w:val="32"/>
          <w:szCs w:val="32"/>
          <w:highlight w:val="none"/>
        </w:rPr>
        <w:t>文本（A分标）</w:t>
      </w:r>
    </w:p>
    <w:p>
      <w:pPr>
        <w:spacing w:line="520" w:lineRule="exact"/>
        <w:rPr>
          <w:rFonts w:ascii="宋体" w:hAnsi="宋体" w:cs="宋体"/>
          <w:b/>
          <w:color w:val="auto"/>
          <w:sz w:val="32"/>
          <w:szCs w:val="32"/>
          <w:highlight w:val="none"/>
        </w:rPr>
      </w:pPr>
    </w:p>
    <w:p>
      <w:pPr>
        <w:wordWrap w:val="0"/>
        <w:spacing w:line="520" w:lineRule="exact"/>
        <w:ind w:right="800"/>
        <w:rPr>
          <w:rFonts w:ascii="宋体" w:hAnsi="宋体" w:cs="宋体"/>
          <w:bCs/>
          <w:color w:val="auto"/>
          <w:sz w:val="24"/>
          <w:highlight w:val="none"/>
          <w:u w:val="single"/>
        </w:rPr>
      </w:pPr>
      <w:r>
        <w:rPr>
          <w:rFonts w:hint="eastAsia" w:ascii="宋体" w:hAnsi="宋体" w:cs="宋体"/>
          <w:color w:val="auto"/>
          <w:sz w:val="24"/>
          <w:highlight w:val="none"/>
        </w:rPr>
        <w:t>采购计划号：</w:t>
      </w:r>
      <w:r>
        <w:rPr>
          <w:rFonts w:hint="eastAsia" w:ascii="宋体" w:hAnsi="宋体" w:cs="宋体"/>
          <w:bCs/>
          <w:color w:val="auto"/>
          <w:sz w:val="24"/>
          <w:highlight w:val="none"/>
        </w:rPr>
        <w:t>合同编号：</w:t>
      </w:r>
    </w:p>
    <w:p>
      <w:pPr>
        <w:spacing w:line="520" w:lineRule="exact"/>
        <w:rPr>
          <w:rFonts w:ascii="宋体" w:hAnsi="宋体" w:cs="宋体"/>
          <w:color w:val="auto"/>
          <w:sz w:val="24"/>
          <w:highlight w:val="none"/>
          <w:u w:val="single"/>
        </w:rPr>
      </w:pPr>
      <w:r>
        <w:rPr>
          <w:rFonts w:hint="eastAsia" w:ascii="宋体" w:hAnsi="宋体" w:cs="宋体"/>
          <w:color w:val="auto"/>
          <w:sz w:val="24"/>
          <w:highlight w:val="none"/>
        </w:rPr>
        <w:t>采购人（甲方）：   供应商（乙方）：</w:t>
      </w:r>
    </w:p>
    <w:p>
      <w:pPr>
        <w:spacing w:line="520" w:lineRule="exact"/>
        <w:rPr>
          <w:rFonts w:ascii="宋体" w:hAnsi="宋体" w:cs="宋体"/>
          <w:color w:val="auto"/>
          <w:sz w:val="24"/>
          <w:highlight w:val="none"/>
          <w:u w:val="single"/>
        </w:rPr>
      </w:pPr>
      <w:r>
        <w:rPr>
          <w:rFonts w:hint="eastAsia" w:ascii="宋体" w:hAnsi="宋体" w:cs="宋体"/>
          <w:color w:val="auto"/>
          <w:sz w:val="24"/>
          <w:highlight w:val="none"/>
        </w:rPr>
        <w:t>项目名称：项目编号：</w:t>
      </w:r>
    </w:p>
    <w:p>
      <w:pPr>
        <w:spacing w:line="520" w:lineRule="exact"/>
        <w:rPr>
          <w:rFonts w:ascii="宋体" w:hAnsi="宋体" w:cs="宋体"/>
          <w:color w:val="auto"/>
          <w:sz w:val="24"/>
          <w:highlight w:val="none"/>
          <w:u w:val="single"/>
        </w:rPr>
      </w:pPr>
      <w:r>
        <w:rPr>
          <w:rFonts w:hint="eastAsia" w:ascii="宋体" w:hAnsi="宋体" w:cs="宋体"/>
          <w:color w:val="auto"/>
          <w:sz w:val="24"/>
          <w:highlight w:val="none"/>
        </w:rPr>
        <w:t>签订地点：   签订时间：</w:t>
      </w:r>
    </w:p>
    <w:p>
      <w:pPr>
        <w:spacing w:line="520" w:lineRule="exact"/>
        <w:ind w:firstLine="480" w:firstLineChars="200"/>
        <w:rPr>
          <w:rFonts w:ascii="宋体" w:hAnsi="宋体" w:cs="宋体"/>
          <w:color w:val="auto"/>
          <w:sz w:val="24"/>
          <w:highlight w:val="none"/>
        </w:rPr>
      </w:pP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根据《中华人民共和国政府采购法》、《中华人民共和国合同法》等法律、法规规定，按照</w:t>
      </w:r>
      <w:r>
        <w:rPr>
          <w:rFonts w:hint="eastAsia" w:ascii="宋体" w:hAnsi="宋体"/>
          <w:color w:val="auto"/>
          <w:sz w:val="24"/>
          <w:highlight w:val="none"/>
        </w:rPr>
        <w:t>竞争性磋商文件规定条款和乙方响应文件及其承诺，甲乙双方签订本合同。</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1、项目一览表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单  价</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总 价</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color w:val="auto"/>
                <w:sz w:val="24"/>
                <w:highlight w:val="none"/>
              </w:rPr>
            </w:pPr>
            <w:r>
              <w:rPr>
                <w:rFonts w:hint="eastAsia" w:ascii="宋体" w:hAnsi="宋体" w:cs="宋体"/>
                <w:color w:val="auto"/>
                <w:sz w:val="24"/>
                <w:highlight w:val="none"/>
              </w:rPr>
              <w:t xml:space="preserve">人民币合计金额（大写）：元整（¥）              </w:t>
            </w:r>
          </w:p>
        </w:tc>
      </w:tr>
    </w:tbl>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竞争性磋商文件对其另有规定的，从其规定。</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第二条　质量保证</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52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第三条　权利保证</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1、乙方应保证所提供服务在使用时不会侵犯任何第三方的专利权、商标权、工业设计权等知识产权及其他合法权利，且所有权、处分权等没有受到任何限制。</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pPr>
        <w:spacing w:line="52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第四条　交付和验收</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1、服务期限：</w:t>
      </w:r>
      <w:r>
        <w:rPr>
          <w:rFonts w:hint="eastAsia" w:ascii="宋体" w:hAnsi="宋体" w:cs="宋体"/>
          <w:color w:val="auto"/>
          <w:sz w:val="24"/>
          <w:highlight w:val="none"/>
          <w:u w:val="single"/>
        </w:rPr>
        <w:t>起至</w:t>
      </w:r>
      <w:r>
        <w:rPr>
          <w:rFonts w:hint="eastAsia" w:ascii="宋体" w:hAnsi="宋体" w:cs="宋体"/>
          <w:color w:val="auto"/>
          <w:sz w:val="24"/>
          <w:highlight w:val="none"/>
        </w:rPr>
        <w:t>，服务地点：。</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2、乙方应按响应文件的承诺向甲方提供相应的服务，并提供所服务内容的相关技术资料。</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3、乙方提供不符合响应文件和本合同规定的服务成果，甲方有权拒绝接受。</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520" w:lineRule="exact"/>
        <w:ind w:firstLine="480" w:firstLineChars="200"/>
        <w:rPr>
          <w:rFonts w:ascii="宋体" w:hAnsi="宋体"/>
          <w:color w:val="auto"/>
          <w:sz w:val="24"/>
          <w:highlight w:val="none"/>
        </w:rPr>
      </w:pPr>
      <w:r>
        <w:rPr>
          <w:rFonts w:hint="eastAsia" w:ascii="宋体" w:hAnsi="宋体" w:cs="宋体"/>
          <w:color w:val="auto"/>
          <w:sz w:val="24"/>
          <w:highlight w:val="none"/>
        </w:rPr>
        <w:t>5、甲乙双方应按照《</w:t>
      </w:r>
      <w:r>
        <w:rPr>
          <w:rFonts w:ascii="宋体" w:hAnsi="宋体" w:cs="宋体"/>
          <w:color w:val="auto"/>
          <w:sz w:val="24"/>
          <w:highlight w:val="none"/>
        </w:rPr>
        <w:t>广西壮族自治区政府采购项目履约验收管理办法</w:t>
      </w:r>
      <w:r>
        <w:rPr>
          <w:rFonts w:hint="eastAsia" w:ascii="宋体" w:hAnsi="宋体" w:cs="宋体"/>
          <w:color w:val="auto"/>
          <w:sz w:val="24"/>
          <w:highlight w:val="none"/>
        </w:rPr>
        <w:t>》、双方合同、响应文件验收。</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6、甲方在初步验收或最终验收过程中如发现乙方提供的服务成果不满足响应文件及本合同规定的，可暂缓向乙方付款，直到乙方及时完善并提交相应的服务成果且经甲方验收合格后，方可办理付款。</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7、甲方验收时以书面形式提出异议的，乙方应自收到甲方书面异议后五个工作日内及时予以解决，否则甲方有权不出具服务验收合格单。</w:t>
      </w:r>
    </w:p>
    <w:p>
      <w:pPr>
        <w:snapToGrid w:val="0"/>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第五条  售后服务及培训</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1、乙方应按照国家有关法律法规和本合同所附的《售后服务承诺》要求为甲方提供相应的售后服务。</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2、甲方应提供必要测试条件（如场地、电源、水源等）。</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3、乙方负责甲方有关人员的培训。培训时间、地点：。</w:t>
      </w:r>
    </w:p>
    <w:p>
      <w:pPr>
        <w:snapToGrid w:val="0"/>
        <w:spacing w:line="520" w:lineRule="exact"/>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第六条　付款方式</w:t>
      </w:r>
    </w:p>
    <w:p>
      <w:pPr>
        <w:snapToGrid w:val="0"/>
        <w:spacing w:line="520" w:lineRule="exact"/>
        <w:ind w:firstLine="420" w:firstLineChars="200"/>
        <w:rPr>
          <w:rFonts w:ascii="宋体" w:hAnsi="宋体"/>
          <w:color w:val="auto"/>
          <w:sz w:val="24"/>
          <w:highlight w:val="none"/>
        </w:rPr>
      </w:pPr>
      <w:r>
        <w:rPr>
          <w:rFonts w:hint="eastAsia" w:ascii="宋体" w:hAnsi="宋体" w:cs="宋体"/>
          <w:bCs/>
          <w:snapToGrid w:val="0"/>
          <w:color w:val="auto"/>
          <w:kern w:val="0"/>
          <w:szCs w:val="21"/>
          <w:highlight w:val="none"/>
        </w:rPr>
        <w:t>项目完成全部服务单位上线后</w:t>
      </w:r>
      <w:r>
        <w:rPr>
          <w:rFonts w:hint="eastAsia" w:ascii="宋体" w:hAnsi="宋体" w:cs="宋体"/>
          <w:color w:val="auto"/>
          <w:szCs w:val="21"/>
          <w:highlight w:val="none"/>
        </w:rPr>
        <w:t>15个工作日内甲方向乙方支付合同金额的50%，系统正常运行3个月后向乙方支付合同金额45%，剩余5%在质保期满后30个工作日内支付。</w:t>
      </w:r>
    </w:p>
    <w:p>
      <w:pPr>
        <w:snapToGrid w:val="0"/>
        <w:spacing w:line="52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第七条　履约保证金：无</w:t>
      </w:r>
      <w:r>
        <w:rPr>
          <w:rFonts w:hint="eastAsia" w:ascii="宋体" w:hAnsi="宋体" w:cs="宋体"/>
          <w:color w:val="auto"/>
          <w:sz w:val="24"/>
          <w:highlight w:val="none"/>
        </w:rPr>
        <w:t>。</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第八条  税费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第九条　违约责任</w:t>
      </w:r>
    </w:p>
    <w:p>
      <w:pPr>
        <w:snapToGrid w:val="0"/>
        <w:spacing w:line="520" w:lineRule="exact"/>
        <w:ind w:firstLine="480" w:firstLineChars="200"/>
        <w:rPr>
          <w:rFonts w:ascii="宋体" w:hAnsi="宋体" w:cs="宋体"/>
          <w:color w:val="auto"/>
          <w:sz w:val="24"/>
          <w:highlight w:val="none"/>
        </w:rPr>
      </w:pPr>
      <w:r>
        <w:rPr>
          <w:rFonts w:hint="eastAsia" w:ascii="宋体" w:hAnsi="宋体"/>
          <w:color w:val="auto"/>
          <w:sz w:val="24"/>
          <w:highlight w:val="none"/>
        </w:rPr>
        <w:t>1、除不可抗力原因外，乙方没有按照合同规定的时间提供服务的，甲方可要求乙方支付违约金。每推迟一天按合同金额的3‰支付违约金，该违约金累计不超过合同金额的10%。</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2、乙方提供的服务如侵犯了第三方合法权益而引发的任何纠纷或诉讼，均由乙方负责交涉并承担全部责任。</w:t>
      </w:r>
    </w:p>
    <w:p>
      <w:pPr>
        <w:snapToGrid w:val="0"/>
        <w:spacing w:line="520" w:lineRule="exact"/>
        <w:ind w:firstLine="480" w:firstLineChars="200"/>
        <w:rPr>
          <w:rFonts w:ascii="宋体" w:hAnsi="宋体" w:cs="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、甲方延期付款的，每天向乙方偿付延期款额3‰滞纳金，但滞纳金累计不得超过延期款额5%。</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第十条  不可抗力事件处理</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pPr>
        <w:spacing w:line="52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第十一条  合同争议解决</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1、因服务质量问题发生争议的，应邀请国家认可的质量检测机构进行鉴定。服务符合标准的，鉴定费由甲方承担；服务不符合标准的，鉴定费由乙方承担。</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2、因履行本合同引起的或与本合同有关的争议，甲乙双方应首先通过友好协商解决，如果协商不能解决，可向甲方所在地有管辖权人民法院提起诉讼。</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3、诉讼期间，本合同继续履行。</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第十二条  合同生效及其它</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1、合同经双方法定代表人或授权代表签字并加盖单位公章后生效（委托代理人签字的需后附法定代表人授权委托书，格式自拟）。</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2、合同执行中涉及采购资金和采购内容修改或补充的，须经财政部门审批，并签书面补充协议报财政部门备案，方可作为主合同不可分割的一部分。</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3、本合同未尽事宜，遵照《合同法》有关条文执行。</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第十三条　合同的变更、终止与转让</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1、除《中华人民共和国政府采购法》第五十条规定的情形外，本合同一经签订，甲乙双方不得擅自变更、中止或终止。</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2、乙方不得擅自转让其应履行的合同义务。</w:t>
      </w:r>
    </w:p>
    <w:p>
      <w:pPr>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第十四条　签订本合同依据</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成交通知书</w:t>
      </w:r>
      <w:r>
        <w:rPr>
          <w:rFonts w:hint="eastAsia" w:ascii="宋体" w:hAnsi="宋体" w:cs="宋体"/>
          <w:color w:val="auto"/>
          <w:sz w:val="24"/>
          <w:highlight w:val="none"/>
        </w:rPr>
        <w:t>；</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2、竞标报价表；</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3、商务条款偏离表和技术需求偏离表；</w:t>
      </w:r>
    </w:p>
    <w:p>
      <w:pPr>
        <w:spacing w:line="52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、售后服务承诺；</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5、响应文件中的其他相关文件。</w:t>
      </w:r>
    </w:p>
    <w:p>
      <w:pPr>
        <w:spacing w:line="520" w:lineRule="exact"/>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、上述合同文件互相补充和解释。如果合同文件之间存在矛盾或不一致之处，以上述文件的排列顺序在先者为准。</w:t>
      </w:r>
    </w:p>
    <w:p>
      <w:pPr>
        <w:spacing w:line="52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第十五条　</w:t>
      </w:r>
      <w:r>
        <w:rPr>
          <w:rFonts w:hint="eastAsia" w:ascii="宋体" w:hAnsi="宋体" w:cs="宋体"/>
          <w:color w:val="auto"/>
          <w:sz w:val="24"/>
          <w:highlight w:val="none"/>
        </w:rPr>
        <w:t>本合同一式四份，具有同等法律效力，财政部门（政府采购监管部门）、采购代理机构各一份，甲乙双方各一份（可根据需要另增加）。</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本合同甲乙双方签字盖章后生效，自签订之日起七个工作日内，采购人或采购代理机构应当将合同副本报同级财政部门备案。</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本合同自签订之日起2个工作日内，甲方或采购代理机构应当将采购合同在广西壮族自治区财政厅指定的媒体上公告。</w:t>
      </w:r>
    </w:p>
    <w:tbl>
      <w:tblPr>
        <w:tblStyle w:val="21"/>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甲方：（章）</w:t>
            </w:r>
          </w:p>
          <w:p>
            <w:pPr>
              <w:snapToGrid w:val="0"/>
              <w:spacing w:line="520" w:lineRule="exact"/>
              <w:rPr>
                <w:rFonts w:ascii="宋体" w:hAnsi="宋体" w:cs="宋体"/>
                <w:color w:val="auto"/>
                <w:sz w:val="24"/>
                <w:highlight w:val="none"/>
              </w:rPr>
            </w:pPr>
          </w:p>
          <w:p>
            <w:pPr>
              <w:snapToGrid w:val="0"/>
              <w:spacing w:line="520" w:lineRule="exact"/>
              <w:rPr>
                <w:rFonts w:ascii="宋体" w:hAnsi="宋体" w:cs="宋体"/>
                <w:color w:val="auto"/>
                <w:sz w:val="24"/>
                <w:highlight w:val="none"/>
              </w:rPr>
            </w:pPr>
          </w:p>
          <w:p>
            <w:pPr>
              <w:snapToGrid w:val="0"/>
              <w:spacing w:line="520" w:lineRule="exact"/>
              <w:ind w:firstLine="1080" w:firstLineChars="450"/>
              <w:jc w:val="right"/>
              <w:rPr>
                <w:rFonts w:ascii="宋体" w:hAnsi="宋体" w:cs="宋体"/>
                <w:color w:val="auto"/>
                <w:sz w:val="24"/>
                <w:highlight w:val="none"/>
              </w:rPr>
            </w:pPr>
          </w:p>
          <w:p>
            <w:pPr>
              <w:snapToGrid w:val="0"/>
              <w:spacing w:line="520" w:lineRule="exac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p>
            <w:pPr>
              <w:snapToGrid w:val="0"/>
              <w:spacing w:line="520" w:lineRule="exact"/>
              <w:rPr>
                <w:rFonts w:ascii="宋体" w:hAnsi="宋体" w:cs="宋体"/>
                <w:color w:val="auto"/>
                <w:sz w:val="24"/>
                <w:highlight w:val="none"/>
              </w:rPr>
            </w:pPr>
          </w:p>
          <w:p>
            <w:pPr>
              <w:snapToGrid w:val="0"/>
              <w:spacing w:line="520" w:lineRule="exact"/>
              <w:rPr>
                <w:rFonts w:ascii="宋体" w:hAnsi="宋体" w:cs="宋体"/>
                <w:color w:val="auto"/>
                <w:sz w:val="24"/>
                <w:highlight w:val="none"/>
              </w:rPr>
            </w:pPr>
          </w:p>
          <w:p>
            <w:pPr>
              <w:snapToGrid w:val="0"/>
              <w:spacing w:line="520" w:lineRule="exact"/>
              <w:jc w:val="right"/>
              <w:rPr>
                <w:rFonts w:ascii="宋体" w:hAnsi="宋体" w:cs="宋体"/>
                <w:color w:val="auto"/>
                <w:sz w:val="24"/>
                <w:highlight w:val="none"/>
              </w:rPr>
            </w:pPr>
          </w:p>
          <w:p>
            <w:pPr>
              <w:snapToGrid w:val="0"/>
              <w:spacing w:line="520" w:lineRule="exact"/>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cs="宋体"/>
                <w:color w:val="auto"/>
                <w:sz w:val="24"/>
                <w:highlight w:val="none"/>
              </w:rPr>
            </w:pPr>
            <w:r>
              <w:rPr>
                <w:rFonts w:hint="eastAsia" w:ascii="宋体" w:hAnsi="宋体" w:cs="宋体"/>
                <w:color w:val="auto"/>
                <w:sz w:val="24"/>
                <w:highlight w:val="none"/>
              </w:rPr>
              <w:t>邮政编码：</w:t>
            </w:r>
          </w:p>
        </w:tc>
      </w:tr>
    </w:tbl>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pacing w:line="520" w:lineRule="exact"/>
        <w:rPr>
          <w:rFonts w:ascii="宋体" w:hAnsi="宋体" w:cs="宋体"/>
          <w:b/>
          <w:color w:val="auto"/>
          <w:sz w:val="32"/>
          <w:szCs w:val="32"/>
          <w:highlight w:val="none"/>
        </w:rPr>
      </w:pPr>
    </w:p>
    <w:p>
      <w:pPr>
        <w:snapToGrid w:val="0"/>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r>
        <w:rPr>
          <w:rFonts w:hint="eastAsia" w:ascii="宋体" w:hAnsi="宋体" w:cs="宋体"/>
          <w:b/>
          <w:color w:val="auto"/>
          <w:sz w:val="32"/>
          <w:szCs w:val="32"/>
          <w:highlight w:val="none"/>
        </w:rPr>
        <w:t>文本（B分标）</w:t>
      </w:r>
    </w:p>
    <w:p>
      <w:pPr>
        <w:snapToGrid w:val="0"/>
        <w:spacing w:line="400" w:lineRule="exact"/>
        <w:ind w:right="480" w:firstLine="5250" w:firstLineChars="2500"/>
        <w:rPr>
          <w:rFonts w:ascii="宋体" w:hAnsi="宋体" w:cs="宋体"/>
          <w:bCs/>
          <w:color w:val="auto"/>
          <w:szCs w:val="21"/>
          <w:highlight w:val="none"/>
        </w:rPr>
      </w:pPr>
    </w:p>
    <w:p>
      <w:pPr>
        <w:snapToGrid w:val="0"/>
        <w:spacing w:line="400" w:lineRule="exact"/>
        <w:ind w:right="480" w:firstLine="5250" w:firstLineChars="25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pPr>
        <w:snapToGrid w:val="0"/>
        <w:spacing w:line="400" w:lineRule="exact"/>
        <w:rPr>
          <w:rFonts w:ascii="宋体" w:hAnsi="宋体" w:cs="宋体"/>
          <w:color w:val="auto"/>
          <w:szCs w:val="21"/>
          <w:highlight w:val="none"/>
        </w:rPr>
      </w:pPr>
    </w:p>
    <w:p>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采购人（甲方）：  采购计划号：</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供应商（乙方）：</w:t>
      </w:r>
    </w:p>
    <w:p>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项目名称：  项目编号：</w:t>
      </w:r>
    </w:p>
    <w:p>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pPr>
        <w:snapToGrid w:val="0"/>
        <w:spacing w:line="400" w:lineRule="exact"/>
        <w:ind w:firstLine="420" w:firstLineChars="200"/>
        <w:rPr>
          <w:rFonts w:ascii="宋体" w:hAnsi="宋体" w:cs="宋体"/>
          <w:color w:val="auto"/>
          <w:szCs w:val="21"/>
          <w:highlight w:val="none"/>
        </w:rPr>
      </w:pP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根据《中华人民共和国政府采购法》、《中华人民共和国合同法》等法律、法规规定，按照竞争性谈判文件规定条款和成交供应商承诺，甲乙双方签订本合同。</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1.供货一览表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33"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059"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商标品牌</w:t>
            </w:r>
          </w:p>
        </w:tc>
        <w:tc>
          <w:tcPr>
            <w:tcW w:w="1233"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10"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生产厂家</w:t>
            </w:r>
          </w:p>
        </w:tc>
        <w:tc>
          <w:tcPr>
            <w:tcW w:w="737"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35"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095"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145"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pPr>
              <w:snapToGrid w:val="0"/>
              <w:spacing w:line="400" w:lineRule="exact"/>
              <w:jc w:val="center"/>
              <w:rPr>
                <w:rFonts w:ascii="宋体" w:hAnsi="宋体" w:cs="宋体"/>
                <w:color w:val="auto"/>
                <w:szCs w:val="21"/>
                <w:highlight w:val="none"/>
              </w:rPr>
            </w:pPr>
          </w:p>
        </w:tc>
        <w:tc>
          <w:tcPr>
            <w:tcW w:w="1059" w:type="dxa"/>
            <w:vAlign w:val="center"/>
          </w:tcPr>
          <w:p>
            <w:pPr>
              <w:snapToGrid w:val="0"/>
              <w:spacing w:line="400" w:lineRule="exact"/>
              <w:jc w:val="center"/>
              <w:rPr>
                <w:rFonts w:ascii="宋体" w:hAnsi="宋体" w:cs="宋体"/>
                <w:color w:val="auto"/>
                <w:szCs w:val="21"/>
                <w:highlight w:val="none"/>
              </w:rPr>
            </w:pPr>
          </w:p>
        </w:tc>
        <w:tc>
          <w:tcPr>
            <w:tcW w:w="1233" w:type="dxa"/>
            <w:vAlign w:val="center"/>
          </w:tcPr>
          <w:p>
            <w:pPr>
              <w:snapToGrid w:val="0"/>
              <w:spacing w:line="400" w:lineRule="exact"/>
              <w:jc w:val="center"/>
              <w:rPr>
                <w:rFonts w:ascii="宋体" w:hAnsi="宋体" w:cs="宋体"/>
                <w:color w:val="auto"/>
                <w:szCs w:val="21"/>
                <w:highlight w:val="none"/>
              </w:rPr>
            </w:pPr>
          </w:p>
        </w:tc>
        <w:tc>
          <w:tcPr>
            <w:tcW w:w="1210" w:type="dxa"/>
          </w:tcPr>
          <w:p>
            <w:pPr>
              <w:snapToGrid w:val="0"/>
              <w:spacing w:line="400" w:lineRule="exact"/>
              <w:jc w:val="center"/>
              <w:rPr>
                <w:rFonts w:ascii="宋体" w:hAnsi="宋体" w:cs="宋体"/>
                <w:color w:val="auto"/>
                <w:szCs w:val="21"/>
                <w:highlight w:val="none"/>
              </w:rPr>
            </w:pPr>
          </w:p>
        </w:tc>
        <w:tc>
          <w:tcPr>
            <w:tcW w:w="737" w:type="dxa"/>
          </w:tcPr>
          <w:p>
            <w:pPr>
              <w:snapToGrid w:val="0"/>
              <w:spacing w:line="400" w:lineRule="exact"/>
              <w:jc w:val="center"/>
              <w:rPr>
                <w:rFonts w:ascii="宋体" w:hAnsi="宋体" w:cs="宋体"/>
                <w:color w:val="auto"/>
                <w:szCs w:val="21"/>
                <w:highlight w:val="none"/>
              </w:rPr>
            </w:pPr>
          </w:p>
        </w:tc>
        <w:tc>
          <w:tcPr>
            <w:tcW w:w="735" w:type="dxa"/>
          </w:tcPr>
          <w:p>
            <w:pPr>
              <w:snapToGrid w:val="0"/>
              <w:spacing w:line="400" w:lineRule="exact"/>
              <w:jc w:val="center"/>
              <w:rPr>
                <w:rFonts w:ascii="宋体" w:hAnsi="宋体" w:cs="宋体"/>
                <w:color w:val="auto"/>
                <w:szCs w:val="21"/>
                <w:highlight w:val="none"/>
              </w:rPr>
            </w:pPr>
          </w:p>
        </w:tc>
        <w:tc>
          <w:tcPr>
            <w:tcW w:w="1095" w:type="dxa"/>
            <w:vAlign w:val="center"/>
          </w:tcPr>
          <w:p>
            <w:pPr>
              <w:snapToGrid w:val="0"/>
              <w:spacing w:line="400" w:lineRule="exact"/>
              <w:jc w:val="center"/>
              <w:rPr>
                <w:rFonts w:ascii="宋体" w:hAnsi="宋体" w:cs="宋体"/>
                <w:color w:val="auto"/>
                <w:szCs w:val="21"/>
                <w:highlight w:val="none"/>
              </w:rPr>
            </w:pPr>
          </w:p>
        </w:tc>
        <w:tc>
          <w:tcPr>
            <w:tcW w:w="1145" w:type="dxa"/>
            <w:vAlign w:val="center"/>
          </w:tcPr>
          <w:p>
            <w:pPr>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Align w:val="center"/>
          </w:tcPr>
          <w:p>
            <w:pPr>
              <w:snapToGrid w:val="0"/>
              <w:spacing w:line="400" w:lineRule="exact"/>
              <w:jc w:val="center"/>
              <w:rPr>
                <w:rFonts w:ascii="宋体" w:hAnsi="宋体" w:cs="宋体"/>
                <w:color w:val="auto"/>
                <w:szCs w:val="21"/>
                <w:highlight w:val="none"/>
              </w:rPr>
            </w:pPr>
          </w:p>
        </w:tc>
        <w:tc>
          <w:tcPr>
            <w:tcW w:w="1059" w:type="dxa"/>
            <w:vAlign w:val="center"/>
          </w:tcPr>
          <w:p>
            <w:pPr>
              <w:snapToGrid w:val="0"/>
              <w:spacing w:line="400" w:lineRule="exact"/>
              <w:jc w:val="center"/>
              <w:rPr>
                <w:rFonts w:ascii="宋体" w:hAnsi="宋体" w:cs="宋体"/>
                <w:color w:val="auto"/>
                <w:szCs w:val="21"/>
                <w:highlight w:val="none"/>
              </w:rPr>
            </w:pPr>
          </w:p>
        </w:tc>
        <w:tc>
          <w:tcPr>
            <w:tcW w:w="1233" w:type="dxa"/>
            <w:vAlign w:val="center"/>
          </w:tcPr>
          <w:p>
            <w:pPr>
              <w:snapToGrid w:val="0"/>
              <w:spacing w:line="400" w:lineRule="exact"/>
              <w:jc w:val="center"/>
              <w:rPr>
                <w:rFonts w:ascii="宋体" w:hAnsi="宋体" w:cs="宋体"/>
                <w:color w:val="auto"/>
                <w:szCs w:val="21"/>
                <w:highlight w:val="none"/>
              </w:rPr>
            </w:pPr>
          </w:p>
        </w:tc>
        <w:tc>
          <w:tcPr>
            <w:tcW w:w="1210" w:type="dxa"/>
          </w:tcPr>
          <w:p>
            <w:pPr>
              <w:snapToGrid w:val="0"/>
              <w:spacing w:line="400" w:lineRule="exact"/>
              <w:jc w:val="center"/>
              <w:rPr>
                <w:rFonts w:ascii="宋体" w:hAnsi="宋体" w:cs="宋体"/>
                <w:color w:val="auto"/>
                <w:szCs w:val="21"/>
                <w:highlight w:val="none"/>
              </w:rPr>
            </w:pPr>
          </w:p>
        </w:tc>
        <w:tc>
          <w:tcPr>
            <w:tcW w:w="737" w:type="dxa"/>
          </w:tcPr>
          <w:p>
            <w:pPr>
              <w:snapToGrid w:val="0"/>
              <w:spacing w:line="400" w:lineRule="exact"/>
              <w:jc w:val="center"/>
              <w:rPr>
                <w:rFonts w:ascii="宋体" w:hAnsi="宋体" w:cs="宋体"/>
                <w:color w:val="auto"/>
                <w:szCs w:val="21"/>
                <w:highlight w:val="none"/>
              </w:rPr>
            </w:pPr>
          </w:p>
        </w:tc>
        <w:tc>
          <w:tcPr>
            <w:tcW w:w="735" w:type="dxa"/>
          </w:tcPr>
          <w:p>
            <w:pPr>
              <w:snapToGrid w:val="0"/>
              <w:spacing w:line="400" w:lineRule="exact"/>
              <w:jc w:val="center"/>
              <w:rPr>
                <w:rFonts w:ascii="宋体" w:hAnsi="宋体" w:cs="宋体"/>
                <w:color w:val="auto"/>
                <w:szCs w:val="21"/>
                <w:highlight w:val="none"/>
              </w:rPr>
            </w:pPr>
          </w:p>
        </w:tc>
        <w:tc>
          <w:tcPr>
            <w:tcW w:w="1095" w:type="dxa"/>
            <w:vAlign w:val="center"/>
          </w:tcPr>
          <w:p>
            <w:pPr>
              <w:snapToGrid w:val="0"/>
              <w:spacing w:line="400" w:lineRule="exact"/>
              <w:jc w:val="center"/>
              <w:rPr>
                <w:rFonts w:ascii="宋体" w:hAnsi="宋体" w:cs="宋体"/>
                <w:color w:val="auto"/>
                <w:szCs w:val="21"/>
                <w:highlight w:val="none"/>
              </w:rPr>
            </w:pPr>
          </w:p>
        </w:tc>
        <w:tc>
          <w:tcPr>
            <w:tcW w:w="1145" w:type="dxa"/>
            <w:vAlign w:val="center"/>
          </w:tcPr>
          <w:p>
            <w:pPr>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33" w:type="dxa"/>
            <w:vAlign w:val="center"/>
          </w:tcPr>
          <w:p>
            <w:pPr>
              <w:snapToGrid w:val="0"/>
              <w:spacing w:line="400" w:lineRule="exact"/>
              <w:jc w:val="center"/>
              <w:rPr>
                <w:rFonts w:ascii="宋体" w:hAnsi="宋体" w:cs="宋体"/>
                <w:color w:val="auto"/>
                <w:szCs w:val="21"/>
                <w:highlight w:val="none"/>
              </w:rPr>
            </w:pPr>
          </w:p>
        </w:tc>
        <w:tc>
          <w:tcPr>
            <w:tcW w:w="1059" w:type="dxa"/>
            <w:vAlign w:val="center"/>
          </w:tcPr>
          <w:p>
            <w:pPr>
              <w:snapToGrid w:val="0"/>
              <w:spacing w:line="400" w:lineRule="exact"/>
              <w:jc w:val="center"/>
              <w:rPr>
                <w:rFonts w:ascii="宋体" w:hAnsi="宋体" w:cs="宋体"/>
                <w:color w:val="auto"/>
                <w:szCs w:val="21"/>
                <w:highlight w:val="none"/>
              </w:rPr>
            </w:pPr>
          </w:p>
        </w:tc>
        <w:tc>
          <w:tcPr>
            <w:tcW w:w="1233" w:type="dxa"/>
            <w:vAlign w:val="center"/>
          </w:tcPr>
          <w:p>
            <w:pPr>
              <w:snapToGrid w:val="0"/>
              <w:spacing w:line="400" w:lineRule="exact"/>
              <w:jc w:val="center"/>
              <w:rPr>
                <w:rFonts w:ascii="宋体" w:hAnsi="宋体" w:cs="宋体"/>
                <w:color w:val="auto"/>
                <w:szCs w:val="21"/>
                <w:highlight w:val="none"/>
              </w:rPr>
            </w:pPr>
          </w:p>
        </w:tc>
        <w:tc>
          <w:tcPr>
            <w:tcW w:w="1210" w:type="dxa"/>
          </w:tcPr>
          <w:p>
            <w:pPr>
              <w:snapToGrid w:val="0"/>
              <w:spacing w:line="400" w:lineRule="exact"/>
              <w:jc w:val="center"/>
              <w:rPr>
                <w:rFonts w:ascii="宋体" w:hAnsi="宋体" w:cs="宋体"/>
                <w:color w:val="auto"/>
                <w:szCs w:val="21"/>
                <w:highlight w:val="none"/>
              </w:rPr>
            </w:pPr>
          </w:p>
        </w:tc>
        <w:tc>
          <w:tcPr>
            <w:tcW w:w="737" w:type="dxa"/>
          </w:tcPr>
          <w:p>
            <w:pPr>
              <w:snapToGrid w:val="0"/>
              <w:spacing w:line="400" w:lineRule="exact"/>
              <w:jc w:val="center"/>
              <w:rPr>
                <w:rFonts w:ascii="宋体" w:hAnsi="宋体" w:cs="宋体"/>
                <w:color w:val="auto"/>
                <w:szCs w:val="21"/>
                <w:highlight w:val="none"/>
              </w:rPr>
            </w:pPr>
          </w:p>
        </w:tc>
        <w:tc>
          <w:tcPr>
            <w:tcW w:w="735" w:type="dxa"/>
          </w:tcPr>
          <w:p>
            <w:pPr>
              <w:snapToGrid w:val="0"/>
              <w:spacing w:line="400" w:lineRule="exact"/>
              <w:jc w:val="center"/>
              <w:rPr>
                <w:rFonts w:ascii="宋体" w:hAnsi="宋体" w:cs="宋体"/>
                <w:color w:val="auto"/>
                <w:szCs w:val="21"/>
                <w:highlight w:val="none"/>
              </w:rPr>
            </w:pPr>
          </w:p>
        </w:tc>
        <w:tc>
          <w:tcPr>
            <w:tcW w:w="1095" w:type="dxa"/>
            <w:vAlign w:val="center"/>
          </w:tcPr>
          <w:p>
            <w:pPr>
              <w:snapToGrid w:val="0"/>
              <w:spacing w:line="400" w:lineRule="exact"/>
              <w:jc w:val="center"/>
              <w:rPr>
                <w:rFonts w:ascii="宋体" w:hAnsi="宋体" w:cs="宋体"/>
                <w:color w:val="auto"/>
                <w:szCs w:val="21"/>
                <w:highlight w:val="none"/>
              </w:rPr>
            </w:pPr>
          </w:p>
        </w:tc>
        <w:tc>
          <w:tcPr>
            <w:tcW w:w="1145" w:type="dxa"/>
            <w:vAlign w:val="center"/>
          </w:tcPr>
          <w:p>
            <w:pPr>
              <w:snapToGrid w:val="0"/>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人民币合计金额（大写）                          （小写）                 </w:t>
            </w:r>
          </w:p>
        </w:tc>
      </w:tr>
    </w:tbl>
    <w:p>
      <w:pPr>
        <w:snapToGrid w:val="0"/>
        <w:spacing w:line="40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2.合同合计金额包括竞标货物（包括备品备件、专用工具等）的价格，竞标货物运输（含保险）、安装（如有）、调试、检验、技术服务、培训和竞争性谈判文件要求提供的所有伴随服务、工程等费用和税费。</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质量要求</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2.乙方所提供的货物必须是全新、未使用的原装产品，且在正常安装、使用和保养条件下，其使用寿命期内各项指标均达到竞争性谈判文件规定或响应文件承诺的质量要求。</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2.乙方应按竞争性谈判文件规定或响应文件承诺的时间向甲方提供使用货物的有关技术资料。</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包装和运输</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1.乙方提供的货物均应按竞争性谈判文件规定或响应文件承诺的要求的包装材料、包装标准、包装方式进行包装，每一包装单元内应附详细的装箱单和质量合格证。</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2.货物的运输方式：。</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3.乙方负责货物运输，货物运输合理损耗及计算方法：。</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交付和验收</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1.交付时间：；交付地点：。</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2.乙方提供不符合竞争性谈判文件规定或响应文件承诺的和本合同规定的货物，甲方有权拒绝接受。</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4.甲方应当在到货（安装、调试完）后七个工作日内进行验收，逾期不验收的，乙方可视同验收合格。验收合格后由甲乙双方签署货物验收单并加盖甲方公章，甲乙双方各执一份。</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6.甲方对验收有异议的，在验收后五个工作日内以书面形式向乙方提出，乙方应自收到甲方书面异议后日内及时予以解决。</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安装和培训</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2.乙方响应文件承诺负责甲方有关人员的培训。培训时间、地点：。</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售后服务、质保期</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1.乙方应按照国家有关法律法规和“三包”规定以及本合同所附的《服务承诺》，为甲方提供售后服务。</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2.货物质保期：。</w:t>
      </w:r>
    </w:p>
    <w:p>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3.乙方提供的服务承诺和售后服务及保修期责任等其它具体约定事项。（见合同附件）</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第八条　付款方式</w:t>
      </w:r>
    </w:p>
    <w:p>
      <w:pPr>
        <w:pStyle w:val="12"/>
        <w:snapToGrid w:val="0"/>
        <w:spacing w:line="400" w:lineRule="exact"/>
        <w:ind w:firstLine="420" w:firstLineChars="200"/>
        <w:rPr>
          <w:rFonts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.当采购数量与实际使用数量不一致时，乙方应根据实际使用量供货，合同的最终结算金额按实际使用量乘以成交单价进行计算，但不得超出合同价的10%。</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2.付款方式：硬件安装调试验收合格完毕后在15个工作日内支付50%合同款，硬件安装正常运行3个月后，甲方向乙方支付合同金额的45%，剩余5%在质保期满30个工作日内支付。</w:t>
      </w:r>
    </w:p>
    <w:p>
      <w:pPr>
        <w:snapToGrid w:val="0"/>
        <w:spacing w:line="400" w:lineRule="exact"/>
        <w:ind w:left="-61" w:leftChars="-29" w:firstLine="517" w:firstLineChars="245"/>
        <w:rPr>
          <w:rFonts w:ascii="宋体" w:hAnsi="宋体" w:cs="宋体"/>
          <w:b/>
          <w:color w:val="auto"/>
          <w:szCs w:val="21"/>
          <w:highlight w:val="none"/>
        </w:rPr>
      </w:pPr>
      <w:r>
        <w:rPr>
          <w:rFonts w:hint="eastAsia" w:ascii="宋体" w:hAnsi="宋体" w:cs="宋体"/>
          <w:b/>
          <w:color w:val="auto"/>
          <w:szCs w:val="21"/>
          <w:highlight w:val="none"/>
        </w:rPr>
        <w:t>第九条　履约保证金</w:t>
      </w:r>
    </w:p>
    <w:p>
      <w:pPr>
        <w:autoSpaceDE w:val="0"/>
        <w:autoSpaceDN w:val="0"/>
        <w:snapToGrid w:val="0"/>
        <w:spacing w:line="400" w:lineRule="exact"/>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履约保证金金额：无。</w:t>
      </w:r>
    </w:p>
    <w:p>
      <w:pPr>
        <w:snapToGrid w:val="0"/>
        <w:spacing w:line="400" w:lineRule="exact"/>
        <w:ind w:left="-61" w:firstLine="514"/>
        <w:rPr>
          <w:rFonts w:ascii="宋体" w:hAnsi="宋体" w:cs="宋体"/>
          <w:b/>
          <w:color w:val="auto"/>
          <w:szCs w:val="21"/>
          <w:highlight w:val="none"/>
        </w:rPr>
      </w:pPr>
      <w:r>
        <w:rPr>
          <w:rFonts w:hint="eastAsia" w:ascii="宋体" w:hAnsi="宋体" w:cs="宋体"/>
          <w:b/>
          <w:color w:val="auto"/>
          <w:szCs w:val="21"/>
          <w:highlight w:val="none"/>
        </w:rPr>
        <w:t>第十条  税费</w:t>
      </w:r>
    </w:p>
    <w:p>
      <w:pPr>
        <w:snapToGrid w:val="0"/>
        <w:spacing w:line="40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napToGrid w:val="0"/>
        <w:spacing w:line="40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第十一条  质量保证及售后服务</w:t>
      </w:r>
    </w:p>
    <w:p>
      <w:pPr>
        <w:pStyle w:val="12"/>
        <w:snapToGrid w:val="0"/>
        <w:spacing w:line="400" w:lineRule="exact"/>
        <w:ind w:firstLine="420" w:firstLineChars="200"/>
        <w:rPr>
          <w:rFonts w:hAnsi="宋体" w:cs="宋体"/>
          <w:color w:val="auto"/>
          <w:sz w:val="21"/>
          <w:highlight w:val="none"/>
        </w:rPr>
      </w:pPr>
      <w:r>
        <w:rPr>
          <w:rFonts w:hint="eastAsia" w:hAnsi="宋体" w:cs="宋体"/>
          <w:bCs/>
          <w:color w:val="auto"/>
          <w:sz w:val="21"/>
          <w:highlight w:val="none"/>
        </w:rPr>
        <w:t>1.</w:t>
      </w:r>
      <w:r>
        <w:rPr>
          <w:rFonts w:hint="eastAsia" w:hAnsi="宋体" w:cs="宋体"/>
          <w:color w:val="auto"/>
          <w:sz w:val="21"/>
          <w:highlight w:val="none"/>
        </w:rPr>
        <w:t>乙方应按竞争性谈判文件规定的产品名称、商标品牌、生产厂家、规格型号、技术参数、质量标准向甲方提供未经使用的全新产品。不符合要求的，根据实际情况，经双方协商，可按以下办法处理：</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⑴更换：由乙方承担所发生的全部费用。</w:t>
      </w:r>
    </w:p>
    <w:p>
      <w:pPr>
        <w:pStyle w:val="12"/>
        <w:snapToGrid w:val="0"/>
        <w:spacing w:line="400" w:lineRule="exact"/>
        <w:ind w:firstLine="420"/>
        <w:rPr>
          <w:rFonts w:hAnsi="宋体" w:cs="宋体"/>
          <w:color w:val="auto"/>
          <w:sz w:val="21"/>
          <w:highlight w:val="none"/>
        </w:rPr>
      </w:pPr>
      <w:r>
        <w:rPr>
          <w:rFonts w:hint="eastAsia" w:hAnsi="宋体" w:cs="宋体"/>
          <w:color w:val="auto"/>
          <w:sz w:val="21"/>
          <w:highlight w:val="none"/>
        </w:rPr>
        <w:t>⑵贬值处理：由甲乙双方合议定价。</w:t>
      </w:r>
    </w:p>
    <w:p>
      <w:pPr>
        <w:pStyle w:val="12"/>
        <w:snapToGrid w:val="0"/>
        <w:spacing w:line="400" w:lineRule="exact"/>
        <w:ind w:firstLine="420"/>
        <w:rPr>
          <w:rFonts w:hAnsi="宋体" w:cs="宋体"/>
          <w:color w:val="auto"/>
          <w:sz w:val="21"/>
          <w:highlight w:val="none"/>
        </w:rPr>
      </w:pPr>
      <w:r>
        <w:rPr>
          <w:rFonts w:hint="eastAsia" w:hAnsi="宋体" w:cs="宋体"/>
          <w:color w:val="auto"/>
          <w:sz w:val="21"/>
          <w:highlight w:val="none"/>
        </w:rPr>
        <w:t>⑶退货处理：乙方应退还甲方支付的合同款，同时应承担该货物的直接费用（运输、保险、检验、货款利息及银行手续费等）。</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2.如在使用过程中发生质量问题，乙方在接到甲方通知后到达甲方现场处理的时间（</w:t>
      </w:r>
      <w:r>
        <w:rPr>
          <w:rFonts w:hint="eastAsia" w:hAnsi="宋体" w:cs="宋体"/>
          <w:color w:val="auto"/>
          <w:sz w:val="21"/>
          <w:highlight w:val="none"/>
          <w:u w:val="single"/>
        </w:rPr>
        <w:t>按响应文件承诺的数据填写</w:t>
      </w:r>
      <w:r>
        <w:rPr>
          <w:rFonts w:hint="eastAsia" w:hAnsi="宋体" w:cs="宋体"/>
          <w:color w:val="auto"/>
          <w:sz w:val="21"/>
          <w:highlight w:val="none"/>
        </w:rPr>
        <w:t>）小时内。</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3.在质保期内，乙方应对货物出现的质量及安全问题负责处理解决并承担一切费用。</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4.上述的货物质保期为年，因人为因素出现的故障不在免费保修范围内。超过保修期的机器设备，终生维修，维修时只收部件成本费。</w:t>
      </w:r>
    </w:p>
    <w:p>
      <w:pPr>
        <w:snapToGrid w:val="0"/>
        <w:spacing w:line="400" w:lineRule="exact"/>
        <w:ind w:left="-61" w:firstLine="514"/>
        <w:rPr>
          <w:rFonts w:ascii="宋体" w:hAnsi="宋体" w:cs="宋体"/>
          <w:color w:val="auto"/>
          <w:szCs w:val="21"/>
          <w:highlight w:val="none"/>
        </w:rPr>
      </w:pPr>
      <w:r>
        <w:rPr>
          <w:rFonts w:hint="eastAsia" w:ascii="宋体" w:hAnsi="宋体" w:cs="宋体"/>
          <w:b/>
          <w:color w:val="auto"/>
          <w:szCs w:val="21"/>
          <w:highlight w:val="none"/>
        </w:rPr>
        <w:t>第十二条  调试和验收（本条款适用于甲方自行验收，委托第三方验收的另行规定）</w:t>
      </w:r>
    </w:p>
    <w:p>
      <w:pPr>
        <w:pStyle w:val="12"/>
        <w:snapToGrid w:val="0"/>
        <w:spacing w:line="400" w:lineRule="exact"/>
        <w:ind w:firstLine="420" w:firstLineChars="200"/>
        <w:jc w:val="left"/>
        <w:rPr>
          <w:rFonts w:hAnsi="宋体" w:cs="宋体"/>
          <w:color w:val="auto"/>
          <w:sz w:val="21"/>
          <w:highlight w:val="none"/>
        </w:rPr>
      </w:pPr>
      <w:r>
        <w:rPr>
          <w:rFonts w:hint="eastAsia" w:hAnsi="宋体" w:cs="宋体"/>
          <w:color w:val="auto"/>
          <w:sz w:val="21"/>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2.乙方交货前应对产品作出全面检查和对验收文件进行整理，并列出清单，作为甲方收货验收和使用的技术条件依据，检验的结果应随货物交甲方。</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4.对技术复杂的货物，甲方应请国家认可的专业检测机构参与初步验收及最终验收，并由其出具质量检测报告。</w:t>
      </w:r>
    </w:p>
    <w:p>
      <w:pPr>
        <w:snapToGrid w:val="0"/>
        <w:spacing w:line="400" w:lineRule="exact"/>
        <w:ind w:left="-61" w:firstLine="514"/>
        <w:rPr>
          <w:rFonts w:ascii="宋体" w:hAnsi="宋体" w:cs="宋体"/>
          <w:color w:val="auto"/>
          <w:szCs w:val="21"/>
          <w:highlight w:val="none"/>
        </w:rPr>
      </w:pPr>
      <w:r>
        <w:rPr>
          <w:rFonts w:hint="eastAsia" w:ascii="宋体" w:hAnsi="宋体" w:cs="宋体"/>
          <w:color w:val="auto"/>
          <w:szCs w:val="21"/>
          <w:highlight w:val="none"/>
        </w:rPr>
        <w:t>5.验收时乙方必须在现场，验收完毕后作出验收结果报告；验收费用按竞争性谈判文件约定承担方负责。</w:t>
      </w:r>
    </w:p>
    <w:p>
      <w:pPr>
        <w:pStyle w:val="12"/>
        <w:snapToGrid w:val="0"/>
        <w:spacing w:line="400" w:lineRule="exact"/>
        <w:ind w:firstLine="413" w:firstLineChars="196"/>
        <w:rPr>
          <w:rFonts w:hAnsi="宋体" w:cs="宋体"/>
          <w:b/>
          <w:color w:val="auto"/>
          <w:sz w:val="21"/>
          <w:highlight w:val="none"/>
        </w:rPr>
      </w:pPr>
      <w:r>
        <w:rPr>
          <w:rFonts w:hint="eastAsia" w:hAnsi="宋体" w:cs="宋体"/>
          <w:b/>
          <w:color w:val="auto"/>
          <w:sz w:val="21"/>
          <w:highlight w:val="none"/>
        </w:rPr>
        <w:t>第十三条  货物包装、发运及运输</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1.乙方应在货物发运前对其进行满足运输距离、防潮、防震、防锈和防破损装卸等要求包装，以保证货物安全运达甲方指定地点。</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2.使用说明书（货物属于进口产品的，供货时应同时附上中文使用说明书）、质量检验证明书、随配附件和工具以及清单一并附于货物内。</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3.乙方在货物发运手续办理完毕后二十四小时内或货到甲方四十八小时前通知甲方，以准备接货。</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4.货物在交付甲方前发生的风险均由乙方负责。</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5.货物在规定的交付期限内由乙方送达甲方指定的地点视为交付，乙方同时需通知甲方货物已送达。</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违约责任</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2.乙方提供的货物如侵犯了第三方合法权益而引发的任何纠纷或诉讼，均由乙方负责交涉并承担全部责任。</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3.因包装、运输引起的货物损坏，按质量不合格处罚。</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5.乙方未按本合同和响应文件中规定的服务承诺提供售后服务的，乙方应按本合同合计金额 5%向甲方支付违约金。</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6.乙方提供的货物在质量保证期内，因设计、工艺或材料的缺陷和其它质量原因造成的问题，由乙方负责，费用从余款或履约保证金中扣除，不足另补。</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7.甲乙双方有其它违约行为的，由违约方向对方支付违约内容涉及货款额的5%，违约内容涉及货款额的5%不足以赔偿经济损失的按实际赔偿。</w:t>
      </w:r>
    </w:p>
    <w:p>
      <w:pPr>
        <w:pStyle w:val="12"/>
        <w:snapToGrid w:val="0"/>
        <w:spacing w:line="400" w:lineRule="exact"/>
        <w:ind w:firstLine="413" w:firstLineChars="196"/>
        <w:rPr>
          <w:rFonts w:hAnsi="宋体" w:cs="宋体"/>
          <w:b/>
          <w:color w:val="auto"/>
          <w:sz w:val="21"/>
          <w:highlight w:val="none"/>
        </w:rPr>
      </w:pPr>
      <w:r>
        <w:rPr>
          <w:rFonts w:hint="eastAsia" w:hAnsi="宋体" w:cs="宋体"/>
          <w:b/>
          <w:color w:val="auto"/>
          <w:sz w:val="21"/>
          <w:highlight w:val="none"/>
        </w:rPr>
        <w:t>第十五条  不可抗力事件处理</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pPr>
        <w:pStyle w:val="12"/>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合同争议解决</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2.因履行本合同引起的或与本合同有关的争议，甲乙双方应首先通过友好协商解决，如果协商不能解决，可向仲裁委员会申请仲裁或向人民法院提起诉讼。</w:t>
      </w:r>
    </w:p>
    <w:p>
      <w:pPr>
        <w:snapToGrid w:val="0"/>
        <w:spacing w:line="400" w:lineRule="exact"/>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pStyle w:val="12"/>
        <w:snapToGrid w:val="0"/>
        <w:spacing w:line="400" w:lineRule="exact"/>
        <w:ind w:firstLine="413" w:firstLineChars="196"/>
        <w:rPr>
          <w:rFonts w:hAnsi="宋体" w:cs="宋体"/>
          <w:b/>
          <w:color w:val="auto"/>
          <w:sz w:val="21"/>
          <w:highlight w:val="none"/>
        </w:rPr>
      </w:pPr>
      <w:r>
        <w:rPr>
          <w:rFonts w:hint="eastAsia" w:hAnsi="宋体" w:cs="宋体"/>
          <w:b/>
          <w:color w:val="auto"/>
          <w:sz w:val="21"/>
          <w:highlight w:val="none"/>
        </w:rPr>
        <w:t>第十七条  诉讼</w:t>
      </w:r>
    </w:p>
    <w:p>
      <w:pPr>
        <w:snapToGrid w:val="0"/>
        <w:spacing w:line="400" w:lineRule="exact"/>
        <w:ind w:left="-61" w:firstLine="514"/>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双方在执行合同中所发生的一切争议，应通过协商解决。如协商不能解决，可向甲方所在地仲裁委员会申请仲裁或人民法院提起诉讼。</w:t>
      </w:r>
    </w:p>
    <w:p>
      <w:pPr>
        <w:pStyle w:val="12"/>
        <w:snapToGrid w:val="0"/>
        <w:spacing w:line="400" w:lineRule="exact"/>
        <w:ind w:firstLine="413" w:firstLineChars="196"/>
        <w:rPr>
          <w:rFonts w:hAnsi="宋体" w:cs="宋体"/>
          <w:b/>
          <w:color w:val="auto"/>
          <w:sz w:val="21"/>
          <w:highlight w:val="none"/>
        </w:rPr>
      </w:pPr>
      <w:r>
        <w:rPr>
          <w:rFonts w:hint="eastAsia" w:hAnsi="宋体" w:cs="宋体"/>
          <w:b/>
          <w:color w:val="auto"/>
          <w:sz w:val="21"/>
          <w:highlight w:val="none"/>
        </w:rPr>
        <w:t>第十八条  合同生效及其它</w:t>
      </w:r>
    </w:p>
    <w:p>
      <w:pPr>
        <w:pStyle w:val="12"/>
        <w:snapToGrid w:val="0"/>
        <w:spacing w:line="400" w:lineRule="exact"/>
        <w:ind w:firstLine="422" w:firstLineChars="200"/>
        <w:rPr>
          <w:rFonts w:hAnsi="宋体" w:cs="宋体"/>
          <w:b/>
          <w:color w:val="auto"/>
          <w:sz w:val="21"/>
          <w:highlight w:val="none"/>
        </w:rPr>
      </w:pPr>
      <w:r>
        <w:rPr>
          <w:rFonts w:hint="eastAsia" w:hAnsi="宋体" w:cs="宋体"/>
          <w:b/>
          <w:color w:val="auto"/>
          <w:sz w:val="21"/>
          <w:highlight w:val="none"/>
        </w:rPr>
        <w:t>1. 合同经双方法定代表人（负责人或自然人）或委托代理人签字并加盖单位公章后生效（委托代理人签字的需后附法定代表人授权委托书，格式自拟）。</w:t>
      </w:r>
    </w:p>
    <w:p>
      <w:pPr>
        <w:pStyle w:val="12"/>
        <w:snapToGrid w:val="0"/>
        <w:spacing w:line="400" w:lineRule="exact"/>
        <w:ind w:firstLine="422" w:firstLineChars="200"/>
        <w:rPr>
          <w:rFonts w:hAnsi="宋体" w:cs="宋体"/>
          <w:b/>
          <w:color w:val="auto"/>
          <w:sz w:val="21"/>
          <w:highlight w:val="none"/>
        </w:rPr>
      </w:pPr>
      <w:r>
        <w:rPr>
          <w:rFonts w:hint="eastAsia" w:hAnsi="宋体" w:cs="宋体"/>
          <w:b/>
          <w:color w:val="auto"/>
          <w:sz w:val="21"/>
          <w:highlight w:val="none"/>
        </w:rPr>
        <w:t>2.合同执行中涉及采购资金和采购内容修改或补充的，须经财政部门审批，并签书面补充协议报财政部门备案，方可作为主合同不可分割的一部分。</w:t>
      </w:r>
    </w:p>
    <w:p>
      <w:pPr>
        <w:pStyle w:val="12"/>
        <w:snapToGrid w:val="0"/>
        <w:spacing w:line="400" w:lineRule="exact"/>
        <w:ind w:left="420" w:leftChars="200"/>
        <w:rPr>
          <w:rFonts w:hAnsi="宋体" w:cs="宋体"/>
          <w:b/>
          <w:color w:val="auto"/>
          <w:sz w:val="21"/>
          <w:highlight w:val="none"/>
        </w:rPr>
      </w:pPr>
      <w:r>
        <w:rPr>
          <w:rFonts w:hint="eastAsia" w:hAnsi="宋体" w:cs="宋体"/>
          <w:b/>
          <w:color w:val="auto"/>
          <w:sz w:val="21"/>
          <w:highlight w:val="none"/>
        </w:rPr>
        <w:t>3.本合同未尽事宜，遵照《合同法》有关条文执行。</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合同的变更、终止与转让</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pPr>
        <w:snapToGrid w:val="0"/>
        <w:spacing w:line="40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第二十条　</w:t>
      </w:r>
      <w:r>
        <w:rPr>
          <w:rFonts w:hint="eastAsia" w:ascii="宋体" w:hAnsi="宋体" w:cs="宋体"/>
          <w:b/>
          <w:bCs/>
          <w:color w:val="auto"/>
          <w:kern w:val="0"/>
          <w:szCs w:val="21"/>
          <w:highlight w:val="none"/>
        </w:rPr>
        <w:t>本合同书与下列文件一起构成合同文件</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1.成交通知书；</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2.竞标声明书；</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3.商务条款偏离表和技术需求偏离表；</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4.采购需求；</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5.竞标报价表；</w:t>
      </w:r>
    </w:p>
    <w:p>
      <w:pPr>
        <w:pStyle w:val="12"/>
        <w:snapToGrid w:val="0"/>
        <w:spacing w:line="400" w:lineRule="exact"/>
        <w:ind w:left="420" w:leftChars="200"/>
        <w:rPr>
          <w:rFonts w:hAnsi="宋体" w:cs="宋体"/>
          <w:color w:val="auto"/>
          <w:sz w:val="21"/>
          <w:highlight w:val="none"/>
        </w:rPr>
      </w:pPr>
      <w:r>
        <w:rPr>
          <w:rFonts w:hint="eastAsia" w:hAnsi="宋体" w:cs="宋体"/>
          <w:color w:val="auto"/>
          <w:sz w:val="21"/>
          <w:highlight w:val="none"/>
        </w:rPr>
        <w:t>6.其他合同文件。</w:t>
      </w:r>
    </w:p>
    <w:p>
      <w:pPr>
        <w:pStyle w:val="12"/>
        <w:snapToGrid w:val="0"/>
        <w:spacing w:line="400" w:lineRule="exact"/>
        <w:ind w:firstLine="420" w:firstLineChars="200"/>
        <w:rPr>
          <w:rFonts w:hAnsi="宋体" w:cs="宋体"/>
          <w:b/>
          <w:color w:val="auto"/>
          <w:sz w:val="21"/>
          <w:highlight w:val="none"/>
        </w:rPr>
      </w:pPr>
      <w:r>
        <w:rPr>
          <w:rFonts w:hint="eastAsia" w:hAnsi="宋体" w:cs="宋体"/>
          <w:color w:val="auto"/>
          <w:sz w:val="21"/>
          <w:highlight w:val="none"/>
        </w:rPr>
        <w:t>7.上述合同文件互相补充和解释。如果合同文件之间存在矛盾或不一致之处，以上述文件的排列顺序在先者为准。</w:t>
      </w:r>
    </w:p>
    <w:p>
      <w:pPr>
        <w:snapToGrid w:val="0"/>
        <w:spacing w:line="40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第二十一条　</w:t>
      </w:r>
      <w:r>
        <w:rPr>
          <w:rFonts w:hint="eastAsia" w:ascii="宋体" w:hAnsi="宋体" w:cs="宋体"/>
          <w:b/>
          <w:bCs/>
          <w:color w:val="auto"/>
          <w:szCs w:val="21"/>
          <w:highlight w:val="none"/>
        </w:rPr>
        <w:t>本合同一式四份，具有同等法律效力，甲方二份，乙方一份，采购代理机构一份（可根据需要另增加）。</w:t>
      </w:r>
    </w:p>
    <w:p>
      <w:pPr>
        <w:snapToGrid w:val="0"/>
        <w:spacing w:line="400" w:lineRule="exact"/>
        <w:ind w:left="-61" w:firstLine="514"/>
        <w:rPr>
          <w:rFonts w:ascii="宋体" w:hAnsi="宋体" w:cs="宋体"/>
          <w:b/>
          <w:bCs/>
          <w:color w:val="auto"/>
          <w:szCs w:val="21"/>
          <w:highlight w:val="none"/>
        </w:rPr>
      </w:pPr>
      <w:r>
        <w:rPr>
          <w:rFonts w:hint="eastAsia" w:ascii="宋体" w:hAnsi="宋体" w:cs="宋体"/>
          <w:b/>
          <w:bCs/>
          <w:color w:val="auto"/>
          <w:szCs w:val="21"/>
          <w:highlight w:val="none"/>
        </w:rPr>
        <w:t>第二十二条  本合同甲乙双方签字盖章后生效。</w:t>
      </w:r>
    </w:p>
    <w:p>
      <w:pPr>
        <w:snapToGrid w:val="0"/>
        <w:spacing w:line="400" w:lineRule="exact"/>
        <w:ind w:left="-61" w:firstLine="514"/>
        <w:rPr>
          <w:rFonts w:ascii="宋体" w:hAnsi="宋体" w:cs="宋体"/>
          <w:b/>
          <w:bCs/>
          <w:color w:val="auto"/>
          <w:szCs w:val="21"/>
          <w:highlight w:val="none"/>
        </w:rPr>
      </w:pPr>
      <w:r>
        <w:rPr>
          <w:rFonts w:hint="eastAsia" w:ascii="宋体" w:hAnsi="宋体" w:cs="宋体"/>
          <w:b/>
          <w:bCs/>
          <w:color w:val="auto"/>
          <w:szCs w:val="21"/>
          <w:highlight w:val="none"/>
        </w:rPr>
        <w:t>第二十三条  自签订之日起七个工作日内，采购人或采购代理机构应当将合同副本报同级财政部门备案。</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400" w:lineRule="exact"/>
              <w:rPr>
                <w:rFonts w:ascii="宋体" w:hAnsi="宋体" w:cs="宋体"/>
                <w:color w:val="auto"/>
                <w:szCs w:val="21"/>
                <w:highlight w:val="none"/>
              </w:rPr>
            </w:pPr>
          </w:p>
          <w:p>
            <w:pPr>
              <w:snapToGrid w:val="0"/>
              <w:spacing w:line="40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400" w:lineRule="exact"/>
              <w:rPr>
                <w:rFonts w:ascii="宋体" w:hAnsi="宋体" w:cs="宋体"/>
                <w:color w:val="auto"/>
                <w:szCs w:val="21"/>
                <w:highlight w:val="none"/>
              </w:rPr>
            </w:pPr>
          </w:p>
          <w:p>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法定代表人（负责人或自然人）或委托代理人：</w:t>
            </w:r>
          </w:p>
          <w:p>
            <w:pPr>
              <w:snapToGrid w:val="0"/>
              <w:spacing w:line="400" w:lineRule="exact"/>
              <w:rPr>
                <w:rFonts w:ascii="宋体" w:hAnsi="宋体" w:cs="宋体"/>
                <w:color w:val="auto"/>
                <w:szCs w:val="21"/>
                <w:highlight w:val="none"/>
              </w:rPr>
            </w:pPr>
          </w:p>
        </w:tc>
        <w:tc>
          <w:tcPr>
            <w:tcW w:w="5156" w:type="dxa"/>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法定代表人（负责人或自然人）或委托代理人：</w:t>
            </w:r>
          </w:p>
          <w:p>
            <w:pPr>
              <w:snapToGrid w:val="0"/>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0" w:type="auto"/>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5156"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9782" w:type="dxa"/>
            <w:gridSpan w:val="2"/>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经办人：</w:t>
            </w:r>
          </w:p>
          <w:p>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合 同 附 件</w:t>
      </w:r>
    </w:p>
    <w:tbl>
      <w:tblPr>
        <w:tblStyle w:val="21"/>
        <w:tblW w:w="0" w:type="auto"/>
        <w:jc w:val="center"/>
        <w:tblLayout w:type="fixed"/>
        <w:tblCellMar>
          <w:top w:w="0" w:type="dxa"/>
          <w:left w:w="108" w:type="dxa"/>
          <w:bottom w:w="0" w:type="dxa"/>
          <w:right w:w="108" w:type="dxa"/>
        </w:tblCellMar>
      </w:tblPr>
      <w:tblGrid>
        <w:gridCol w:w="4263"/>
        <w:gridCol w:w="4703"/>
      </w:tblGrid>
      <w:tr>
        <w:tblPrEx>
          <w:tblCellMar>
            <w:top w:w="0" w:type="dxa"/>
            <w:left w:w="108" w:type="dxa"/>
            <w:bottom w:w="0" w:type="dxa"/>
            <w:right w:w="108" w:type="dxa"/>
          </w:tblCellMar>
        </w:tblPrEx>
        <w:trPr>
          <w:trHeight w:val="1226" w:hRule="atLeast"/>
          <w:jc w:val="center"/>
        </w:trPr>
        <w:tc>
          <w:tcPr>
            <w:tcW w:w="896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96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2. 售后服务具体事项：</w:t>
            </w:r>
          </w:p>
        </w:tc>
      </w:tr>
      <w:tr>
        <w:tblPrEx>
          <w:tblCellMar>
            <w:top w:w="0" w:type="dxa"/>
            <w:left w:w="108" w:type="dxa"/>
            <w:bottom w:w="0" w:type="dxa"/>
            <w:right w:w="108" w:type="dxa"/>
          </w:tblCellMar>
        </w:tblPrEx>
        <w:trPr>
          <w:trHeight w:val="1088" w:hRule="atLeast"/>
          <w:jc w:val="center"/>
        </w:trPr>
        <w:tc>
          <w:tcPr>
            <w:tcW w:w="896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3. 保修期责任：</w:t>
            </w:r>
          </w:p>
        </w:tc>
      </w:tr>
      <w:tr>
        <w:tblPrEx>
          <w:tblCellMar>
            <w:top w:w="0" w:type="dxa"/>
            <w:left w:w="108" w:type="dxa"/>
            <w:bottom w:w="0" w:type="dxa"/>
            <w:right w:w="108" w:type="dxa"/>
          </w:tblCellMar>
        </w:tblPrEx>
        <w:trPr>
          <w:trHeight w:val="1360" w:hRule="atLeast"/>
          <w:jc w:val="center"/>
        </w:trPr>
        <w:tc>
          <w:tcPr>
            <w:tcW w:w="896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甲方（章）</w:t>
            </w:r>
          </w:p>
          <w:p>
            <w:pPr>
              <w:snapToGrid w:val="0"/>
              <w:spacing w:line="400" w:lineRule="exact"/>
              <w:ind w:firstLine="422" w:firstLineChars="200"/>
              <w:rPr>
                <w:rFonts w:ascii="宋体" w:hAnsi="宋体" w:cs="宋体"/>
                <w:b/>
                <w:color w:val="auto"/>
                <w:szCs w:val="21"/>
                <w:highlight w:val="none"/>
              </w:rPr>
            </w:pPr>
          </w:p>
          <w:p>
            <w:pPr>
              <w:snapToGrid w:val="0"/>
              <w:spacing w:line="400" w:lineRule="exact"/>
              <w:rPr>
                <w:rFonts w:ascii="宋体" w:hAnsi="宋体" w:cs="宋体"/>
                <w:b/>
                <w:color w:val="auto"/>
                <w:szCs w:val="21"/>
                <w:highlight w:val="none"/>
              </w:rPr>
            </w:pP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47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乙方（章）</w:t>
            </w:r>
          </w:p>
          <w:p>
            <w:pPr>
              <w:snapToGrid w:val="0"/>
              <w:spacing w:line="400" w:lineRule="exact"/>
              <w:ind w:firstLine="422" w:firstLineChars="200"/>
              <w:rPr>
                <w:rFonts w:ascii="宋体" w:hAnsi="宋体" w:cs="宋体"/>
                <w:b/>
                <w:color w:val="auto"/>
                <w:szCs w:val="21"/>
                <w:highlight w:val="none"/>
              </w:rPr>
            </w:pPr>
          </w:p>
          <w:p>
            <w:pPr>
              <w:snapToGrid w:val="0"/>
              <w:spacing w:line="400" w:lineRule="exact"/>
              <w:rPr>
                <w:rFonts w:ascii="宋体" w:hAnsi="宋体" w:cs="宋体"/>
                <w:b/>
                <w:color w:val="auto"/>
                <w:szCs w:val="21"/>
                <w:highlight w:val="none"/>
              </w:rPr>
            </w:pPr>
          </w:p>
          <w:p>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w:t>
            </w:r>
          </w:p>
        </w:tc>
      </w:tr>
    </w:tbl>
    <w:p>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 注：售后服务事项填不下时可另加附页</w:t>
      </w:r>
    </w:p>
    <w:p>
      <w:pPr>
        <w:snapToGrid w:val="0"/>
        <w:jc w:val="left"/>
        <w:rPr>
          <w:rFonts w:ascii="宋体" w:hAnsi="宋体" w:cs="宋体"/>
          <w:color w:val="auto"/>
          <w:szCs w:val="21"/>
          <w:highlight w:val="none"/>
        </w:rPr>
      </w:pPr>
    </w:p>
    <w:p>
      <w:pPr>
        <w:snapToGrid w:val="0"/>
        <w:rPr>
          <w:rFonts w:ascii="宋体" w:hAnsi="宋体" w:cs="宋体"/>
          <w:b/>
          <w:color w:val="auto"/>
          <w:sz w:val="32"/>
          <w:szCs w:val="32"/>
          <w:highlight w:val="none"/>
        </w:rPr>
      </w:pPr>
    </w:p>
    <w:p>
      <w:pPr>
        <w:rPr>
          <w:rFonts w:ascii="宋体" w:hAnsi="宋体" w:cs="宋体"/>
          <w:color w:val="auto"/>
          <w:szCs w:val="21"/>
          <w:highlight w:val="none"/>
        </w:rPr>
      </w:pPr>
    </w:p>
    <w:sectPr>
      <w:footerReference r:id="rId5" w:type="first"/>
      <w:footerReference r:id="rId4" w:type="default"/>
      <w:pgSz w:w="11906" w:h="16838"/>
      <w:pgMar w:top="1134"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7169" o:spid="_x0000_s716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5"/>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7170" o:spid="_x0000_s717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cs="宋体"/>
        <w:sz w:val="21"/>
        <w:szCs w:val="21"/>
      </w:rPr>
    </w:pPr>
    <w:r>
      <w:rPr>
        <w:rFonts w:hint="eastAsia" w:ascii="宋体" w:hAnsi="宋体" w:cs="宋体"/>
        <w:sz w:val="21"/>
        <w:szCs w:val="21"/>
      </w:rPr>
      <w:t xml:space="preserve">项目名称：平南县医疗收费电子票据信息管理系统建设项目 项目编号：GGGZC2020-C3-62428-GXYL  </w:t>
    </w:r>
  </w:p>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A98E4"/>
    <w:multiLevelType w:val="singleLevel"/>
    <w:tmpl w:val="BECA98E4"/>
    <w:lvl w:ilvl="0" w:tentative="0">
      <w:start w:val="5"/>
      <w:numFmt w:val="chineseCounting"/>
      <w:suff w:val="nothing"/>
      <w:lvlText w:val="%1、"/>
      <w:lvlJc w:val="left"/>
      <w:rPr>
        <w:rFonts w:hint="eastAsia"/>
      </w:r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05D43864"/>
    <w:multiLevelType w:val="multilevel"/>
    <w:tmpl w:val="05D4386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9885992"/>
    <w:multiLevelType w:val="multilevel"/>
    <w:tmpl w:val="0988599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E620792"/>
    <w:multiLevelType w:val="multilevel"/>
    <w:tmpl w:val="0E62079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7D20059"/>
    <w:multiLevelType w:val="multilevel"/>
    <w:tmpl w:val="17D2005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A860D0"/>
    <w:multiLevelType w:val="multilevel"/>
    <w:tmpl w:val="1AA860D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B25BC0"/>
    <w:multiLevelType w:val="multilevel"/>
    <w:tmpl w:val="1DB25BC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DBE0598"/>
    <w:multiLevelType w:val="multilevel"/>
    <w:tmpl w:val="2DBE059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9926F99"/>
    <w:multiLevelType w:val="multilevel"/>
    <w:tmpl w:val="59926F9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F374162"/>
    <w:multiLevelType w:val="multilevel"/>
    <w:tmpl w:val="7F37416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5"/>
  </w:num>
  <w:num w:numId="4">
    <w:abstractNumId w:val="4"/>
  </w:num>
  <w:num w:numId="5">
    <w:abstractNumId w:val="10"/>
  </w:num>
  <w:num w:numId="6">
    <w:abstractNumId w:val="6"/>
  </w:num>
  <w:num w:numId="7">
    <w:abstractNumId w:val="9"/>
  </w:num>
  <w:num w:numId="8">
    <w:abstractNumId w:val="2"/>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4B14"/>
    <w:rsid w:val="00000672"/>
    <w:rsid w:val="00001799"/>
    <w:rsid w:val="00002D29"/>
    <w:rsid w:val="00003B93"/>
    <w:rsid w:val="0000474D"/>
    <w:rsid w:val="00005FDF"/>
    <w:rsid w:val="000070B3"/>
    <w:rsid w:val="000076B8"/>
    <w:rsid w:val="000109DC"/>
    <w:rsid w:val="00010D39"/>
    <w:rsid w:val="0001172C"/>
    <w:rsid w:val="00012854"/>
    <w:rsid w:val="00012EA6"/>
    <w:rsid w:val="00013DFE"/>
    <w:rsid w:val="000141EA"/>
    <w:rsid w:val="000177DB"/>
    <w:rsid w:val="000179C9"/>
    <w:rsid w:val="00017CCC"/>
    <w:rsid w:val="00020227"/>
    <w:rsid w:val="00020455"/>
    <w:rsid w:val="0002264C"/>
    <w:rsid w:val="00022731"/>
    <w:rsid w:val="00022792"/>
    <w:rsid w:val="00024463"/>
    <w:rsid w:val="00025461"/>
    <w:rsid w:val="00025636"/>
    <w:rsid w:val="00025E36"/>
    <w:rsid w:val="00026886"/>
    <w:rsid w:val="000329E0"/>
    <w:rsid w:val="000352E9"/>
    <w:rsid w:val="00035960"/>
    <w:rsid w:val="00036A07"/>
    <w:rsid w:val="0003780B"/>
    <w:rsid w:val="00040571"/>
    <w:rsid w:val="00040973"/>
    <w:rsid w:val="0004156E"/>
    <w:rsid w:val="0004440C"/>
    <w:rsid w:val="00046B5E"/>
    <w:rsid w:val="000470CB"/>
    <w:rsid w:val="000509D9"/>
    <w:rsid w:val="00051ACB"/>
    <w:rsid w:val="000533E7"/>
    <w:rsid w:val="00055D41"/>
    <w:rsid w:val="00057CD6"/>
    <w:rsid w:val="00060DCE"/>
    <w:rsid w:val="000610E3"/>
    <w:rsid w:val="000614F3"/>
    <w:rsid w:val="000623B4"/>
    <w:rsid w:val="000634A7"/>
    <w:rsid w:val="00063B0B"/>
    <w:rsid w:val="00063F81"/>
    <w:rsid w:val="00064847"/>
    <w:rsid w:val="00065E08"/>
    <w:rsid w:val="000673E2"/>
    <w:rsid w:val="00070949"/>
    <w:rsid w:val="000711E4"/>
    <w:rsid w:val="00072AED"/>
    <w:rsid w:val="00073F47"/>
    <w:rsid w:val="0007492F"/>
    <w:rsid w:val="00074ED8"/>
    <w:rsid w:val="00075B7E"/>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608"/>
    <w:rsid w:val="000A13F3"/>
    <w:rsid w:val="000A23B1"/>
    <w:rsid w:val="000A2B0E"/>
    <w:rsid w:val="000A398F"/>
    <w:rsid w:val="000A509C"/>
    <w:rsid w:val="000A6007"/>
    <w:rsid w:val="000A65A6"/>
    <w:rsid w:val="000A7275"/>
    <w:rsid w:val="000A7A12"/>
    <w:rsid w:val="000B1801"/>
    <w:rsid w:val="000B1D0C"/>
    <w:rsid w:val="000B2273"/>
    <w:rsid w:val="000B2D03"/>
    <w:rsid w:val="000B3815"/>
    <w:rsid w:val="000B3C7B"/>
    <w:rsid w:val="000B6A6B"/>
    <w:rsid w:val="000B6C95"/>
    <w:rsid w:val="000B79FC"/>
    <w:rsid w:val="000C1679"/>
    <w:rsid w:val="000C18FC"/>
    <w:rsid w:val="000C3AE7"/>
    <w:rsid w:val="000C3CC9"/>
    <w:rsid w:val="000C6DE4"/>
    <w:rsid w:val="000C784F"/>
    <w:rsid w:val="000D0A89"/>
    <w:rsid w:val="000D1389"/>
    <w:rsid w:val="000D1798"/>
    <w:rsid w:val="000D2626"/>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3FB6"/>
    <w:rsid w:val="000F5011"/>
    <w:rsid w:val="000F5F8B"/>
    <w:rsid w:val="000F64AA"/>
    <w:rsid w:val="000F7AF4"/>
    <w:rsid w:val="000F7C33"/>
    <w:rsid w:val="000F7F0C"/>
    <w:rsid w:val="001004D6"/>
    <w:rsid w:val="00102676"/>
    <w:rsid w:val="00103646"/>
    <w:rsid w:val="00103918"/>
    <w:rsid w:val="00104897"/>
    <w:rsid w:val="00104EDE"/>
    <w:rsid w:val="00105CDA"/>
    <w:rsid w:val="00106BEE"/>
    <w:rsid w:val="00107C74"/>
    <w:rsid w:val="00113678"/>
    <w:rsid w:val="00113C3E"/>
    <w:rsid w:val="00115E11"/>
    <w:rsid w:val="00115F56"/>
    <w:rsid w:val="00117AE7"/>
    <w:rsid w:val="00117CBD"/>
    <w:rsid w:val="0012006A"/>
    <w:rsid w:val="00121979"/>
    <w:rsid w:val="00122064"/>
    <w:rsid w:val="00124341"/>
    <w:rsid w:val="00124B12"/>
    <w:rsid w:val="001263B8"/>
    <w:rsid w:val="00130217"/>
    <w:rsid w:val="00130783"/>
    <w:rsid w:val="00130A47"/>
    <w:rsid w:val="00132B47"/>
    <w:rsid w:val="001337F8"/>
    <w:rsid w:val="001348B4"/>
    <w:rsid w:val="00134AB9"/>
    <w:rsid w:val="001351CB"/>
    <w:rsid w:val="00135947"/>
    <w:rsid w:val="001359A2"/>
    <w:rsid w:val="00136020"/>
    <w:rsid w:val="00136445"/>
    <w:rsid w:val="00140132"/>
    <w:rsid w:val="00141C9C"/>
    <w:rsid w:val="0014277F"/>
    <w:rsid w:val="001434BE"/>
    <w:rsid w:val="0014479F"/>
    <w:rsid w:val="001452B4"/>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82B"/>
    <w:rsid w:val="00173256"/>
    <w:rsid w:val="00173E03"/>
    <w:rsid w:val="0017512C"/>
    <w:rsid w:val="0017586A"/>
    <w:rsid w:val="00175BA6"/>
    <w:rsid w:val="00176CA7"/>
    <w:rsid w:val="001778C5"/>
    <w:rsid w:val="00177E56"/>
    <w:rsid w:val="00177F0A"/>
    <w:rsid w:val="00181EAD"/>
    <w:rsid w:val="00184F57"/>
    <w:rsid w:val="00185544"/>
    <w:rsid w:val="00185617"/>
    <w:rsid w:val="00187A14"/>
    <w:rsid w:val="0019171E"/>
    <w:rsid w:val="001923A0"/>
    <w:rsid w:val="001928B1"/>
    <w:rsid w:val="001931C0"/>
    <w:rsid w:val="00193537"/>
    <w:rsid w:val="00193846"/>
    <w:rsid w:val="00195424"/>
    <w:rsid w:val="001955FF"/>
    <w:rsid w:val="00197EDD"/>
    <w:rsid w:val="001A02B3"/>
    <w:rsid w:val="001A04BB"/>
    <w:rsid w:val="001A08D0"/>
    <w:rsid w:val="001A1673"/>
    <w:rsid w:val="001A1B39"/>
    <w:rsid w:val="001A28C6"/>
    <w:rsid w:val="001A2E69"/>
    <w:rsid w:val="001A3C34"/>
    <w:rsid w:val="001A3EDE"/>
    <w:rsid w:val="001A4222"/>
    <w:rsid w:val="001A50EA"/>
    <w:rsid w:val="001A5E24"/>
    <w:rsid w:val="001A6D8B"/>
    <w:rsid w:val="001A6DA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0A95"/>
    <w:rsid w:val="001C25A7"/>
    <w:rsid w:val="001C318C"/>
    <w:rsid w:val="001C35C4"/>
    <w:rsid w:val="001C4287"/>
    <w:rsid w:val="001C4479"/>
    <w:rsid w:val="001C6081"/>
    <w:rsid w:val="001C7B48"/>
    <w:rsid w:val="001D0CFB"/>
    <w:rsid w:val="001D58A1"/>
    <w:rsid w:val="001D5A8A"/>
    <w:rsid w:val="001D735E"/>
    <w:rsid w:val="001D73C8"/>
    <w:rsid w:val="001D7C3F"/>
    <w:rsid w:val="001E129E"/>
    <w:rsid w:val="001E175C"/>
    <w:rsid w:val="001E1B0E"/>
    <w:rsid w:val="001E5A94"/>
    <w:rsid w:val="001E6F17"/>
    <w:rsid w:val="001F2A2E"/>
    <w:rsid w:val="001F3356"/>
    <w:rsid w:val="001F3C63"/>
    <w:rsid w:val="001F4460"/>
    <w:rsid w:val="001F711A"/>
    <w:rsid w:val="001F75B0"/>
    <w:rsid w:val="00200CE5"/>
    <w:rsid w:val="00200F7C"/>
    <w:rsid w:val="002014DB"/>
    <w:rsid w:val="00201E12"/>
    <w:rsid w:val="002033B5"/>
    <w:rsid w:val="0020382C"/>
    <w:rsid w:val="0020437A"/>
    <w:rsid w:val="0020521F"/>
    <w:rsid w:val="0020532C"/>
    <w:rsid w:val="002114C7"/>
    <w:rsid w:val="0021302C"/>
    <w:rsid w:val="00213B1C"/>
    <w:rsid w:val="00214202"/>
    <w:rsid w:val="002148E3"/>
    <w:rsid w:val="0021552D"/>
    <w:rsid w:val="002156AE"/>
    <w:rsid w:val="0022054D"/>
    <w:rsid w:val="00223DDB"/>
    <w:rsid w:val="00223FA4"/>
    <w:rsid w:val="00224067"/>
    <w:rsid w:val="0022421C"/>
    <w:rsid w:val="00224E83"/>
    <w:rsid w:val="00225664"/>
    <w:rsid w:val="0022642A"/>
    <w:rsid w:val="00227F2D"/>
    <w:rsid w:val="00231851"/>
    <w:rsid w:val="002319FB"/>
    <w:rsid w:val="00231B89"/>
    <w:rsid w:val="00231F11"/>
    <w:rsid w:val="00231F5E"/>
    <w:rsid w:val="002346B4"/>
    <w:rsid w:val="00234F6E"/>
    <w:rsid w:val="002355BE"/>
    <w:rsid w:val="002358EA"/>
    <w:rsid w:val="00236578"/>
    <w:rsid w:val="00236DE9"/>
    <w:rsid w:val="00237D5A"/>
    <w:rsid w:val="002415AE"/>
    <w:rsid w:val="00241D3C"/>
    <w:rsid w:val="00242109"/>
    <w:rsid w:val="00243189"/>
    <w:rsid w:val="002439AB"/>
    <w:rsid w:val="00243C19"/>
    <w:rsid w:val="00244AE8"/>
    <w:rsid w:val="00245587"/>
    <w:rsid w:val="00245F2B"/>
    <w:rsid w:val="00247F3A"/>
    <w:rsid w:val="00250122"/>
    <w:rsid w:val="00250755"/>
    <w:rsid w:val="00250CA6"/>
    <w:rsid w:val="00251C4A"/>
    <w:rsid w:val="002520D3"/>
    <w:rsid w:val="0025271C"/>
    <w:rsid w:val="002533CD"/>
    <w:rsid w:val="00254EAB"/>
    <w:rsid w:val="002557AF"/>
    <w:rsid w:val="0025589C"/>
    <w:rsid w:val="00255B62"/>
    <w:rsid w:val="002566B1"/>
    <w:rsid w:val="002575E3"/>
    <w:rsid w:val="002603C1"/>
    <w:rsid w:val="002609A1"/>
    <w:rsid w:val="002612B1"/>
    <w:rsid w:val="00266165"/>
    <w:rsid w:val="00266F2C"/>
    <w:rsid w:val="0027125E"/>
    <w:rsid w:val="00271767"/>
    <w:rsid w:val="00272293"/>
    <w:rsid w:val="002723C8"/>
    <w:rsid w:val="00273CBE"/>
    <w:rsid w:val="002746B1"/>
    <w:rsid w:val="002835B0"/>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A0C3A"/>
    <w:rsid w:val="002A1130"/>
    <w:rsid w:val="002A1880"/>
    <w:rsid w:val="002A213A"/>
    <w:rsid w:val="002A23B7"/>
    <w:rsid w:val="002A3A57"/>
    <w:rsid w:val="002A4B4F"/>
    <w:rsid w:val="002A6DEF"/>
    <w:rsid w:val="002B013E"/>
    <w:rsid w:val="002B058D"/>
    <w:rsid w:val="002B0C16"/>
    <w:rsid w:val="002B1C2D"/>
    <w:rsid w:val="002B2AC5"/>
    <w:rsid w:val="002B3528"/>
    <w:rsid w:val="002B3539"/>
    <w:rsid w:val="002B5042"/>
    <w:rsid w:val="002B69CC"/>
    <w:rsid w:val="002B6D71"/>
    <w:rsid w:val="002C0C1C"/>
    <w:rsid w:val="002C54C2"/>
    <w:rsid w:val="002C5D34"/>
    <w:rsid w:val="002C60BB"/>
    <w:rsid w:val="002C661A"/>
    <w:rsid w:val="002D0D6F"/>
    <w:rsid w:val="002D25FC"/>
    <w:rsid w:val="002D4AC6"/>
    <w:rsid w:val="002D5BF5"/>
    <w:rsid w:val="002D7648"/>
    <w:rsid w:val="002E109C"/>
    <w:rsid w:val="002E193E"/>
    <w:rsid w:val="002E1D55"/>
    <w:rsid w:val="002E26C4"/>
    <w:rsid w:val="002E30A5"/>
    <w:rsid w:val="002E47E4"/>
    <w:rsid w:val="002E4BF9"/>
    <w:rsid w:val="002E6E6C"/>
    <w:rsid w:val="002F0522"/>
    <w:rsid w:val="002F16DD"/>
    <w:rsid w:val="002F199D"/>
    <w:rsid w:val="002F213C"/>
    <w:rsid w:val="002F352D"/>
    <w:rsid w:val="002F4084"/>
    <w:rsid w:val="002F4A08"/>
    <w:rsid w:val="002F4ADB"/>
    <w:rsid w:val="002F531E"/>
    <w:rsid w:val="002F548D"/>
    <w:rsid w:val="002F5ACC"/>
    <w:rsid w:val="002F704B"/>
    <w:rsid w:val="002F72C3"/>
    <w:rsid w:val="002F768C"/>
    <w:rsid w:val="002F7D1E"/>
    <w:rsid w:val="00300201"/>
    <w:rsid w:val="00302EFC"/>
    <w:rsid w:val="00303243"/>
    <w:rsid w:val="00303BCC"/>
    <w:rsid w:val="00303F2B"/>
    <w:rsid w:val="00303F8D"/>
    <w:rsid w:val="0030572D"/>
    <w:rsid w:val="0030586A"/>
    <w:rsid w:val="0030622D"/>
    <w:rsid w:val="00306811"/>
    <w:rsid w:val="003074C5"/>
    <w:rsid w:val="00307A3C"/>
    <w:rsid w:val="00307FA4"/>
    <w:rsid w:val="00310290"/>
    <w:rsid w:val="00310CC1"/>
    <w:rsid w:val="00312504"/>
    <w:rsid w:val="00313026"/>
    <w:rsid w:val="0031421F"/>
    <w:rsid w:val="00314B31"/>
    <w:rsid w:val="00315A65"/>
    <w:rsid w:val="00317BA7"/>
    <w:rsid w:val="00320BE2"/>
    <w:rsid w:val="00321886"/>
    <w:rsid w:val="00322F13"/>
    <w:rsid w:val="00323694"/>
    <w:rsid w:val="00323BE7"/>
    <w:rsid w:val="00324C3A"/>
    <w:rsid w:val="00324D63"/>
    <w:rsid w:val="003255AF"/>
    <w:rsid w:val="003256EB"/>
    <w:rsid w:val="003259DB"/>
    <w:rsid w:val="003314D9"/>
    <w:rsid w:val="00331653"/>
    <w:rsid w:val="00331A48"/>
    <w:rsid w:val="003330C9"/>
    <w:rsid w:val="0033364C"/>
    <w:rsid w:val="00334415"/>
    <w:rsid w:val="00335EA1"/>
    <w:rsid w:val="0033691E"/>
    <w:rsid w:val="00336A6A"/>
    <w:rsid w:val="00336CCB"/>
    <w:rsid w:val="003377C0"/>
    <w:rsid w:val="003411D1"/>
    <w:rsid w:val="003416BA"/>
    <w:rsid w:val="00342148"/>
    <w:rsid w:val="00342F99"/>
    <w:rsid w:val="00345F57"/>
    <w:rsid w:val="00350E6C"/>
    <w:rsid w:val="003518A6"/>
    <w:rsid w:val="00351E7F"/>
    <w:rsid w:val="00352953"/>
    <w:rsid w:val="00354062"/>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5EE8"/>
    <w:rsid w:val="003667B0"/>
    <w:rsid w:val="003667DD"/>
    <w:rsid w:val="00366B48"/>
    <w:rsid w:val="00367764"/>
    <w:rsid w:val="00370316"/>
    <w:rsid w:val="00370DC7"/>
    <w:rsid w:val="00371CBD"/>
    <w:rsid w:val="00371F20"/>
    <w:rsid w:val="00372B98"/>
    <w:rsid w:val="003737B7"/>
    <w:rsid w:val="003740CC"/>
    <w:rsid w:val="00374E79"/>
    <w:rsid w:val="0037529A"/>
    <w:rsid w:val="00375388"/>
    <w:rsid w:val="00375FB9"/>
    <w:rsid w:val="00376851"/>
    <w:rsid w:val="00376FA2"/>
    <w:rsid w:val="00377A3B"/>
    <w:rsid w:val="00377E3C"/>
    <w:rsid w:val="00380BBE"/>
    <w:rsid w:val="00381D70"/>
    <w:rsid w:val="0038235E"/>
    <w:rsid w:val="003829D0"/>
    <w:rsid w:val="0038444F"/>
    <w:rsid w:val="00387051"/>
    <w:rsid w:val="00387ECF"/>
    <w:rsid w:val="0039021B"/>
    <w:rsid w:val="00390429"/>
    <w:rsid w:val="0039366C"/>
    <w:rsid w:val="00393EC8"/>
    <w:rsid w:val="00395E42"/>
    <w:rsid w:val="00396A2D"/>
    <w:rsid w:val="00396FC3"/>
    <w:rsid w:val="003A1A94"/>
    <w:rsid w:val="003A204E"/>
    <w:rsid w:val="003A2D25"/>
    <w:rsid w:val="003A60E7"/>
    <w:rsid w:val="003A7092"/>
    <w:rsid w:val="003A72A1"/>
    <w:rsid w:val="003A7611"/>
    <w:rsid w:val="003B0B6A"/>
    <w:rsid w:val="003B22F7"/>
    <w:rsid w:val="003B29CF"/>
    <w:rsid w:val="003B3A90"/>
    <w:rsid w:val="003B534F"/>
    <w:rsid w:val="003B7A79"/>
    <w:rsid w:val="003C350C"/>
    <w:rsid w:val="003C3903"/>
    <w:rsid w:val="003C3BA0"/>
    <w:rsid w:val="003C4580"/>
    <w:rsid w:val="003C5C5E"/>
    <w:rsid w:val="003C6746"/>
    <w:rsid w:val="003C7555"/>
    <w:rsid w:val="003C7898"/>
    <w:rsid w:val="003D0FF5"/>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59BB"/>
    <w:rsid w:val="003E6225"/>
    <w:rsid w:val="003E65AC"/>
    <w:rsid w:val="003E66AE"/>
    <w:rsid w:val="003E72B9"/>
    <w:rsid w:val="003E7ED4"/>
    <w:rsid w:val="003F0E52"/>
    <w:rsid w:val="003F0F6B"/>
    <w:rsid w:val="003F1FC6"/>
    <w:rsid w:val="003F1FE3"/>
    <w:rsid w:val="003F2359"/>
    <w:rsid w:val="003F3865"/>
    <w:rsid w:val="003F44E2"/>
    <w:rsid w:val="003F4632"/>
    <w:rsid w:val="003F47BA"/>
    <w:rsid w:val="003F4905"/>
    <w:rsid w:val="003F4FE6"/>
    <w:rsid w:val="003F6617"/>
    <w:rsid w:val="00400D8A"/>
    <w:rsid w:val="00402332"/>
    <w:rsid w:val="004025C2"/>
    <w:rsid w:val="004033A9"/>
    <w:rsid w:val="00403E55"/>
    <w:rsid w:val="0040416C"/>
    <w:rsid w:val="00404681"/>
    <w:rsid w:val="00406923"/>
    <w:rsid w:val="0040763D"/>
    <w:rsid w:val="00410D17"/>
    <w:rsid w:val="00413821"/>
    <w:rsid w:val="004141A3"/>
    <w:rsid w:val="00414909"/>
    <w:rsid w:val="0041582F"/>
    <w:rsid w:val="00415ACD"/>
    <w:rsid w:val="00416112"/>
    <w:rsid w:val="00417AE0"/>
    <w:rsid w:val="00417BAA"/>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4006B"/>
    <w:rsid w:val="0044033F"/>
    <w:rsid w:val="00440630"/>
    <w:rsid w:val="00441F0F"/>
    <w:rsid w:val="00442965"/>
    <w:rsid w:val="00444157"/>
    <w:rsid w:val="0044417C"/>
    <w:rsid w:val="00444DB3"/>
    <w:rsid w:val="00445A2F"/>
    <w:rsid w:val="0044684E"/>
    <w:rsid w:val="0045019F"/>
    <w:rsid w:val="004503A4"/>
    <w:rsid w:val="00450555"/>
    <w:rsid w:val="004506FA"/>
    <w:rsid w:val="00450DC6"/>
    <w:rsid w:val="004516A5"/>
    <w:rsid w:val="00451E9C"/>
    <w:rsid w:val="004535AE"/>
    <w:rsid w:val="0045444D"/>
    <w:rsid w:val="0045463A"/>
    <w:rsid w:val="00454AC9"/>
    <w:rsid w:val="004554A3"/>
    <w:rsid w:val="00455A6E"/>
    <w:rsid w:val="00455EAD"/>
    <w:rsid w:val="00456763"/>
    <w:rsid w:val="004578EB"/>
    <w:rsid w:val="004604D5"/>
    <w:rsid w:val="00460697"/>
    <w:rsid w:val="004608C8"/>
    <w:rsid w:val="00463A8C"/>
    <w:rsid w:val="00464AB7"/>
    <w:rsid w:val="00467EF8"/>
    <w:rsid w:val="00472429"/>
    <w:rsid w:val="004725E5"/>
    <w:rsid w:val="00472751"/>
    <w:rsid w:val="00473128"/>
    <w:rsid w:val="0047455E"/>
    <w:rsid w:val="00475078"/>
    <w:rsid w:val="00475767"/>
    <w:rsid w:val="004777E2"/>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6350"/>
    <w:rsid w:val="0049797C"/>
    <w:rsid w:val="004A1405"/>
    <w:rsid w:val="004A1FC6"/>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E8"/>
    <w:rsid w:val="004C01A5"/>
    <w:rsid w:val="004C2138"/>
    <w:rsid w:val="004C3940"/>
    <w:rsid w:val="004C51FD"/>
    <w:rsid w:val="004C65A8"/>
    <w:rsid w:val="004C6689"/>
    <w:rsid w:val="004D14DC"/>
    <w:rsid w:val="004D17C6"/>
    <w:rsid w:val="004D2858"/>
    <w:rsid w:val="004D35BA"/>
    <w:rsid w:val="004D38E5"/>
    <w:rsid w:val="004D3C5A"/>
    <w:rsid w:val="004D449A"/>
    <w:rsid w:val="004D4701"/>
    <w:rsid w:val="004D47C7"/>
    <w:rsid w:val="004D5D45"/>
    <w:rsid w:val="004D618D"/>
    <w:rsid w:val="004D62A9"/>
    <w:rsid w:val="004D6FC3"/>
    <w:rsid w:val="004D7476"/>
    <w:rsid w:val="004E0306"/>
    <w:rsid w:val="004E0572"/>
    <w:rsid w:val="004E1758"/>
    <w:rsid w:val="004E1818"/>
    <w:rsid w:val="004E1990"/>
    <w:rsid w:val="004E25A8"/>
    <w:rsid w:val="004E2866"/>
    <w:rsid w:val="004E3930"/>
    <w:rsid w:val="004E3ED9"/>
    <w:rsid w:val="004E5866"/>
    <w:rsid w:val="004E6097"/>
    <w:rsid w:val="004E61EF"/>
    <w:rsid w:val="004E76A7"/>
    <w:rsid w:val="004E77BA"/>
    <w:rsid w:val="004E7B03"/>
    <w:rsid w:val="004F0064"/>
    <w:rsid w:val="004F06AC"/>
    <w:rsid w:val="004F243F"/>
    <w:rsid w:val="004F252C"/>
    <w:rsid w:val="004F3E0C"/>
    <w:rsid w:val="004F67AC"/>
    <w:rsid w:val="004F7160"/>
    <w:rsid w:val="00500258"/>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D9"/>
    <w:rsid w:val="0051550A"/>
    <w:rsid w:val="0051608F"/>
    <w:rsid w:val="00520EF8"/>
    <w:rsid w:val="005210F7"/>
    <w:rsid w:val="00521753"/>
    <w:rsid w:val="005224EE"/>
    <w:rsid w:val="00522879"/>
    <w:rsid w:val="00523BB1"/>
    <w:rsid w:val="005260CD"/>
    <w:rsid w:val="00526265"/>
    <w:rsid w:val="0052655D"/>
    <w:rsid w:val="005265E0"/>
    <w:rsid w:val="00526BC3"/>
    <w:rsid w:val="00531761"/>
    <w:rsid w:val="0053332A"/>
    <w:rsid w:val="0053358A"/>
    <w:rsid w:val="00534668"/>
    <w:rsid w:val="00534DDD"/>
    <w:rsid w:val="00535291"/>
    <w:rsid w:val="00535A94"/>
    <w:rsid w:val="00537874"/>
    <w:rsid w:val="0053795F"/>
    <w:rsid w:val="00540578"/>
    <w:rsid w:val="00540808"/>
    <w:rsid w:val="0054080E"/>
    <w:rsid w:val="00540EA1"/>
    <w:rsid w:val="0054358E"/>
    <w:rsid w:val="00543AF4"/>
    <w:rsid w:val="00544191"/>
    <w:rsid w:val="005448EC"/>
    <w:rsid w:val="00544F39"/>
    <w:rsid w:val="00546F90"/>
    <w:rsid w:val="00547EFB"/>
    <w:rsid w:val="005522F2"/>
    <w:rsid w:val="005531DF"/>
    <w:rsid w:val="00553874"/>
    <w:rsid w:val="00554AD8"/>
    <w:rsid w:val="00554F78"/>
    <w:rsid w:val="00555DA1"/>
    <w:rsid w:val="00556BF7"/>
    <w:rsid w:val="00557F60"/>
    <w:rsid w:val="00561B97"/>
    <w:rsid w:val="00562149"/>
    <w:rsid w:val="00567B5D"/>
    <w:rsid w:val="00570757"/>
    <w:rsid w:val="00573733"/>
    <w:rsid w:val="00573975"/>
    <w:rsid w:val="00574554"/>
    <w:rsid w:val="005751BB"/>
    <w:rsid w:val="00576089"/>
    <w:rsid w:val="005764B1"/>
    <w:rsid w:val="00576852"/>
    <w:rsid w:val="00576D06"/>
    <w:rsid w:val="005779E4"/>
    <w:rsid w:val="0058289C"/>
    <w:rsid w:val="005836C7"/>
    <w:rsid w:val="0058408E"/>
    <w:rsid w:val="00585374"/>
    <w:rsid w:val="00590B77"/>
    <w:rsid w:val="00590D9A"/>
    <w:rsid w:val="005913A3"/>
    <w:rsid w:val="00594A7B"/>
    <w:rsid w:val="0059580E"/>
    <w:rsid w:val="00596A6F"/>
    <w:rsid w:val="00596FCE"/>
    <w:rsid w:val="005A11BC"/>
    <w:rsid w:val="005A1525"/>
    <w:rsid w:val="005A1E17"/>
    <w:rsid w:val="005A252B"/>
    <w:rsid w:val="005A3204"/>
    <w:rsid w:val="005A3341"/>
    <w:rsid w:val="005A3C3D"/>
    <w:rsid w:val="005A43B6"/>
    <w:rsid w:val="005A46EC"/>
    <w:rsid w:val="005A5EAE"/>
    <w:rsid w:val="005B07EC"/>
    <w:rsid w:val="005B2B11"/>
    <w:rsid w:val="005B32A4"/>
    <w:rsid w:val="005B3BAF"/>
    <w:rsid w:val="005B4DA3"/>
    <w:rsid w:val="005B5BEE"/>
    <w:rsid w:val="005B77D2"/>
    <w:rsid w:val="005C019B"/>
    <w:rsid w:val="005C1567"/>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E03E4"/>
    <w:rsid w:val="005E0454"/>
    <w:rsid w:val="005E05F6"/>
    <w:rsid w:val="005E3F85"/>
    <w:rsid w:val="005E50AA"/>
    <w:rsid w:val="005E5673"/>
    <w:rsid w:val="005E57B0"/>
    <w:rsid w:val="005E5B01"/>
    <w:rsid w:val="005F009E"/>
    <w:rsid w:val="005F0DF1"/>
    <w:rsid w:val="005F1516"/>
    <w:rsid w:val="005F229E"/>
    <w:rsid w:val="005F2564"/>
    <w:rsid w:val="005F3822"/>
    <w:rsid w:val="005F4635"/>
    <w:rsid w:val="005F4900"/>
    <w:rsid w:val="005F4E52"/>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3389"/>
    <w:rsid w:val="00623DAA"/>
    <w:rsid w:val="006265C4"/>
    <w:rsid w:val="0062678A"/>
    <w:rsid w:val="006270AF"/>
    <w:rsid w:val="00630B1A"/>
    <w:rsid w:val="00634367"/>
    <w:rsid w:val="0063713C"/>
    <w:rsid w:val="00640082"/>
    <w:rsid w:val="00640291"/>
    <w:rsid w:val="00640EFE"/>
    <w:rsid w:val="00641D6D"/>
    <w:rsid w:val="00641FAC"/>
    <w:rsid w:val="00643664"/>
    <w:rsid w:val="00643CAA"/>
    <w:rsid w:val="00644F16"/>
    <w:rsid w:val="006455EB"/>
    <w:rsid w:val="006456C2"/>
    <w:rsid w:val="006478E4"/>
    <w:rsid w:val="0065171A"/>
    <w:rsid w:val="00652680"/>
    <w:rsid w:val="00653CDE"/>
    <w:rsid w:val="00654585"/>
    <w:rsid w:val="0065636A"/>
    <w:rsid w:val="00657003"/>
    <w:rsid w:val="00660238"/>
    <w:rsid w:val="006602EF"/>
    <w:rsid w:val="00661277"/>
    <w:rsid w:val="006619E0"/>
    <w:rsid w:val="00663FEA"/>
    <w:rsid w:val="00664803"/>
    <w:rsid w:val="006661A4"/>
    <w:rsid w:val="00666476"/>
    <w:rsid w:val="006670E0"/>
    <w:rsid w:val="00667275"/>
    <w:rsid w:val="00667532"/>
    <w:rsid w:val="0066783E"/>
    <w:rsid w:val="00667E53"/>
    <w:rsid w:val="006713AB"/>
    <w:rsid w:val="00673711"/>
    <w:rsid w:val="00673F82"/>
    <w:rsid w:val="00674F74"/>
    <w:rsid w:val="0067508F"/>
    <w:rsid w:val="0068051E"/>
    <w:rsid w:val="00680B9D"/>
    <w:rsid w:val="00681F13"/>
    <w:rsid w:val="0068231C"/>
    <w:rsid w:val="00682344"/>
    <w:rsid w:val="00682F28"/>
    <w:rsid w:val="00684842"/>
    <w:rsid w:val="00685BD6"/>
    <w:rsid w:val="00687116"/>
    <w:rsid w:val="006878A6"/>
    <w:rsid w:val="00690437"/>
    <w:rsid w:val="00690DC3"/>
    <w:rsid w:val="00690E65"/>
    <w:rsid w:val="006911B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3B28"/>
    <w:rsid w:val="006A4FEE"/>
    <w:rsid w:val="006A703E"/>
    <w:rsid w:val="006A7BE3"/>
    <w:rsid w:val="006A7D32"/>
    <w:rsid w:val="006A7EB5"/>
    <w:rsid w:val="006B01D1"/>
    <w:rsid w:val="006B16EA"/>
    <w:rsid w:val="006B1780"/>
    <w:rsid w:val="006B224E"/>
    <w:rsid w:val="006B376E"/>
    <w:rsid w:val="006B4589"/>
    <w:rsid w:val="006B610E"/>
    <w:rsid w:val="006B6805"/>
    <w:rsid w:val="006B6DE0"/>
    <w:rsid w:val="006C16C3"/>
    <w:rsid w:val="006C32F4"/>
    <w:rsid w:val="006C3C54"/>
    <w:rsid w:val="006C4F9F"/>
    <w:rsid w:val="006C71A2"/>
    <w:rsid w:val="006C73EC"/>
    <w:rsid w:val="006D0C1D"/>
    <w:rsid w:val="006D2E9D"/>
    <w:rsid w:val="006D4A4E"/>
    <w:rsid w:val="006D4C42"/>
    <w:rsid w:val="006D5809"/>
    <w:rsid w:val="006D607E"/>
    <w:rsid w:val="006D70CB"/>
    <w:rsid w:val="006D7363"/>
    <w:rsid w:val="006E0754"/>
    <w:rsid w:val="006E2668"/>
    <w:rsid w:val="006E2D39"/>
    <w:rsid w:val="006E32B0"/>
    <w:rsid w:val="006E396A"/>
    <w:rsid w:val="006E3D63"/>
    <w:rsid w:val="006E5DD8"/>
    <w:rsid w:val="006E5EA1"/>
    <w:rsid w:val="006F0760"/>
    <w:rsid w:val="006F11E2"/>
    <w:rsid w:val="006F2574"/>
    <w:rsid w:val="006F2FC5"/>
    <w:rsid w:val="006F3231"/>
    <w:rsid w:val="006F3DE3"/>
    <w:rsid w:val="006F4787"/>
    <w:rsid w:val="006F61D8"/>
    <w:rsid w:val="006F62B7"/>
    <w:rsid w:val="006F70BC"/>
    <w:rsid w:val="006F7E7C"/>
    <w:rsid w:val="0070174E"/>
    <w:rsid w:val="00701DE6"/>
    <w:rsid w:val="0070381B"/>
    <w:rsid w:val="00710EBF"/>
    <w:rsid w:val="0071209F"/>
    <w:rsid w:val="007125A2"/>
    <w:rsid w:val="00713ABF"/>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23E0"/>
    <w:rsid w:val="00733721"/>
    <w:rsid w:val="00733DE2"/>
    <w:rsid w:val="007352EA"/>
    <w:rsid w:val="00735931"/>
    <w:rsid w:val="0073792F"/>
    <w:rsid w:val="00740C81"/>
    <w:rsid w:val="00740DA6"/>
    <w:rsid w:val="007418FD"/>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504E"/>
    <w:rsid w:val="00767A27"/>
    <w:rsid w:val="00767BFD"/>
    <w:rsid w:val="00767EA0"/>
    <w:rsid w:val="0077068F"/>
    <w:rsid w:val="00771EDF"/>
    <w:rsid w:val="0077408D"/>
    <w:rsid w:val="00774270"/>
    <w:rsid w:val="007743F6"/>
    <w:rsid w:val="00775679"/>
    <w:rsid w:val="0077574F"/>
    <w:rsid w:val="00775823"/>
    <w:rsid w:val="00777B32"/>
    <w:rsid w:val="0078051E"/>
    <w:rsid w:val="007838F3"/>
    <w:rsid w:val="00785F46"/>
    <w:rsid w:val="007865F4"/>
    <w:rsid w:val="00786D5C"/>
    <w:rsid w:val="00786E96"/>
    <w:rsid w:val="00787F93"/>
    <w:rsid w:val="007902A1"/>
    <w:rsid w:val="00791E6D"/>
    <w:rsid w:val="00791EB5"/>
    <w:rsid w:val="00795423"/>
    <w:rsid w:val="007A11C2"/>
    <w:rsid w:val="007A18BB"/>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B91"/>
    <w:rsid w:val="007D1452"/>
    <w:rsid w:val="007D460C"/>
    <w:rsid w:val="007D4AD3"/>
    <w:rsid w:val="007D5D19"/>
    <w:rsid w:val="007D5FDC"/>
    <w:rsid w:val="007D6176"/>
    <w:rsid w:val="007D6D68"/>
    <w:rsid w:val="007E32DA"/>
    <w:rsid w:val="007E4998"/>
    <w:rsid w:val="007E4A9C"/>
    <w:rsid w:val="007E6914"/>
    <w:rsid w:val="007E7F78"/>
    <w:rsid w:val="007F0179"/>
    <w:rsid w:val="007F2C13"/>
    <w:rsid w:val="007F2CEC"/>
    <w:rsid w:val="007F45D2"/>
    <w:rsid w:val="007F55DE"/>
    <w:rsid w:val="007F762D"/>
    <w:rsid w:val="007F78FF"/>
    <w:rsid w:val="008001C5"/>
    <w:rsid w:val="00800F6C"/>
    <w:rsid w:val="00801065"/>
    <w:rsid w:val="00802C0B"/>
    <w:rsid w:val="0080353B"/>
    <w:rsid w:val="008051FC"/>
    <w:rsid w:val="008055A9"/>
    <w:rsid w:val="008056C4"/>
    <w:rsid w:val="00805D8B"/>
    <w:rsid w:val="00810E8E"/>
    <w:rsid w:val="008135E1"/>
    <w:rsid w:val="00813E26"/>
    <w:rsid w:val="0081481D"/>
    <w:rsid w:val="00814BE8"/>
    <w:rsid w:val="00814F6E"/>
    <w:rsid w:val="00815B84"/>
    <w:rsid w:val="00816BE9"/>
    <w:rsid w:val="00822518"/>
    <w:rsid w:val="00823FC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519E"/>
    <w:rsid w:val="00845CAE"/>
    <w:rsid w:val="00846370"/>
    <w:rsid w:val="00847C2B"/>
    <w:rsid w:val="00851822"/>
    <w:rsid w:val="008532BF"/>
    <w:rsid w:val="00853BF4"/>
    <w:rsid w:val="00854294"/>
    <w:rsid w:val="008544A2"/>
    <w:rsid w:val="0085572E"/>
    <w:rsid w:val="0085788B"/>
    <w:rsid w:val="00857A9E"/>
    <w:rsid w:val="00857DE2"/>
    <w:rsid w:val="00863A8E"/>
    <w:rsid w:val="0086407F"/>
    <w:rsid w:val="008645E3"/>
    <w:rsid w:val="00864E79"/>
    <w:rsid w:val="0086661F"/>
    <w:rsid w:val="00866A0D"/>
    <w:rsid w:val="00866DB5"/>
    <w:rsid w:val="0086702B"/>
    <w:rsid w:val="0086784E"/>
    <w:rsid w:val="00872084"/>
    <w:rsid w:val="00872827"/>
    <w:rsid w:val="00872A32"/>
    <w:rsid w:val="00874911"/>
    <w:rsid w:val="00876EAE"/>
    <w:rsid w:val="00880F95"/>
    <w:rsid w:val="00882B44"/>
    <w:rsid w:val="008871B0"/>
    <w:rsid w:val="00890B57"/>
    <w:rsid w:val="00890C76"/>
    <w:rsid w:val="008916BA"/>
    <w:rsid w:val="0089217C"/>
    <w:rsid w:val="00892790"/>
    <w:rsid w:val="00893671"/>
    <w:rsid w:val="00895838"/>
    <w:rsid w:val="00895A1E"/>
    <w:rsid w:val="00895A72"/>
    <w:rsid w:val="00895CDF"/>
    <w:rsid w:val="00896D8C"/>
    <w:rsid w:val="008A0FC9"/>
    <w:rsid w:val="008A1956"/>
    <w:rsid w:val="008A1A7C"/>
    <w:rsid w:val="008A40D3"/>
    <w:rsid w:val="008A469C"/>
    <w:rsid w:val="008A51D1"/>
    <w:rsid w:val="008A5DCE"/>
    <w:rsid w:val="008A75D3"/>
    <w:rsid w:val="008B05DD"/>
    <w:rsid w:val="008B17E8"/>
    <w:rsid w:val="008B2E7C"/>
    <w:rsid w:val="008B45F0"/>
    <w:rsid w:val="008B4A70"/>
    <w:rsid w:val="008B502F"/>
    <w:rsid w:val="008B6DFC"/>
    <w:rsid w:val="008B7227"/>
    <w:rsid w:val="008C043F"/>
    <w:rsid w:val="008C04E0"/>
    <w:rsid w:val="008C191C"/>
    <w:rsid w:val="008C1DA4"/>
    <w:rsid w:val="008C2629"/>
    <w:rsid w:val="008C2CD5"/>
    <w:rsid w:val="008C3618"/>
    <w:rsid w:val="008C43AD"/>
    <w:rsid w:val="008C6118"/>
    <w:rsid w:val="008C6341"/>
    <w:rsid w:val="008C731F"/>
    <w:rsid w:val="008C74D9"/>
    <w:rsid w:val="008D58D9"/>
    <w:rsid w:val="008D5AD4"/>
    <w:rsid w:val="008D6DD5"/>
    <w:rsid w:val="008D6E59"/>
    <w:rsid w:val="008D7155"/>
    <w:rsid w:val="008E0B29"/>
    <w:rsid w:val="008E141A"/>
    <w:rsid w:val="008E1A44"/>
    <w:rsid w:val="008E28E6"/>
    <w:rsid w:val="008E3232"/>
    <w:rsid w:val="008E3674"/>
    <w:rsid w:val="008E3B6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4BE4"/>
    <w:rsid w:val="0090504A"/>
    <w:rsid w:val="00905221"/>
    <w:rsid w:val="00905A7C"/>
    <w:rsid w:val="00905D7E"/>
    <w:rsid w:val="00907037"/>
    <w:rsid w:val="0091160A"/>
    <w:rsid w:val="00913258"/>
    <w:rsid w:val="00913BB0"/>
    <w:rsid w:val="00914B75"/>
    <w:rsid w:val="00914C58"/>
    <w:rsid w:val="0091564D"/>
    <w:rsid w:val="009156DA"/>
    <w:rsid w:val="00915774"/>
    <w:rsid w:val="0091608A"/>
    <w:rsid w:val="00916BC5"/>
    <w:rsid w:val="0091726A"/>
    <w:rsid w:val="00920184"/>
    <w:rsid w:val="00920EA4"/>
    <w:rsid w:val="00921792"/>
    <w:rsid w:val="00921BEA"/>
    <w:rsid w:val="009238FD"/>
    <w:rsid w:val="00923998"/>
    <w:rsid w:val="00923DB4"/>
    <w:rsid w:val="0092420B"/>
    <w:rsid w:val="0092430E"/>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F28"/>
    <w:rsid w:val="00940FE1"/>
    <w:rsid w:val="00942306"/>
    <w:rsid w:val="009424B8"/>
    <w:rsid w:val="00944668"/>
    <w:rsid w:val="00944DC6"/>
    <w:rsid w:val="009458B0"/>
    <w:rsid w:val="00945B52"/>
    <w:rsid w:val="00945B7A"/>
    <w:rsid w:val="00945F05"/>
    <w:rsid w:val="00946348"/>
    <w:rsid w:val="00947797"/>
    <w:rsid w:val="009478A2"/>
    <w:rsid w:val="00952684"/>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E1E"/>
    <w:rsid w:val="00975E70"/>
    <w:rsid w:val="009766FA"/>
    <w:rsid w:val="009777B1"/>
    <w:rsid w:val="00977CD6"/>
    <w:rsid w:val="00980DF9"/>
    <w:rsid w:val="0098243D"/>
    <w:rsid w:val="00982D26"/>
    <w:rsid w:val="00983B6E"/>
    <w:rsid w:val="00983FE5"/>
    <w:rsid w:val="009849E9"/>
    <w:rsid w:val="009859E4"/>
    <w:rsid w:val="00987812"/>
    <w:rsid w:val="00990225"/>
    <w:rsid w:val="0099030E"/>
    <w:rsid w:val="00990A54"/>
    <w:rsid w:val="00994AAD"/>
    <w:rsid w:val="00995150"/>
    <w:rsid w:val="00995D67"/>
    <w:rsid w:val="009A013B"/>
    <w:rsid w:val="009A02F4"/>
    <w:rsid w:val="009A06BF"/>
    <w:rsid w:val="009A0D17"/>
    <w:rsid w:val="009A2494"/>
    <w:rsid w:val="009A32B1"/>
    <w:rsid w:val="009A36F2"/>
    <w:rsid w:val="009A40C3"/>
    <w:rsid w:val="009A40D5"/>
    <w:rsid w:val="009A57D0"/>
    <w:rsid w:val="009A6559"/>
    <w:rsid w:val="009A68FC"/>
    <w:rsid w:val="009A6CE4"/>
    <w:rsid w:val="009A7514"/>
    <w:rsid w:val="009A7E7A"/>
    <w:rsid w:val="009B1584"/>
    <w:rsid w:val="009B18F0"/>
    <w:rsid w:val="009B2471"/>
    <w:rsid w:val="009B314F"/>
    <w:rsid w:val="009B3C93"/>
    <w:rsid w:val="009B439C"/>
    <w:rsid w:val="009B4A6C"/>
    <w:rsid w:val="009B4DA8"/>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4BD"/>
    <w:rsid w:val="009D6CB1"/>
    <w:rsid w:val="009E153F"/>
    <w:rsid w:val="009E393E"/>
    <w:rsid w:val="009E444E"/>
    <w:rsid w:val="009E4968"/>
    <w:rsid w:val="009E663C"/>
    <w:rsid w:val="009E684A"/>
    <w:rsid w:val="009E6BB1"/>
    <w:rsid w:val="009E6E14"/>
    <w:rsid w:val="009F0494"/>
    <w:rsid w:val="009F0CD9"/>
    <w:rsid w:val="009F1A79"/>
    <w:rsid w:val="009F1F57"/>
    <w:rsid w:val="009F3447"/>
    <w:rsid w:val="009F65F4"/>
    <w:rsid w:val="009F676B"/>
    <w:rsid w:val="009F6D54"/>
    <w:rsid w:val="00A004DF"/>
    <w:rsid w:val="00A00FD5"/>
    <w:rsid w:val="00A019A8"/>
    <w:rsid w:val="00A01B03"/>
    <w:rsid w:val="00A02C66"/>
    <w:rsid w:val="00A02C84"/>
    <w:rsid w:val="00A02E9A"/>
    <w:rsid w:val="00A0464C"/>
    <w:rsid w:val="00A050BB"/>
    <w:rsid w:val="00A054E0"/>
    <w:rsid w:val="00A05D91"/>
    <w:rsid w:val="00A0740B"/>
    <w:rsid w:val="00A10CA8"/>
    <w:rsid w:val="00A11042"/>
    <w:rsid w:val="00A12579"/>
    <w:rsid w:val="00A133D8"/>
    <w:rsid w:val="00A1740C"/>
    <w:rsid w:val="00A20069"/>
    <w:rsid w:val="00A2244D"/>
    <w:rsid w:val="00A2253D"/>
    <w:rsid w:val="00A247B8"/>
    <w:rsid w:val="00A2495A"/>
    <w:rsid w:val="00A24C7A"/>
    <w:rsid w:val="00A24D8F"/>
    <w:rsid w:val="00A25B8B"/>
    <w:rsid w:val="00A26ECA"/>
    <w:rsid w:val="00A27461"/>
    <w:rsid w:val="00A30ABC"/>
    <w:rsid w:val="00A311A3"/>
    <w:rsid w:val="00A3467F"/>
    <w:rsid w:val="00A34B4C"/>
    <w:rsid w:val="00A35030"/>
    <w:rsid w:val="00A3551A"/>
    <w:rsid w:val="00A37209"/>
    <w:rsid w:val="00A37584"/>
    <w:rsid w:val="00A376E8"/>
    <w:rsid w:val="00A37F8E"/>
    <w:rsid w:val="00A41737"/>
    <w:rsid w:val="00A42B8F"/>
    <w:rsid w:val="00A43254"/>
    <w:rsid w:val="00A43896"/>
    <w:rsid w:val="00A43A26"/>
    <w:rsid w:val="00A447A0"/>
    <w:rsid w:val="00A459F5"/>
    <w:rsid w:val="00A45FC0"/>
    <w:rsid w:val="00A47ECC"/>
    <w:rsid w:val="00A50171"/>
    <w:rsid w:val="00A504FA"/>
    <w:rsid w:val="00A5102E"/>
    <w:rsid w:val="00A5132E"/>
    <w:rsid w:val="00A51533"/>
    <w:rsid w:val="00A531D4"/>
    <w:rsid w:val="00A54572"/>
    <w:rsid w:val="00A575B8"/>
    <w:rsid w:val="00A61C60"/>
    <w:rsid w:val="00A6410C"/>
    <w:rsid w:val="00A647B1"/>
    <w:rsid w:val="00A64DEF"/>
    <w:rsid w:val="00A654D2"/>
    <w:rsid w:val="00A665DF"/>
    <w:rsid w:val="00A67FCC"/>
    <w:rsid w:val="00A70AA5"/>
    <w:rsid w:val="00A70C03"/>
    <w:rsid w:val="00A71256"/>
    <w:rsid w:val="00A714BD"/>
    <w:rsid w:val="00A7217B"/>
    <w:rsid w:val="00A73861"/>
    <w:rsid w:val="00A739A6"/>
    <w:rsid w:val="00A740ED"/>
    <w:rsid w:val="00A74C62"/>
    <w:rsid w:val="00A75EF9"/>
    <w:rsid w:val="00A8311C"/>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B77"/>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6A4"/>
    <w:rsid w:val="00AC6CB1"/>
    <w:rsid w:val="00AC7D6D"/>
    <w:rsid w:val="00AD0091"/>
    <w:rsid w:val="00AD23EF"/>
    <w:rsid w:val="00AD2662"/>
    <w:rsid w:val="00AD307B"/>
    <w:rsid w:val="00AD4014"/>
    <w:rsid w:val="00AD41B3"/>
    <w:rsid w:val="00AD7127"/>
    <w:rsid w:val="00AE123A"/>
    <w:rsid w:val="00AE1539"/>
    <w:rsid w:val="00AE28A7"/>
    <w:rsid w:val="00AE2A98"/>
    <w:rsid w:val="00AE2CF2"/>
    <w:rsid w:val="00AE33A6"/>
    <w:rsid w:val="00AE3729"/>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B46"/>
    <w:rsid w:val="00B0534D"/>
    <w:rsid w:val="00B05685"/>
    <w:rsid w:val="00B05F9F"/>
    <w:rsid w:val="00B06368"/>
    <w:rsid w:val="00B068DA"/>
    <w:rsid w:val="00B06FC6"/>
    <w:rsid w:val="00B07D9D"/>
    <w:rsid w:val="00B11AE5"/>
    <w:rsid w:val="00B12FE6"/>
    <w:rsid w:val="00B1303F"/>
    <w:rsid w:val="00B1364A"/>
    <w:rsid w:val="00B13859"/>
    <w:rsid w:val="00B14319"/>
    <w:rsid w:val="00B14A06"/>
    <w:rsid w:val="00B16715"/>
    <w:rsid w:val="00B17910"/>
    <w:rsid w:val="00B20F18"/>
    <w:rsid w:val="00B21516"/>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42FE"/>
    <w:rsid w:val="00B558C4"/>
    <w:rsid w:val="00B55A1B"/>
    <w:rsid w:val="00B561DB"/>
    <w:rsid w:val="00B600BD"/>
    <w:rsid w:val="00B61DCE"/>
    <w:rsid w:val="00B62188"/>
    <w:rsid w:val="00B62F79"/>
    <w:rsid w:val="00B62F82"/>
    <w:rsid w:val="00B6306A"/>
    <w:rsid w:val="00B635E3"/>
    <w:rsid w:val="00B662FF"/>
    <w:rsid w:val="00B66679"/>
    <w:rsid w:val="00B70145"/>
    <w:rsid w:val="00B71A92"/>
    <w:rsid w:val="00B721D8"/>
    <w:rsid w:val="00B730CA"/>
    <w:rsid w:val="00B74F2F"/>
    <w:rsid w:val="00B769BC"/>
    <w:rsid w:val="00B77349"/>
    <w:rsid w:val="00B7761E"/>
    <w:rsid w:val="00B80A3D"/>
    <w:rsid w:val="00B80B04"/>
    <w:rsid w:val="00B823E0"/>
    <w:rsid w:val="00B8260D"/>
    <w:rsid w:val="00B82B78"/>
    <w:rsid w:val="00B845B4"/>
    <w:rsid w:val="00B84662"/>
    <w:rsid w:val="00B84C74"/>
    <w:rsid w:val="00B85191"/>
    <w:rsid w:val="00B85FEC"/>
    <w:rsid w:val="00B864A3"/>
    <w:rsid w:val="00B86C2A"/>
    <w:rsid w:val="00B902A5"/>
    <w:rsid w:val="00B90420"/>
    <w:rsid w:val="00B90848"/>
    <w:rsid w:val="00B91146"/>
    <w:rsid w:val="00B913E4"/>
    <w:rsid w:val="00B91DB9"/>
    <w:rsid w:val="00B93EFE"/>
    <w:rsid w:val="00B944B9"/>
    <w:rsid w:val="00B94956"/>
    <w:rsid w:val="00B94C7F"/>
    <w:rsid w:val="00B94E93"/>
    <w:rsid w:val="00B956B5"/>
    <w:rsid w:val="00B96DF2"/>
    <w:rsid w:val="00B96F5A"/>
    <w:rsid w:val="00BA0B39"/>
    <w:rsid w:val="00BA0CB2"/>
    <w:rsid w:val="00BA0E26"/>
    <w:rsid w:val="00BA138B"/>
    <w:rsid w:val="00BA1C8A"/>
    <w:rsid w:val="00BA305B"/>
    <w:rsid w:val="00BA31BF"/>
    <w:rsid w:val="00BA478B"/>
    <w:rsid w:val="00BA5224"/>
    <w:rsid w:val="00BA76B7"/>
    <w:rsid w:val="00BA7E3B"/>
    <w:rsid w:val="00BB078D"/>
    <w:rsid w:val="00BB079C"/>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6E73"/>
    <w:rsid w:val="00BC74D3"/>
    <w:rsid w:val="00BD0014"/>
    <w:rsid w:val="00BD01D8"/>
    <w:rsid w:val="00BD255F"/>
    <w:rsid w:val="00BD2895"/>
    <w:rsid w:val="00BD4236"/>
    <w:rsid w:val="00BD483B"/>
    <w:rsid w:val="00BD5CD4"/>
    <w:rsid w:val="00BD6E09"/>
    <w:rsid w:val="00BD6EF9"/>
    <w:rsid w:val="00BE0ACB"/>
    <w:rsid w:val="00BE2260"/>
    <w:rsid w:val="00BE50FD"/>
    <w:rsid w:val="00BE51CA"/>
    <w:rsid w:val="00BE537F"/>
    <w:rsid w:val="00BE5D77"/>
    <w:rsid w:val="00BE6D47"/>
    <w:rsid w:val="00BE7032"/>
    <w:rsid w:val="00BE7330"/>
    <w:rsid w:val="00BF01C5"/>
    <w:rsid w:val="00BF061A"/>
    <w:rsid w:val="00BF066A"/>
    <w:rsid w:val="00BF14CC"/>
    <w:rsid w:val="00BF4342"/>
    <w:rsid w:val="00BF4704"/>
    <w:rsid w:val="00BF4C85"/>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36D6"/>
    <w:rsid w:val="00C13D5B"/>
    <w:rsid w:val="00C141D7"/>
    <w:rsid w:val="00C1711B"/>
    <w:rsid w:val="00C17AE2"/>
    <w:rsid w:val="00C20140"/>
    <w:rsid w:val="00C20F27"/>
    <w:rsid w:val="00C215CF"/>
    <w:rsid w:val="00C2244B"/>
    <w:rsid w:val="00C22711"/>
    <w:rsid w:val="00C22B0D"/>
    <w:rsid w:val="00C23522"/>
    <w:rsid w:val="00C240C1"/>
    <w:rsid w:val="00C24AED"/>
    <w:rsid w:val="00C250D0"/>
    <w:rsid w:val="00C252AC"/>
    <w:rsid w:val="00C26923"/>
    <w:rsid w:val="00C27214"/>
    <w:rsid w:val="00C27597"/>
    <w:rsid w:val="00C27E5E"/>
    <w:rsid w:val="00C30382"/>
    <w:rsid w:val="00C30772"/>
    <w:rsid w:val="00C30D6F"/>
    <w:rsid w:val="00C31063"/>
    <w:rsid w:val="00C31B7E"/>
    <w:rsid w:val="00C322D1"/>
    <w:rsid w:val="00C3242A"/>
    <w:rsid w:val="00C3260E"/>
    <w:rsid w:val="00C3267C"/>
    <w:rsid w:val="00C33201"/>
    <w:rsid w:val="00C33A39"/>
    <w:rsid w:val="00C360B3"/>
    <w:rsid w:val="00C37027"/>
    <w:rsid w:val="00C37B19"/>
    <w:rsid w:val="00C42752"/>
    <w:rsid w:val="00C42973"/>
    <w:rsid w:val="00C5034F"/>
    <w:rsid w:val="00C50830"/>
    <w:rsid w:val="00C52479"/>
    <w:rsid w:val="00C5266E"/>
    <w:rsid w:val="00C52C59"/>
    <w:rsid w:val="00C5349E"/>
    <w:rsid w:val="00C539FF"/>
    <w:rsid w:val="00C544BD"/>
    <w:rsid w:val="00C54D3D"/>
    <w:rsid w:val="00C55A30"/>
    <w:rsid w:val="00C60F8C"/>
    <w:rsid w:val="00C62A48"/>
    <w:rsid w:val="00C62AC4"/>
    <w:rsid w:val="00C62F96"/>
    <w:rsid w:val="00C631E1"/>
    <w:rsid w:val="00C638D8"/>
    <w:rsid w:val="00C63D26"/>
    <w:rsid w:val="00C668A1"/>
    <w:rsid w:val="00C67223"/>
    <w:rsid w:val="00C707B8"/>
    <w:rsid w:val="00C712AC"/>
    <w:rsid w:val="00C71C15"/>
    <w:rsid w:val="00C71F3D"/>
    <w:rsid w:val="00C72F53"/>
    <w:rsid w:val="00C74035"/>
    <w:rsid w:val="00C77818"/>
    <w:rsid w:val="00C8063F"/>
    <w:rsid w:val="00C8329F"/>
    <w:rsid w:val="00C84F8A"/>
    <w:rsid w:val="00C8618F"/>
    <w:rsid w:val="00C90372"/>
    <w:rsid w:val="00C9041F"/>
    <w:rsid w:val="00C9166B"/>
    <w:rsid w:val="00C91A45"/>
    <w:rsid w:val="00C91FB4"/>
    <w:rsid w:val="00C92328"/>
    <w:rsid w:val="00C92D42"/>
    <w:rsid w:val="00C938C2"/>
    <w:rsid w:val="00C93F8A"/>
    <w:rsid w:val="00C94CD3"/>
    <w:rsid w:val="00C94EA1"/>
    <w:rsid w:val="00C95745"/>
    <w:rsid w:val="00C95902"/>
    <w:rsid w:val="00C962E3"/>
    <w:rsid w:val="00C97997"/>
    <w:rsid w:val="00CA25C0"/>
    <w:rsid w:val="00CA3451"/>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B0A"/>
    <w:rsid w:val="00CC544A"/>
    <w:rsid w:val="00CC57EA"/>
    <w:rsid w:val="00CC5954"/>
    <w:rsid w:val="00CC629B"/>
    <w:rsid w:val="00CC6C4E"/>
    <w:rsid w:val="00CD009D"/>
    <w:rsid w:val="00CD05A2"/>
    <w:rsid w:val="00CD29D4"/>
    <w:rsid w:val="00CD2B5C"/>
    <w:rsid w:val="00CD3323"/>
    <w:rsid w:val="00CD38F5"/>
    <w:rsid w:val="00CD437E"/>
    <w:rsid w:val="00CD5DAD"/>
    <w:rsid w:val="00CD72C5"/>
    <w:rsid w:val="00CD79A7"/>
    <w:rsid w:val="00CD7F14"/>
    <w:rsid w:val="00CE0789"/>
    <w:rsid w:val="00CE0E8D"/>
    <w:rsid w:val="00CE1A03"/>
    <w:rsid w:val="00CE2346"/>
    <w:rsid w:val="00CE25B2"/>
    <w:rsid w:val="00CE3529"/>
    <w:rsid w:val="00CE35C8"/>
    <w:rsid w:val="00CE3962"/>
    <w:rsid w:val="00CE4D1A"/>
    <w:rsid w:val="00CE5105"/>
    <w:rsid w:val="00CE56BD"/>
    <w:rsid w:val="00CE5EC0"/>
    <w:rsid w:val="00CE6F9F"/>
    <w:rsid w:val="00CE781A"/>
    <w:rsid w:val="00CE7B08"/>
    <w:rsid w:val="00CE7D52"/>
    <w:rsid w:val="00CF1D74"/>
    <w:rsid w:val="00CF2BE2"/>
    <w:rsid w:val="00CF3DEB"/>
    <w:rsid w:val="00CF55F9"/>
    <w:rsid w:val="00CF5F64"/>
    <w:rsid w:val="00CF7074"/>
    <w:rsid w:val="00CF7495"/>
    <w:rsid w:val="00D01CF9"/>
    <w:rsid w:val="00D0334D"/>
    <w:rsid w:val="00D0374D"/>
    <w:rsid w:val="00D07F1D"/>
    <w:rsid w:val="00D10558"/>
    <w:rsid w:val="00D10FAC"/>
    <w:rsid w:val="00D126DC"/>
    <w:rsid w:val="00D13E70"/>
    <w:rsid w:val="00D16C58"/>
    <w:rsid w:val="00D17019"/>
    <w:rsid w:val="00D17FC8"/>
    <w:rsid w:val="00D21168"/>
    <w:rsid w:val="00D2438C"/>
    <w:rsid w:val="00D26C3F"/>
    <w:rsid w:val="00D27185"/>
    <w:rsid w:val="00D33AB3"/>
    <w:rsid w:val="00D33F24"/>
    <w:rsid w:val="00D346B8"/>
    <w:rsid w:val="00D34DCA"/>
    <w:rsid w:val="00D35AC8"/>
    <w:rsid w:val="00D36F87"/>
    <w:rsid w:val="00D37E4E"/>
    <w:rsid w:val="00D417D8"/>
    <w:rsid w:val="00D41F78"/>
    <w:rsid w:val="00D42E6C"/>
    <w:rsid w:val="00D4351C"/>
    <w:rsid w:val="00D43B80"/>
    <w:rsid w:val="00D45B4C"/>
    <w:rsid w:val="00D45BA4"/>
    <w:rsid w:val="00D471AF"/>
    <w:rsid w:val="00D4724F"/>
    <w:rsid w:val="00D50519"/>
    <w:rsid w:val="00D51601"/>
    <w:rsid w:val="00D51ECB"/>
    <w:rsid w:val="00D5264C"/>
    <w:rsid w:val="00D537FE"/>
    <w:rsid w:val="00D54A6A"/>
    <w:rsid w:val="00D54B8F"/>
    <w:rsid w:val="00D55951"/>
    <w:rsid w:val="00D57EB6"/>
    <w:rsid w:val="00D60D6D"/>
    <w:rsid w:val="00D66D8B"/>
    <w:rsid w:val="00D70849"/>
    <w:rsid w:val="00D709BB"/>
    <w:rsid w:val="00D72297"/>
    <w:rsid w:val="00D72A1C"/>
    <w:rsid w:val="00D72FB9"/>
    <w:rsid w:val="00D7308F"/>
    <w:rsid w:val="00D73580"/>
    <w:rsid w:val="00D73802"/>
    <w:rsid w:val="00D73C2C"/>
    <w:rsid w:val="00D73D52"/>
    <w:rsid w:val="00D745E7"/>
    <w:rsid w:val="00D774ED"/>
    <w:rsid w:val="00D77C44"/>
    <w:rsid w:val="00D77F88"/>
    <w:rsid w:val="00D81AFA"/>
    <w:rsid w:val="00D81EAA"/>
    <w:rsid w:val="00D81FE2"/>
    <w:rsid w:val="00D8259F"/>
    <w:rsid w:val="00D825F2"/>
    <w:rsid w:val="00D8285C"/>
    <w:rsid w:val="00D828B1"/>
    <w:rsid w:val="00D84754"/>
    <w:rsid w:val="00D84F27"/>
    <w:rsid w:val="00D85138"/>
    <w:rsid w:val="00D853F0"/>
    <w:rsid w:val="00D8710C"/>
    <w:rsid w:val="00D873C6"/>
    <w:rsid w:val="00D9074A"/>
    <w:rsid w:val="00D9099E"/>
    <w:rsid w:val="00D9193A"/>
    <w:rsid w:val="00D923B2"/>
    <w:rsid w:val="00D93E64"/>
    <w:rsid w:val="00D93F64"/>
    <w:rsid w:val="00D94CA4"/>
    <w:rsid w:val="00D95E99"/>
    <w:rsid w:val="00D97DA2"/>
    <w:rsid w:val="00DA1A3A"/>
    <w:rsid w:val="00DA249E"/>
    <w:rsid w:val="00DB145E"/>
    <w:rsid w:val="00DB1A94"/>
    <w:rsid w:val="00DB1D52"/>
    <w:rsid w:val="00DB1F62"/>
    <w:rsid w:val="00DB21E7"/>
    <w:rsid w:val="00DB2B09"/>
    <w:rsid w:val="00DB2E03"/>
    <w:rsid w:val="00DB3742"/>
    <w:rsid w:val="00DB3E9B"/>
    <w:rsid w:val="00DB3F4B"/>
    <w:rsid w:val="00DB67C1"/>
    <w:rsid w:val="00DB6C0B"/>
    <w:rsid w:val="00DB70F4"/>
    <w:rsid w:val="00DC1056"/>
    <w:rsid w:val="00DC1442"/>
    <w:rsid w:val="00DC21D8"/>
    <w:rsid w:val="00DC282A"/>
    <w:rsid w:val="00DC34DC"/>
    <w:rsid w:val="00DC3780"/>
    <w:rsid w:val="00DC3ADA"/>
    <w:rsid w:val="00DC3CC6"/>
    <w:rsid w:val="00DC4782"/>
    <w:rsid w:val="00DC514A"/>
    <w:rsid w:val="00DC67B1"/>
    <w:rsid w:val="00DD0019"/>
    <w:rsid w:val="00DD132B"/>
    <w:rsid w:val="00DD1725"/>
    <w:rsid w:val="00DD2159"/>
    <w:rsid w:val="00DD2A18"/>
    <w:rsid w:val="00DD3044"/>
    <w:rsid w:val="00DD3985"/>
    <w:rsid w:val="00DD61E8"/>
    <w:rsid w:val="00DD62C0"/>
    <w:rsid w:val="00DD64DE"/>
    <w:rsid w:val="00DD7859"/>
    <w:rsid w:val="00DD7B41"/>
    <w:rsid w:val="00DE0A1D"/>
    <w:rsid w:val="00DE15B2"/>
    <w:rsid w:val="00DE1A9A"/>
    <w:rsid w:val="00DE3D2C"/>
    <w:rsid w:val="00DE5795"/>
    <w:rsid w:val="00DE5E82"/>
    <w:rsid w:val="00DE5FA6"/>
    <w:rsid w:val="00DE6792"/>
    <w:rsid w:val="00DE6AA1"/>
    <w:rsid w:val="00DE7EF7"/>
    <w:rsid w:val="00DF02EC"/>
    <w:rsid w:val="00DF10FC"/>
    <w:rsid w:val="00DF1185"/>
    <w:rsid w:val="00DF1299"/>
    <w:rsid w:val="00DF1A70"/>
    <w:rsid w:val="00DF1E5F"/>
    <w:rsid w:val="00DF23A8"/>
    <w:rsid w:val="00DF2F27"/>
    <w:rsid w:val="00DF36B6"/>
    <w:rsid w:val="00DF4296"/>
    <w:rsid w:val="00DF5F38"/>
    <w:rsid w:val="00DF6CCC"/>
    <w:rsid w:val="00DF6D0C"/>
    <w:rsid w:val="00DF6F64"/>
    <w:rsid w:val="00DF721E"/>
    <w:rsid w:val="00DF7B8A"/>
    <w:rsid w:val="00DF7C87"/>
    <w:rsid w:val="00E009B0"/>
    <w:rsid w:val="00E00A12"/>
    <w:rsid w:val="00E00C49"/>
    <w:rsid w:val="00E0219D"/>
    <w:rsid w:val="00E04C0F"/>
    <w:rsid w:val="00E0570B"/>
    <w:rsid w:val="00E10B87"/>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59FF"/>
    <w:rsid w:val="00E402C5"/>
    <w:rsid w:val="00E405F1"/>
    <w:rsid w:val="00E43054"/>
    <w:rsid w:val="00E44440"/>
    <w:rsid w:val="00E46013"/>
    <w:rsid w:val="00E47099"/>
    <w:rsid w:val="00E47284"/>
    <w:rsid w:val="00E477C3"/>
    <w:rsid w:val="00E51E16"/>
    <w:rsid w:val="00E53730"/>
    <w:rsid w:val="00E5438D"/>
    <w:rsid w:val="00E54511"/>
    <w:rsid w:val="00E55288"/>
    <w:rsid w:val="00E57577"/>
    <w:rsid w:val="00E62043"/>
    <w:rsid w:val="00E626B9"/>
    <w:rsid w:val="00E627C9"/>
    <w:rsid w:val="00E630F3"/>
    <w:rsid w:val="00E6332F"/>
    <w:rsid w:val="00E637C9"/>
    <w:rsid w:val="00E6680A"/>
    <w:rsid w:val="00E66F0D"/>
    <w:rsid w:val="00E70615"/>
    <w:rsid w:val="00E7207B"/>
    <w:rsid w:val="00E7347A"/>
    <w:rsid w:val="00E75A47"/>
    <w:rsid w:val="00E75D8C"/>
    <w:rsid w:val="00E777F2"/>
    <w:rsid w:val="00E802C9"/>
    <w:rsid w:val="00E80F0A"/>
    <w:rsid w:val="00E815D4"/>
    <w:rsid w:val="00E8291B"/>
    <w:rsid w:val="00E82E70"/>
    <w:rsid w:val="00E8395F"/>
    <w:rsid w:val="00E85E41"/>
    <w:rsid w:val="00E85EA1"/>
    <w:rsid w:val="00E86703"/>
    <w:rsid w:val="00E91044"/>
    <w:rsid w:val="00E910D3"/>
    <w:rsid w:val="00E92154"/>
    <w:rsid w:val="00E923CF"/>
    <w:rsid w:val="00E933A5"/>
    <w:rsid w:val="00E93685"/>
    <w:rsid w:val="00E93C8C"/>
    <w:rsid w:val="00E95111"/>
    <w:rsid w:val="00E95FDF"/>
    <w:rsid w:val="00EA14C8"/>
    <w:rsid w:val="00EA2110"/>
    <w:rsid w:val="00EA283A"/>
    <w:rsid w:val="00EA2E07"/>
    <w:rsid w:val="00EA48F3"/>
    <w:rsid w:val="00EA7365"/>
    <w:rsid w:val="00EA77E9"/>
    <w:rsid w:val="00EA7C0B"/>
    <w:rsid w:val="00EB05D0"/>
    <w:rsid w:val="00EB09EE"/>
    <w:rsid w:val="00EB1151"/>
    <w:rsid w:val="00EB1D49"/>
    <w:rsid w:val="00EB23D9"/>
    <w:rsid w:val="00EB39A0"/>
    <w:rsid w:val="00EB559F"/>
    <w:rsid w:val="00EB5F3D"/>
    <w:rsid w:val="00EC1CEB"/>
    <w:rsid w:val="00EC1DC0"/>
    <w:rsid w:val="00EC24B8"/>
    <w:rsid w:val="00EC268C"/>
    <w:rsid w:val="00EC3753"/>
    <w:rsid w:val="00EC4E71"/>
    <w:rsid w:val="00EC5F1C"/>
    <w:rsid w:val="00ED0365"/>
    <w:rsid w:val="00ED0865"/>
    <w:rsid w:val="00ED1C60"/>
    <w:rsid w:val="00ED1CA5"/>
    <w:rsid w:val="00ED2EB9"/>
    <w:rsid w:val="00ED3A31"/>
    <w:rsid w:val="00ED4469"/>
    <w:rsid w:val="00ED5F23"/>
    <w:rsid w:val="00ED6DC0"/>
    <w:rsid w:val="00ED7A7A"/>
    <w:rsid w:val="00EE038C"/>
    <w:rsid w:val="00EE2F09"/>
    <w:rsid w:val="00EE47C5"/>
    <w:rsid w:val="00EE490C"/>
    <w:rsid w:val="00EE5208"/>
    <w:rsid w:val="00EE5738"/>
    <w:rsid w:val="00EE5E59"/>
    <w:rsid w:val="00EE73D0"/>
    <w:rsid w:val="00EE7B78"/>
    <w:rsid w:val="00EF08A8"/>
    <w:rsid w:val="00EF167B"/>
    <w:rsid w:val="00EF41A8"/>
    <w:rsid w:val="00EF44FB"/>
    <w:rsid w:val="00EF5554"/>
    <w:rsid w:val="00EF5AD8"/>
    <w:rsid w:val="00EF6B90"/>
    <w:rsid w:val="00EF79F7"/>
    <w:rsid w:val="00F006C0"/>
    <w:rsid w:val="00F019AA"/>
    <w:rsid w:val="00F0267E"/>
    <w:rsid w:val="00F02686"/>
    <w:rsid w:val="00F0459B"/>
    <w:rsid w:val="00F04E15"/>
    <w:rsid w:val="00F05DF3"/>
    <w:rsid w:val="00F069EA"/>
    <w:rsid w:val="00F07DDE"/>
    <w:rsid w:val="00F11675"/>
    <w:rsid w:val="00F12557"/>
    <w:rsid w:val="00F13599"/>
    <w:rsid w:val="00F15730"/>
    <w:rsid w:val="00F202C2"/>
    <w:rsid w:val="00F212F6"/>
    <w:rsid w:val="00F22756"/>
    <w:rsid w:val="00F23890"/>
    <w:rsid w:val="00F2504D"/>
    <w:rsid w:val="00F2637F"/>
    <w:rsid w:val="00F268F7"/>
    <w:rsid w:val="00F30B83"/>
    <w:rsid w:val="00F30BDB"/>
    <w:rsid w:val="00F30CF8"/>
    <w:rsid w:val="00F31EDF"/>
    <w:rsid w:val="00F3296D"/>
    <w:rsid w:val="00F32CDE"/>
    <w:rsid w:val="00F32D4C"/>
    <w:rsid w:val="00F3327E"/>
    <w:rsid w:val="00F338C3"/>
    <w:rsid w:val="00F34B14"/>
    <w:rsid w:val="00F34F58"/>
    <w:rsid w:val="00F35DA7"/>
    <w:rsid w:val="00F36A6A"/>
    <w:rsid w:val="00F40101"/>
    <w:rsid w:val="00F404F7"/>
    <w:rsid w:val="00F40CCA"/>
    <w:rsid w:val="00F42D97"/>
    <w:rsid w:val="00F436B2"/>
    <w:rsid w:val="00F43FEE"/>
    <w:rsid w:val="00F45A72"/>
    <w:rsid w:val="00F46723"/>
    <w:rsid w:val="00F4706D"/>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4884"/>
    <w:rsid w:val="00F67844"/>
    <w:rsid w:val="00F70799"/>
    <w:rsid w:val="00F70A8B"/>
    <w:rsid w:val="00F724FB"/>
    <w:rsid w:val="00F726B8"/>
    <w:rsid w:val="00F72A26"/>
    <w:rsid w:val="00F733C3"/>
    <w:rsid w:val="00F746A1"/>
    <w:rsid w:val="00F756DD"/>
    <w:rsid w:val="00F80047"/>
    <w:rsid w:val="00F8104D"/>
    <w:rsid w:val="00F81587"/>
    <w:rsid w:val="00F821BA"/>
    <w:rsid w:val="00F8233E"/>
    <w:rsid w:val="00F85B72"/>
    <w:rsid w:val="00F8766F"/>
    <w:rsid w:val="00F91082"/>
    <w:rsid w:val="00F9116D"/>
    <w:rsid w:val="00F91A9A"/>
    <w:rsid w:val="00F93ABB"/>
    <w:rsid w:val="00F94D79"/>
    <w:rsid w:val="00FA16E7"/>
    <w:rsid w:val="00FA31C7"/>
    <w:rsid w:val="00FA472D"/>
    <w:rsid w:val="00FB0CBF"/>
    <w:rsid w:val="00FB18F6"/>
    <w:rsid w:val="00FB2A52"/>
    <w:rsid w:val="00FB57DC"/>
    <w:rsid w:val="00FB6E19"/>
    <w:rsid w:val="00FB71F6"/>
    <w:rsid w:val="00FC0AF8"/>
    <w:rsid w:val="00FC1483"/>
    <w:rsid w:val="00FC1C47"/>
    <w:rsid w:val="00FC39ED"/>
    <w:rsid w:val="00FC4419"/>
    <w:rsid w:val="00FC4791"/>
    <w:rsid w:val="00FC47E2"/>
    <w:rsid w:val="00FC4AA5"/>
    <w:rsid w:val="00FC4B88"/>
    <w:rsid w:val="00FC4BB8"/>
    <w:rsid w:val="00FC5148"/>
    <w:rsid w:val="00FC75AC"/>
    <w:rsid w:val="00FD01BF"/>
    <w:rsid w:val="00FD0525"/>
    <w:rsid w:val="00FD297D"/>
    <w:rsid w:val="00FD2D13"/>
    <w:rsid w:val="00FD6071"/>
    <w:rsid w:val="00FE0794"/>
    <w:rsid w:val="00FE1041"/>
    <w:rsid w:val="00FE24CB"/>
    <w:rsid w:val="00FE323F"/>
    <w:rsid w:val="00FE3473"/>
    <w:rsid w:val="00FE4049"/>
    <w:rsid w:val="00FE4794"/>
    <w:rsid w:val="00FE4998"/>
    <w:rsid w:val="00FE57DE"/>
    <w:rsid w:val="00FE7A68"/>
    <w:rsid w:val="00FF0231"/>
    <w:rsid w:val="00FF1C9B"/>
    <w:rsid w:val="00FF1D49"/>
    <w:rsid w:val="00FF203B"/>
    <w:rsid w:val="00FF2562"/>
    <w:rsid w:val="00FF3499"/>
    <w:rsid w:val="00FF3A41"/>
    <w:rsid w:val="00FF3E5B"/>
    <w:rsid w:val="00FF57E4"/>
    <w:rsid w:val="00FF78E5"/>
    <w:rsid w:val="01433E69"/>
    <w:rsid w:val="01633A84"/>
    <w:rsid w:val="019E41FA"/>
    <w:rsid w:val="01AF3D99"/>
    <w:rsid w:val="02511F9D"/>
    <w:rsid w:val="02C45572"/>
    <w:rsid w:val="03A314B8"/>
    <w:rsid w:val="03D82B98"/>
    <w:rsid w:val="03F83E8B"/>
    <w:rsid w:val="043E2D45"/>
    <w:rsid w:val="04EB3293"/>
    <w:rsid w:val="05C56868"/>
    <w:rsid w:val="05E40672"/>
    <w:rsid w:val="064975A7"/>
    <w:rsid w:val="07592569"/>
    <w:rsid w:val="07B72767"/>
    <w:rsid w:val="08077E72"/>
    <w:rsid w:val="08882DD0"/>
    <w:rsid w:val="089F7B3A"/>
    <w:rsid w:val="08DC033B"/>
    <w:rsid w:val="09CC2AAC"/>
    <w:rsid w:val="0A4E50B0"/>
    <w:rsid w:val="0A652D3E"/>
    <w:rsid w:val="0BAE7A16"/>
    <w:rsid w:val="0C1E2888"/>
    <w:rsid w:val="0C92213C"/>
    <w:rsid w:val="0D84032B"/>
    <w:rsid w:val="0D8A4887"/>
    <w:rsid w:val="0E68155D"/>
    <w:rsid w:val="0F2105C3"/>
    <w:rsid w:val="0F2A74C4"/>
    <w:rsid w:val="0F75624C"/>
    <w:rsid w:val="0F94087F"/>
    <w:rsid w:val="0FBF6DFD"/>
    <w:rsid w:val="0FC90BAA"/>
    <w:rsid w:val="10A27F31"/>
    <w:rsid w:val="11474018"/>
    <w:rsid w:val="11927058"/>
    <w:rsid w:val="12D00574"/>
    <w:rsid w:val="13404800"/>
    <w:rsid w:val="13AF4F03"/>
    <w:rsid w:val="14736E66"/>
    <w:rsid w:val="147F458F"/>
    <w:rsid w:val="14C61D79"/>
    <w:rsid w:val="1534169A"/>
    <w:rsid w:val="154A6D68"/>
    <w:rsid w:val="15C03E03"/>
    <w:rsid w:val="162A25EB"/>
    <w:rsid w:val="163F372F"/>
    <w:rsid w:val="16B52505"/>
    <w:rsid w:val="16F255AC"/>
    <w:rsid w:val="16FD2A55"/>
    <w:rsid w:val="17067C1A"/>
    <w:rsid w:val="17366761"/>
    <w:rsid w:val="17667195"/>
    <w:rsid w:val="177C01F0"/>
    <w:rsid w:val="17CE6630"/>
    <w:rsid w:val="18624ED2"/>
    <w:rsid w:val="186F1AF9"/>
    <w:rsid w:val="1ACC4C3D"/>
    <w:rsid w:val="1AD5699B"/>
    <w:rsid w:val="1AFF0AFE"/>
    <w:rsid w:val="1B4F19F8"/>
    <w:rsid w:val="1B6924D6"/>
    <w:rsid w:val="1B7D63F1"/>
    <w:rsid w:val="1C2D6D7E"/>
    <w:rsid w:val="1CF168EB"/>
    <w:rsid w:val="1D7B0CD9"/>
    <w:rsid w:val="1DB32CEF"/>
    <w:rsid w:val="1E715D3A"/>
    <w:rsid w:val="1E955A2D"/>
    <w:rsid w:val="1ECC44FA"/>
    <w:rsid w:val="1F063325"/>
    <w:rsid w:val="1FBC5DF5"/>
    <w:rsid w:val="20131549"/>
    <w:rsid w:val="204238FD"/>
    <w:rsid w:val="20BC7CBB"/>
    <w:rsid w:val="20C3623F"/>
    <w:rsid w:val="211E3692"/>
    <w:rsid w:val="21685F0C"/>
    <w:rsid w:val="21781212"/>
    <w:rsid w:val="21B83F86"/>
    <w:rsid w:val="221178A8"/>
    <w:rsid w:val="221213CF"/>
    <w:rsid w:val="22327A92"/>
    <w:rsid w:val="22B84C00"/>
    <w:rsid w:val="22CF46CE"/>
    <w:rsid w:val="23121A9D"/>
    <w:rsid w:val="231D53A2"/>
    <w:rsid w:val="236D5383"/>
    <w:rsid w:val="23B7504C"/>
    <w:rsid w:val="23F4473C"/>
    <w:rsid w:val="244324C0"/>
    <w:rsid w:val="24571307"/>
    <w:rsid w:val="24A11155"/>
    <w:rsid w:val="25110A2A"/>
    <w:rsid w:val="256742A6"/>
    <w:rsid w:val="256C0944"/>
    <w:rsid w:val="26446DE3"/>
    <w:rsid w:val="265E5AFE"/>
    <w:rsid w:val="269669E7"/>
    <w:rsid w:val="26D7699F"/>
    <w:rsid w:val="273B0972"/>
    <w:rsid w:val="27A27E14"/>
    <w:rsid w:val="286B12B3"/>
    <w:rsid w:val="28BC19C5"/>
    <w:rsid w:val="290A757D"/>
    <w:rsid w:val="2A2918E6"/>
    <w:rsid w:val="2A575BB3"/>
    <w:rsid w:val="2A6D1762"/>
    <w:rsid w:val="2B774624"/>
    <w:rsid w:val="2C4641C9"/>
    <w:rsid w:val="2C6F3814"/>
    <w:rsid w:val="2C7A72BE"/>
    <w:rsid w:val="2C9A7D75"/>
    <w:rsid w:val="2DB03CC3"/>
    <w:rsid w:val="2DF034A2"/>
    <w:rsid w:val="2DF838B3"/>
    <w:rsid w:val="2E6820F1"/>
    <w:rsid w:val="2E82769D"/>
    <w:rsid w:val="2E9976CE"/>
    <w:rsid w:val="2F401D3C"/>
    <w:rsid w:val="2F5B24E1"/>
    <w:rsid w:val="2FA362A9"/>
    <w:rsid w:val="2FA95C88"/>
    <w:rsid w:val="2FD55C3F"/>
    <w:rsid w:val="3041370F"/>
    <w:rsid w:val="30A43AE2"/>
    <w:rsid w:val="30BD3BF8"/>
    <w:rsid w:val="31120F37"/>
    <w:rsid w:val="312B50A3"/>
    <w:rsid w:val="318F1938"/>
    <w:rsid w:val="31E73C15"/>
    <w:rsid w:val="32203315"/>
    <w:rsid w:val="32453A27"/>
    <w:rsid w:val="32571D65"/>
    <w:rsid w:val="3263064A"/>
    <w:rsid w:val="32A43132"/>
    <w:rsid w:val="32AC0C06"/>
    <w:rsid w:val="33824D58"/>
    <w:rsid w:val="33A379BF"/>
    <w:rsid w:val="34082DAB"/>
    <w:rsid w:val="341A55B9"/>
    <w:rsid w:val="34A959A2"/>
    <w:rsid w:val="34D7796F"/>
    <w:rsid w:val="3537750C"/>
    <w:rsid w:val="3537798C"/>
    <w:rsid w:val="35C13FC9"/>
    <w:rsid w:val="35E04184"/>
    <w:rsid w:val="364257B6"/>
    <w:rsid w:val="36615788"/>
    <w:rsid w:val="37EA5922"/>
    <w:rsid w:val="38276B93"/>
    <w:rsid w:val="38883C3B"/>
    <w:rsid w:val="38A847F6"/>
    <w:rsid w:val="38AC3431"/>
    <w:rsid w:val="397A19F9"/>
    <w:rsid w:val="39E00529"/>
    <w:rsid w:val="3A0B64A7"/>
    <w:rsid w:val="3A2D56DA"/>
    <w:rsid w:val="3A574DDA"/>
    <w:rsid w:val="3AD3075A"/>
    <w:rsid w:val="3AF74C02"/>
    <w:rsid w:val="3B752986"/>
    <w:rsid w:val="3BAB67E7"/>
    <w:rsid w:val="3BC605EC"/>
    <w:rsid w:val="3C0059A5"/>
    <w:rsid w:val="3C134E78"/>
    <w:rsid w:val="3C283890"/>
    <w:rsid w:val="3C75702B"/>
    <w:rsid w:val="3CFC4ECD"/>
    <w:rsid w:val="3D152D48"/>
    <w:rsid w:val="3DF6345D"/>
    <w:rsid w:val="3E4D4F28"/>
    <w:rsid w:val="3E766918"/>
    <w:rsid w:val="3ECC3182"/>
    <w:rsid w:val="3EDC4387"/>
    <w:rsid w:val="3EE13701"/>
    <w:rsid w:val="3F1A4BB3"/>
    <w:rsid w:val="3F2D6826"/>
    <w:rsid w:val="3F93625C"/>
    <w:rsid w:val="3FC277B9"/>
    <w:rsid w:val="40192BA6"/>
    <w:rsid w:val="412C79BC"/>
    <w:rsid w:val="41DC6CE5"/>
    <w:rsid w:val="41EB00AA"/>
    <w:rsid w:val="42495C12"/>
    <w:rsid w:val="42550A18"/>
    <w:rsid w:val="429D496A"/>
    <w:rsid w:val="42F473A1"/>
    <w:rsid w:val="436937F7"/>
    <w:rsid w:val="441E62C0"/>
    <w:rsid w:val="443E3C5E"/>
    <w:rsid w:val="45325D14"/>
    <w:rsid w:val="45811C7C"/>
    <w:rsid w:val="4649653B"/>
    <w:rsid w:val="4660477E"/>
    <w:rsid w:val="468B3EFB"/>
    <w:rsid w:val="46A738A7"/>
    <w:rsid w:val="470A6193"/>
    <w:rsid w:val="47165BB4"/>
    <w:rsid w:val="47385210"/>
    <w:rsid w:val="4767655D"/>
    <w:rsid w:val="47953966"/>
    <w:rsid w:val="47CA5BA7"/>
    <w:rsid w:val="47DC4F5C"/>
    <w:rsid w:val="48087681"/>
    <w:rsid w:val="48362D3C"/>
    <w:rsid w:val="48B40671"/>
    <w:rsid w:val="4969568A"/>
    <w:rsid w:val="499B5738"/>
    <w:rsid w:val="499F244D"/>
    <w:rsid w:val="4A973F3F"/>
    <w:rsid w:val="4AF96BC7"/>
    <w:rsid w:val="4B164A16"/>
    <w:rsid w:val="4B862A85"/>
    <w:rsid w:val="4CEF36E2"/>
    <w:rsid w:val="4CEF4DC5"/>
    <w:rsid w:val="4D4E7E6B"/>
    <w:rsid w:val="4E257655"/>
    <w:rsid w:val="4F372380"/>
    <w:rsid w:val="4F372FFB"/>
    <w:rsid w:val="4F8C2F1C"/>
    <w:rsid w:val="4FD95117"/>
    <w:rsid w:val="504B0252"/>
    <w:rsid w:val="50D13D0C"/>
    <w:rsid w:val="51371704"/>
    <w:rsid w:val="522D2D4A"/>
    <w:rsid w:val="52395ECD"/>
    <w:rsid w:val="523C4669"/>
    <w:rsid w:val="525454F7"/>
    <w:rsid w:val="52847136"/>
    <w:rsid w:val="52C10D75"/>
    <w:rsid w:val="53C27FF8"/>
    <w:rsid w:val="549E1A80"/>
    <w:rsid w:val="54C658F4"/>
    <w:rsid w:val="54E01D73"/>
    <w:rsid w:val="550C4BD7"/>
    <w:rsid w:val="554C1D56"/>
    <w:rsid w:val="55572986"/>
    <w:rsid w:val="55921E06"/>
    <w:rsid w:val="565340FA"/>
    <w:rsid w:val="56F93EFE"/>
    <w:rsid w:val="570C65FF"/>
    <w:rsid w:val="5755205A"/>
    <w:rsid w:val="58B055D0"/>
    <w:rsid w:val="58CB5936"/>
    <w:rsid w:val="5A2F2CC8"/>
    <w:rsid w:val="5A5A7615"/>
    <w:rsid w:val="5BD77315"/>
    <w:rsid w:val="5BF75DFB"/>
    <w:rsid w:val="5C10702D"/>
    <w:rsid w:val="5C6745E6"/>
    <w:rsid w:val="5C8A1B2F"/>
    <w:rsid w:val="5CC90D38"/>
    <w:rsid w:val="5E67482D"/>
    <w:rsid w:val="5EED63E2"/>
    <w:rsid w:val="606007BB"/>
    <w:rsid w:val="60AC7F66"/>
    <w:rsid w:val="60C42332"/>
    <w:rsid w:val="613A0BBA"/>
    <w:rsid w:val="61515D73"/>
    <w:rsid w:val="6173789F"/>
    <w:rsid w:val="61BF10D9"/>
    <w:rsid w:val="62AC22DC"/>
    <w:rsid w:val="647D6169"/>
    <w:rsid w:val="64E45EF7"/>
    <w:rsid w:val="6691014E"/>
    <w:rsid w:val="673D20D1"/>
    <w:rsid w:val="677435B2"/>
    <w:rsid w:val="67EF75F1"/>
    <w:rsid w:val="68A603BD"/>
    <w:rsid w:val="69124F16"/>
    <w:rsid w:val="6920217F"/>
    <w:rsid w:val="69CD5C14"/>
    <w:rsid w:val="69CF0D33"/>
    <w:rsid w:val="69FA423E"/>
    <w:rsid w:val="6B9946B3"/>
    <w:rsid w:val="6BDD2DCB"/>
    <w:rsid w:val="6BE7611D"/>
    <w:rsid w:val="6C7007C7"/>
    <w:rsid w:val="6DE76850"/>
    <w:rsid w:val="6E8938A4"/>
    <w:rsid w:val="6F170B22"/>
    <w:rsid w:val="6F31081C"/>
    <w:rsid w:val="6F6841BB"/>
    <w:rsid w:val="6FB20BD4"/>
    <w:rsid w:val="6FBA59BE"/>
    <w:rsid w:val="70296B3E"/>
    <w:rsid w:val="70611204"/>
    <w:rsid w:val="70D30014"/>
    <w:rsid w:val="70EE5A99"/>
    <w:rsid w:val="70FE32B7"/>
    <w:rsid w:val="72D21FCB"/>
    <w:rsid w:val="7361076C"/>
    <w:rsid w:val="73EB4A06"/>
    <w:rsid w:val="742559FF"/>
    <w:rsid w:val="74600176"/>
    <w:rsid w:val="74FA2C30"/>
    <w:rsid w:val="752D6FDE"/>
    <w:rsid w:val="754D5C4B"/>
    <w:rsid w:val="75B2393A"/>
    <w:rsid w:val="75EF065F"/>
    <w:rsid w:val="75F00A90"/>
    <w:rsid w:val="769B3F17"/>
    <w:rsid w:val="76C240A7"/>
    <w:rsid w:val="775246B7"/>
    <w:rsid w:val="781E69D1"/>
    <w:rsid w:val="785F3B75"/>
    <w:rsid w:val="785F792A"/>
    <w:rsid w:val="78B44B56"/>
    <w:rsid w:val="78E605B9"/>
    <w:rsid w:val="79622E3F"/>
    <w:rsid w:val="79624694"/>
    <w:rsid w:val="7A263B6B"/>
    <w:rsid w:val="7AD3144E"/>
    <w:rsid w:val="7AF46346"/>
    <w:rsid w:val="7AFE37ED"/>
    <w:rsid w:val="7B0F5EBF"/>
    <w:rsid w:val="7B130FB9"/>
    <w:rsid w:val="7B6B298E"/>
    <w:rsid w:val="7B9547A3"/>
    <w:rsid w:val="7BAC256B"/>
    <w:rsid w:val="7BAF2987"/>
    <w:rsid w:val="7BBB6822"/>
    <w:rsid w:val="7BF64EDE"/>
    <w:rsid w:val="7C2F0D69"/>
    <w:rsid w:val="7C400C1E"/>
    <w:rsid w:val="7C4952E8"/>
    <w:rsid w:val="7D94581A"/>
    <w:rsid w:val="7DD11708"/>
    <w:rsid w:val="7EC167BD"/>
    <w:rsid w:val="7F272D9E"/>
    <w:rsid w:val="7F663D41"/>
    <w:rsid w:val="7FCD3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4">
    <w:name w:val="heading 5"/>
    <w:basedOn w:val="1"/>
    <w:next w:val="5"/>
    <w:link w:val="32"/>
    <w:qFormat/>
    <w:uiPriority w:val="9"/>
    <w:pPr>
      <w:keepNext/>
      <w:keepLines/>
      <w:spacing w:before="280" w:after="290" w:line="376" w:lineRule="auto"/>
      <w:outlineLvl w:val="4"/>
    </w:pPr>
    <w:rPr>
      <w:b/>
      <w:bCs/>
      <w:sz w:val="28"/>
      <w:szCs w:val="28"/>
    </w:rPr>
  </w:style>
  <w:style w:type="paragraph" w:styleId="6">
    <w:name w:val="heading 8"/>
    <w:basedOn w:val="1"/>
    <w:next w:val="1"/>
    <w:link w:val="36"/>
    <w:qFormat/>
    <w:uiPriority w:val="9"/>
    <w:pPr>
      <w:keepNext/>
      <w:keepLines/>
      <w:spacing w:before="240" w:after="64" w:line="320" w:lineRule="auto"/>
      <w:outlineLvl w:val="7"/>
    </w:pPr>
    <w:rPr>
      <w:rFonts w:ascii="等线 Light" w:hAnsi="等线 Light" w:eastAsia="等线 Light"/>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28"/>
    <w:qFormat/>
    <w:uiPriority w:val="0"/>
    <w:pPr>
      <w:jc w:val="left"/>
    </w:pPr>
  </w:style>
  <w:style w:type="paragraph" w:styleId="9">
    <w:name w:val="Body Text"/>
    <w:basedOn w:val="1"/>
    <w:link w:val="37"/>
    <w:unhideWhenUsed/>
    <w:qFormat/>
    <w:uiPriority w:val="0"/>
    <w:pPr>
      <w:spacing w:after="120"/>
    </w:pPr>
  </w:style>
  <w:style w:type="paragraph" w:styleId="10">
    <w:name w:val="Body Text Indent"/>
    <w:basedOn w:val="1"/>
    <w:link w:val="26"/>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1"/>
    <w:qFormat/>
    <w:uiPriority w:val="0"/>
    <w:rPr>
      <w:rFonts w:ascii="宋体" w:hAnsi="Courier New"/>
      <w:kern w:val="0"/>
      <w:sz w:val="20"/>
      <w:szCs w:val="21"/>
    </w:rPr>
  </w:style>
  <w:style w:type="paragraph" w:styleId="13">
    <w:name w:val="Date"/>
    <w:basedOn w:val="1"/>
    <w:next w:val="1"/>
    <w:link w:val="38"/>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41"/>
    <w:unhideWhenUsed/>
    <w:qFormat/>
    <w:uiPriority w:val="99"/>
    <w:pPr>
      <w:tabs>
        <w:tab w:val="center" w:pos="4153"/>
        <w:tab w:val="right" w:pos="8306"/>
      </w:tabs>
      <w:snapToGrid w:val="0"/>
      <w:jc w:val="left"/>
    </w:pPr>
    <w:rPr>
      <w:kern w:val="0"/>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8"/>
    <w:next w:val="8"/>
    <w:link w:val="27"/>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正文文本缩进 Char"/>
    <w:link w:val="10"/>
    <w:qFormat/>
    <w:uiPriority w:val="0"/>
    <w:rPr>
      <w:rFonts w:ascii="仿宋_GB2312" w:hAnsi="Times New Roman" w:eastAsia="仿宋_GB2312" w:cs="Times New Roman"/>
      <w:sz w:val="32"/>
      <w:szCs w:val="20"/>
    </w:rPr>
  </w:style>
  <w:style w:type="character" w:customStyle="1" w:styleId="27">
    <w:name w:val="批注主题 Char"/>
    <w:link w:val="20"/>
    <w:qFormat/>
    <w:uiPriority w:val="99"/>
    <w:rPr>
      <w:rFonts w:ascii="Times New Roman" w:hAnsi="Times New Roman"/>
      <w:b/>
      <w:bCs/>
      <w:kern w:val="2"/>
      <w:sz w:val="21"/>
      <w:szCs w:val="24"/>
    </w:rPr>
  </w:style>
  <w:style w:type="character" w:customStyle="1" w:styleId="28">
    <w:name w:val="批注文字 Char1"/>
    <w:link w:val="8"/>
    <w:qFormat/>
    <w:uiPriority w:val="0"/>
    <w:rPr>
      <w:rFonts w:ascii="Times New Roman" w:hAnsi="Times New Roman"/>
      <w:kern w:val="2"/>
      <w:sz w:val="21"/>
      <w:szCs w:val="24"/>
    </w:rPr>
  </w:style>
  <w:style w:type="character" w:customStyle="1" w:styleId="29">
    <w:name w:val="正文文本 Char"/>
    <w:qFormat/>
    <w:uiPriority w:val="0"/>
    <w:rPr>
      <w:rFonts w:ascii="Times New Roman" w:hAnsi="Times New Roman"/>
      <w:kern w:val="2"/>
      <w:sz w:val="21"/>
      <w:szCs w:val="24"/>
    </w:rPr>
  </w:style>
  <w:style w:type="character" w:customStyle="1" w:styleId="30">
    <w:name w:val="纯文本 字符1"/>
    <w:qFormat/>
    <w:uiPriority w:val="0"/>
    <w:rPr>
      <w:rFonts w:ascii="宋体" w:hAnsi="Courier New"/>
    </w:rPr>
  </w:style>
  <w:style w:type="character" w:customStyle="1" w:styleId="31">
    <w:name w:val="纯文本 Char1"/>
    <w:link w:val="12"/>
    <w:qFormat/>
    <w:uiPriority w:val="0"/>
    <w:rPr>
      <w:rFonts w:ascii="宋体" w:hAnsi="Courier New" w:eastAsia="宋体" w:cs="Courier New"/>
      <w:szCs w:val="21"/>
    </w:rPr>
  </w:style>
  <w:style w:type="character" w:customStyle="1" w:styleId="32">
    <w:name w:val="标题 5 Char"/>
    <w:link w:val="4"/>
    <w:semiHidden/>
    <w:qFormat/>
    <w:uiPriority w:val="9"/>
    <w:rPr>
      <w:rFonts w:ascii="Times New Roman" w:hAnsi="Times New Roman"/>
      <w:b/>
      <w:bCs/>
      <w:kern w:val="2"/>
      <w:sz w:val="28"/>
      <w:szCs w:val="28"/>
    </w:rPr>
  </w:style>
  <w:style w:type="character" w:customStyle="1" w:styleId="33">
    <w:name w:val="纯文本 Char"/>
    <w:qFormat/>
    <w:uiPriority w:val="0"/>
    <w:rPr>
      <w:rFonts w:ascii="宋体" w:hAnsi="Courier New" w:eastAsia="宋体" w:cs="Courier New"/>
      <w:szCs w:val="21"/>
    </w:rPr>
  </w:style>
  <w:style w:type="character" w:customStyle="1" w:styleId="34">
    <w:name w:val="textcontents"/>
    <w:basedOn w:val="23"/>
    <w:qFormat/>
    <w:uiPriority w:val="0"/>
  </w:style>
  <w:style w:type="character" w:customStyle="1" w:styleId="35">
    <w:name w:val="页眉 Char"/>
    <w:link w:val="16"/>
    <w:qFormat/>
    <w:uiPriority w:val="99"/>
    <w:rPr>
      <w:sz w:val="18"/>
      <w:szCs w:val="18"/>
    </w:rPr>
  </w:style>
  <w:style w:type="character" w:customStyle="1" w:styleId="36">
    <w:name w:val="标题 8 Char1"/>
    <w:link w:val="6"/>
    <w:semiHidden/>
    <w:qFormat/>
    <w:uiPriority w:val="9"/>
    <w:rPr>
      <w:rFonts w:ascii="等线 Light" w:hAnsi="等线 Light" w:eastAsia="等线 Light" w:cs="Times New Roman"/>
      <w:kern w:val="2"/>
      <w:sz w:val="24"/>
      <w:szCs w:val="24"/>
    </w:rPr>
  </w:style>
  <w:style w:type="character" w:customStyle="1" w:styleId="37">
    <w:name w:val="正文文本 Char1"/>
    <w:link w:val="9"/>
    <w:qFormat/>
    <w:uiPriority w:val="0"/>
    <w:rPr>
      <w:rFonts w:ascii="Times New Roman" w:hAnsi="Times New Roman"/>
      <w:kern w:val="2"/>
      <w:sz w:val="21"/>
      <w:szCs w:val="24"/>
    </w:rPr>
  </w:style>
  <w:style w:type="character" w:customStyle="1" w:styleId="38">
    <w:name w:val="日期 Char"/>
    <w:link w:val="13"/>
    <w:semiHidden/>
    <w:qFormat/>
    <w:uiPriority w:val="99"/>
    <w:rPr>
      <w:rFonts w:ascii="Times New Roman" w:hAnsi="Times New Roman"/>
      <w:kern w:val="2"/>
      <w:sz w:val="21"/>
      <w:szCs w:val="24"/>
    </w:rPr>
  </w:style>
  <w:style w:type="character" w:customStyle="1" w:styleId="39">
    <w:name w:val="批注文字 Char"/>
    <w:qFormat/>
    <w:uiPriority w:val="0"/>
    <w:rPr>
      <w:rFonts w:ascii="Times New Roman" w:hAnsi="Times New Roman"/>
      <w:kern w:val="2"/>
      <w:sz w:val="21"/>
      <w:szCs w:val="24"/>
    </w:rPr>
  </w:style>
  <w:style w:type="character" w:customStyle="1" w:styleId="40">
    <w:name w:val="标题 8 Char"/>
    <w:qFormat/>
    <w:uiPriority w:val="0"/>
    <w:rPr>
      <w:rFonts w:ascii="Arial" w:hAnsi="Arial" w:eastAsia="黑体"/>
      <w:kern w:val="2"/>
      <w:sz w:val="24"/>
      <w:szCs w:val="24"/>
    </w:rPr>
  </w:style>
  <w:style w:type="character" w:customStyle="1" w:styleId="41">
    <w:name w:val="页脚 Char"/>
    <w:link w:val="15"/>
    <w:qFormat/>
    <w:uiPriority w:val="99"/>
    <w:rPr>
      <w:sz w:val="18"/>
      <w:szCs w:val="18"/>
    </w:rPr>
  </w:style>
  <w:style w:type="character" w:customStyle="1" w:styleId="42">
    <w:name w:val="apple-style-span"/>
    <w:basedOn w:val="23"/>
    <w:qFormat/>
    <w:uiPriority w:val="0"/>
  </w:style>
  <w:style w:type="character" w:customStyle="1" w:styleId="43">
    <w:name w:val="标题 2 Char"/>
    <w:qFormat/>
    <w:uiPriority w:val="9"/>
    <w:rPr>
      <w:rFonts w:ascii="Cambria" w:hAnsi="Cambria" w:eastAsia="宋体" w:cs="Times New Roman"/>
      <w:b/>
      <w:bCs/>
      <w:kern w:val="2"/>
      <w:sz w:val="32"/>
      <w:szCs w:val="32"/>
    </w:rPr>
  </w:style>
  <w:style w:type="character" w:customStyle="1" w:styleId="4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5">
    <w:name w:val="标题 2 Char1"/>
    <w:link w:val="2"/>
    <w:qFormat/>
    <w:uiPriority w:val="9"/>
    <w:rPr>
      <w:rFonts w:ascii="Cambria" w:hAnsi="Cambria" w:eastAsia="宋体" w:cs="Times New Roman"/>
      <w:b/>
      <w:bCs/>
      <w:kern w:val="2"/>
      <w:sz w:val="32"/>
      <w:szCs w:val="32"/>
    </w:rPr>
  </w:style>
  <w:style w:type="paragraph" w:styleId="46">
    <w:name w:val="List Paragraph"/>
    <w:basedOn w:val="1"/>
    <w:qFormat/>
    <w:uiPriority w:val="34"/>
    <w:pPr>
      <w:ind w:firstLine="420" w:firstLineChars="200"/>
    </w:pPr>
  </w:style>
  <w:style w:type="paragraph" w:customStyle="1" w:styleId="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8">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7169"/>
    <customShpInfo spid="_x0000_s71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8918</Words>
  <Characters>50833</Characters>
  <Lines>423</Lines>
  <Paragraphs>119</Paragraphs>
  <TotalTime>0</TotalTime>
  <ScaleCrop>false</ScaleCrop>
  <LinksUpToDate>false</LinksUpToDate>
  <CharactersWithSpaces>59632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2020-12-15T03:06:00Z</dcterms:created>
  <dc:creator>唐冰</dc:creator>
  <cp:lastModifiedBy>GJC</cp:lastModifiedBy>
  <cp:lastPrinted>2020-12-18T08:11:00Z</cp:lastPrinted>
  <dcterms:modified xsi:type="dcterms:W3CDTF">2020-12-21T01:17:40Z</dcterms:modified>
  <dc:title>竞争性谈判文件规范</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