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right="720" w:rightChars="300" w:firstLine="478" w:firstLineChars="92"/>
        <w:jc w:val="center"/>
        <w:outlineLvl w:val="0"/>
        <w:rPr>
          <w:rFonts w:hint="eastAsia" w:ascii="宋体" w:hAnsi="宋体" w:eastAsia="宋体" w:cs="宋体"/>
          <w:b/>
          <w:color w:val="auto"/>
          <w:sz w:val="52"/>
          <w:szCs w:val="52"/>
          <w:highlight w:val="none"/>
        </w:rPr>
      </w:pPr>
    </w:p>
    <w:p>
      <w:pPr>
        <w:pStyle w:val="16"/>
        <w:jc w:val="center"/>
        <w:outlineLvl w:val="0"/>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广西联云项目管理有限公司</w:t>
      </w:r>
    </w:p>
    <w:p>
      <w:pPr>
        <w:pStyle w:val="16"/>
        <w:jc w:val="center"/>
        <w:rPr>
          <w:rFonts w:hint="eastAsia" w:ascii="宋体" w:hAnsi="宋体" w:eastAsia="宋体" w:cs="宋体"/>
          <w:color w:val="auto"/>
          <w:sz w:val="96"/>
          <w:szCs w:val="96"/>
          <w:highlight w:val="none"/>
        </w:rPr>
      </w:pPr>
    </w:p>
    <w:p>
      <w:pPr>
        <w:pStyle w:val="10"/>
        <w:rPr>
          <w:rFonts w:hint="eastAsia" w:ascii="宋体" w:hAnsi="宋体" w:eastAsia="宋体" w:cs="宋体"/>
          <w:color w:val="auto"/>
          <w:sz w:val="96"/>
          <w:szCs w:val="96"/>
          <w:highlight w:val="none"/>
        </w:rPr>
      </w:pPr>
    </w:p>
    <w:p>
      <w:pPr>
        <w:rPr>
          <w:rFonts w:hint="eastAsia" w:ascii="宋体" w:hAnsi="宋体" w:eastAsia="宋体" w:cs="宋体"/>
          <w:color w:val="auto"/>
          <w:highlight w:val="none"/>
        </w:rPr>
      </w:pPr>
    </w:p>
    <w:p>
      <w:pPr>
        <w:pStyle w:val="16"/>
        <w:jc w:val="center"/>
        <w:outlineLvl w:val="0"/>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公开招标文件</w:t>
      </w:r>
    </w:p>
    <w:p>
      <w:pPr>
        <w:pStyle w:val="16"/>
        <w:ind w:right="720" w:rightChars="300" w:firstLine="640" w:firstLineChars="200"/>
        <w:jc w:val="center"/>
        <w:outlineLvl w:val="0"/>
        <w:rPr>
          <w:rFonts w:hint="eastAsia" w:ascii="宋体" w:hAnsi="宋体" w:eastAsia="宋体" w:cs="宋体"/>
          <w:b/>
          <w:bCs/>
          <w:color w:val="auto"/>
          <w:sz w:val="32"/>
          <w:szCs w:val="32"/>
          <w:highlight w:val="none"/>
        </w:rPr>
      </w:pPr>
    </w:p>
    <w:p>
      <w:pPr>
        <w:pStyle w:val="10"/>
        <w:rPr>
          <w:rFonts w:hint="eastAsia" w:ascii="宋体" w:hAnsi="宋体" w:eastAsia="宋体" w:cs="宋体"/>
          <w:b/>
          <w:bCs/>
          <w:color w:val="auto"/>
          <w:sz w:val="32"/>
          <w:szCs w:val="32"/>
          <w:highlight w:val="none"/>
        </w:rPr>
      </w:pPr>
    </w:p>
    <w:p>
      <w:pPr>
        <w:pStyle w:val="6"/>
        <w:rPr>
          <w:rFonts w:hint="eastAsia" w:ascii="宋体" w:hAnsi="宋体" w:eastAsia="宋体" w:cs="宋体"/>
          <w:color w:val="auto"/>
          <w:highlight w:val="none"/>
        </w:rPr>
      </w:pPr>
    </w:p>
    <w:p>
      <w:pPr>
        <w:pStyle w:val="16"/>
        <w:ind w:right="720" w:rightChars="300" w:firstLine="640" w:firstLineChars="200"/>
        <w:jc w:val="center"/>
        <w:outlineLvl w:val="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项目名称：</w:t>
      </w:r>
      <w:r>
        <w:rPr>
          <w:rFonts w:hint="eastAsia" w:hAnsi="宋体" w:cs="宋体"/>
          <w:b/>
          <w:bCs/>
          <w:color w:val="auto"/>
          <w:sz w:val="32"/>
          <w:szCs w:val="32"/>
          <w:highlight w:val="none"/>
          <w:lang w:eastAsia="zh-CN"/>
        </w:rPr>
        <w:t>荔浦市自然灾害防治体系建设物资采购</w:t>
      </w:r>
    </w:p>
    <w:p>
      <w:pPr>
        <w:pStyle w:val="16"/>
        <w:ind w:right="720" w:rightChars="300" w:firstLine="640" w:firstLineChars="200"/>
        <w:jc w:val="center"/>
        <w:outlineLvl w:val="0"/>
        <w:rPr>
          <w:rFonts w:hint="eastAsia" w:ascii="宋体" w:hAnsi="宋体" w:eastAsia="宋体" w:cs="宋体"/>
          <w:b/>
          <w:color w:val="auto"/>
          <w:sz w:val="44"/>
          <w:szCs w:val="44"/>
          <w:highlight w:val="none"/>
          <w:lang w:eastAsia="zh-CN"/>
        </w:rPr>
      </w:pPr>
      <w:r>
        <w:rPr>
          <w:rFonts w:hint="eastAsia" w:ascii="宋体" w:hAnsi="宋体" w:eastAsia="宋体" w:cs="宋体"/>
          <w:b/>
          <w:bCs/>
          <w:color w:val="auto"/>
          <w:sz w:val="32"/>
          <w:szCs w:val="32"/>
          <w:highlight w:val="none"/>
        </w:rPr>
        <w:t>项目编号：</w:t>
      </w:r>
      <w:r>
        <w:rPr>
          <w:rFonts w:hint="eastAsia" w:hAnsi="宋体" w:cs="宋体"/>
          <w:b/>
          <w:bCs/>
          <w:color w:val="auto"/>
          <w:sz w:val="32"/>
          <w:szCs w:val="32"/>
          <w:highlight w:val="none"/>
          <w:lang w:eastAsia="zh-CN"/>
        </w:rPr>
        <w:t>GLZC2020-G1-310062-GXLY</w:t>
      </w:r>
    </w:p>
    <w:p>
      <w:pPr>
        <w:spacing w:line="1400" w:lineRule="exact"/>
        <w:ind w:firstLine="640" w:firstLineChars="200"/>
        <w:jc w:val="center"/>
        <w:rPr>
          <w:rFonts w:hint="eastAsia" w:ascii="宋体" w:hAnsi="宋体" w:eastAsia="宋体" w:cs="宋体"/>
          <w:b/>
          <w:color w:val="auto"/>
          <w:sz w:val="32"/>
          <w:szCs w:val="32"/>
          <w:highlight w:val="none"/>
        </w:rPr>
      </w:pPr>
    </w:p>
    <w:p>
      <w:pPr>
        <w:pStyle w:val="13"/>
        <w:ind w:left="31680" w:right="31680"/>
        <w:rPr>
          <w:rFonts w:hint="eastAsia" w:ascii="宋体" w:hAnsi="宋体" w:eastAsia="宋体" w:cs="宋体"/>
          <w:b/>
          <w:color w:val="auto"/>
          <w:sz w:val="32"/>
          <w:szCs w:val="32"/>
          <w:highlight w:val="none"/>
        </w:rPr>
      </w:pPr>
    </w:p>
    <w:p>
      <w:pPr>
        <w:pStyle w:val="13"/>
        <w:ind w:left="0" w:leftChars="0" w:right="31680"/>
        <w:jc w:val="both"/>
        <w:rPr>
          <w:rFonts w:hint="eastAsia" w:ascii="宋体" w:hAnsi="宋体" w:eastAsia="宋体" w:cs="宋体"/>
          <w:b/>
          <w:color w:val="auto"/>
          <w:sz w:val="32"/>
          <w:szCs w:val="32"/>
          <w:highlight w:val="none"/>
        </w:rPr>
      </w:pPr>
    </w:p>
    <w:p>
      <w:pPr>
        <w:pStyle w:val="13"/>
        <w:ind w:left="0" w:leftChars="0" w:right="31680" w:firstLine="713" w:firstLineChars="223"/>
        <w:jc w:val="center"/>
        <w:outlineLvl w:val="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采购人</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荔浦市应急管理局</w:t>
      </w:r>
    </w:p>
    <w:p>
      <w:pPr>
        <w:pStyle w:val="13"/>
        <w:ind w:left="0" w:leftChars="0" w:right="31680" w:firstLine="713" w:firstLineChars="223"/>
        <w:jc w:val="center"/>
        <w:outlineLvl w:val="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eastAsia="zh-CN"/>
        </w:rPr>
        <w:t>采购代理机构：广西联云项目管理有限公司</w:t>
      </w:r>
    </w:p>
    <w:p>
      <w:pPr>
        <w:ind w:firstLine="640" w:firstLineChars="200"/>
        <w:jc w:val="center"/>
        <w:outlineLvl w:val="0"/>
        <w:rPr>
          <w:rFonts w:hint="eastAsia" w:ascii="宋体" w:hAnsi="宋体" w:eastAsia="宋体" w:cs="宋体"/>
          <w:color w:val="auto"/>
          <w:highlight w:val="none"/>
        </w:rPr>
      </w:pPr>
      <w:r>
        <w:rPr>
          <w:rFonts w:hint="eastAsia" w:ascii="宋体" w:hAnsi="宋体" w:eastAsia="宋体" w:cs="宋体"/>
          <w:b/>
          <w:color w:val="auto"/>
          <w:sz w:val="32"/>
          <w:szCs w:val="32"/>
          <w:highlight w:val="none"/>
          <w:lang w:val="en-US" w:eastAsia="zh-CN"/>
        </w:rPr>
        <w:t>202</w:t>
      </w:r>
      <w:r>
        <w:rPr>
          <w:rFonts w:hint="eastAsia" w:ascii="宋体" w:hAnsi="宋体" w:cs="宋体"/>
          <w:b/>
          <w:color w:val="auto"/>
          <w:sz w:val="32"/>
          <w:szCs w:val="32"/>
          <w:highlight w:val="none"/>
          <w:lang w:val="en-US" w:eastAsia="zh-CN"/>
        </w:rPr>
        <w:t>1</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1</w:t>
      </w:r>
      <w:r>
        <w:rPr>
          <w:rFonts w:hint="eastAsia" w:ascii="宋体" w:hAnsi="宋体" w:eastAsia="宋体" w:cs="宋体"/>
          <w:b/>
          <w:color w:val="auto"/>
          <w:sz w:val="32"/>
          <w:szCs w:val="32"/>
          <w:highlight w:val="none"/>
        </w:rPr>
        <w:t>月</w:t>
      </w:r>
    </w:p>
    <w:p>
      <w:pPr>
        <w:tabs>
          <w:tab w:val="left" w:pos="1540"/>
        </w:tabs>
        <w:spacing w:before="40"/>
        <w:ind w:left="0" w:right="208" w:firstLine="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t>录</w:t>
      </w:r>
    </w:p>
    <w:p>
      <w:pPr>
        <w:pStyle w:val="19"/>
        <w:tabs>
          <w:tab w:val="right" w:leader="dot" w:pos="9679"/>
        </w:tabs>
        <w:spacing w:before="425"/>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"_TOC_250005"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pacing w:val="-6"/>
          <w:sz w:val="28"/>
          <w:szCs w:val="28"/>
          <w:highlight w:val="none"/>
        </w:rPr>
        <w:t>一</w:t>
      </w:r>
      <w:r>
        <w:rPr>
          <w:rFonts w:hint="eastAsia" w:ascii="宋体" w:hAnsi="宋体" w:eastAsia="宋体" w:cs="宋体"/>
          <w:color w:val="auto"/>
          <w:sz w:val="28"/>
          <w:szCs w:val="28"/>
          <w:highlight w:val="none"/>
        </w:rPr>
        <w:t>章：</w:t>
      </w:r>
      <w:r>
        <w:rPr>
          <w:rFonts w:hint="eastAsia" w:ascii="宋体" w:hAnsi="宋体" w:eastAsia="宋体" w:cs="宋体"/>
          <w:color w:val="auto"/>
          <w:spacing w:val="-6"/>
          <w:sz w:val="28"/>
          <w:szCs w:val="28"/>
          <w:highlight w:val="none"/>
        </w:rPr>
        <w:t>公</w:t>
      </w:r>
      <w:r>
        <w:rPr>
          <w:rFonts w:hint="eastAsia" w:ascii="宋体" w:hAnsi="宋体" w:eastAsia="宋体" w:cs="宋体"/>
          <w:color w:val="auto"/>
          <w:sz w:val="28"/>
          <w:szCs w:val="28"/>
          <w:highlight w:val="none"/>
        </w:rPr>
        <w:t>开招</w:t>
      </w:r>
      <w:r>
        <w:rPr>
          <w:rFonts w:hint="eastAsia" w:ascii="宋体" w:hAnsi="宋体" w:eastAsia="宋体" w:cs="宋体"/>
          <w:color w:val="auto"/>
          <w:spacing w:val="-6"/>
          <w:sz w:val="28"/>
          <w:szCs w:val="28"/>
          <w:highlight w:val="none"/>
        </w:rPr>
        <w:t>标</w:t>
      </w:r>
      <w:r>
        <w:rPr>
          <w:rFonts w:hint="eastAsia" w:ascii="宋体" w:hAnsi="宋体" w:eastAsia="宋体" w:cs="宋体"/>
          <w:color w:val="auto"/>
          <w:sz w:val="28"/>
          <w:szCs w:val="28"/>
          <w:highlight w:val="none"/>
        </w:rPr>
        <w:t>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p>
    <w:p>
      <w:pPr>
        <w:pStyle w:val="19"/>
        <w:tabs>
          <w:tab w:val="right" w:leader="dot" w:pos="9679"/>
        </w:tabs>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"_TOC_250004"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pacing w:val="-6"/>
          <w:sz w:val="28"/>
          <w:szCs w:val="28"/>
          <w:highlight w:val="none"/>
        </w:rPr>
        <w:t>二</w:t>
      </w:r>
      <w:r>
        <w:rPr>
          <w:rFonts w:hint="eastAsia" w:ascii="宋体" w:hAnsi="宋体" w:eastAsia="宋体" w:cs="宋体"/>
          <w:color w:val="auto"/>
          <w:sz w:val="28"/>
          <w:szCs w:val="28"/>
          <w:highlight w:val="none"/>
        </w:rPr>
        <w:t>章：</w:t>
      </w:r>
      <w:r>
        <w:rPr>
          <w:rFonts w:hint="eastAsia" w:ascii="宋体" w:hAnsi="宋体" w:eastAsia="宋体" w:cs="宋体"/>
          <w:color w:val="auto"/>
          <w:spacing w:val="-6"/>
          <w:sz w:val="28"/>
          <w:szCs w:val="28"/>
          <w:highlight w:val="none"/>
        </w:rPr>
        <w:t>投</w:t>
      </w:r>
      <w:r>
        <w:rPr>
          <w:rFonts w:hint="eastAsia" w:ascii="宋体" w:hAnsi="宋体" w:eastAsia="宋体" w:cs="宋体"/>
          <w:color w:val="auto"/>
          <w:sz w:val="28"/>
          <w:szCs w:val="28"/>
          <w:highlight w:val="none"/>
        </w:rPr>
        <w:t>标人</w:t>
      </w:r>
      <w:r>
        <w:rPr>
          <w:rFonts w:hint="eastAsia" w:ascii="宋体" w:hAnsi="宋体" w:eastAsia="宋体" w:cs="宋体"/>
          <w:color w:val="auto"/>
          <w:spacing w:val="-6"/>
          <w:sz w:val="28"/>
          <w:szCs w:val="28"/>
          <w:highlight w:val="none"/>
        </w:rPr>
        <w:t>须</w:t>
      </w:r>
      <w:r>
        <w:rPr>
          <w:rFonts w:hint="eastAsia" w:ascii="宋体" w:hAnsi="宋体" w:eastAsia="宋体" w:cs="宋体"/>
          <w:color w:val="auto"/>
          <w:sz w:val="28"/>
          <w:szCs w:val="28"/>
          <w:highlight w:val="none"/>
        </w:rPr>
        <w:t>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p>
    <w:p>
      <w:pPr>
        <w:pStyle w:val="19"/>
        <w:tabs>
          <w:tab w:val="right" w:leader="dot" w:pos="9674"/>
        </w:tabs>
        <w:spacing w:before="247"/>
        <w:ind w:left="0" w:leftChars="0"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"_TOC_250003"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pacing w:val="-6"/>
          <w:sz w:val="28"/>
          <w:szCs w:val="28"/>
          <w:highlight w:val="none"/>
        </w:rPr>
        <w:t>三</w:t>
      </w:r>
      <w:r>
        <w:rPr>
          <w:rFonts w:hint="eastAsia" w:ascii="宋体" w:hAnsi="宋体" w:eastAsia="宋体" w:cs="宋体"/>
          <w:color w:val="auto"/>
          <w:sz w:val="28"/>
          <w:szCs w:val="28"/>
          <w:highlight w:val="none"/>
        </w:rPr>
        <w:t>章：</w:t>
      </w:r>
      <w:r>
        <w:rPr>
          <w:rFonts w:hint="eastAsia" w:ascii="宋体" w:hAnsi="宋体" w:eastAsia="宋体" w:cs="宋体"/>
          <w:color w:val="auto"/>
          <w:sz w:val="28"/>
          <w:szCs w:val="28"/>
          <w:highlight w:val="none"/>
          <w:lang w:eastAsia="zh-CN"/>
        </w:rPr>
        <w:t>货物采购需求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0</w:t>
      </w:r>
    </w:p>
    <w:p>
      <w:pPr>
        <w:pStyle w:val="19"/>
        <w:tabs>
          <w:tab w:val="right" w:leader="dot" w:pos="9674"/>
        </w:tabs>
        <w:ind w:left="0" w:leftChars="0"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"_TOC_250002"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pacing w:val="-6"/>
          <w:sz w:val="28"/>
          <w:szCs w:val="28"/>
          <w:highlight w:val="none"/>
        </w:rPr>
        <w:t>四</w:t>
      </w:r>
      <w:r>
        <w:rPr>
          <w:rFonts w:hint="eastAsia" w:ascii="宋体" w:hAnsi="宋体" w:eastAsia="宋体" w:cs="宋体"/>
          <w:color w:val="auto"/>
          <w:sz w:val="28"/>
          <w:szCs w:val="28"/>
          <w:highlight w:val="none"/>
        </w:rPr>
        <w:t>章：</w:t>
      </w:r>
      <w:r>
        <w:rPr>
          <w:rFonts w:hint="eastAsia" w:ascii="宋体" w:hAnsi="宋体" w:eastAsia="宋体" w:cs="宋体"/>
          <w:color w:val="auto"/>
          <w:spacing w:val="-6"/>
          <w:sz w:val="28"/>
          <w:szCs w:val="28"/>
          <w:highlight w:val="none"/>
        </w:rPr>
        <w:t>评</w:t>
      </w:r>
      <w:r>
        <w:rPr>
          <w:rFonts w:hint="eastAsia" w:ascii="宋体" w:hAnsi="宋体" w:eastAsia="宋体" w:cs="宋体"/>
          <w:color w:val="auto"/>
          <w:sz w:val="28"/>
          <w:szCs w:val="28"/>
          <w:highlight w:val="none"/>
        </w:rPr>
        <w:t>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71</w:t>
      </w:r>
    </w:p>
    <w:p>
      <w:pPr>
        <w:pStyle w:val="19"/>
        <w:tabs>
          <w:tab w:val="right" w:leader="dot" w:pos="9685"/>
        </w:tabs>
        <w:spacing w:before="252"/>
        <w:ind w:left="0" w:leftChars="0"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"_TOC_250001"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pacing w:val="-6"/>
          <w:sz w:val="28"/>
          <w:szCs w:val="28"/>
          <w:highlight w:val="none"/>
        </w:rPr>
        <w:t>五</w:t>
      </w:r>
      <w:r>
        <w:rPr>
          <w:rFonts w:hint="eastAsia" w:ascii="宋体" w:hAnsi="宋体" w:eastAsia="宋体" w:cs="宋体"/>
          <w:color w:val="auto"/>
          <w:sz w:val="28"/>
          <w:szCs w:val="28"/>
          <w:highlight w:val="none"/>
        </w:rPr>
        <w:t>章：</w:t>
      </w:r>
      <w:r>
        <w:rPr>
          <w:rFonts w:hint="eastAsia" w:ascii="宋体" w:hAnsi="宋体" w:eastAsia="宋体" w:cs="宋体"/>
          <w:color w:val="auto"/>
          <w:spacing w:val="-6"/>
          <w:sz w:val="28"/>
          <w:szCs w:val="28"/>
          <w:highlight w:val="none"/>
        </w:rPr>
        <w:t>政</w:t>
      </w:r>
      <w:r>
        <w:rPr>
          <w:rFonts w:hint="eastAsia" w:ascii="宋体" w:hAnsi="宋体" w:eastAsia="宋体" w:cs="宋体"/>
          <w:color w:val="auto"/>
          <w:sz w:val="28"/>
          <w:szCs w:val="28"/>
          <w:highlight w:val="none"/>
        </w:rPr>
        <w:t>府采购合同</w:t>
      </w:r>
      <w:r>
        <w:rPr>
          <w:rFonts w:hint="eastAsia" w:ascii="宋体" w:hAnsi="宋体" w:eastAsia="宋体" w:cs="宋体"/>
          <w:color w:val="auto"/>
          <w:spacing w:val="-6"/>
          <w:sz w:val="28"/>
          <w:szCs w:val="28"/>
          <w:highlight w:val="none"/>
        </w:rPr>
        <w:t>（</w:t>
      </w:r>
      <w:r>
        <w:rPr>
          <w:rFonts w:hint="eastAsia" w:ascii="宋体" w:hAnsi="宋体" w:eastAsia="宋体" w:cs="宋体"/>
          <w:color w:val="auto"/>
          <w:sz w:val="28"/>
          <w:szCs w:val="28"/>
          <w:highlight w:val="none"/>
        </w:rPr>
        <w:t>合同</w:t>
      </w:r>
      <w:r>
        <w:rPr>
          <w:rFonts w:hint="eastAsia" w:ascii="宋体" w:hAnsi="宋体" w:eastAsia="宋体" w:cs="宋体"/>
          <w:color w:val="auto"/>
          <w:spacing w:val="-6"/>
          <w:sz w:val="28"/>
          <w:szCs w:val="28"/>
          <w:highlight w:val="none"/>
        </w:rPr>
        <w:t>主</w:t>
      </w:r>
      <w:r>
        <w:rPr>
          <w:rFonts w:hint="eastAsia" w:ascii="宋体" w:hAnsi="宋体" w:eastAsia="宋体" w:cs="宋体"/>
          <w:color w:val="auto"/>
          <w:sz w:val="28"/>
          <w:szCs w:val="28"/>
          <w:highlight w:val="none"/>
        </w:rPr>
        <w:t>要条</w:t>
      </w:r>
      <w:r>
        <w:rPr>
          <w:rFonts w:hint="eastAsia" w:ascii="宋体" w:hAnsi="宋体" w:eastAsia="宋体" w:cs="宋体"/>
          <w:color w:val="auto"/>
          <w:spacing w:val="-6"/>
          <w:sz w:val="28"/>
          <w:szCs w:val="28"/>
          <w:highlight w:val="none"/>
        </w:rPr>
        <w:t>款</w:t>
      </w:r>
      <w:r>
        <w:rPr>
          <w:rFonts w:hint="eastAsia" w:ascii="宋体" w:hAnsi="宋体" w:eastAsia="宋体" w:cs="宋体"/>
          <w:color w:val="auto"/>
          <w:sz w:val="28"/>
          <w:szCs w:val="28"/>
          <w:highlight w:val="none"/>
        </w:rPr>
        <w:t>及格</w:t>
      </w:r>
      <w:r>
        <w:rPr>
          <w:rFonts w:hint="eastAsia" w:ascii="宋体" w:hAnsi="宋体" w:eastAsia="宋体" w:cs="宋体"/>
          <w:color w:val="auto"/>
          <w:spacing w:val="-6"/>
          <w:sz w:val="28"/>
          <w:szCs w:val="28"/>
          <w:highlight w:val="none"/>
        </w:rPr>
        <w:t>式</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75</w:t>
      </w:r>
    </w:p>
    <w:p>
      <w:pPr>
        <w:pStyle w:val="19"/>
        <w:tabs>
          <w:tab w:val="right" w:leader="dot" w:pos="9680"/>
        </w:tabs>
        <w:ind w:left="0" w:leftChars="0"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"_TOC_250000"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pacing w:val="-6"/>
          <w:sz w:val="28"/>
          <w:szCs w:val="28"/>
          <w:highlight w:val="none"/>
        </w:rPr>
        <w:t>六</w:t>
      </w:r>
      <w:r>
        <w:rPr>
          <w:rFonts w:hint="eastAsia" w:ascii="宋体" w:hAnsi="宋体" w:eastAsia="宋体" w:cs="宋体"/>
          <w:color w:val="auto"/>
          <w:sz w:val="28"/>
          <w:szCs w:val="28"/>
          <w:highlight w:val="none"/>
        </w:rPr>
        <w:t>章：</w:t>
      </w:r>
      <w:r>
        <w:rPr>
          <w:rFonts w:hint="eastAsia" w:ascii="宋体" w:hAnsi="宋体" w:eastAsia="宋体" w:cs="宋体"/>
          <w:color w:val="auto"/>
          <w:spacing w:val="-6"/>
          <w:sz w:val="28"/>
          <w:szCs w:val="28"/>
          <w:highlight w:val="none"/>
        </w:rPr>
        <w:t>投</w:t>
      </w:r>
      <w:r>
        <w:rPr>
          <w:rFonts w:hint="eastAsia" w:ascii="宋体" w:hAnsi="宋体" w:eastAsia="宋体" w:cs="宋体"/>
          <w:color w:val="auto"/>
          <w:sz w:val="28"/>
          <w:szCs w:val="28"/>
          <w:highlight w:val="none"/>
        </w:rPr>
        <w:t>标文</w:t>
      </w:r>
      <w:r>
        <w:rPr>
          <w:rFonts w:hint="eastAsia" w:ascii="宋体" w:hAnsi="宋体" w:eastAsia="宋体" w:cs="宋体"/>
          <w:color w:val="auto"/>
          <w:spacing w:val="-6"/>
          <w:sz w:val="28"/>
          <w:szCs w:val="28"/>
          <w:highlight w:val="none"/>
        </w:rPr>
        <w:t>件</w:t>
      </w:r>
      <w:r>
        <w:rPr>
          <w:rFonts w:hint="eastAsia" w:ascii="宋体" w:hAnsi="宋体" w:eastAsia="宋体" w:cs="宋体"/>
          <w:color w:val="auto"/>
          <w:sz w:val="28"/>
          <w:szCs w:val="28"/>
          <w:highlight w:val="none"/>
        </w:rPr>
        <w:t>（格</w:t>
      </w:r>
      <w:r>
        <w:rPr>
          <w:rFonts w:hint="eastAsia" w:ascii="宋体" w:hAnsi="宋体" w:eastAsia="宋体" w:cs="宋体"/>
          <w:color w:val="auto"/>
          <w:spacing w:val="-6"/>
          <w:sz w:val="28"/>
          <w:szCs w:val="28"/>
          <w:highlight w:val="none"/>
        </w:rPr>
        <w:t>式</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78</w:t>
      </w:r>
    </w:p>
    <w:p>
      <w:pPr>
        <w:spacing w:line="276"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8"/>
          <w:szCs w:val="28"/>
          <w:highlight w:val="none"/>
        </w:rPr>
        <w:fldChar w:fldCharType="end"/>
      </w: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pPr>
    </w:p>
    <w:p>
      <w:pPr>
        <w:spacing w:line="276" w:lineRule="auto"/>
        <w:jc w:val="center"/>
        <w:rPr>
          <w:rFonts w:hint="eastAsia" w:ascii="宋体" w:hAnsi="宋体" w:eastAsia="宋体" w:cs="宋体"/>
          <w:b/>
          <w:color w:val="auto"/>
          <w:sz w:val="32"/>
          <w:szCs w:val="32"/>
          <w:highlight w:val="none"/>
        </w:rPr>
        <w:sectPr>
          <w:pgSz w:w="11906" w:h="16838"/>
          <w:pgMar w:top="1440" w:right="1046" w:bottom="1440" w:left="1200" w:header="851" w:footer="992" w:gutter="0"/>
          <w:cols w:space="0" w:num="1"/>
          <w:docGrid w:type="linesAndChars" w:linePitch="312" w:charSpace="0"/>
        </w:sectPr>
      </w:pPr>
    </w:p>
    <w:p>
      <w:pPr>
        <w:spacing w:line="276" w:lineRule="auto"/>
        <w:jc w:val="center"/>
        <w:rPr>
          <w:rFonts w:hint="eastAsia" w:ascii="宋体" w:hAnsi="宋体" w:eastAsia="宋体" w:cs="宋体"/>
          <w:color w:val="auto"/>
          <w:highlight w:val="none"/>
        </w:rPr>
      </w:pPr>
      <w:r>
        <w:rPr>
          <w:rFonts w:hint="eastAsia" w:ascii="宋体" w:hAnsi="宋体" w:eastAsia="宋体" w:cs="宋体"/>
          <w:b/>
          <w:color w:val="auto"/>
          <w:sz w:val="32"/>
          <w:szCs w:val="32"/>
          <w:highlight w:val="none"/>
        </w:rPr>
        <w:t>第一章</w:t>
      </w:r>
      <w:r>
        <w:rPr>
          <w:rFonts w:hint="eastAsia" w:ascii="宋体" w:hAnsi="宋体" w:eastAsia="宋体" w:cs="宋体"/>
          <w:color w:val="auto"/>
          <w:highlight w:val="none"/>
        </w:rPr>
        <w:t xml:space="preserve"> </w:t>
      </w:r>
      <w:r>
        <w:rPr>
          <w:rFonts w:hint="eastAsia" w:ascii="宋体" w:hAnsi="宋体" w:eastAsia="宋体" w:cs="宋体"/>
          <w:b/>
          <w:color w:val="auto"/>
          <w:sz w:val="32"/>
          <w:szCs w:val="32"/>
          <w:highlight w:val="none"/>
        </w:rPr>
        <w:t>公开招标公告</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bCs w:val="0"/>
          <w:color w:val="auto"/>
          <w:sz w:val="21"/>
          <w:szCs w:val="21"/>
          <w:highlight w:val="none"/>
          <w:u w:val="single"/>
          <w:lang w:eastAsia="zh-CN"/>
        </w:rPr>
      </w:pPr>
      <w:bookmarkStart w:id="0" w:name="_Toc28359002"/>
      <w:bookmarkStart w:id="1" w:name="_Toc35393790"/>
      <w:bookmarkStart w:id="2" w:name="_Toc35393621"/>
      <w:bookmarkStart w:id="3" w:name="_Toc28359079"/>
      <w:bookmarkStart w:id="4" w:name="_Hlk24379207"/>
      <w:r>
        <w:rPr>
          <w:rFonts w:hint="eastAsia" w:ascii="宋体" w:hAnsi="宋体" w:eastAsia="宋体" w:cs="宋体"/>
          <w:b/>
          <w:bCs w:val="0"/>
          <w:color w:val="auto"/>
          <w:sz w:val="21"/>
          <w:szCs w:val="21"/>
          <w:highlight w:val="none"/>
          <w:u w:val="single"/>
          <w:lang w:eastAsia="zh-CN"/>
        </w:rPr>
        <w:t>项目概况：</w:t>
      </w:r>
    </w:p>
    <w:p>
      <w:pPr>
        <w:keepNext w:val="0"/>
        <w:keepLines w:val="0"/>
        <w:pageBreakBefore w:val="0"/>
        <w:widowControl/>
        <w:kinsoku/>
        <w:wordWrap/>
        <w:overflowPunct/>
        <w:topLinePunct w:val="0"/>
        <w:autoSpaceDE/>
        <w:autoSpaceDN/>
        <w:bidi w:val="0"/>
        <w:adjustRightInd/>
        <w:snapToGrid/>
        <w:spacing w:line="340" w:lineRule="exact"/>
        <w:ind w:firstLine="630" w:firstLineChars="300"/>
        <w:textAlignment w:val="auto"/>
        <w:rPr>
          <w:rFonts w:hint="eastAsia" w:ascii="宋体" w:hAnsi="宋体" w:eastAsia="宋体" w:cs="宋体"/>
          <w:b/>
          <w:color w:val="auto"/>
          <w:sz w:val="21"/>
          <w:szCs w:val="21"/>
          <w:highlight w:val="none"/>
          <w:lang w:eastAsia="zh-CN"/>
        </w:rPr>
      </w:pPr>
      <w:r>
        <w:rPr>
          <w:rFonts w:hint="eastAsia" w:ascii="宋体" w:hAnsi="宋体" w:cs="宋体"/>
          <w:bCs/>
          <w:color w:val="auto"/>
          <w:sz w:val="21"/>
          <w:szCs w:val="21"/>
          <w:highlight w:val="none"/>
          <w:lang w:eastAsia="zh-CN"/>
        </w:rPr>
        <w:t>荔浦市自然灾害防治体系建设物资采购</w:t>
      </w:r>
      <w:r>
        <w:rPr>
          <w:rFonts w:hint="eastAsia" w:ascii="宋体" w:hAnsi="宋体" w:eastAsia="宋体" w:cs="宋体"/>
          <w:bCs/>
          <w:color w:val="auto"/>
          <w:sz w:val="21"/>
          <w:szCs w:val="21"/>
          <w:highlight w:val="none"/>
        </w:rPr>
        <w:t>招标项目的潜在投标人应在桂林市公共资源交易中心网（http://glggzy.org.cn）或桂林市政府采购网（http://gl.zfcg.zcygov.cn）免费获取招标文件</w:t>
      </w:r>
      <w:r>
        <w:rPr>
          <w:rFonts w:hint="eastAsia" w:ascii="宋体" w:hAnsi="宋体" w:eastAsia="宋体" w:cs="宋体"/>
          <w:color w:val="auto"/>
          <w:sz w:val="21"/>
          <w:szCs w:val="21"/>
          <w:highlight w:val="none"/>
        </w:rPr>
        <w:t>，并于</w:t>
      </w:r>
      <w:r>
        <w:rPr>
          <w:rFonts w:hint="eastAsia" w:ascii="宋体" w:hAnsi="宋体" w:cs="宋体"/>
          <w:color w:val="auto"/>
          <w:sz w:val="21"/>
          <w:szCs w:val="21"/>
          <w:highlight w:val="none"/>
          <w:lang w:eastAsia="zh-CN"/>
        </w:rPr>
        <w:t>2021年</w:t>
      </w:r>
      <w:r>
        <w:rPr>
          <w:rFonts w:hint="eastAsia" w:ascii="宋体" w:hAnsi="宋体" w:cs="宋体"/>
          <w:color w:val="auto"/>
          <w:sz w:val="21"/>
          <w:szCs w:val="21"/>
          <w:highlight w:val="none"/>
          <w:lang w:val="en-US" w:eastAsia="zh-CN"/>
        </w:rPr>
        <w:t>1月26日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（北京时间）前递交投标文件</w:t>
      </w:r>
      <w:r>
        <w:rPr>
          <w:rFonts w:hint="eastAsia" w:ascii="宋体" w:hAnsi="宋体" w:eastAsia="宋体" w:cs="宋体"/>
          <w:bCs/>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bookmarkEnd w:id="0"/>
      <w:bookmarkEnd w:id="1"/>
      <w:bookmarkEnd w:id="2"/>
      <w:bookmarkEnd w:id="3"/>
    </w:p>
    <w:p>
      <w:pPr>
        <w:keepNext w:val="0"/>
        <w:keepLines w:val="0"/>
        <w:pageBreakBefore w:val="0"/>
        <w:widowControl/>
        <w:tabs>
          <w:tab w:val="left" w:pos="472"/>
        </w:tabs>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项目编号：</w:t>
      </w:r>
      <w:r>
        <w:rPr>
          <w:rFonts w:hint="eastAsia" w:ascii="宋体" w:hAnsi="宋体" w:cs="宋体"/>
          <w:bCs/>
          <w:color w:val="auto"/>
          <w:sz w:val="21"/>
          <w:szCs w:val="21"/>
          <w:highlight w:val="none"/>
          <w:lang w:eastAsia="zh-CN"/>
        </w:rPr>
        <w:t>GLZC2020-G1-310062-GXLY</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项目名称：</w:t>
      </w:r>
      <w:bookmarkEnd w:id="4"/>
      <w:r>
        <w:rPr>
          <w:rFonts w:hint="eastAsia" w:ascii="宋体" w:hAnsi="宋体" w:cs="宋体"/>
          <w:bCs/>
          <w:color w:val="auto"/>
          <w:sz w:val="21"/>
          <w:szCs w:val="21"/>
          <w:highlight w:val="none"/>
          <w:lang w:eastAsia="zh-CN"/>
        </w:rPr>
        <w:t>荔浦市自然灾害防治体系建设物资采购</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预算金额：</w:t>
      </w:r>
      <w:r>
        <w:rPr>
          <w:rFonts w:hint="eastAsia" w:ascii="宋体" w:hAnsi="宋体" w:cs="宋体"/>
          <w:bCs/>
          <w:color w:val="auto"/>
          <w:sz w:val="21"/>
          <w:szCs w:val="21"/>
          <w:highlight w:val="none"/>
          <w:lang w:val="en-US" w:eastAsia="zh-CN"/>
        </w:rPr>
        <w:t>5951000.00</w:t>
      </w:r>
      <w:r>
        <w:rPr>
          <w:rFonts w:hint="eastAsia" w:ascii="宋体" w:hAnsi="宋体" w:eastAsia="宋体" w:cs="宋体"/>
          <w:bCs/>
          <w:color w:val="auto"/>
          <w:sz w:val="21"/>
          <w:szCs w:val="21"/>
          <w:highlight w:val="none"/>
          <w:lang w:val="en-US" w:eastAsia="zh-CN"/>
        </w:rPr>
        <w:t>元整</w:t>
      </w:r>
      <w:r>
        <w:rPr>
          <w:rFonts w:hint="eastAsia" w:ascii="宋体" w:hAnsi="宋体" w:eastAsia="宋体" w:cs="宋体"/>
          <w:bCs/>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货物采购需求：</w:t>
      </w:r>
    </w:p>
    <w:tbl>
      <w:tblPr>
        <w:tblStyle w:val="24"/>
        <w:tblW w:w="66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
        <w:gridCol w:w="2758"/>
        <w:gridCol w:w="1700"/>
        <w:gridCol w:w="12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项号</w:t>
            </w:r>
          </w:p>
        </w:tc>
        <w:tc>
          <w:tcPr>
            <w:tcW w:w="2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17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1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1</w:t>
            </w:r>
          </w:p>
        </w:tc>
        <w:tc>
          <w:tcPr>
            <w:tcW w:w="2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棉胎</w:t>
            </w:r>
            <w:r>
              <w:rPr>
                <w:rFonts w:hint="eastAsia" w:ascii="宋体" w:hAnsi="宋体" w:cs="宋体"/>
                <w:color w:val="auto"/>
                <w:sz w:val="21"/>
                <w:szCs w:val="21"/>
                <w:lang w:eastAsia="zh-CN"/>
              </w:rPr>
              <w:t>、</w:t>
            </w:r>
            <w:r>
              <w:rPr>
                <w:rFonts w:hint="eastAsia" w:ascii="宋体" w:hAnsi="宋体" w:eastAsia="宋体" w:cs="宋体"/>
                <w:color w:val="auto"/>
                <w:sz w:val="21"/>
                <w:szCs w:val="21"/>
              </w:rPr>
              <w:t>被套</w:t>
            </w:r>
          </w:p>
        </w:tc>
        <w:tc>
          <w:tcPr>
            <w:tcW w:w="17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12300</w:t>
            </w:r>
          </w:p>
        </w:tc>
        <w:tc>
          <w:tcPr>
            <w:tcW w:w="1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2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垫被</w:t>
            </w:r>
          </w:p>
        </w:tc>
        <w:tc>
          <w:tcPr>
            <w:tcW w:w="17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12300</w:t>
            </w:r>
          </w:p>
        </w:tc>
        <w:tc>
          <w:tcPr>
            <w:tcW w:w="1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2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秋冬运动休闲套装</w:t>
            </w:r>
          </w:p>
        </w:tc>
        <w:tc>
          <w:tcPr>
            <w:tcW w:w="17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12300</w:t>
            </w:r>
          </w:p>
        </w:tc>
        <w:tc>
          <w:tcPr>
            <w:tcW w:w="1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2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解放鞋</w:t>
            </w:r>
          </w:p>
        </w:tc>
        <w:tc>
          <w:tcPr>
            <w:tcW w:w="17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1300</w:t>
            </w:r>
          </w:p>
        </w:tc>
        <w:tc>
          <w:tcPr>
            <w:tcW w:w="1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2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军大衣</w:t>
            </w:r>
          </w:p>
        </w:tc>
        <w:tc>
          <w:tcPr>
            <w:tcW w:w="17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200</w:t>
            </w:r>
          </w:p>
        </w:tc>
        <w:tc>
          <w:tcPr>
            <w:tcW w:w="1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2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夹克</w:t>
            </w:r>
          </w:p>
        </w:tc>
        <w:tc>
          <w:tcPr>
            <w:tcW w:w="17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200</w:t>
            </w:r>
          </w:p>
        </w:tc>
        <w:tc>
          <w:tcPr>
            <w:tcW w:w="1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2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sz w:val="21"/>
                <w:szCs w:val="21"/>
              </w:rPr>
            </w:pPr>
            <w:r>
              <w:rPr>
                <w:rFonts w:hint="eastAsia" w:ascii="宋体" w:hAnsi="宋体" w:cs="宋体"/>
                <w:color w:val="auto"/>
                <w:sz w:val="21"/>
                <w:szCs w:val="21"/>
                <w:lang w:eastAsia="zh-CN"/>
              </w:rPr>
              <w:t>冬</w:t>
            </w:r>
            <w:r>
              <w:rPr>
                <w:rFonts w:hint="eastAsia" w:ascii="宋体" w:hAnsi="宋体" w:eastAsia="宋体" w:cs="宋体"/>
                <w:color w:val="auto"/>
                <w:sz w:val="21"/>
                <w:szCs w:val="21"/>
              </w:rPr>
              <w:t>裤</w:t>
            </w:r>
          </w:p>
        </w:tc>
        <w:tc>
          <w:tcPr>
            <w:tcW w:w="17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b/>
                <w:bCs/>
                <w:color w:val="auto"/>
                <w:kern w:val="0"/>
                <w:sz w:val="21"/>
                <w:szCs w:val="21"/>
              </w:rPr>
            </w:pPr>
            <w:r>
              <w:rPr>
                <w:rFonts w:hint="eastAsia" w:ascii="宋体" w:hAnsi="宋体" w:eastAsia="宋体" w:cs="宋体"/>
                <w:color w:val="auto"/>
                <w:sz w:val="21"/>
                <w:szCs w:val="21"/>
              </w:rPr>
              <w:t>200</w:t>
            </w:r>
          </w:p>
        </w:tc>
        <w:tc>
          <w:tcPr>
            <w:tcW w:w="1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2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雨衣雨裤套装</w:t>
            </w:r>
          </w:p>
        </w:tc>
        <w:tc>
          <w:tcPr>
            <w:tcW w:w="17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w:t>
            </w:r>
          </w:p>
        </w:tc>
        <w:tc>
          <w:tcPr>
            <w:tcW w:w="1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w:t>
            </w:r>
          </w:p>
        </w:tc>
        <w:tc>
          <w:tcPr>
            <w:tcW w:w="2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雨鞋</w:t>
            </w:r>
          </w:p>
        </w:tc>
        <w:tc>
          <w:tcPr>
            <w:tcW w:w="17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w:t>
            </w:r>
          </w:p>
        </w:tc>
        <w:tc>
          <w:tcPr>
            <w:tcW w:w="1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2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sz w:val="21"/>
                <w:szCs w:val="21"/>
              </w:rPr>
            </w:pPr>
            <w:r>
              <w:rPr>
                <w:rFonts w:hint="eastAsia" w:ascii="宋体" w:hAnsi="宋体" w:cs="宋体"/>
                <w:sz w:val="21"/>
                <w:szCs w:val="21"/>
              </w:rPr>
              <w:t>背心穿带救生衣</w:t>
            </w:r>
          </w:p>
        </w:tc>
        <w:tc>
          <w:tcPr>
            <w:tcW w:w="17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500</w:t>
            </w:r>
          </w:p>
        </w:tc>
        <w:tc>
          <w:tcPr>
            <w:tcW w:w="1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w:t>
            </w:r>
          </w:p>
        </w:tc>
        <w:tc>
          <w:tcPr>
            <w:tcW w:w="2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防爆手电筒</w:t>
            </w:r>
          </w:p>
        </w:tc>
        <w:tc>
          <w:tcPr>
            <w:tcW w:w="17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30</w:t>
            </w:r>
          </w:p>
        </w:tc>
        <w:tc>
          <w:tcPr>
            <w:tcW w:w="1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rPr>
              <w:t>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sz w:val="21"/>
                <w:szCs w:val="21"/>
              </w:rPr>
              <w:t>12</w:t>
            </w:r>
          </w:p>
        </w:tc>
        <w:tc>
          <w:tcPr>
            <w:tcW w:w="2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eastAsia="宋体" w:cs="宋体"/>
                <w:color w:val="auto"/>
                <w:kern w:val="0"/>
                <w:sz w:val="21"/>
                <w:szCs w:val="21"/>
              </w:rPr>
            </w:pPr>
            <w:r>
              <w:rPr>
                <w:rFonts w:hint="eastAsia" w:ascii="宋体" w:hAnsi="宋体" w:eastAsia="宋体" w:cs="宋体"/>
                <w:sz w:val="21"/>
                <w:szCs w:val="21"/>
              </w:rPr>
              <w:t>多功能防爆手提灯</w:t>
            </w:r>
          </w:p>
        </w:tc>
        <w:tc>
          <w:tcPr>
            <w:tcW w:w="17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p>
        </w:tc>
        <w:tc>
          <w:tcPr>
            <w:tcW w:w="1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jc w:val="center"/>
              <w:rPr>
                <w:rFonts w:hint="eastAsia" w:ascii="宋体" w:hAnsi="宋体" w:eastAsia="宋体" w:cs="宋体"/>
                <w:color w:val="auto"/>
                <w:sz w:val="21"/>
                <w:szCs w:val="21"/>
              </w:rPr>
            </w:pPr>
            <w:r>
              <w:rPr>
                <w:rFonts w:hint="eastAsia"/>
                <w:lang w:eastAsia="zh-CN"/>
              </w:rPr>
              <w:t>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13</w:t>
            </w:r>
          </w:p>
        </w:tc>
        <w:tc>
          <w:tcPr>
            <w:tcW w:w="2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户外强光手电筒</w:t>
            </w:r>
          </w:p>
        </w:tc>
        <w:tc>
          <w:tcPr>
            <w:tcW w:w="17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500</w:t>
            </w:r>
          </w:p>
        </w:tc>
        <w:tc>
          <w:tcPr>
            <w:tcW w:w="1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jc w:val="center"/>
              <w:rPr>
                <w:rFonts w:hint="eastAsia" w:ascii="宋体" w:hAnsi="宋体" w:eastAsia="宋体" w:cs="宋体"/>
                <w:color w:val="auto"/>
                <w:sz w:val="21"/>
                <w:szCs w:val="21"/>
                <w:lang w:eastAsia="zh-CN"/>
              </w:rPr>
            </w:pPr>
            <w:r>
              <w:rPr>
                <w:rFonts w:hint="eastAsia"/>
                <w:lang w:val="en-US" w:eastAsia="zh-CN"/>
              </w:rPr>
              <w:t>支</w:t>
            </w:r>
          </w:p>
        </w:tc>
      </w:tr>
    </w:tbl>
    <w:p>
      <w:pPr>
        <w:pStyle w:val="11"/>
        <w:keepNext w:val="0"/>
        <w:keepLines w:val="0"/>
        <w:pageBreakBefore w:val="0"/>
        <w:widowControl/>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详见招标文件采购需求</w:t>
      </w:r>
    </w:p>
    <w:p>
      <w:pPr>
        <w:pStyle w:val="11"/>
        <w:keepNext w:val="0"/>
        <w:keepLines w:val="0"/>
        <w:pageBreakBefore w:val="0"/>
        <w:widowControl/>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交付使用时间:</w:t>
      </w:r>
      <w:r>
        <w:rPr>
          <w:rFonts w:hint="eastAsia" w:ascii="宋体" w:hAnsi="宋体" w:cs="宋体"/>
          <w:bCs/>
          <w:sz w:val="21"/>
          <w:szCs w:val="21"/>
        </w:rPr>
        <w:t>自签订合同之日起</w:t>
      </w:r>
      <w:r>
        <w:rPr>
          <w:rFonts w:hint="eastAsia" w:ascii="宋体" w:hAnsi="宋体" w:cs="宋体"/>
          <w:bCs/>
          <w:sz w:val="21"/>
          <w:szCs w:val="21"/>
          <w:lang w:val="en-US" w:eastAsia="zh-CN"/>
        </w:rPr>
        <w:t>5</w:t>
      </w:r>
      <w:r>
        <w:rPr>
          <w:rFonts w:hint="eastAsia" w:ascii="宋体" w:hAnsi="宋体" w:cs="宋体"/>
          <w:bCs/>
          <w:sz w:val="21"/>
          <w:szCs w:val="21"/>
        </w:rPr>
        <w:t>个工作日内</w:t>
      </w:r>
      <w:r>
        <w:rPr>
          <w:rFonts w:hint="eastAsia" w:ascii="宋体" w:hAnsi="宋体" w:cs="宋体"/>
          <w:bCs/>
          <w:sz w:val="21"/>
          <w:szCs w:val="21"/>
          <w:lang w:eastAsia="zh-CN"/>
        </w:rPr>
        <w:t>全部交货并验收合格</w:t>
      </w:r>
      <w:r>
        <w:rPr>
          <w:rFonts w:hint="eastAsia" w:ascii="宋体" w:hAnsi="宋体" w:eastAsia="宋体" w:cs="宋体"/>
          <w:bCs/>
          <w:color w:val="auto"/>
          <w:sz w:val="21"/>
          <w:szCs w:val="21"/>
          <w:highlight w:val="none"/>
        </w:rPr>
        <w:t xml:space="preserve"> </w:t>
      </w:r>
    </w:p>
    <w:p>
      <w:pPr>
        <w:pStyle w:val="11"/>
        <w:keepNext w:val="0"/>
        <w:keepLines w:val="0"/>
        <w:pageBreakBefore w:val="0"/>
        <w:widowControl/>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本项目不接受联合体投标</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color w:val="auto"/>
          <w:sz w:val="21"/>
          <w:szCs w:val="21"/>
          <w:highlight w:val="none"/>
        </w:rPr>
      </w:pPr>
      <w:bookmarkStart w:id="5" w:name="_Toc35393622"/>
      <w:bookmarkStart w:id="6" w:name="_Toc28359080"/>
      <w:bookmarkStart w:id="7" w:name="_Toc28359003"/>
      <w:bookmarkStart w:id="8" w:name="_Toc35393791"/>
      <w:r>
        <w:rPr>
          <w:rFonts w:hint="eastAsia" w:ascii="宋体" w:hAnsi="宋体" w:eastAsia="宋体" w:cs="宋体"/>
          <w:b/>
          <w:color w:val="auto"/>
          <w:sz w:val="21"/>
          <w:szCs w:val="21"/>
          <w:highlight w:val="none"/>
        </w:rPr>
        <w:t>二、申请人的资格要求：</w:t>
      </w:r>
      <w:bookmarkEnd w:id="5"/>
      <w:bookmarkEnd w:id="6"/>
      <w:bookmarkEnd w:id="7"/>
      <w:bookmarkEnd w:id="8"/>
    </w:p>
    <w:p>
      <w:pPr>
        <w:keepNext w:val="0"/>
        <w:keepLines w:val="0"/>
        <w:pageBreakBefore w:val="0"/>
        <w:widowControl/>
        <w:kinsoku/>
        <w:wordWrap/>
        <w:overflowPunct/>
        <w:topLinePunct w:val="0"/>
        <w:autoSpaceDE/>
        <w:autoSpaceDN/>
        <w:bidi w:val="0"/>
        <w:adjustRightInd/>
        <w:snapToGrid/>
        <w:spacing w:line="340" w:lineRule="exact"/>
        <w:ind w:firstLine="630" w:firstLineChars="300"/>
        <w:textAlignment w:val="auto"/>
        <w:rPr>
          <w:rFonts w:hint="eastAsia" w:ascii="宋体" w:hAnsi="宋体" w:eastAsia="宋体" w:cs="宋体"/>
          <w:bCs/>
          <w:color w:val="auto"/>
          <w:sz w:val="21"/>
          <w:szCs w:val="21"/>
          <w:highlight w:val="none"/>
        </w:rPr>
      </w:pPr>
      <w:bookmarkStart w:id="9" w:name="_Toc28359004"/>
      <w:bookmarkStart w:id="10" w:name="_Toc28359081"/>
      <w:r>
        <w:rPr>
          <w:rFonts w:hint="eastAsia" w:ascii="宋体" w:hAnsi="宋体" w:eastAsia="宋体" w:cs="宋体"/>
          <w:bCs/>
          <w:color w:val="auto"/>
          <w:sz w:val="21"/>
          <w:szCs w:val="21"/>
          <w:highlight w:val="none"/>
        </w:rPr>
        <w:t>1.符合《中华人民共和国政府采购法》第二十二条规定，具备合法资格的供应商。</w:t>
      </w:r>
    </w:p>
    <w:p>
      <w:pPr>
        <w:keepNext w:val="0"/>
        <w:keepLines w:val="0"/>
        <w:pageBreakBefore w:val="0"/>
        <w:widowControl/>
        <w:kinsoku/>
        <w:wordWrap/>
        <w:overflowPunct/>
        <w:topLinePunct w:val="0"/>
        <w:autoSpaceDE/>
        <w:autoSpaceDN/>
        <w:bidi w:val="0"/>
        <w:adjustRightInd/>
        <w:snapToGrid/>
        <w:spacing w:line="340" w:lineRule="exact"/>
        <w:ind w:firstLine="630" w:firstLineChars="3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bCs/>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40" w:lineRule="exact"/>
        <w:ind w:firstLine="630" w:firstLineChars="3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color w:val="auto"/>
          <w:sz w:val="21"/>
          <w:szCs w:val="21"/>
          <w:highlight w:val="none"/>
        </w:rPr>
      </w:pPr>
      <w:bookmarkStart w:id="11" w:name="_Toc35393792"/>
      <w:bookmarkStart w:id="12" w:name="_Toc35393623"/>
      <w:r>
        <w:rPr>
          <w:rFonts w:hint="eastAsia" w:ascii="宋体" w:hAnsi="宋体" w:eastAsia="宋体" w:cs="宋体"/>
          <w:b/>
          <w:color w:val="auto"/>
          <w:sz w:val="21"/>
          <w:szCs w:val="21"/>
          <w:highlight w:val="none"/>
        </w:rPr>
        <w:t>三、获取招标文件</w:t>
      </w:r>
      <w:bookmarkEnd w:id="9"/>
      <w:bookmarkEnd w:id="10"/>
      <w:bookmarkEnd w:id="11"/>
      <w:bookmarkEnd w:id="12"/>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潜在投标人请登陆桂林市公共资源交易中心网（http://glggzy.org.cn）或桂林市政府</w:t>
      </w:r>
      <w:r>
        <w:rPr>
          <w:rFonts w:hint="eastAsia" w:ascii="宋体" w:hAnsi="宋体" w:eastAsia="宋体" w:cs="宋体"/>
          <w:bCs/>
          <w:color w:val="auto"/>
          <w:sz w:val="21"/>
          <w:szCs w:val="21"/>
          <w:highlight w:val="none"/>
        </w:rPr>
        <w:t>采购网（http://gl.zfcg.zcygov.cn）免费下载招标文件电子版，并根据招标文件规定的投标文件递交截止时间和地点直接提交投标文件参与投标。</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为配合采购人进行政府采购项目执行和备案，未在政采云注册的供应商可在获取招标文件后登录政采云进行注册，如在操作过程中遇到问题或者需要技术支持，请致电政采云客服热线：400-881-7190。</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售价：0元。</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color w:val="auto"/>
          <w:sz w:val="21"/>
          <w:szCs w:val="21"/>
          <w:highlight w:val="none"/>
        </w:rPr>
      </w:pPr>
      <w:bookmarkStart w:id="13" w:name="_Toc28359005"/>
      <w:bookmarkStart w:id="14" w:name="_Toc28359082"/>
      <w:bookmarkStart w:id="15" w:name="_Toc35393793"/>
      <w:bookmarkStart w:id="16" w:name="_Toc35393624"/>
      <w:r>
        <w:rPr>
          <w:rFonts w:hint="eastAsia" w:ascii="宋体" w:hAnsi="宋体" w:eastAsia="宋体" w:cs="宋体"/>
          <w:b/>
          <w:color w:val="auto"/>
          <w:sz w:val="21"/>
          <w:szCs w:val="21"/>
          <w:highlight w:val="none"/>
        </w:rPr>
        <w:t>四、提交投标文件</w:t>
      </w:r>
      <w:bookmarkEnd w:id="13"/>
      <w:bookmarkEnd w:id="14"/>
      <w:r>
        <w:rPr>
          <w:rFonts w:hint="eastAsia" w:ascii="宋体" w:hAnsi="宋体" w:eastAsia="宋体" w:cs="宋体"/>
          <w:b/>
          <w:color w:val="auto"/>
          <w:sz w:val="21"/>
          <w:szCs w:val="21"/>
          <w:highlight w:val="none"/>
        </w:rPr>
        <w:t>截止时间、开标时间和地点</w:t>
      </w:r>
      <w:bookmarkEnd w:id="15"/>
      <w:bookmarkEnd w:id="16"/>
    </w:p>
    <w:p>
      <w:pPr>
        <w:keepNext w:val="0"/>
        <w:keepLines w:val="0"/>
        <w:pageBreakBefore w:val="0"/>
        <w:widowControl/>
        <w:kinsoku/>
        <w:wordWrap/>
        <w:overflowPunct/>
        <w:topLinePunct w:val="0"/>
        <w:autoSpaceDE/>
        <w:autoSpaceDN/>
        <w:bidi w:val="0"/>
        <w:adjustRightInd/>
        <w:snapToGrid/>
        <w:spacing w:line="340" w:lineRule="exact"/>
        <w:ind w:firstLine="630" w:firstLineChars="3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投标文件提交起止时间：</w:t>
      </w:r>
      <w:r>
        <w:rPr>
          <w:rFonts w:hint="eastAsia" w:ascii="宋体" w:hAnsi="宋体" w:cs="宋体"/>
          <w:bCs/>
          <w:color w:val="auto"/>
          <w:sz w:val="21"/>
          <w:szCs w:val="21"/>
          <w:highlight w:val="none"/>
          <w:lang w:eastAsia="zh-CN"/>
        </w:rPr>
        <w:t>2021年1月26日</w:t>
      </w:r>
      <w:r>
        <w:rPr>
          <w:rFonts w:hint="eastAsia" w:ascii="宋体" w:hAnsi="宋体" w:eastAsia="宋体" w:cs="宋体"/>
          <w:bCs/>
          <w:color w:val="auto"/>
          <w:sz w:val="21"/>
          <w:szCs w:val="21"/>
          <w:highlight w:val="none"/>
        </w:rPr>
        <w:t>上午9时至9时30分止（北京时间）</w:t>
      </w:r>
    </w:p>
    <w:p>
      <w:pPr>
        <w:keepNext w:val="0"/>
        <w:keepLines w:val="0"/>
        <w:pageBreakBefore w:val="0"/>
        <w:widowControl/>
        <w:kinsoku/>
        <w:wordWrap/>
        <w:overflowPunct/>
        <w:topLinePunct w:val="0"/>
        <w:autoSpaceDE/>
        <w:autoSpaceDN/>
        <w:bidi w:val="0"/>
        <w:adjustRightInd/>
        <w:snapToGrid/>
        <w:spacing w:line="340" w:lineRule="exact"/>
        <w:ind w:firstLine="630" w:firstLineChars="3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截止时间：</w:t>
      </w:r>
      <w:r>
        <w:rPr>
          <w:rFonts w:hint="eastAsia" w:ascii="宋体" w:hAnsi="宋体" w:cs="宋体"/>
          <w:color w:val="auto"/>
          <w:sz w:val="21"/>
          <w:szCs w:val="21"/>
          <w:highlight w:val="none"/>
          <w:lang w:eastAsia="zh-CN"/>
        </w:rPr>
        <w:t>2021年</w:t>
      </w:r>
      <w:r>
        <w:rPr>
          <w:rFonts w:hint="eastAsia" w:ascii="宋体" w:hAnsi="宋体" w:cs="宋体"/>
          <w:color w:val="auto"/>
          <w:sz w:val="21"/>
          <w:szCs w:val="21"/>
          <w:highlight w:val="none"/>
          <w:lang w:val="en-US" w:eastAsia="zh-CN"/>
        </w:rPr>
        <w:t>1月26日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lang w:val="en-US" w:eastAsia="zh-CN"/>
        </w:rPr>
        <w:t>30</w:t>
      </w:r>
      <w:r>
        <w:rPr>
          <w:rFonts w:hint="eastAsia" w:ascii="宋体" w:hAnsi="宋体" w:eastAsia="宋体" w:cs="宋体"/>
          <w:bCs/>
          <w:color w:val="auto"/>
          <w:sz w:val="21"/>
          <w:szCs w:val="21"/>
          <w:highlight w:val="none"/>
        </w:rPr>
        <w:t>分（北京时间）</w:t>
      </w:r>
    </w:p>
    <w:p>
      <w:pPr>
        <w:keepNext w:val="0"/>
        <w:keepLines w:val="0"/>
        <w:pageBreakBefore w:val="0"/>
        <w:widowControl/>
        <w:kinsoku/>
        <w:wordWrap/>
        <w:overflowPunct/>
        <w:topLinePunct w:val="0"/>
        <w:autoSpaceDE/>
        <w:autoSpaceDN/>
        <w:bidi w:val="0"/>
        <w:adjustRightInd/>
        <w:snapToGrid/>
        <w:spacing w:line="340" w:lineRule="exact"/>
        <w:ind w:firstLine="630" w:firstLineChars="3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u w:val="none"/>
          <w:lang w:val="en-US" w:eastAsia="zh-CN"/>
        </w:rPr>
        <w:t>3.</w:t>
      </w:r>
      <w:r>
        <w:rPr>
          <w:rFonts w:hint="eastAsia" w:ascii="宋体" w:hAnsi="宋体" w:eastAsia="宋体" w:cs="宋体"/>
          <w:bCs/>
          <w:color w:val="auto"/>
          <w:sz w:val="21"/>
          <w:szCs w:val="21"/>
          <w:highlight w:val="none"/>
          <w:u w:val="none"/>
        </w:rPr>
        <w:t>地点：</w:t>
      </w:r>
      <w:r>
        <w:rPr>
          <w:rFonts w:hint="eastAsia" w:ascii="宋体" w:hAnsi="宋体" w:eastAsia="宋体" w:cs="宋体"/>
          <w:color w:val="auto"/>
          <w:sz w:val="21"/>
          <w:szCs w:val="21"/>
          <w:highlight w:val="none"/>
          <w:u w:val="none"/>
        </w:rPr>
        <w:t>投标人应于</w:t>
      </w:r>
      <w:r>
        <w:rPr>
          <w:rFonts w:hint="eastAsia" w:ascii="宋体" w:hAnsi="宋体" w:cs="宋体"/>
          <w:color w:val="auto"/>
          <w:sz w:val="21"/>
          <w:szCs w:val="21"/>
          <w:highlight w:val="none"/>
          <w:u w:val="none"/>
          <w:lang w:eastAsia="zh-CN"/>
        </w:rPr>
        <w:t>2021年</w:t>
      </w:r>
      <w:r>
        <w:rPr>
          <w:rFonts w:hint="eastAsia" w:ascii="宋体" w:hAnsi="宋体" w:cs="宋体"/>
          <w:color w:val="auto"/>
          <w:sz w:val="21"/>
          <w:szCs w:val="21"/>
          <w:highlight w:val="none"/>
          <w:lang w:val="en-US" w:eastAsia="zh-CN"/>
        </w:rPr>
        <w:t>1月26日</w:t>
      </w: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时至</w:t>
      </w: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时30分，将投标文件密封提交至桂林市公共资源交易中心</w:t>
      </w:r>
      <w:r>
        <w:rPr>
          <w:rFonts w:hint="eastAsia" w:ascii="宋体" w:hAnsi="宋体" w:cs="宋体"/>
          <w:color w:val="auto"/>
          <w:sz w:val="21"/>
          <w:szCs w:val="21"/>
          <w:highlight w:val="none"/>
          <w:u w:val="none"/>
          <w:lang w:val="en-US" w:eastAsia="zh-CN"/>
        </w:rPr>
        <w:t>4号开标室</w:t>
      </w:r>
      <w:r>
        <w:rPr>
          <w:rFonts w:hint="eastAsia" w:ascii="宋体" w:hAnsi="宋体" w:eastAsia="宋体" w:cs="宋体"/>
          <w:color w:val="auto"/>
          <w:sz w:val="21"/>
          <w:szCs w:val="21"/>
          <w:highlight w:val="none"/>
          <w:u w:val="none"/>
        </w:rPr>
        <w:t>（广西桂林市临桂区西城中路69号创业大厦西辅楼4楼），未按要求密封或逾期</w:t>
      </w:r>
      <w:r>
        <w:rPr>
          <w:rFonts w:hint="eastAsia" w:ascii="宋体" w:hAnsi="宋体" w:eastAsia="宋体" w:cs="宋体"/>
          <w:color w:val="auto"/>
          <w:sz w:val="21"/>
          <w:szCs w:val="21"/>
          <w:highlight w:val="none"/>
        </w:rPr>
        <w:t>送达的投标文件将予以拒收。</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color w:val="auto"/>
          <w:sz w:val="21"/>
          <w:szCs w:val="21"/>
          <w:highlight w:val="none"/>
        </w:rPr>
      </w:pPr>
      <w:bookmarkStart w:id="17" w:name="_Toc35393794"/>
      <w:bookmarkStart w:id="18" w:name="_Toc28359084"/>
      <w:bookmarkStart w:id="19" w:name="_Toc28359007"/>
      <w:bookmarkStart w:id="20" w:name="_Toc35393625"/>
      <w:r>
        <w:rPr>
          <w:rFonts w:hint="eastAsia" w:ascii="宋体" w:hAnsi="宋体" w:eastAsia="宋体" w:cs="宋体"/>
          <w:b/>
          <w:color w:val="auto"/>
          <w:sz w:val="21"/>
          <w:szCs w:val="21"/>
          <w:highlight w:val="none"/>
        </w:rPr>
        <w:t>五、公告期限</w:t>
      </w:r>
      <w:bookmarkEnd w:id="17"/>
      <w:bookmarkEnd w:id="18"/>
      <w:bookmarkEnd w:id="19"/>
      <w:bookmarkEnd w:id="20"/>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自本公告发布之日</w:t>
      </w:r>
      <w:r>
        <w:rPr>
          <w:rFonts w:hint="eastAsia" w:ascii="宋体" w:hAnsi="宋体" w:eastAsia="宋体" w:cs="宋体"/>
          <w:color w:val="auto"/>
          <w:sz w:val="21"/>
          <w:szCs w:val="21"/>
          <w:highlight w:val="none"/>
        </w:rPr>
        <w:t>起5个工作</w:t>
      </w:r>
      <w:r>
        <w:rPr>
          <w:rFonts w:hint="eastAsia" w:ascii="宋体" w:hAnsi="宋体" w:eastAsia="宋体" w:cs="宋体"/>
          <w:bCs/>
          <w:color w:val="auto"/>
          <w:sz w:val="21"/>
          <w:szCs w:val="21"/>
          <w:highlight w:val="none"/>
        </w:rPr>
        <w:t>日。</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color w:val="auto"/>
          <w:sz w:val="21"/>
          <w:szCs w:val="21"/>
          <w:highlight w:val="none"/>
        </w:rPr>
      </w:pPr>
      <w:bookmarkStart w:id="21" w:name="_Toc35393626"/>
      <w:bookmarkStart w:id="22" w:name="_Toc35393795"/>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其他补充事宜</w:t>
      </w:r>
      <w:bookmarkEnd w:id="21"/>
      <w:bookmarkEnd w:id="22"/>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1.本项目需要落实的政府采购政策：</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（1）《政府采购促进中小企业发展</w:t>
      </w:r>
      <w:r>
        <w:rPr>
          <w:rFonts w:hint="eastAsia" w:ascii="宋体" w:hAnsi="宋体" w:cs="宋体"/>
          <w:color w:val="auto"/>
          <w:sz w:val="21"/>
          <w:szCs w:val="21"/>
          <w:highlight w:val="none"/>
          <w:lang w:val="en-US" w:eastAsia="zh-CN"/>
        </w:rPr>
        <w:t>管理办法</w:t>
      </w:r>
      <w:r>
        <w:rPr>
          <w:rFonts w:hint="eastAsia" w:ascii="宋体" w:hAnsi="宋体" w:eastAsia="宋体" w:cs="宋体"/>
          <w:color w:val="auto"/>
          <w:sz w:val="21"/>
          <w:szCs w:val="21"/>
          <w:highlight w:val="none"/>
        </w:rPr>
        <w:t>》（财库[2</w:t>
      </w:r>
      <w:r>
        <w:rPr>
          <w:rFonts w:hint="eastAsia" w:ascii="宋体" w:hAnsi="宋体" w:cs="宋体"/>
          <w:color w:val="auto"/>
          <w:sz w:val="21"/>
          <w:szCs w:val="21"/>
          <w:highlight w:val="none"/>
          <w:lang w:val="en-US" w:eastAsia="zh-CN"/>
        </w:rPr>
        <w:t>020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46</w:t>
      </w:r>
      <w:r>
        <w:rPr>
          <w:rFonts w:hint="eastAsia" w:ascii="宋体" w:hAnsi="宋体" w:eastAsia="宋体" w:cs="宋体"/>
          <w:color w:val="auto"/>
          <w:sz w:val="21"/>
          <w:szCs w:val="21"/>
          <w:highlight w:val="none"/>
        </w:rPr>
        <w:t>号）；</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（2）《关于政府采购支持监狱企业发展有关问题的通知》（财库[2014]68号）；</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（3）《关于促进残疾人就业政府采购政策的通知》（财库[2017]141号）；</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（4）本项目不涉及政府强制采购节能产品；</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（5）优先采购环境标志产品、节能产品。</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本项目非专门面向中小企业（或小型、微型企业）采购。</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.信息公告发布媒体：http://www.ccgp.gov.cn（中国政府采购网）、http://www.ccgp-guangxi.gov.cn/（广西壮族自治区政府采购网）、http://gl.zfcg.zcygov.cn（桂林市政府采购网）、http://glggzy.org.cn（桂林市公共资源交易中心网）。</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b/>
          <w:color w:val="auto"/>
          <w:sz w:val="21"/>
          <w:szCs w:val="21"/>
          <w:highlight w:val="none"/>
        </w:rPr>
      </w:pPr>
      <w:bookmarkStart w:id="23" w:name="_Toc28359008"/>
      <w:bookmarkStart w:id="24" w:name="_Toc28359085"/>
      <w:bookmarkStart w:id="25" w:name="_Toc35393796"/>
      <w:bookmarkStart w:id="26" w:name="_Toc35393627"/>
      <w:r>
        <w:rPr>
          <w:rFonts w:hint="eastAsia" w:ascii="宋体" w:hAnsi="宋体" w:eastAsia="宋体" w:cs="宋体"/>
          <w:b/>
          <w:color w:val="auto"/>
          <w:sz w:val="21"/>
          <w:szCs w:val="21"/>
          <w:highlight w:val="none"/>
        </w:rPr>
        <w:t>七、对本次招标提出询问，请按以下方式联系。</w:t>
      </w:r>
      <w:bookmarkEnd w:id="23"/>
      <w:bookmarkEnd w:id="24"/>
      <w:bookmarkEnd w:id="25"/>
      <w:bookmarkEnd w:id="26"/>
    </w:p>
    <w:p>
      <w:pPr>
        <w:keepNext w:val="0"/>
        <w:keepLines w:val="0"/>
        <w:pageBreakBefore w:val="0"/>
        <w:widowControl/>
        <w:kinsoku/>
        <w:wordWrap/>
        <w:overflowPunct/>
        <w:topLinePunct w:val="0"/>
        <w:autoSpaceDE/>
        <w:autoSpaceDN/>
        <w:bidi w:val="0"/>
        <w:adjustRightInd/>
        <w:snapToGrid/>
        <w:spacing w:line="34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1.采购人信息</w:t>
      </w:r>
    </w:p>
    <w:p>
      <w:pPr>
        <w:keepNext w:val="0"/>
        <w:keepLines w:val="0"/>
        <w:pageBreakBefore w:val="0"/>
        <w:widowControl/>
        <w:kinsoku/>
        <w:wordWrap/>
        <w:overflowPunct/>
        <w:topLinePunct w:val="0"/>
        <w:autoSpaceDE/>
        <w:autoSpaceDN/>
        <w:bidi w:val="0"/>
        <w:adjustRightInd/>
        <w:snapToGrid/>
        <w:spacing w:line="34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名    称：荔浦市应急管理局  </w:t>
      </w:r>
    </w:p>
    <w:p>
      <w:pPr>
        <w:keepNext w:val="0"/>
        <w:keepLines w:val="0"/>
        <w:pageBreakBefore w:val="0"/>
        <w:widowControl/>
        <w:kinsoku/>
        <w:wordWrap/>
        <w:overflowPunct/>
        <w:topLinePunct w:val="0"/>
        <w:autoSpaceDE/>
        <w:autoSpaceDN/>
        <w:bidi w:val="0"/>
        <w:adjustRightInd/>
        <w:snapToGrid/>
        <w:spacing w:line="34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址：广西荔浦市</w:t>
      </w:r>
    </w:p>
    <w:p>
      <w:pPr>
        <w:keepNext w:val="0"/>
        <w:keepLines w:val="0"/>
        <w:pageBreakBefore w:val="0"/>
        <w:widowControl/>
        <w:kinsoku/>
        <w:wordWrap/>
        <w:overflowPunct/>
        <w:topLinePunct w:val="0"/>
        <w:autoSpaceDE/>
        <w:autoSpaceDN/>
        <w:bidi w:val="0"/>
        <w:adjustRightInd/>
        <w:snapToGrid/>
        <w:spacing w:line="34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联系方式：莫敏乐，0773-7238136   </w:t>
      </w:r>
    </w:p>
    <w:p>
      <w:pPr>
        <w:keepNext w:val="0"/>
        <w:keepLines w:val="0"/>
        <w:pageBreakBefore w:val="0"/>
        <w:widowControl/>
        <w:kinsoku/>
        <w:wordWrap/>
        <w:overflowPunct/>
        <w:topLinePunct w:val="0"/>
        <w:autoSpaceDE/>
        <w:autoSpaceDN/>
        <w:bidi w:val="0"/>
        <w:adjustRightInd/>
        <w:snapToGrid/>
        <w:spacing w:line="34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2.采购代理机构信息</w:t>
      </w:r>
    </w:p>
    <w:p>
      <w:pPr>
        <w:keepNext w:val="0"/>
        <w:keepLines w:val="0"/>
        <w:pageBreakBefore w:val="0"/>
        <w:widowControl/>
        <w:kinsoku/>
        <w:wordWrap/>
        <w:overflowPunct/>
        <w:topLinePunct w:val="0"/>
        <w:autoSpaceDE/>
        <w:autoSpaceDN/>
        <w:bidi w:val="0"/>
        <w:adjustRightInd/>
        <w:snapToGrid/>
        <w:spacing w:line="34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名    称：广西联云项目管理有限公司   </w:t>
      </w:r>
    </w:p>
    <w:p>
      <w:pPr>
        <w:keepNext w:val="0"/>
        <w:keepLines w:val="0"/>
        <w:pageBreakBefore w:val="0"/>
        <w:widowControl/>
        <w:kinsoku/>
        <w:wordWrap/>
        <w:overflowPunct/>
        <w:topLinePunct w:val="0"/>
        <w:autoSpaceDE/>
        <w:autoSpaceDN/>
        <w:bidi w:val="0"/>
        <w:adjustRightInd/>
        <w:snapToGrid/>
        <w:spacing w:line="34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地　　址：广西桂林市秀峰区红岭路维也纳酒店（万象店）10 楼10-3 </w:t>
      </w:r>
    </w:p>
    <w:p>
      <w:pPr>
        <w:keepNext w:val="0"/>
        <w:keepLines w:val="0"/>
        <w:pageBreakBefore w:val="0"/>
        <w:widowControl/>
        <w:kinsoku/>
        <w:wordWrap/>
        <w:overflowPunct/>
        <w:topLinePunct w:val="0"/>
        <w:autoSpaceDE/>
        <w:autoSpaceDN/>
        <w:bidi w:val="0"/>
        <w:adjustRightInd/>
        <w:snapToGrid/>
        <w:spacing w:line="34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联系方式：蒋工，0773-8994564     </w:t>
      </w:r>
    </w:p>
    <w:p>
      <w:pPr>
        <w:keepNext w:val="0"/>
        <w:keepLines w:val="0"/>
        <w:pageBreakBefore w:val="0"/>
        <w:widowControl/>
        <w:kinsoku/>
        <w:wordWrap/>
        <w:overflowPunct/>
        <w:topLinePunct w:val="0"/>
        <w:autoSpaceDE/>
        <w:autoSpaceDN/>
        <w:bidi w:val="0"/>
        <w:adjustRightInd/>
        <w:snapToGrid/>
        <w:spacing w:line="34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3.项目联系方式</w:t>
      </w:r>
    </w:p>
    <w:p>
      <w:pPr>
        <w:keepNext w:val="0"/>
        <w:keepLines w:val="0"/>
        <w:pageBreakBefore w:val="0"/>
        <w:widowControl/>
        <w:kinsoku/>
        <w:wordWrap/>
        <w:overflowPunct/>
        <w:topLinePunct w:val="0"/>
        <w:autoSpaceDE/>
        <w:autoSpaceDN/>
        <w:bidi w:val="0"/>
        <w:adjustRightInd/>
        <w:snapToGrid/>
        <w:spacing w:line="34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项目联系人：蒋工   电话：0773-8994564</w:t>
      </w:r>
    </w:p>
    <w:p>
      <w:pPr>
        <w:keepNext w:val="0"/>
        <w:keepLines w:val="0"/>
        <w:pageBreakBefore w:val="0"/>
        <w:widowControl/>
        <w:kinsoku/>
        <w:wordWrap/>
        <w:overflowPunct/>
        <w:topLinePunct w:val="0"/>
        <w:autoSpaceDE/>
        <w:autoSpaceDN/>
        <w:bidi w:val="0"/>
        <w:adjustRightInd/>
        <w:snapToGrid/>
        <w:spacing w:line="34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4.政府采购监督管理机构：荔浦市政府采购管理办公室   联系电话：0773-7233366</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广西联云项目管理有限公司</w:t>
      </w:r>
    </w:p>
    <w:p>
      <w:pPr>
        <w:pStyle w:val="23"/>
        <w:keepNext w:val="0"/>
        <w:keepLines w:val="0"/>
        <w:pageBreakBefore w:val="0"/>
        <w:widowControl/>
        <w:kinsoku/>
        <w:wordWrap/>
        <w:overflowPunct/>
        <w:topLinePunct w:val="0"/>
        <w:autoSpaceDE/>
        <w:autoSpaceDN/>
        <w:bidi w:val="0"/>
        <w:adjustRightInd/>
        <w:snapToGrid/>
        <w:spacing w:line="340" w:lineRule="exact"/>
        <w:ind w:left="31680" w:right="3168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1月5日</w:t>
      </w:r>
    </w:p>
    <w:p>
      <w:pPr>
        <w:pStyle w:val="23"/>
        <w:keepNext w:val="0"/>
        <w:keepLines w:val="0"/>
        <w:pageBreakBefore w:val="0"/>
        <w:widowControl/>
        <w:kinsoku/>
        <w:wordWrap/>
        <w:overflowPunct/>
        <w:topLinePunct w:val="0"/>
        <w:autoSpaceDE/>
        <w:autoSpaceDN/>
        <w:bidi w:val="0"/>
        <w:adjustRightInd/>
        <w:snapToGrid/>
        <w:spacing w:line="360" w:lineRule="exact"/>
        <w:ind w:left="31680" w:right="31680" w:firstLine="420" w:firstLineChars="200"/>
        <w:jc w:val="right"/>
        <w:textAlignment w:val="auto"/>
        <w:rPr>
          <w:rFonts w:hint="eastAsia" w:ascii="宋体" w:hAnsi="宋体" w:eastAsia="宋体" w:cs="宋体"/>
          <w:color w:val="auto"/>
          <w:sz w:val="21"/>
          <w:szCs w:val="21"/>
          <w:highlight w:val="none"/>
        </w:rPr>
      </w:pPr>
    </w:p>
    <w:p>
      <w:pPr>
        <w:pStyle w:val="23"/>
        <w:keepNext w:val="0"/>
        <w:keepLines w:val="0"/>
        <w:pageBreakBefore w:val="0"/>
        <w:widowControl/>
        <w:kinsoku/>
        <w:wordWrap/>
        <w:overflowPunct/>
        <w:topLinePunct w:val="0"/>
        <w:autoSpaceDE/>
        <w:autoSpaceDN/>
        <w:bidi w:val="0"/>
        <w:adjustRightInd/>
        <w:snapToGrid/>
        <w:spacing w:line="360" w:lineRule="exact"/>
        <w:ind w:left="31680" w:right="31680" w:firstLine="420" w:firstLineChars="200"/>
        <w:jc w:val="right"/>
        <w:textAlignment w:val="auto"/>
        <w:rPr>
          <w:rFonts w:hint="eastAsia" w:ascii="宋体" w:hAnsi="宋体" w:eastAsia="宋体" w:cs="宋体"/>
          <w:color w:val="auto"/>
          <w:sz w:val="21"/>
          <w:szCs w:val="21"/>
          <w:highlight w:val="none"/>
        </w:rPr>
      </w:pPr>
    </w:p>
    <w:p>
      <w:pPr>
        <w:pStyle w:val="23"/>
        <w:keepNext w:val="0"/>
        <w:keepLines w:val="0"/>
        <w:pageBreakBefore w:val="0"/>
        <w:widowControl/>
        <w:kinsoku/>
        <w:wordWrap/>
        <w:overflowPunct/>
        <w:topLinePunct w:val="0"/>
        <w:autoSpaceDE/>
        <w:autoSpaceDN/>
        <w:bidi w:val="0"/>
        <w:adjustRightInd/>
        <w:snapToGrid/>
        <w:spacing w:line="360" w:lineRule="exact"/>
        <w:ind w:left="31680" w:right="31680" w:firstLine="420" w:firstLineChars="200"/>
        <w:jc w:val="right"/>
        <w:textAlignment w:val="auto"/>
        <w:rPr>
          <w:rFonts w:hint="eastAsia" w:ascii="宋体" w:hAnsi="宋体" w:eastAsia="宋体" w:cs="宋体"/>
          <w:color w:val="auto"/>
          <w:sz w:val="21"/>
          <w:szCs w:val="21"/>
          <w:highlight w:val="none"/>
        </w:rPr>
      </w:pPr>
    </w:p>
    <w:p>
      <w:pPr>
        <w:spacing w:line="276"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第二章</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投标人须知</w:t>
      </w:r>
    </w:p>
    <w:p>
      <w:pPr>
        <w:pStyle w:val="13"/>
        <w:keepNext w:val="0"/>
        <w:keepLines w:val="0"/>
        <w:pageBreakBefore w:val="0"/>
        <w:widowControl/>
        <w:kinsoku/>
        <w:wordWrap/>
        <w:overflowPunct/>
        <w:topLinePunct w:val="0"/>
        <w:autoSpaceDE/>
        <w:autoSpaceDN/>
        <w:bidi w:val="0"/>
        <w:snapToGrid/>
        <w:spacing w:line="320" w:lineRule="exact"/>
        <w:ind w:left="0" w:leftChars="0" w:right="3168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投标人须知前附表</w:t>
      </w:r>
    </w:p>
    <w:tbl>
      <w:tblPr>
        <w:tblStyle w:val="24"/>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837"/>
        <w:gridCol w:w="1796"/>
        <w:gridCol w:w="6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top"/>
          </w:tcPr>
          <w:p>
            <w:pPr>
              <w:pStyle w:val="55"/>
              <w:spacing w:before="30" w:line="252" w:lineRule="exact"/>
              <w:ind w:left="86" w:leftChars="0" w:right="86" w:rightChars="0"/>
              <w:jc w:val="center"/>
              <w:rPr>
                <w:rFonts w:hint="eastAsia" w:ascii="宋体" w:hAnsi="宋体" w:eastAsia="宋体" w:cs="宋体"/>
                <w:b/>
                <w:bCs/>
                <w:color w:val="auto"/>
                <w:kern w:val="0"/>
                <w:sz w:val="21"/>
                <w:szCs w:val="24"/>
                <w:highlight w:val="none"/>
                <w:lang w:val="zh-CN" w:eastAsia="zh-CN" w:bidi="zh-CN"/>
              </w:rPr>
            </w:pPr>
            <w:r>
              <w:rPr>
                <w:rFonts w:hint="eastAsia" w:ascii="宋体" w:hAnsi="宋体" w:eastAsia="宋体" w:cs="宋体"/>
                <w:b/>
                <w:bCs/>
                <w:color w:val="auto"/>
                <w:sz w:val="21"/>
                <w:highlight w:val="none"/>
              </w:rPr>
              <w:t>序号</w:t>
            </w:r>
          </w:p>
        </w:tc>
        <w:tc>
          <w:tcPr>
            <w:tcW w:w="837" w:type="dxa"/>
            <w:vAlign w:val="top"/>
          </w:tcPr>
          <w:p>
            <w:pPr>
              <w:pStyle w:val="55"/>
              <w:spacing w:before="30" w:line="252" w:lineRule="exact"/>
              <w:ind w:left="84" w:leftChars="0" w:right="84" w:rightChars="0"/>
              <w:jc w:val="center"/>
              <w:rPr>
                <w:rFonts w:hint="eastAsia" w:ascii="宋体" w:hAnsi="宋体" w:eastAsia="宋体" w:cs="宋体"/>
                <w:b/>
                <w:bCs/>
                <w:color w:val="auto"/>
                <w:kern w:val="0"/>
                <w:sz w:val="21"/>
                <w:szCs w:val="24"/>
                <w:highlight w:val="none"/>
                <w:lang w:val="zh-CN" w:eastAsia="zh-CN" w:bidi="zh-CN"/>
              </w:rPr>
            </w:pPr>
            <w:r>
              <w:rPr>
                <w:rFonts w:hint="eastAsia" w:ascii="宋体" w:hAnsi="宋体" w:eastAsia="宋体" w:cs="宋体"/>
                <w:b/>
                <w:bCs/>
                <w:color w:val="auto"/>
                <w:sz w:val="21"/>
                <w:highlight w:val="none"/>
              </w:rPr>
              <w:t>条款号</w:t>
            </w:r>
          </w:p>
        </w:tc>
        <w:tc>
          <w:tcPr>
            <w:tcW w:w="1796" w:type="dxa"/>
            <w:vAlign w:val="top"/>
          </w:tcPr>
          <w:p>
            <w:pPr>
              <w:pStyle w:val="55"/>
              <w:spacing w:before="30" w:line="252" w:lineRule="exact"/>
              <w:ind w:left="91" w:leftChars="0" w:right="90" w:rightChars="0"/>
              <w:jc w:val="center"/>
              <w:rPr>
                <w:rFonts w:hint="eastAsia" w:ascii="宋体" w:hAnsi="宋体" w:eastAsia="宋体" w:cs="宋体"/>
                <w:b/>
                <w:bCs/>
                <w:color w:val="auto"/>
                <w:kern w:val="0"/>
                <w:sz w:val="21"/>
                <w:szCs w:val="24"/>
                <w:highlight w:val="none"/>
                <w:lang w:val="zh-CN" w:eastAsia="zh-CN" w:bidi="zh-CN"/>
              </w:rPr>
            </w:pPr>
            <w:r>
              <w:rPr>
                <w:rFonts w:hint="eastAsia" w:ascii="宋体" w:hAnsi="宋体" w:eastAsia="宋体" w:cs="宋体"/>
                <w:b/>
                <w:bCs/>
                <w:color w:val="auto"/>
                <w:sz w:val="21"/>
                <w:highlight w:val="none"/>
              </w:rPr>
              <w:t>条款名称</w:t>
            </w:r>
          </w:p>
        </w:tc>
        <w:tc>
          <w:tcPr>
            <w:tcW w:w="6061" w:type="dxa"/>
            <w:vAlign w:val="top"/>
          </w:tcPr>
          <w:p>
            <w:pPr>
              <w:pStyle w:val="55"/>
              <w:spacing w:before="30" w:line="252" w:lineRule="exact"/>
              <w:ind w:right="2778" w:rightChars="0"/>
              <w:jc w:val="center"/>
              <w:rPr>
                <w:rFonts w:hint="eastAsia" w:ascii="宋体" w:hAnsi="宋体" w:eastAsia="宋体" w:cs="宋体"/>
                <w:b/>
                <w:bCs/>
                <w:color w:val="auto"/>
                <w:kern w:val="0"/>
                <w:sz w:val="21"/>
                <w:szCs w:val="24"/>
                <w:highlight w:val="none"/>
                <w:lang w:val="zh-CN" w:eastAsia="zh-CN" w:bidi="zh-CN"/>
              </w:rPr>
            </w:pPr>
            <w:r>
              <w:rPr>
                <w:rFonts w:hint="eastAsia" w:ascii="宋体" w:hAnsi="宋体" w:eastAsia="宋体" w:cs="宋体"/>
                <w:b/>
                <w:bCs/>
                <w:color w:val="auto"/>
                <w:sz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项目名称及项目编号</w:t>
            </w:r>
          </w:p>
        </w:tc>
        <w:tc>
          <w:tcPr>
            <w:tcW w:w="6061" w:type="dxa"/>
            <w:vAlign w:val="center"/>
          </w:tcPr>
          <w:p>
            <w:pPr>
              <w:pStyle w:val="16"/>
              <w:widowControl w:val="0"/>
              <w:spacing w:line="400" w:lineRule="exact"/>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项目名称：</w:t>
            </w:r>
            <w:r>
              <w:rPr>
                <w:rFonts w:hint="eastAsia" w:hAnsi="宋体" w:cs="宋体"/>
                <w:color w:val="auto"/>
                <w:sz w:val="21"/>
                <w:szCs w:val="21"/>
                <w:highlight w:val="none"/>
                <w:u w:val="none"/>
                <w:lang w:eastAsia="zh-CN"/>
              </w:rPr>
              <w:t>荔浦市自然灾害防治体系建设物资采购</w:t>
            </w:r>
          </w:p>
          <w:p>
            <w:pPr>
              <w:spacing w:line="34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GLZC2020-G1-310062-GXLY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投标人资格</w:t>
            </w:r>
          </w:p>
        </w:tc>
        <w:tc>
          <w:tcPr>
            <w:tcW w:w="6061"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1符合《中华人民共和国政府采购法》第二十二条规定，具备合法资格的供应商。</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96" w:type="dxa"/>
            <w:vAlign w:val="center"/>
          </w:tcPr>
          <w:p>
            <w:pPr>
              <w:spacing w:line="320" w:lineRule="exact"/>
              <w:jc w:val="center"/>
              <w:rPr>
                <w:rFonts w:hint="eastAsia" w:ascii="宋体" w:hAnsi="宋体" w:eastAsia="宋体" w:cs="宋体"/>
                <w:color w:val="auto"/>
                <w:position w:val="-2"/>
                <w:sz w:val="21"/>
                <w:szCs w:val="21"/>
                <w:highlight w:val="none"/>
              </w:rPr>
            </w:pPr>
            <w:r>
              <w:rPr>
                <w:rFonts w:hint="eastAsia" w:ascii="宋体" w:hAnsi="宋体" w:eastAsia="宋体" w:cs="宋体"/>
                <w:color w:val="auto"/>
                <w:sz w:val="21"/>
                <w:szCs w:val="21"/>
                <w:highlight w:val="none"/>
              </w:rPr>
              <w:t>投标费用</w:t>
            </w:r>
          </w:p>
        </w:tc>
        <w:tc>
          <w:tcPr>
            <w:tcW w:w="6061" w:type="dxa"/>
            <w:vAlign w:val="center"/>
          </w:tcPr>
          <w:p>
            <w:pPr>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37" w:type="dxa"/>
            <w:vAlign w:val="center"/>
          </w:tcPr>
          <w:p>
            <w:pPr>
              <w:spacing w:line="340" w:lineRule="exact"/>
              <w:jc w:val="center"/>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15</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采购预算金额及投标报价</w:t>
            </w:r>
          </w:p>
        </w:tc>
        <w:tc>
          <w:tcPr>
            <w:tcW w:w="6061" w:type="dxa"/>
            <w:vAlign w:val="center"/>
          </w:tcPr>
          <w:p>
            <w:pPr>
              <w:spacing w:line="33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本项目采购预算金额为：</w:t>
            </w:r>
            <w:r>
              <w:rPr>
                <w:rFonts w:hint="eastAsia" w:ascii="宋体" w:hAnsi="宋体" w:cs="宋体"/>
                <w:color w:val="auto"/>
                <w:sz w:val="21"/>
                <w:szCs w:val="21"/>
                <w:highlight w:val="none"/>
                <w:lang w:val="en-US" w:eastAsia="zh-CN"/>
              </w:rPr>
              <w:t>5951000.00</w:t>
            </w:r>
            <w:r>
              <w:rPr>
                <w:rFonts w:hint="eastAsia" w:ascii="宋体" w:hAnsi="宋体" w:eastAsia="宋体" w:cs="宋体"/>
                <w:color w:val="auto"/>
                <w:sz w:val="21"/>
                <w:szCs w:val="21"/>
                <w:highlight w:val="none"/>
                <w:lang w:val="en-US" w:eastAsia="zh-CN"/>
              </w:rPr>
              <w:t>元整</w:t>
            </w:r>
          </w:p>
          <w:p>
            <w:pPr>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投标人必须就“</w:t>
            </w:r>
            <w:r>
              <w:rPr>
                <w:rFonts w:hint="eastAsia" w:ascii="宋体" w:hAnsi="宋体" w:eastAsia="宋体" w:cs="宋体"/>
                <w:color w:val="auto"/>
                <w:sz w:val="21"/>
                <w:szCs w:val="21"/>
                <w:highlight w:val="none"/>
                <w:lang w:eastAsia="zh-CN"/>
              </w:rPr>
              <w:t>货物采购需求</w:t>
            </w:r>
            <w:r>
              <w:rPr>
                <w:rFonts w:hint="eastAsia" w:ascii="宋体" w:hAnsi="宋体" w:eastAsia="宋体" w:cs="宋体"/>
                <w:color w:val="auto"/>
                <w:sz w:val="21"/>
                <w:szCs w:val="21"/>
                <w:highlight w:val="none"/>
              </w:rPr>
              <w:t>”的内容作完整唯一报价，否则投标无效；投标文件只允许有一个报价，需选择的和有条件的报价将被拒绝。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061" w:type="dxa"/>
            <w:vAlign w:val="center"/>
          </w:tcPr>
          <w:p>
            <w:pPr>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061" w:type="dxa"/>
            <w:vAlign w:val="center"/>
          </w:tcPr>
          <w:p>
            <w:pPr>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6061" w:type="dxa"/>
            <w:vAlign w:val="center"/>
          </w:tcPr>
          <w:p>
            <w:pPr>
              <w:spacing w:line="33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正本一册，副本四册，</w:t>
            </w:r>
            <w:r>
              <w:rPr>
                <w:rFonts w:hint="eastAsia" w:ascii="宋体" w:hAnsi="宋体" w:eastAsia="宋体" w:cs="宋体"/>
                <w:b/>
                <w:bCs/>
                <w:color w:val="auto"/>
                <w:sz w:val="21"/>
                <w:szCs w:val="21"/>
                <w:highlight w:val="none"/>
                <w:lang w:eastAsia="zh-CN"/>
              </w:rPr>
              <w:t>投标文件电子版一份（</w:t>
            </w:r>
            <w:r>
              <w:rPr>
                <w:rFonts w:hint="eastAsia" w:ascii="宋体" w:hAnsi="宋体" w:eastAsia="宋体" w:cs="宋体"/>
                <w:b/>
                <w:bCs/>
                <w:color w:val="auto"/>
                <w:sz w:val="21"/>
                <w:szCs w:val="21"/>
                <w:highlight w:val="none"/>
                <w:lang w:val="en-US" w:eastAsia="zh-CN"/>
              </w:rPr>
              <w:t>U盘或者光盘</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37" w:type="dxa"/>
            <w:vAlign w:val="center"/>
          </w:tcPr>
          <w:p>
            <w:pPr>
              <w:spacing w:line="400" w:lineRule="exact"/>
              <w:jc w:val="center"/>
              <w:rPr>
                <w:rFonts w:hint="eastAsia" w:ascii="宋体" w:hAnsi="宋体" w:eastAsia="宋体" w:cs="宋体"/>
                <w:color w:val="auto"/>
                <w:position w:val="10"/>
                <w:sz w:val="21"/>
                <w:szCs w:val="21"/>
                <w:highlight w:val="none"/>
              </w:rPr>
            </w:pPr>
            <w:r>
              <w:rPr>
                <w:rFonts w:hint="eastAsia" w:ascii="宋体" w:hAnsi="宋体" w:eastAsia="宋体" w:cs="宋体"/>
                <w:color w:val="auto"/>
                <w:sz w:val="21"/>
                <w:szCs w:val="21"/>
                <w:highlight w:val="none"/>
              </w:rPr>
              <w:t>18.2</w:t>
            </w:r>
          </w:p>
        </w:tc>
        <w:tc>
          <w:tcPr>
            <w:tcW w:w="1796" w:type="dxa"/>
            <w:vAlign w:val="center"/>
          </w:tcPr>
          <w:p>
            <w:pPr>
              <w:spacing w:line="400" w:lineRule="exact"/>
              <w:jc w:val="center"/>
              <w:rPr>
                <w:rFonts w:hint="eastAsia" w:ascii="宋体" w:hAnsi="宋体" w:eastAsia="宋体" w:cs="宋体"/>
                <w:color w:val="auto"/>
                <w:position w:val="10"/>
                <w:sz w:val="21"/>
                <w:szCs w:val="21"/>
                <w:highlight w:val="none"/>
              </w:rPr>
            </w:pPr>
            <w:r>
              <w:rPr>
                <w:rFonts w:hint="eastAsia" w:ascii="宋体" w:hAnsi="宋体" w:eastAsia="宋体" w:cs="宋体"/>
                <w:color w:val="auto"/>
                <w:sz w:val="21"/>
                <w:szCs w:val="21"/>
                <w:highlight w:val="none"/>
              </w:rPr>
              <w:t>投标文件装订</w:t>
            </w:r>
          </w:p>
        </w:tc>
        <w:tc>
          <w:tcPr>
            <w:tcW w:w="6061" w:type="dxa"/>
            <w:vAlign w:val="center"/>
          </w:tcPr>
          <w:p>
            <w:pP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按投标人须知第13.1条“投标文件组成”规定的顺序自编目录及页码，投标文件的“正本”、“副本”应当单独装订成册并标注页码，装订应牢固，不易拆散和换页（A4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投标人公章</w:t>
            </w:r>
          </w:p>
        </w:tc>
        <w:tc>
          <w:tcPr>
            <w:tcW w:w="6061" w:type="dxa"/>
            <w:vAlign w:val="center"/>
          </w:tcPr>
          <w:p>
            <w:pPr>
              <w:spacing w:line="34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投标文件包装、密封</w:t>
            </w:r>
          </w:p>
        </w:tc>
        <w:tc>
          <w:tcPr>
            <w:tcW w:w="6061" w:type="dxa"/>
            <w:vAlign w:val="center"/>
          </w:tcPr>
          <w:p>
            <w:pPr>
              <w:spacing w:line="37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将投标文件“正本”、“副本”</w:t>
            </w:r>
            <w:r>
              <w:rPr>
                <w:rFonts w:hint="eastAsia" w:ascii="宋体" w:hAnsi="宋体" w:eastAsia="宋体" w:cs="宋体"/>
                <w:b/>
                <w:bCs/>
                <w:color w:val="auto"/>
                <w:sz w:val="21"/>
                <w:szCs w:val="21"/>
                <w:highlight w:val="none"/>
                <w:lang w:eastAsia="zh-CN"/>
              </w:rPr>
              <w:t>以及投标文件电子版（</w:t>
            </w:r>
            <w:r>
              <w:rPr>
                <w:rFonts w:hint="eastAsia" w:ascii="宋体" w:hAnsi="宋体" w:eastAsia="宋体" w:cs="宋体"/>
                <w:b/>
                <w:bCs/>
                <w:color w:val="auto"/>
                <w:sz w:val="21"/>
                <w:szCs w:val="21"/>
                <w:highlight w:val="none"/>
                <w:lang w:val="en-US" w:eastAsia="zh-CN"/>
              </w:rPr>
              <w:t>U盘或者光盘</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一并装入并密封在一个投标文件袋（盒、箱）中，并在密封处密封签章【公章、密封章、法定代表人、自然人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负责人或相应的授权委托代理人签字均可】。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37" w:type="dxa"/>
            <w:vAlign w:val="center"/>
          </w:tcPr>
          <w:p>
            <w:pPr>
              <w:spacing w:line="34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18.8</w:t>
            </w:r>
          </w:p>
        </w:tc>
        <w:tc>
          <w:tcPr>
            <w:tcW w:w="1796" w:type="dxa"/>
            <w:vAlign w:val="center"/>
          </w:tcPr>
          <w:p>
            <w:pPr>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投标文件电子版</w:t>
            </w:r>
          </w:p>
        </w:tc>
        <w:tc>
          <w:tcPr>
            <w:tcW w:w="6061" w:type="dxa"/>
            <w:vAlign w:val="center"/>
          </w:tcPr>
          <w:p>
            <w:pPr>
              <w:keepNext w:val="0"/>
              <w:keepLines w:val="0"/>
              <w:pageBreakBefore w:val="0"/>
              <w:widowControl/>
              <w:tabs>
                <w:tab w:val="left" w:pos="1305"/>
              </w:tabs>
              <w:kinsoku/>
              <w:wordWrap/>
              <w:overflowPunct/>
              <w:topLinePunct w:val="0"/>
              <w:autoSpaceDE/>
              <w:autoSpaceDN/>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投标人递交投标文件时，同时递交投标文件电子版：</w:t>
            </w:r>
          </w:p>
          <w:p>
            <w:pPr>
              <w:keepNext w:val="0"/>
              <w:keepLines w:val="0"/>
              <w:pageBreakBefore w:val="0"/>
              <w:widowControl/>
              <w:tabs>
                <w:tab w:val="left" w:pos="1305"/>
              </w:tabs>
              <w:kinsoku/>
              <w:wordWrap/>
              <w:overflowPunct/>
              <w:topLinePunct w:val="0"/>
              <w:autoSpaceDE/>
              <w:autoSpaceDN/>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（1）投标文件电子版内容：与纸质版投标文件一致；</w:t>
            </w:r>
          </w:p>
          <w:p>
            <w:pPr>
              <w:keepNext w:val="0"/>
              <w:keepLines w:val="0"/>
              <w:pageBreakBefore w:val="0"/>
              <w:widowControl/>
              <w:tabs>
                <w:tab w:val="left" w:pos="1305"/>
              </w:tabs>
              <w:kinsoku/>
              <w:wordWrap/>
              <w:overflowPunct/>
              <w:topLinePunct w:val="0"/>
              <w:autoSpaceDE/>
              <w:autoSpaceDN/>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（2）投标文件电子版份数：1份；</w:t>
            </w:r>
          </w:p>
          <w:p>
            <w:pPr>
              <w:keepNext w:val="0"/>
              <w:keepLines w:val="0"/>
              <w:pageBreakBefore w:val="0"/>
              <w:widowControl/>
              <w:tabs>
                <w:tab w:val="left" w:pos="1305"/>
              </w:tabs>
              <w:kinsoku/>
              <w:wordWrap/>
              <w:overflowPunct/>
              <w:topLinePunct w:val="0"/>
              <w:autoSpaceDE/>
              <w:autoSpaceDN/>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（3）投标文件电子版形式：可编辑的word文档格式；</w:t>
            </w:r>
          </w:p>
          <w:p>
            <w:pPr>
              <w:spacing w:line="37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（4）投标文件电子版密封方式：投标文件电子版光盘或U盘单独包封（封面注明项目名称、编号、供应商名称），与纸质版投标文件一并装入投标文件袋（盒、箱）中。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837" w:type="dxa"/>
            <w:vAlign w:val="center"/>
          </w:tcPr>
          <w:p>
            <w:pPr>
              <w:spacing w:line="34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9</w:t>
            </w:r>
          </w:p>
        </w:tc>
        <w:tc>
          <w:tcPr>
            <w:tcW w:w="1796" w:type="dxa"/>
            <w:vAlign w:val="center"/>
          </w:tcPr>
          <w:p>
            <w:pPr>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投标文件袋（盒、箱）标记</w:t>
            </w:r>
          </w:p>
        </w:tc>
        <w:tc>
          <w:tcPr>
            <w:tcW w:w="6061" w:type="dxa"/>
            <w:vAlign w:val="center"/>
          </w:tcPr>
          <w:p>
            <w:pPr>
              <w:spacing w:line="370" w:lineRule="exact"/>
              <w:jc w:val="both"/>
              <w:rPr>
                <w:rFonts w:hint="eastAsia" w:ascii="宋体" w:hAnsi="宋体" w:eastAsia="宋体" w:cs="宋体"/>
                <w:strike w:val="0"/>
                <w:dstrike w:val="0"/>
                <w:color w:val="auto"/>
                <w:sz w:val="21"/>
                <w:szCs w:val="21"/>
                <w:highlight w:val="none"/>
                <w:u w:val="none"/>
              </w:rPr>
            </w:pPr>
            <w:r>
              <w:rPr>
                <w:rFonts w:hint="eastAsia" w:ascii="宋体" w:hAnsi="宋体" w:eastAsia="宋体" w:cs="宋体"/>
                <w:strike w:val="0"/>
                <w:dstrike w:val="0"/>
                <w:color w:val="auto"/>
                <w:sz w:val="21"/>
                <w:szCs w:val="21"/>
                <w:highlight w:val="none"/>
                <w:u w:val="none"/>
              </w:rPr>
              <w:t>项目名称：</w:t>
            </w:r>
            <w:r>
              <w:rPr>
                <w:rFonts w:hint="eastAsia" w:ascii="宋体" w:hAnsi="宋体" w:cs="宋体"/>
                <w:bCs/>
                <w:color w:val="auto"/>
                <w:sz w:val="21"/>
                <w:szCs w:val="21"/>
                <w:highlight w:val="none"/>
                <w:lang w:eastAsia="zh-CN"/>
              </w:rPr>
              <w:t>荔浦市自然灾害防治体系建设物资采购</w:t>
            </w:r>
          </w:p>
          <w:p>
            <w:pPr>
              <w:spacing w:line="370" w:lineRule="exact"/>
              <w:jc w:val="both"/>
              <w:rPr>
                <w:rFonts w:hint="eastAsia" w:ascii="宋体" w:hAnsi="宋体" w:eastAsia="宋体" w:cs="宋体"/>
                <w:strike w:val="0"/>
                <w:dstrike w:val="0"/>
                <w:color w:val="auto"/>
                <w:sz w:val="21"/>
                <w:szCs w:val="21"/>
                <w:highlight w:val="none"/>
                <w:u w:val="none"/>
                <w:lang w:eastAsia="zh-CN"/>
              </w:rPr>
            </w:pPr>
            <w:r>
              <w:rPr>
                <w:rFonts w:hint="eastAsia" w:ascii="宋体" w:hAnsi="宋体" w:eastAsia="宋体" w:cs="宋体"/>
                <w:strike w:val="0"/>
                <w:dstrike w:val="0"/>
                <w:color w:val="auto"/>
                <w:sz w:val="21"/>
                <w:szCs w:val="21"/>
                <w:highlight w:val="none"/>
                <w:u w:val="none"/>
                <w:lang w:eastAsia="zh-CN"/>
              </w:rPr>
              <w:t>项目</w:t>
            </w:r>
            <w:r>
              <w:rPr>
                <w:rFonts w:hint="eastAsia" w:ascii="宋体" w:hAnsi="宋体" w:eastAsia="宋体" w:cs="宋体"/>
                <w:strike w:val="0"/>
                <w:dstrike w:val="0"/>
                <w:color w:val="auto"/>
                <w:sz w:val="21"/>
                <w:szCs w:val="21"/>
                <w:highlight w:val="none"/>
                <w:u w:val="none"/>
              </w:rPr>
              <w:t>编号：</w:t>
            </w:r>
            <w:r>
              <w:rPr>
                <w:rFonts w:hint="eastAsia" w:ascii="宋体" w:hAnsi="宋体" w:cs="宋体"/>
                <w:color w:val="auto"/>
                <w:sz w:val="21"/>
                <w:szCs w:val="21"/>
                <w:highlight w:val="none"/>
                <w:lang w:eastAsia="zh-CN"/>
              </w:rPr>
              <w:t>GLZC2020-G1-310062-GXLY</w:t>
            </w:r>
          </w:p>
          <w:p>
            <w:pPr>
              <w:spacing w:line="370" w:lineRule="exact"/>
              <w:jc w:val="both"/>
              <w:rPr>
                <w:rFonts w:hint="eastAsia" w:ascii="宋体" w:hAnsi="宋体" w:eastAsia="宋体" w:cs="宋体"/>
                <w:strike w:val="0"/>
                <w:dstrike w:val="0"/>
                <w:color w:val="auto"/>
                <w:sz w:val="21"/>
                <w:szCs w:val="21"/>
                <w:highlight w:val="none"/>
                <w:u w:val="none"/>
              </w:rPr>
            </w:pPr>
            <w:r>
              <w:rPr>
                <w:rFonts w:hint="eastAsia" w:ascii="宋体" w:hAnsi="宋体" w:eastAsia="宋体" w:cs="宋体"/>
                <w:strike w:val="0"/>
                <w:dstrike w:val="0"/>
                <w:color w:val="auto"/>
                <w:sz w:val="21"/>
                <w:szCs w:val="21"/>
                <w:highlight w:val="none"/>
                <w:u w:val="none"/>
              </w:rPr>
              <w:t>采购代理机构：广西联云项目管理有限公司</w:t>
            </w:r>
          </w:p>
          <w:p>
            <w:pPr>
              <w:spacing w:line="370" w:lineRule="exact"/>
              <w:jc w:val="both"/>
              <w:rPr>
                <w:rFonts w:hint="eastAsia" w:ascii="宋体" w:hAnsi="宋体" w:eastAsia="宋体" w:cs="宋体"/>
                <w:strike w:val="0"/>
                <w:dstrike w:val="0"/>
                <w:color w:val="auto"/>
                <w:sz w:val="21"/>
                <w:szCs w:val="21"/>
                <w:highlight w:val="none"/>
                <w:u w:val="none"/>
              </w:rPr>
            </w:pPr>
            <w:r>
              <w:rPr>
                <w:rFonts w:hint="eastAsia" w:ascii="宋体" w:hAnsi="宋体" w:eastAsia="宋体" w:cs="宋体"/>
                <w:strike w:val="0"/>
                <w:dstrike w:val="0"/>
                <w:color w:val="auto"/>
                <w:sz w:val="21"/>
                <w:szCs w:val="21"/>
                <w:highlight w:val="none"/>
                <w:u w:val="none"/>
              </w:rPr>
              <w:t>投标单位：</w:t>
            </w:r>
          </w:p>
          <w:p>
            <w:pPr>
              <w:spacing w:line="370" w:lineRule="exact"/>
              <w:jc w:val="both"/>
              <w:rPr>
                <w:rFonts w:hint="eastAsia" w:ascii="宋体" w:hAnsi="宋体" w:eastAsia="宋体" w:cs="宋体"/>
                <w:color w:val="auto"/>
                <w:highlight w:val="none"/>
                <w:lang w:val="en-US" w:eastAsia="zh-CN"/>
              </w:rPr>
            </w:pPr>
            <w:r>
              <w:rPr>
                <w:rFonts w:hint="eastAsia" w:ascii="宋体" w:hAnsi="宋体" w:eastAsia="宋体" w:cs="宋体"/>
                <w:strike w:val="0"/>
                <w:dstrike w:val="0"/>
                <w:color w:val="auto"/>
                <w:sz w:val="21"/>
                <w:szCs w:val="21"/>
                <w:highlight w:val="none"/>
                <w:u w:val="none"/>
                <w:lang w:val="en-US" w:eastAsia="zh-CN"/>
              </w:rPr>
              <w:t>在</w:t>
            </w:r>
            <w:r>
              <w:rPr>
                <w:rFonts w:hint="eastAsia" w:ascii="宋体" w:hAnsi="宋体" w:cs="宋体"/>
                <w:strike w:val="0"/>
                <w:dstrike w:val="0"/>
                <w:color w:val="auto"/>
                <w:sz w:val="21"/>
                <w:szCs w:val="21"/>
                <w:highlight w:val="none"/>
                <w:u w:val="none"/>
                <w:lang w:val="en-US" w:eastAsia="zh-CN"/>
              </w:rPr>
              <w:t>2021年1月26日</w:t>
            </w:r>
            <w:r>
              <w:rPr>
                <w:rFonts w:hint="eastAsia" w:ascii="宋体" w:hAnsi="宋体" w:eastAsia="宋体" w:cs="宋体"/>
                <w:strike w:val="0"/>
                <w:dstrike w:val="0"/>
                <w:color w:val="auto"/>
                <w:sz w:val="21"/>
                <w:szCs w:val="21"/>
                <w:highlight w:val="none"/>
                <w:u w:val="none"/>
                <w:lang w:val="en-US" w:eastAsia="zh-CN"/>
              </w:rPr>
              <w:t>9时30分前不得开启（此处投标人填写投标截止时间）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strike w:val="0"/>
                <w:dstrike w:val="0"/>
                <w:color w:val="auto"/>
                <w:sz w:val="21"/>
                <w:szCs w:val="21"/>
                <w:highlight w:val="none"/>
                <w:u w:val="none"/>
                <w:lang w:eastAsia="zh-CN"/>
              </w:rPr>
            </w:pPr>
            <w:r>
              <w:rPr>
                <w:rFonts w:hint="eastAsia" w:ascii="宋体" w:hAnsi="宋体" w:eastAsia="宋体" w:cs="宋体"/>
                <w:strike w:val="0"/>
                <w:dstrike w:val="0"/>
                <w:color w:val="auto"/>
                <w:sz w:val="21"/>
                <w:szCs w:val="21"/>
                <w:highlight w:val="none"/>
                <w:u w:val="none"/>
              </w:rPr>
              <w:t>1</w:t>
            </w:r>
            <w:r>
              <w:rPr>
                <w:rFonts w:hint="eastAsia" w:ascii="宋体" w:hAnsi="宋体" w:eastAsia="宋体" w:cs="宋体"/>
                <w:strike w:val="0"/>
                <w:dstrike w:val="0"/>
                <w:color w:val="auto"/>
                <w:sz w:val="21"/>
                <w:szCs w:val="21"/>
                <w:highlight w:val="none"/>
                <w:u w:val="none"/>
                <w:lang w:val="en-US" w:eastAsia="zh-CN"/>
              </w:rPr>
              <w:t>3</w:t>
            </w:r>
          </w:p>
        </w:tc>
        <w:tc>
          <w:tcPr>
            <w:tcW w:w="837" w:type="dxa"/>
            <w:vAlign w:val="center"/>
          </w:tcPr>
          <w:p>
            <w:pPr>
              <w:spacing w:line="340" w:lineRule="exact"/>
              <w:jc w:val="center"/>
              <w:rPr>
                <w:rFonts w:hint="eastAsia" w:ascii="宋体" w:hAnsi="宋体" w:eastAsia="宋体" w:cs="宋体"/>
                <w:strike w:val="0"/>
                <w:dstrike w:val="0"/>
                <w:color w:val="auto"/>
                <w:position w:val="-2"/>
                <w:sz w:val="21"/>
                <w:szCs w:val="21"/>
                <w:highlight w:val="none"/>
                <w:u w:val="none"/>
              </w:rPr>
            </w:pPr>
            <w:r>
              <w:rPr>
                <w:rFonts w:hint="eastAsia" w:ascii="宋体" w:hAnsi="宋体" w:eastAsia="宋体" w:cs="宋体"/>
                <w:strike w:val="0"/>
                <w:dstrike w:val="0"/>
                <w:color w:val="auto"/>
                <w:sz w:val="21"/>
                <w:szCs w:val="21"/>
                <w:highlight w:val="none"/>
                <w:u w:val="none"/>
              </w:rPr>
              <w:t>20.1</w:t>
            </w:r>
          </w:p>
        </w:tc>
        <w:tc>
          <w:tcPr>
            <w:tcW w:w="1796" w:type="dxa"/>
            <w:vAlign w:val="center"/>
          </w:tcPr>
          <w:p>
            <w:pPr>
              <w:spacing w:line="320" w:lineRule="exact"/>
              <w:jc w:val="center"/>
              <w:rPr>
                <w:rFonts w:hint="eastAsia" w:ascii="宋体" w:hAnsi="宋体" w:eastAsia="宋体" w:cs="宋体"/>
                <w:strike w:val="0"/>
                <w:dstrike w:val="0"/>
                <w:color w:val="auto"/>
                <w:position w:val="-2"/>
                <w:sz w:val="21"/>
                <w:szCs w:val="21"/>
                <w:highlight w:val="none"/>
                <w:u w:val="none"/>
              </w:rPr>
            </w:pPr>
            <w:r>
              <w:rPr>
                <w:rFonts w:hint="eastAsia" w:ascii="宋体" w:hAnsi="宋体" w:eastAsia="宋体" w:cs="宋体"/>
                <w:strike w:val="0"/>
                <w:dstrike w:val="0"/>
                <w:color w:val="auto"/>
                <w:sz w:val="21"/>
                <w:szCs w:val="21"/>
                <w:highlight w:val="none"/>
                <w:u w:val="none"/>
              </w:rPr>
              <w:t>投标文件递交</w:t>
            </w:r>
          </w:p>
        </w:tc>
        <w:tc>
          <w:tcPr>
            <w:tcW w:w="6061" w:type="dxa"/>
            <w:vAlign w:val="center"/>
          </w:tcPr>
          <w:p>
            <w:pPr>
              <w:tabs>
                <w:tab w:val="left" w:pos="7200"/>
              </w:tabs>
              <w:spacing w:line="340" w:lineRule="exact"/>
              <w:jc w:val="both"/>
              <w:rPr>
                <w:rFonts w:hint="eastAsia" w:ascii="宋体" w:hAnsi="宋体" w:eastAsia="宋体" w:cs="宋体"/>
                <w:strike w:val="0"/>
                <w:dstrike w:val="0"/>
                <w:color w:val="auto"/>
                <w:sz w:val="21"/>
                <w:szCs w:val="21"/>
                <w:highlight w:val="none"/>
                <w:u w:val="none"/>
              </w:rPr>
            </w:pPr>
            <w:r>
              <w:rPr>
                <w:rFonts w:hint="eastAsia" w:ascii="宋体" w:hAnsi="宋体" w:eastAsia="宋体" w:cs="宋体"/>
                <w:strike w:val="0"/>
                <w:dstrike w:val="0"/>
                <w:color w:val="auto"/>
                <w:sz w:val="21"/>
                <w:szCs w:val="21"/>
                <w:highlight w:val="none"/>
                <w:u w:val="none"/>
              </w:rPr>
              <w:t>投标截止时间：</w:t>
            </w:r>
            <w:r>
              <w:rPr>
                <w:rFonts w:hint="eastAsia" w:ascii="宋体" w:hAnsi="宋体" w:cs="宋体"/>
                <w:strike w:val="0"/>
                <w:dstrike w:val="0"/>
                <w:color w:val="auto"/>
                <w:sz w:val="21"/>
                <w:szCs w:val="21"/>
                <w:highlight w:val="none"/>
                <w:u w:val="none"/>
                <w:lang w:eastAsia="zh-CN"/>
              </w:rPr>
              <w:t>2021年</w:t>
            </w:r>
            <w:r>
              <w:rPr>
                <w:rFonts w:hint="eastAsia" w:ascii="宋体" w:hAnsi="宋体" w:cs="宋体"/>
                <w:strike w:val="0"/>
                <w:dstrike w:val="0"/>
                <w:color w:val="auto"/>
                <w:sz w:val="21"/>
                <w:szCs w:val="21"/>
                <w:highlight w:val="none"/>
                <w:u w:val="none"/>
                <w:lang w:val="en-US" w:eastAsia="zh-CN"/>
              </w:rPr>
              <w:t>1月26日</w:t>
            </w:r>
            <w:r>
              <w:rPr>
                <w:rFonts w:hint="eastAsia" w:ascii="宋体" w:hAnsi="宋体" w:eastAsia="宋体" w:cs="宋体"/>
                <w:strike w:val="0"/>
                <w:dstrike w:val="0"/>
                <w:color w:val="auto"/>
                <w:sz w:val="21"/>
                <w:szCs w:val="21"/>
                <w:highlight w:val="none"/>
                <w:u w:val="none"/>
                <w:lang w:val="en-US" w:eastAsia="zh-CN"/>
              </w:rPr>
              <w:t>9</w:t>
            </w:r>
            <w:r>
              <w:rPr>
                <w:rFonts w:hint="eastAsia" w:ascii="宋体" w:hAnsi="宋体" w:eastAsia="宋体" w:cs="宋体"/>
                <w:strike w:val="0"/>
                <w:dstrike w:val="0"/>
                <w:color w:val="auto"/>
                <w:sz w:val="21"/>
                <w:szCs w:val="21"/>
                <w:highlight w:val="none"/>
                <w:u w:val="none"/>
              </w:rPr>
              <w:t>时</w:t>
            </w:r>
            <w:r>
              <w:rPr>
                <w:rFonts w:hint="eastAsia" w:ascii="宋体" w:hAnsi="宋体" w:eastAsia="宋体" w:cs="宋体"/>
                <w:strike w:val="0"/>
                <w:dstrike w:val="0"/>
                <w:color w:val="auto"/>
                <w:sz w:val="21"/>
                <w:szCs w:val="21"/>
                <w:highlight w:val="none"/>
                <w:u w:val="none"/>
                <w:lang w:val="en-US" w:eastAsia="zh-CN"/>
              </w:rPr>
              <w:t>30</w:t>
            </w:r>
            <w:r>
              <w:rPr>
                <w:rFonts w:hint="eastAsia" w:ascii="宋体" w:hAnsi="宋体" w:eastAsia="宋体" w:cs="宋体"/>
                <w:strike w:val="0"/>
                <w:dstrike w:val="0"/>
                <w:color w:val="auto"/>
                <w:sz w:val="21"/>
                <w:szCs w:val="21"/>
                <w:highlight w:val="none"/>
                <w:u w:val="none"/>
              </w:rPr>
              <w:t>分。</w:t>
            </w:r>
          </w:p>
          <w:p>
            <w:pPr>
              <w:spacing w:line="370" w:lineRule="exact"/>
              <w:jc w:val="both"/>
              <w:rPr>
                <w:rFonts w:hint="eastAsia" w:ascii="宋体" w:hAnsi="宋体" w:eastAsia="宋体" w:cs="宋体"/>
                <w:strike w:val="0"/>
                <w:dstrike w:val="0"/>
                <w:color w:val="auto"/>
                <w:sz w:val="21"/>
                <w:szCs w:val="21"/>
                <w:highlight w:val="none"/>
                <w:u w:val="none"/>
              </w:rPr>
            </w:pPr>
            <w:r>
              <w:rPr>
                <w:rFonts w:hint="eastAsia" w:ascii="宋体" w:hAnsi="宋体" w:eastAsia="宋体" w:cs="宋体"/>
                <w:strike w:val="0"/>
                <w:dstrike w:val="0"/>
                <w:color w:val="auto"/>
                <w:sz w:val="21"/>
                <w:szCs w:val="21"/>
                <w:highlight w:val="none"/>
                <w:u w:val="none"/>
              </w:rPr>
              <w:t>投标人应于</w:t>
            </w:r>
            <w:r>
              <w:rPr>
                <w:rFonts w:hint="eastAsia" w:ascii="宋体" w:hAnsi="宋体" w:cs="宋体"/>
                <w:strike w:val="0"/>
                <w:dstrike w:val="0"/>
                <w:color w:val="auto"/>
                <w:sz w:val="21"/>
                <w:szCs w:val="21"/>
                <w:highlight w:val="none"/>
                <w:u w:val="none"/>
                <w:lang w:eastAsia="zh-CN"/>
              </w:rPr>
              <w:t>2021年</w:t>
            </w:r>
            <w:r>
              <w:rPr>
                <w:rFonts w:hint="eastAsia" w:ascii="宋体" w:hAnsi="宋体" w:cs="宋体"/>
                <w:strike w:val="0"/>
                <w:dstrike w:val="0"/>
                <w:color w:val="auto"/>
                <w:sz w:val="21"/>
                <w:szCs w:val="21"/>
                <w:highlight w:val="none"/>
                <w:u w:val="none"/>
                <w:lang w:val="en-US" w:eastAsia="zh-CN"/>
              </w:rPr>
              <w:t>1月26日</w:t>
            </w:r>
            <w:r>
              <w:rPr>
                <w:rFonts w:hint="eastAsia" w:ascii="宋体" w:hAnsi="宋体" w:eastAsia="宋体" w:cs="宋体"/>
                <w:strike w:val="0"/>
                <w:dstrike w:val="0"/>
                <w:color w:val="auto"/>
                <w:sz w:val="21"/>
                <w:szCs w:val="21"/>
                <w:highlight w:val="none"/>
                <w:u w:val="none"/>
                <w:lang w:val="en-US" w:eastAsia="zh-CN"/>
              </w:rPr>
              <w:t>9</w:t>
            </w:r>
            <w:r>
              <w:rPr>
                <w:rFonts w:hint="eastAsia" w:ascii="宋体" w:hAnsi="宋体" w:eastAsia="宋体" w:cs="宋体"/>
                <w:strike w:val="0"/>
                <w:dstrike w:val="0"/>
                <w:color w:val="auto"/>
                <w:sz w:val="21"/>
                <w:szCs w:val="21"/>
                <w:highlight w:val="none"/>
                <w:u w:val="none"/>
              </w:rPr>
              <w:t>时至</w:t>
            </w:r>
            <w:r>
              <w:rPr>
                <w:rFonts w:hint="eastAsia" w:ascii="宋体" w:hAnsi="宋体" w:eastAsia="宋体" w:cs="宋体"/>
                <w:strike w:val="0"/>
                <w:dstrike w:val="0"/>
                <w:color w:val="auto"/>
                <w:sz w:val="21"/>
                <w:szCs w:val="21"/>
                <w:highlight w:val="none"/>
                <w:u w:val="none"/>
                <w:lang w:val="en-US" w:eastAsia="zh-CN"/>
              </w:rPr>
              <w:t>9</w:t>
            </w:r>
            <w:r>
              <w:rPr>
                <w:rFonts w:hint="eastAsia" w:ascii="宋体" w:hAnsi="宋体" w:eastAsia="宋体" w:cs="宋体"/>
                <w:strike w:val="0"/>
                <w:dstrike w:val="0"/>
                <w:color w:val="auto"/>
                <w:sz w:val="21"/>
                <w:szCs w:val="21"/>
                <w:highlight w:val="none"/>
                <w:u w:val="none"/>
              </w:rPr>
              <w:t>时</w:t>
            </w:r>
            <w:r>
              <w:rPr>
                <w:rFonts w:hint="eastAsia" w:ascii="宋体" w:hAnsi="宋体" w:eastAsia="宋体" w:cs="宋体"/>
                <w:strike w:val="0"/>
                <w:dstrike w:val="0"/>
                <w:color w:val="auto"/>
                <w:sz w:val="21"/>
                <w:szCs w:val="21"/>
                <w:highlight w:val="none"/>
                <w:u w:val="none"/>
                <w:lang w:val="en-US" w:eastAsia="zh-CN"/>
              </w:rPr>
              <w:t>30</w:t>
            </w:r>
            <w:r>
              <w:rPr>
                <w:rFonts w:hint="eastAsia" w:ascii="宋体" w:hAnsi="宋体" w:eastAsia="宋体" w:cs="宋体"/>
                <w:strike w:val="0"/>
                <w:dstrike w:val="0"/>
                <w:color w:val="auto"/>
                <w:sz w:val="21"/>
                <w:szCs w:val="21"/>
                <w:highlight w:val="none"/>
                <w:u w:val="none"/>
              </w:rPr>
              <w:t>分止，将投标文件密封提交至桂林市公共资源交易中心</w:t>
            </w:r>
            <w:r>
              <w:rPr>
                <w:rFonts w:hint="eastAsia" w:ascii="宋体" w:hAnsi="宋体" w:cs="宋体"/>
                <w:strike w:val="0"/>
                <w:dstrike w:val="0"/>
                <w:color w:val="auto"/>
                <w:sz w:val="21"/>
                <w:szCs w:val="21"/>
                <w:highlight w:val="none"/>
                <w:u w:val="none"/>
                <w:lang w:val="en-US" w:eastAsia="zh-CN"/>
              </w:rPr>
              <w:t>4号开标室</w:t>
            </w:r>
            <w:r>
              <w:rPr>
                <w:rFonts w:hint="eastAsia" w:ascii="宋体" w:hAnsi="宋体" w:eastAsia="宋体" w:cs="宋体"/>
                <w:strike w:val="0"/>
                <w:dstrike w:val="0"/>
                <w:color w:val="auto"/>
                <w:sz w:val="21"/>
                <w:szCs w:val="21"/>
                <w:highlight w:val="none"/>
                <w:u w:val="none"/>
              </w:rPr>
              <w:t>（地址：广西桂林市临桂区西城中路69号创业大厦西辅楼4楼北区），逾期送达的或未招标文件要求密封的投标文件将予以拒收。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strike w:val="0"/>
                <w:dstrike w:val="0"/>
                <w:color w:val="auto"/>
                <w:sz w:val="21"/>
                <w:szCs w:val="21"/>
                <w:highlight w:val="none"/>
                <w:u w:val="none"/>
                <w:lang w:eastAsia="zh-CN"/>
              </w:rPr>
            </w:pPr>
            <w:r>
              <w:rPr>
                <w:rFonts w:hint="eastAsia" w:ascii="宋体" w:hAnsi="宋体" w:eastAsia="宋体" w:cs="宋体"/>
                <w:strike w:val="0"/>
                <w:dstrike w:val="0"/>
                <w:color w:val="auto"/>
                <w:sz w:val="21"/>
                <w:szCs w:val="21"/>
                <w:highlight w:val="none"/>
                <w:u w:val="none"/>
              </w:rPr>
              <w:t>1</w:t>
            </w:r>
            <w:r>
              <w:rPr>
                <w:rFonts w:hint="eastAsia" w:ascii="宋体" w:hAnsi="宋体" w:eastAsia="宋体" w:cs="宋体"/>
                <w:strike w:val="0"/>
                <w:dstrike w:val="0"/>
                <w:color w:val="auto"/>
                <w:sz w:val="21"/>
                <w:szCs w:val="21"/>
                <w:highlight w:val="none"/>
                <w:u w:val="none"/>
                <w:lang w:val="en-US" w:eastAsia="zh-CN"/>
              </w:rPr>
              <w:t>4</w:t>
            </w:r>
          </w:p>
        </w:tc>
        <w:tc>
          <w:tcPr>
            <w:tcW w:w="837" w:type="dxa"/>
            <w:vAlign w:val="center"/>
          </w:tcPr>
          <w:p>
            <w:pPr>
              <w:spacing w:line="340" w:lineRule="exact"/>
              <w:jc w:val="center"/>
              <w:rPr>
                <w:rFonts w:hint="eastAsia" w:ascii="宋体" w:hAnsi="宋体" w:eastAsia="宋体" w:cs="宋体"/>
                <w:strike w:val="0"/>
                <w:dstrike w:val="0"/>
                <w:color w:val="auto"/>
                <w:sz w:val="21"/>
                <w:szCs w:val="21"/>
                <w:highlight w:val="none"/>
                <w:u w:val="none"/>
              </w:rPr>
            </w:pPr>
            <w:r>
              <w:rPr>
                <w:rFonts w:hint="eastAsia" w:ascii="宋体" w:hAnsi="宋体" w:eastAsia="宋体" w:cs="宋体"/>
                <w:strike w:val="0"/>
                <w:dstrike w:val="0"/>
                <w:color w:val="auto"/>
                <w:sz w:val="21"/>
                <w:szCs w:val="21"/>
                <w:highlight w:val="none"/>
                <w:u w:val="none"/>
              </w:rPr>
              <w:t>21.1</w:t>
            </w:r>
          </w:p>
        </w:tc>
        <w:tc>
          <w:tcPr>
            <w:tcW w:w="1796" w:type="dxa"/>
            <w:vAlign w:val="center"/>
          </w:tcPr>
          <w:p>
            <w:pPr>
              <w:spacing w:line="320" w:lineRule="exact"/>
              <w:jc w:val="center"/>
              <w:rPr>
                <w:rFonts w:hint="eastAsia" w:ascii="宋体" w:hAnsi="宋体" w:eastAsia="宋体" w:cs="宋体"/>
                <w:strike w:val="0"/>
                <w:dstrike w:val="0"/>
                <w:color w:val="auto"/>
                <w:sz w:val="21"/>
                <w:szCs w:val="21"/>
                <w:highlight w:val="none"/>
                <w:u w:val="none"/>
              </w:rPr>
            </w:pPr>
            <w:r>
              <w:rPr>
                <w:rFonts w:hint="eastAsia" w:ascii="宋体" w:hAnsi="宋体" w:eastAsia="宋体" w:cs="宋体"/>
                <w:strike w:val="0"/>
                <w:dstrike w:val="0"/>
                <w:color w:val="auto"/>
                <w:sz w:val="21"/>
                <w:szCs w:val="21"/>
                <w:highlight w:val="none"/>
                <w:u w:val="none"/>
              </w:rPr>
              <w:t>开标时间及地点</w:t>
            </w:r>
          </w:p>
        </w:tc>
        <w:tc>
          <w:tcPr>
            <w:tcW w:w="6061" w:type="dxa"/>
            <w:vAlign w:val="center"/>
          </w:tcPr>
          <w:p>
            <w:pPr>
              <w:autoSpaceDE w:val="0"/>
              <w:autoSpaceDN w:val="0"/>
              <w:snapToGrid w:val="0"/>
              <w:spacing w:line="370" w:lineRule="exact"/>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eastAsia="zh-CN"/>
              </w:rPr>
              <w:t>2021年</w:t>
            </w:r>
            <w:r>
              <w:rPr>
                <w:rFonts w:hint="eastAsia" w:ascii="宋体" w:hAnsi="宋体" w:cs="宋体"/>
                <w:color w:val="auto"/>
                <w:sz w:val="21"/>
                <w:szCs w:val="21"/>
                <w:highlight w:val="none"/>
                <w:lang w:val="en-US" w:eastAsia="zh-CN"/>
              </w:rPr>
              <w:t>1月26日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pPr>
              <w:autoSpaceDE w:val="0"/>
              <w:autoSpaceDN w:val="0"/>
              <w:snapToGrid w:val="0"/>
              <w:spacing w:line="370" w:lineRule="exact"/>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开标地点：桂林市公共资源交易中心</w:t>
            </w:r>
            <w:r>
              <w:rPr>
                <w:rFonts w:hint="eastAsia" w:ascii="宋体" w:hAnsi="宋体" w:cs="宋体"/>
                <w:color w:val="auto"/>
                <w:sz w:val="21"/>
                <w:szCs w:val="21"/>
                <w:highlight w:val="none"/>
                <w:lang w:val="en-US" w:eastAsia="zh-CN"/>
              </w:rPr>
              <w:t>4号开标室</w:t>
            </w:r>
            <w:r>
              <w:rPr>
                <w:rFonts w:hint="eastAsia" w:ascii="宋体" w:hAnsi="宋体" w:eastAsia="宋体" w:cs="宋体"/>
                <w:color w:val="auto"/>
                <w:sz w:val="21"/>
                <w:szCs w:val="21"/>
                <w:highlight w:val="none"/>
              </w:rPr>
              <w:t>（广西桂林市临桂区西城中路69号创业大厦西辅楼4楼北区）开标。</w:t>
            </w:r>
          </w:p>
          <w:p>
            <w:pPr>
              <w:autoSpaceDE w:val="0"/>
              <w:autoSpaceDN w:val="0"/>
              <w:snapToGrid w:val="0"/>
              <w:spacing w:line="370" w:lineRule="exact"/>
              <w:jc w:val="both"/>
              <w:textAlignment w:val="bottom"/>
              <w:rPr>
                <w:rFonts w:hint="eastAsia"/>
              </w:rPr>
            </w:pPr>
            <w:r>
              <w:rPr>
                <w:rFonts w:hint="eastAsia" w:ascii="宋体" w:hAnsi="宋体" w:eastAsia="宋体" w:cs="宋体"/>
                <w:color w:val="auto"/>
                <w:sz w:val="21"/>
                <w:szCs w:val="21"/>
                <w:highlight w:val="none"/>
              </w:rPr>
              <w:t>投标人可以由法定代表人、负责人、自然人或其委托代理人出席开标会议；投标人准时参加开标会并签字，如未按时签字的，视同放弃开标监督权利，认可开标结果。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评标委员会组成</w:t>
            </w:r>
          </w:p>
        </w:tc>
        <w:tc>
          <w:tcPr>
            <w:tcW w:w="6061" w:type="dxa"/>
            <w:vAlign w:val="center"/>
          </w:tcPr>
          <w:p>
            <w:pPr>
              <w:tabs>
                <w:tab w:val="left" w:pos="1140"/>
              </w:tabs>
              <w:spacing w:line="38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评标委员会由采购人代表和评审专家组成，成员人数共5人</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tc>
        <w:tc>
          <w:tcPr>
            <w:tcW w:w="6061" w:type="dxa"/>
            <w:vAlign w:val="center"/>
          </w:tcPr>
          <w:p>
            <w:pPr>
              <w:spacing w:line="37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796" w:type="dxa"/>
            <w:vAlign w:val="center"/>
          </w:tcPr>
          <w:p>
            <w:pPr>
              <w:tabs>
                <w:tab w:val="left" w:pos="1140"/>
              </w:tabs>
              <w:spacing w:line="306"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w:t>
            </w:r>
          </w:p>
        </w:tc>
        <w:tc>
          <w:tcPr>
            <w:tcW w:w="6061" w:type="dxa"/>
            <w:vAlign w:val="center"/>
          </w:tcPr>
          <w:p>
            <w:pPr>
              <w:autoSpaceDE w:val="0"/>
              <w:autoSpaceDN w:val="0"/>
              <w:snapToGrid w:val="0"/>
              <w:spacing w:line="370" w:lineRule="exact"/>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根据《关于做好政府采购有关信用主体标识码登记及在政府采购活动中查询使用信用记录有关问题的通知》桂财采〔2016〕37号的通知，由采购代理机构对中标候选供应商进行信用查询：</w:t>
            </w:r>
          </w:p>
          <w:p>
            <w:pPr>
              <w:autoSpaceDE w:val="0"/>
              <w:autoSpaceDN w:val="0"/>
              <w:snapToGrid w:val="0"/>
              <w:spacing w:line="370" w:lineRule="exact"/>
              <w:jc w:val="both"/>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查询渠道：信用中国(http://www.creditchina.gov.cn)、中国政府采购网（http://www.ccgp.gov.cn）等；</w:t>
            </w:r>
          </w:p>
          <w:p>
            <w:pPr>
              <w:autoSpaceDE w:val="0"/>
              <w:autoSpaceDN w:val="0"/>
              <w:snapToGrid w:val="0"/>
              <w:spacing w:line="370" w:lineRule="exact"/>
              <w:jc w:val="both"/>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查询截止时间：中标通知书发出前；</w:t>
            </w:r>
          </w:p>
          <w:p>
            <w:pPr>
              <w:autoSpaceDE w:val="0"/>
              <w:autoSpaceDN w:val="0"/>
              <w:snapToGrid w:val="0"/>
              <w:spacing w:line="370" w:lineRule="exact"/>
              <w:jc w:val="both"/>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信用信息查询记录和证据留存方式：在查询网站中直接打印查询记录，打印材料作为采购活动资料保存；</w:t>
            </w:r>
          </w:p>
          <w:p>
            <w:pPr>
              <w:autoSpaceDE w:val="0"/>
              <w:autoSpaceDN w:val="0"/>
              <w:snapToGrid w:val="0"/>
              <w:spacing w:line="370" w:lineRule="exact"/>
              <w:jc w:val="both"/>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信用信息使用规则：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供应商，取消其中标候选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中标公告及中标通知书</w:t>
            </w:r>
          </w:p>
        </w:tc>
        <w:tc>
          <w:tcPr>
            <w:tcW w:w="6061" w:type="dxa"/>
            <w:vAlign w:val="center"/>
          </w:tcPr>
          <w:p>
            <w:pPr>
              <w:pStyle w:val="16"/>
              <w:tabs>
                <w:tab w:val="left" w:pos="455"/>
              </w:tabs>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3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33.2中小企业在政府采购活动过程中，请根据自己的真实情况出具《中小企业声明函》。依法享受中小企业优惠政策的，采购人或采购代理机构在公告中标结果时，同时公告其《中小企业声明函》，接受社会监督</w:t>
            </w:r>
            <w:r>
              <w:rPr>
                <w:rFonts w:hint="eastAsia" w:ascii="宋体" w:hAnsi="宋体" w:eastAsia="宋体" w:cs="宋体"/>
                <w:color w:val="auto"/>
                <w:sz w:val="21"/>
                <w:szCs w:val="21"/>
                <w:highlight w:val="none"/>
                <w:lang w:eastAsia="zh-CN"/>
              </w:rPr>
              <w:t>。</w:t>
            </w:r>
          </w:p>
          <w:p>
            <w:pPr>
              <w:spacing w:line="3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33.3</w:t>
            </w:r>
            <w:r>
              <w:rPr>
                <w:rFonts w:hint="eastAsia" w:ascii="宋体" w:hAnsi="宋体" w:eastAsia="宋体" w:cs="宋体"/>
                <w:color w:val="auto"/>
                <w:sz w:val="21"/>
                <w:szCs w:val="21"/>
                <w:highlight w:val="none"/>
              </w:rPr>
              <w:t>中标公告同时采购代理机构向中标供应商发出中标通知书，中标供应商应自接到通知之日起七个工作日内，办理中标通知书领取手续。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9</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061" w:type="dxa"/>
            <w:vAlign w:val="center"/>
          </w:tcPr>
          <w:p>
            <w:pPr>
              <w:spacing w:line="3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履约保证金金额按中标价的5%（人民币，四舍五入到元）缴纳，由中标供应商在签订合同时将履约保证金以支票、汇票、本票或者金融机构、担保机构出具的保函等非现金形式提交缴入采购人指定账户</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837" w:type="dxa"/>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35.1</w:t>
            </w:r>
          </w:p>
        </w:tc>
        <w:tc>
          <w:tcPr>
            <w:tcW w:w="1796" w:type="dxa"/>
            <w:vAlign w:val="center"/>
          </w:tcPr>
          <w:p>
            <w:pPr>
              <w:spacing w:line="320" w:lineRule="exact"/>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签订合同</w:t>
            </w:r>
            <w:r>
              <w:rPr>
                <w:rFonts w:hint="eastAsia" w:ascii="宋体" w:hAnsi="宋体" w:eastAsia="宋体" w:cs="宋体"/>
                <w:color w:val="auto"/>
                <w:sz w:val="21"/>
                <w:szCs w:val="21"/>
                <w:highlight w:val="none"/>
                <w:lang w:eastAsia="zh-CN"/>
              </w:rPr>
              <w:t>时间</w:t>
            </w:r>
          </w:p>
        </w:tc>
        <w:tc>
          <w:tcPr>
            <w:tcW w:w="6061" w:type="dxa"/>
            <w:vAlign w:val="top"/>
          </w:tcPr>
          <w:p>
            <w:pPr>
              <w:spacing w:line="320" w:lineRule="exact"/>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采购人应当自中标通知书发出之日起</w:t>
            </w:r>
            <w:r>
              <w:rPr>
                <w:rFonts w:hint="eastAsia" w:ascii="宋体" w:hAnsi="宋体" w:eastAsia="宋体" w:cs="宋体"/>
                <w:color w:val="auto"/>
                <w:sz w:val="21"/>
                <w:szCs w:val="21"/>
                <w:highlight w:val="none"/>
                <w:lang w:eastAsia="zh-CN"/>
              </w:rPr>
              <w:t>25日内</w:t>
            </w:r>
            <w:r>
              <w:rPr>
                <w:rFonts w:hint="eastAsia" w:ascii="宋体" w:hAnsi="宋体" w:eastAsia="宋体" w:cs="宋体"/>
                <w:color w:val="auto"/>
                <w:sz w:val="21"/>
                <w:szCs w:val="21"/>
                <w:highlight w:val="none"/>
              </w:rPr>
              <w:t>，按照招标文件和中标人投标文件的规定，与中标人签订书面合同。所签订的合同不得对招标文件确定的事项和中标人投标文件作实质性修改。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837" w:type="dxa"/>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35.3</w:t>
            </w:r>
          </w:p>
        </w:tc>
        <w:tc>
          <w:tcPr>
            <w:tcW w:w="1796" w:type="dxa"/>
            <w:vAlign w:val="top"/>
          </w:tcPr>
          <w:p>
            <w:pPr>
              <w:pStyle w:val="55"/>
              <w:spacing w:before="15"/>
              <w:rPr>
                <w:rFonts w:hint="eastAsia" w:ascii="宋体" w:hAnsi="宋体" w:eastAsia="宋体" w:cs="宋体"/>
                <w:b/>
                <w:color w:val="auto"/>
                <w:sz w:val="25"/>
                <w:highlight w:val="none"/>
              </w:rPr>
            </w:pPr>
          </w:p>
          <w:p>
            <w:pPr>
              <w:pStyle w:val="55"/>
              <w:ind w:left="91" w:leftChars="0" w:right="90" w:rightChars="0"/>
              <w:jc w:val="center"/>
              <w:rPr>
                <w:rFonts w:hint="eastAsia" w:ascii="宋体" w:hAnsi="宋体" w:eastAsia="宋体" w:cs="宋体"/>
                <w:color w:val="auto"/>
                <w:kern w:val="0"/>
                <w:sz w:val="21"/>
                <w:szCs w:val="24"/>
                <w:highlight w:val="none"/>
                <w:lang w:val="zh-CN" w:eastAsia="zh-CN" w:bidi="zh-CN"/>
              </w:rPr>
            </w:pPr>
            <w:r>
              <w:rPr>
                <w:rFonts w:hint="eastAsia" w:ascii="宋体" w:hAnsi="宋体" w:eastAsia="宋体" w:cs="宋体"/>
                <w:color w:val="auto"/>
                <w:sz w:val="21"/>
                <w:highlight w:val="none"/>
              </w:rPr>
              <w:t>合同备案存档</w:t>
            </w:r>
          </w:p>
        </w:tc>
        <w:tc>
          <w:tcPr>
            <w:tcW w:w="6061" w:type="dxa"/>
            <w:vAlign w:val="top"/>
          </w:tcPr>
          <w:p>
            <w:pPr>
              <w:pStyle w:val="55"/>
              <w:spacing w:before="25" w:line="266" w:lineRule="auto"/>
              <w:ind w:right="98"/>
              <w:jc w:val="both"/>
              <w:rPr>
                <w:rFonts w:hint="eastAsia" w:ascii="宋体" w:hAnsi="宋体" w:eastAsia="宋体" w:cs="宋体"/>
                <w:color w:val="auto"/>
                <w:kern w:val="0"/>
                <w:sz w:val="21"/>
                <w:szCs w:val="24"/>
                <w:highlight w:val="none"/>
                <w:lang w:val="zh-CN" w:eastAsia="zh-CN" w:bidi="zh-CN"/>
              </w:rPr>
            </w:pPr>
            <w:r>
              <w:rPr>
                <w:rFonts w:hint="eastAsia" w:ascii="宋体" w:hAnsi="宋体" w:eastAsia="宋体" w:cs="宋体"/>
                <w:color w:val="auto"/>
                <w:sz w:val="21"/>
                <w:szCs w:val="21"/>
                <w:highlight w:val="none"/>
              </w:rPr>
              <w:t>政府采购合同双方自签订之日起1个工作日内将合同原件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份交采购代理机构。采购代理机构将政府采购合同在省级以上人民政府财政部门指定媒体上公告</w:t>
            </w:r>
            <w:r>
              <w:rPr>
                <w:rFonts w:hint="eastAsia" w:ascii="宋体" w:hAnsi="宋体" w:eastAsia="宋体" w:cs="宋体"/>
                <w:color w:val="auto"/>
                <w:sz w:val="21"/>
                <w:szCs w:val="21"/>
                <w:highlight w:val="none"/>
                <w:lang w:eastAsia="zh-CN"/>
              </w:rPr>
              <w:t>，中标供应商自</w:t>
            </w:r>
            <w:r>
              <w:rPr>
                <w:rFonts w:hint="eastAsia" w:ascii="宋体" w:hAnsi="宋体" w:eastAsia="宋体" w:cs="宋体"/>
                <w:color w:val="auto"/>
                <w:sz w:val="21"/>
                <w:szCs w:val="21"/>
                <w:highlight w:val="none"/>
              </w:rPr>
              <w:t>合同签订之日起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个工作日内将一份合同原件送</w:t>
            </w:r>
            <w:r>
              <w:rPr>
                <w:rFonts w:hint="eastAsia" w:ascii="宋体" w:hAnsi="宋体" w:eastAsia="宋体" w:cs="宋体"/>
                <w:sz w:val="21"/>
                <w:szCs w:val="21"/>
              </w:rPr>
              <w:t>荔浦市政府采购管理办公室</w:t>
            </w:r>
            <w:r>
              <w:rPr>
                <w:rFonts w:hint="eastAsia" w:ascii="宋体" w:hAnsi="宋体" w:eastAsia="宋体" w:cs="宋体"/>
                <w:color w:val="auto"/>
                <w:sz w:val="21"/>
                <w:szCs w:val="21"/>
                <w:highlight w:val="none"/>
              </w:rPr>
              <w:t>备案</w:t>
            </w:r>
            <w:r>
              <w:rPr>
                <w:rFonts w:hint="eastAsia" w:ascii="宋体" w:hAnsi="宋体" w:eastAsia="宋体" w:cs="宋体"/>
                <w:color w:val="auto"/>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招标代理服务费</w:t>
            </w:r>
          </w:p>
        </w:tc>
        <w:tc>
          <w:tcPr>
            <w:tcW w:w="6061" w:type="dxa"/>
            <w:vAlign w:val="center"/>
          </w:tcPr>
          <w:p>
            <w:pPr>
              <w:spacing w:line="38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本项目代理服务费标准参照计价格[2002]1980号《招标代理服务收费管理暂行办法》收费标准中货物类收费标准计算，由中标供应商在领取中标通知书前，向采购代理机构一次性支付（代理服务费不足人民币</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000.00按</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000.00收取）。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796" w:type="dxa"/>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6061" w:type="dxa"/>
            <w:vAlign w:val="center"/>
          </w:tcPr>
          <w:p>
            <w:pPr>
              <w:spacing w:line="34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本招标文件是根据《中华人民共和国政府采购法》、《中华人民共和国政府采购法实施条例》及《政府采购货物和服务招标投标管理办法》</w:t>
            </w:r>
            <w:r>
              <w:rPr>
                <w:rStyle w:val="27"/>
                <w:rFonts w:hint="eastAsia" w:ascii="宋体" w:hAnsi="宋体" w:eastAsia="宋体" w:cs="宋体"/>
                <w:b w:val="0"/>
                <w:color w:val="auto"/>
                <w:sz w:val="21"/>
                <w:szCs w:val="21"/>
                <w:highlight w:val="none"/>
              </w:rPr>
              <w:t>财政部令第87号</w:t>
            </w:r>
            <w:r>
              <w:rPr>
                <w:rFonts w:hint="eastAsia" w:ascii="宋体" w:hAnsi="宋体" w:eastAsia="宋体" w:cs="宋体"/>
                <w:color w:val="auto"/>
                <w:sz w:val="21"/>
                <w:szCs w:val="21"/>
                <w:highlight w:val="none"/>
              </w:rPr>
              <w:t>等相关规定编制，本招标文件的解释权属于采购代理机构。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837" w:type="dxa"/>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796" w:type="dxa"/>
            <w:vAlign w:val="center"/>
          </w:tcPr>
          <w:p>
            <w:pPr>
              <w:spacing w:line="320" w:lineRule="exact"/>
              <w:jc w:val="center"/>
              <w:rPr>
                <w:rFonts w:hint="eastAsia" w:ascii="宋体" w:hAnsi="宋体" w:eastAsia="宋体" w:cs="宋体"/>
                <w:color w:val="auto"/>
                <w:position w:val="10"/>
                <w:sz w:val="21"/>
                <w:szCs w:val="21"/>
                <w:highlight w:val="none"/>
              </w:rPr>
            </w:pPr>
            <w:r>
              <w:rPr>
                <w:rFonts w:hint="eastAsia" w:ascii="宋体" w:hAnsi="宋体" w:eastAsia="宋体" w:cs="宋体"/>
                <w:color w:val="auto"/>
                <w:sz w:val="21"/>
                <w:szCs w:val="21"/>
                <w:highlight w:val="none"/>
              </w:rPr>
              <w:t>监督管理机构</w:t>
            </w:r>
          </w:p>
        </w:tc>
        <w:tc>
          <w:tcPr>
            <w:tcW w:w="6061" w:type="dxa"/>
            <w:vAlign w:val="center"/>
          </w:tcPr>
          <w:p>
            <w:pPr>
              <w:spacing w:line="34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sz w:val="21"/>
                <w:szCs w:val="21"/>
              </w:rPr>
              <w:t>荔浦市政府采购管理办公室</w:t>
            </w:r>
            <w:r>
              <w:rPr>
                <w:rFonts w:hint="eastAsia" w:ascii="宋体" w:hAnsi="宋体" w:eastAsia="宋体" w:cs="宋体"/>
                <w:color w:val="auto"/>
                <w:sz w:val="21"/>
                <w:szCs w:val="21"/>
                <w:highlight w:val="none"/>
              </w:rPr>
              <w:t>，电话：0773-</w:t>
            </w:r>
            <w:r>
              <w:rPr>
                <w:rFonts w:hint="eastAsia" w:ascii="宋体" w:hAnsi="宋体" w:cs="宋体"/>
                <w:color w:val="auto"/>
                <w:sz w:val="21"/>
                <w:szCs w:val="21"/>
                <w:highlight w:val="none"/>
                <w:lang w:eastAsia="zh-CN"/>
              </w:rPr>
              <w:t>7233366</w:t>
            </w:r>
          </w:p>
        </w:tc>
      </w:tr>
    </w:tbl>
    <w:p>
      <w:pPr>
        <w:pStyle w:val="13"/>
        <w:keepNext w:val="0"/>
        <w:keepLines w:val="0"/>
        <w:pageBreakBefore w:val="0"/>
        <w:widowControl/>
        <w:kinsoku/>
        <w:wordWrap/>
        <w:overflowPunct/>
        <w:topLinePunct w:val="0"/>
        <w:autoSpaceDE/>
        <w:autoSpaceDN/>
        <w:bidi w:val="0"/>
        <w:snapToGrid/>
        <w:spacing w:line="320" w:lineRule="exact"/>
        <w:ind w:left="0" w:leftChars="0" w:right="31680" w:firstLine="0" w:firstLineChars="0"/>
        <w:jc w:val="both"/>
        <w:rPr>
          <w:rFonts w:hint="eastAsia" w:ascii="宋体" w:hAnsi="宋体" w:eastAsia="宋体" w:cs="宋体"/>
          <w:color w:val="auto"/>
          <w:sz w:val="21"/>
          <w:szCs w:val="21"/>
          <w:highlight w:val="none"/>
        </w:rPr>
        <w:sectPr>
          <w:footerReference r:id="rId3" w:type="default"/>
          <w:pgSz w:w="11906" w:h="16838"/>
          <w:pgMar w:top="1440" w:right="1046" w:bottom="1440" w:left="1200" w:header="851" w:footer="992" w:gutter="0"/>
          <w:pgNumType w:fmt="decimal" w:start="1"/>
          <w:cols w:space="0" w:num="1"/>
          <w:docGrid w:type="linesAndChars" w:linePitch="312" w:charSpace="0"/>
        </w:sectPr>
      </w:pPr>
    </w:p>
    <w:p>
      <w:pPr>
        <w:keepNext w:val="0"/>
        <w:keepLines w:val="0"/>
        <w:pageBreakBefore w:val="0"/>
        <w:widowControl/>
        <w:kinsoku/>
        <w:wordWrap/>
        <w:overflowPunct/>
        <w:topLinePunct w:val="0"/>
        <w:autoSpaceDE/>
        <w:autoSpaceDN/>
        <w:bidi w:val="0"/>
        <w:spacing w:line="320" w:lineRule="exact"/>
        <w:ind w:firstLine="422" w:firstLineChars="20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一、总则</w:t>
      </w:r>
    </w:p>
    <w:p>
      <w:pPr>
        <w:keepNext w:val="0"/>
        <w:keepLines w:val="0"/>
        <w:pageBreakBefore w:val="0"/>
        <w:widowControl/>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1.项目名称及项目编号</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bCs/>
          <w:color w:val="auto"/>
          <w:sz w:val="21"/>
          <w:szCs w:val="21"/>
          <w:highlight w:val="none"/>
          <w:lang w:eastAsia="zh-CN"/>
        </w:rPr>
        <w:t>荔浦市自然灾害防治体系建设物资采购</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GLZC2020-G1-310062-GXLY</w:t>
      </w:r>
    </w:p>
    <w:p>
      <w:pPr>
        <w:keepNext w:val="0"/>
        <w:keepLines w:val="0"/>
        <w:pageBreakBefore w:val="0"/>
        <w:widowControl/>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2.适应范围</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本招标文件适用本招标采购项目的招标、投标、评标、合同履约、验收、付款等行为（法律、法规另有规定的，从其规定）。</w:t>
      </w:r>
    </w:p>
    <w:p>
      <w:pPr>
        <w:keepNext w:val="0"/>
        <w:keepLines w:val="0"/>
        <w:pageBreakBefore w:val="0"/>
        <w:widowControl/>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3.定义</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3.1“投标人”是指响应招标、参加投标竞争的法人、其他组织。</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3.2“服务”系指按招标文件规定，投标人须承担的安装、调试、技术协助、校准、培训、技术指导以及其他类似的义务。</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3.3“项目”系指投标人按招标文件规定向采购人提供的服务。</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3.4“书面形式”包括信函、传真、电报。</w:t>
      </w:r>
    </w:p>
    <w:p>
      <w:pPr>
        <w:keepNext w:val="0"/>
        <w:keepLines w:val="0"/>
        <w:pageBreakBefore w:val="0"/>
        <w:widowControl/>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3.5实质性要求：</w:t>
      </w:r>
      <w:r>
        <w:rPr>
          <w:rFonts w:hint="eastAsia" w:ascii="宋体" w:hAnsi="宋体" w:eastAsia="宋体" w:cs="宋体"/>
          <w:b/>
          <w:color w:val="auto"/>
          <w:sz w:val="21"/>
          <w:szCs w:val="21"/>
          <w:highlight w:val="none"/>
          <w:lang w:eastAsia="zh-CN"/>
        </w:rPr>
        <w:t>“货物采购需求”</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要求</w:t>
      </w:r>
      <w:r>
        <w:rPr>
          <w:rFonts w:hint="eastAsia" w:ascii="宋体" w:hAnsi="宋体" w:eastAsia="宋体" w:cs="宋体"/>
          <w:b/>
          <w:color w:val="auto"/>
          <w:sz w:val="21"/>
          <w:szCs w:val="21"/>
          <w:highlight w:val="none"/>
          <w:lang w:eastAsia="zh-CN"/>
        </w:rPr>
        <w:t>及商务要求均</w:t>
      </w:r>
      <w:r>
        <w:rPr>
          <w:rFonts w:hint="eastAsia" w:ascii="宋体" w:hAnsi="宋体" w:eastAsia="宋体" w:cs="宋体"/>
          <w:b/>
          <w:color w:val="auto"/>
          <w:sz w:val="21"/>
          <w:szCs w:val="21"/>
          <w:highlight w:val="none"/>
        </w:rPr>
        <w:t>为实质性要求。</w:t>
      </w:r>
    </w:p>
    <w:p>
      <w:pPr>
        <w:keepNext w:val="0"/>
        <w:keepLines w:val="0"/>
        <w:pageBreakBefore w:val="0"/>
        <w:widowControl/>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4.招标方式、评分办法</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公开招标、具体评标内容及标准详见第四章。</w:t>
      </w:r>
    </w:p>
    <w:p>
      <w:pPr>
        <w:keepNext w:val="0"/>
        <w:keepLines w:val="0"/>
        <w:pageBreakBefore w:val="0"/>
        <w:widowControl/>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5.投标人资格</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1符合《中华人民共和国政府采购法》第二十二条规定，具备合法资格的供应商。</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6.投标费用</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w:t>
      </w:r>
    </w:p>
    <w:p>
      <w:pPr>
        <w:keepNext w:val="0"/>
        <w:keepLines w:val="0"/>
        <w:pageBreakBefore w:val="0"/>
        <w:widowControl/>
        <w:tabs>
          <w:tab w:val="left" w:pos="1635"/>
        </w:tabs>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7.联合体投标要求</w:t>
      </w:r>
    </w:p>
    <w:p>
      <w:pPr>
        <w:keepNext w:val="0"/>
        <w:keepLines w:val="0"/>
        <w:pageBreakBefore w:val="0"/>
        <w:widowControl/>
        <w:tabs>
          <w:tab w:val="left" w:pos="163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pPr>
        <w:keepNext w:val="0"/>
        <w:keepLines w:val="0"/>
        <w:pageBreakBefore w:val="0"/>
        <w:widowControl/>
        <w:tabs>
          <w:tab w:val="left" w:pos="1635"/>
        </w:tabs>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8.转包与分包</w:t>
      </w:r>
    </w:p>
    <w:p>
      <w:pPr>
        <w:keepNext w:val="0"/>
        <w:keepLines w:val="0"/>
        <w:pageBreakBefore w:val="0"/>
        <w:widowControl/>
        <w:tabs>
          <w:tab w:val="left" w:pos="163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8.1本项目不允许转包。</w:t>
      </w:r>
    </w:p>
    <w:p>
      <w:pPr>
        <w:keepNext w:val="0"/>
        <w:keepLines w:val="0"/>
        <w:pageBreakBefore w:val="0"/>
        <w:widowControl/>
        <w:tabs>
          <w:tab w:val="left" w:pos="163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w:t>
      </w:r>
      <w:r>
        <w:rPr>
          <w:rFonts w:hint="eastAsia" w:ascii="宋体" w:hAnsi="宋体" w:eastAsia="宋体" w:cs="宋体"/>
          <w:color w:val="auto"/>
          <w:sz w:val="21"/>
          <w:szCs w:val="21"/>
          <w:highlight w:val="none"/>
        </w:rPr>
        <w:t>本项目不可以分包。</w:t>
      </w:r>
    </w:p>
    <w:p>
      <w:pPr>
        <w:keepNext w:val="0"/>
        <w:keepLines w:val="0"/>
        <w:pageBreakBefore w:val="0"/>
        <w:widowControl/>
        <w:tabs>
          <w:tab w:val="left" w:pos="1635"/>
        </w:tabs>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9.特别说明</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rPr>
        <w:t>关联供应商不得参加同一合同项下政府采购活动，否则投标文件将被视为无效：</w:t>
      </w:r>
    </w:p>
    <w:p>
      <w:pPr>
        <w:keepNext w:val="0"/>
        <w:keepLines w:val="0"/>
        <w:pageBreakBefore w:val="0"/>
        <w:widowControl/>
        <w:tabs>
          <w:tab w:val="left" w:pos="163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w:t>
      </w:r>
    </w:p>
    <w:p>
      <w:pPr>
        <w:keepNext w:val="0"/>
        <w:keepLines w:val="0"/>
        <w:pageBreakBefore w:val="0"/>
        <w:widowControl/>
        <w:tabs>
          <w:tab w:val="left" w:pos="163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投标人应仔细阅读招标文件的所有内容，按照招标文件的要求提交投标文件，并对所提供的全部资料的真实性承担法律责任。</w:t>
      </w:r>
    </w:p>
    <w:p>
      <w:pPr>
        <w:keepNext w:val="0"/>
        <w:keepLines w:val="0"/>
        <w:pageBreakBefore w:val="0"/>
        <w:widowControl/>
        <w:tabs>
          <w:tab w:val="left" w:pos="1635"/>
        </w:tabs>
        <w:kinsoku/>
        <w:wordWrap/>
        <w:overflowPunct/>
        <w:topLinePunct w:val="0"/>
        <w:autoSpaceDE/>
        <w:autoSpaceDN/>
        <w:bidi w:val="0"/>
        <w:spacing w:line="32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投标人在投标活动中提供任何虚假材料，其投标无效，并报监管部门查处；中标后发现的，中标人须依照《中华人民共和国消费者权益保护法》赔偿采购人，且民事赔偿并不免除违法投标人的行政与刑事责任。</w:t>
      </w:r>
    </w:p>
    <w:p>
      <w:pPr>
        <w:keepNext w:val="0"/>
        <w:keepLines w:val="0"/>
        <w:pageBreakBefore w:val="0"/>
        <w:widowControl/>
        <w:tabs>
          <w:tab w:val="left" w:pos="2190"/>
        </w:tabs>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10.质疑和投诉</w:t>
      </w:r>
      <w:r>
        <w:rPr>
          <w:rFonts w:hint="eastAsia" w:ascii="宋体" w:hAnsi="宋体" w:eastAsia="宋体" w:cs="宋体"/>
          <w:b/>
          <w:color w:val="auto"/>
          <w:sz w:val="21"/>
          <w:szCs w:val="21"/>
          <w:highlight w:val="none"/>
        </w:rPr>
        <w:tab/>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10.1</w:t>
      </w:r>
      <w:r>
        <w:rPr>
          <w:rFonts w:hint="eastAsia" w:ascii="宋体" w:hAnsi="宋体" w:eastAsia="宋体" w:cs="宋体"/>
          <w:color w:val="auto"/>
          <w:sz w:val="21"/>
          <w:szCs w:val="21"/>
          <w:highlight w:val="none"/>
        </w:rPr>
        <w:t>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否则，采购代理机构有权拒收。</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投标人在法定质疑期内应一次性提出与项目相关的质疑，投标人在提出与项目相关的质疑前应当做好全面且详细的工作，代理机构不再受理投标人针对同一采购程序环节的再次质疑。</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10.2</w:t>
      </w:r>
      <w:r>
        <w:rPr>
          <w:rFonts w:hint="eastAsia" w:ascii="宋体" w:hAnsi="宋体" w:eastAsia="宋体" w:cs="宋体"/>
          <w:color w:val="auto"/>
          <w:sz w:val="21"/>
          <w:szCs w:val="21"/>
          <w:highlight w:val="none"/>
        </w:rPr>
        <w:t>投标人对采购代理机构的答复不满意或者采购代理机构未在规定的时间内作出答复的，可以在答复期满后十五个工作日内向</w:t>
      </w:r>
      <w:r>
        <w:rPr>
          <w:rFonts w:hint="eastAsia" w:ascii="宋体" w:hAnsi="宋体" w:eastAsia="宋体" w:cs="宋体"/>
          <w:sz w:val="21"/>
          <w:szCs w:val="21"/>
        </w:rPr>
        <w:t>荔浦市政府采购管理办公室</w:t>
      </w:r>
      <w:r>
        <w:rPr>
          <w:rFonts w:hint="eastAsia" w:ascii="宋体" w:hAnsi="宋体" w:eastAsia="宋体" w:cs="宋体"/>
          <w:color w:val="auto"/>
          <w:sz w:val="21"/>
          <w:szCs w:val="21"/>
          <w:highlight w:val="none"/>
        </w:rPr>
        <w:t>监督管理机构投诉。</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10.3</w:t>
      </w:r>
      <w:r>
        <w:rPr>
          <w:rFonts w:hint="eastAsia" w:ascii="宋体" w:hAnsi="宋体" w:eastAsia="宋体" w:cs="宋体"/>
          <w:color w:val="auto"/>
          <w:sz w:val="21"/>
          <w:szCs w:val="21"/>
          <w:highlight w:val="none"/>
        </w:rPr>
        <w:t>质疑、投诉应当采用书面形式，质疑书、投诉书实行实名制，均应明确阐述招标文件、招标过程或中标结果中使自己合法权益受到损害的实质性内容，并提供必要的证明材料。</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投标人提出质疑应当提交质疑函和必要的证明材料，针对同一采购程序环节的质疑必须在法定质疑期内一次性提出。质疑函应当包括下列内容：</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供应商的姓名或者名称、地址、邮编、联系人及联系电话；</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质疑项目的名称、编号；</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具体、明确的质疑事项和与质疑事项相关的请求；</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必要的法律依据；</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提出质疑的日期。</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供应商为法人或者其他组织的，应当由法定代表人、主要负责人，或者其授权</w:t>
      </w:r>
      <w:r>
        <w:rPr>
          <w:rFonts w:hint="eastAsia" w:ascii="宋体" w:hAnsi="宋体" w:eastAsia="宋体" w:cs="宋体"/>
          <w:color w:val="auto"/>
          <w:sz w:val="21"/>
          <w:szCs w:val="21"/>
          <w:highlight w:val="none"/>
          <w:lang w:eastAsia="zh-CN"/>
        </w:rPr>
        <w:t>委托</w:t>
      </w:r>
      <w:r>
        <w:rPr>
          <w:rFonts w:hint="eastAsia" w:ascii="宋体" w:hAnsi="宋体" w:eastAsia="宋体" w:cs="宋体"/>
          <w:color w:val="auto"/>
          <w:sz w:val="21"/>
          <w:szCs w:val="21"/>
          <w:highlight w:val="none"/>
        </w:rPr>
        <w:t>代表签字或者盖章，并加盖公章。</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接收质疑函方式：以书面形式</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质疑联系部门及联系方式：广西联云项目管理有限公司，联系人：</w:t>
      </w:r>
      <w:r>
        <w:rPr>
          <w:rFonts w:hint="eastAsia" w:ascii="宋体" w:hAnsi="宋体" w:eastAsia="宋体" w:cs="宋体"/>
          <w:color w:val="auto"/>
          <w:sz w:val="21"/>
          <w:szCs w:val="21"/>
          <w:highlight w:val="none"/>
          <w:lang w:eastAsia="zh-CN"/>
        </w:rPr>
        <w:t>蒋工</w:t>
      </w:r>
      <w:r>
        <w:rPr>
          <w:rFonts w:hint="eastAsia" w:ascii="宋体" w:hAnsi="宋体" w:eastAsia="宋体" w:cs="宋体"/>
          <w:color w:val="auto"/>
          <w:sz w:val="21"/>
          <w:szCs w:val="21"/>
          <w:highlight w:val="none"/>
        </w:rPr>
        <w:t>，联系电话：</w:t>
      </w:r>
      <w:r>
        <w:rPr>
          <w:rFonts w:hint="eastAsia" w:ascii="宋体" w:hAnsi="宋体" w:eastAsia="宋体" w:cs="宋体"/>
          <w:bCs/>
          <w:color w:val="auto"/>
          <w:sz w:val="21"/>
          <w:szCs w:val="21"/>
          <w:highlight w:val="none"/>
        </w:rPr>
        <w:t>0773-8994564</w:t>
      </w:r>
      <w:r>
        <w:rPr>
          <w:rFonts w:hint="eastAsia" w:ascii="宋体" w:hAnsi="宋体" w:eastAsia="宋体" w:cs="宋体"/>
          <w:color w:val="auto"/>
          <w:sz w:val="21"/>
          <w:szCs w:val="21"/>
          <w:highlight w:val="none"/>
        </w:rPr>
        <w:t>。通讯地址：</w:t>
      </w:r>
      <w:r>
        <w:rPr>
          <w:rFonts w:hint="eastAsia" w:ascii="宋体" w:hAnsi="宋体" w:eastAsia="宋体" w:cs="宋体"/>
          <w:bCs/>
          <w:color w:val="auto"/>
          <w:sz w:val="21"/>
          <w:szCs w:val="21"/>
          <w:highlight w:val="none"/>
        </w:rPr>
        <w:t>桂林市红岭路金桂国际10楼10-3</w:t>
      </w:r>
      <w:r>
        <w:rPr>
          <w:rFonts w:hint="eastAsia" w:ascii="宋体" w:hAnsi="宋体" w:eastAsia="宋体" w:cs="宋体"/>
          <w:color w:val="auto"/>
          <w:sz w:val="21"/>
          <w:szCs w:val="21"/>
          <w:highlight w:val="none"/>
        </w:rPr>
        <w:t>。</w:t>
      </w:r>
    </w:p>
    <w:p>
      <w:pPr>
        <w:keepNext w:val="0"/>
        <w:keepLines w:val="0"/>
        <w:pageBreakBefore w:val="0"/>
        <w:widowControl/>
        <w:numPr>
          <w:ilvl w:val="0"/>
          <w:numId w:val="0"/>
        </w:numPr>
        <w:kinsoku/>
        <w:wordWrap/>
        <w:overflowPunct/>
        <w:topLinePunct w:val="0"/>
        <w:autoSpaceDE/>
        <w:autoSpaceDN/>
        <w:bidi w:val="0"/>
        <w:spacing w:line="320" w:lineRule="exact"/>
        <w:jc w:val="center"/>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二、</w:t>
      </w:r>
      <w:r>
        <w:rPr>
          <w:rFonts w:hint="eastAsia" w:ascii="宋体" w:hAnsi="宋体" w:eastAsia="宋体" w:cs="宋体"/>
          <w:b/>
          <w:color w:val="auto"/>
          <w:sz w:val="21"/>
          <w:szCs w:val="21"/>
          <w:highlight w:val="none"/>
        </w:rPr>
        <w:t>招标文件</w:t>
      </w:r>
    </w:p>
    <w:p>
      <w:pPr>
        <w:keepNext w:val="0"/>
        <w:keepLines w:val="0"/>
        <w:pageBreakBefore w:val="0"/>
        <w:widowControl/>
        <w:tabs>
          <w:tab w:val="left" w:pos="2190"/>
        </w:tabs>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11.招标文件的构成</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11.1招标公告；</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11.2投标人须知；</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r>
        <w:rPr>
          <w:rFonts w:hint="eastAsia" w:ascii="宋体" w:hAnsi="宋体" w:eastAsia="宋体" w:cs="宋体"/>
          <w:color w:val="auto"/>
          <w:sz w:val="21"/>
          <w:szCs w:val="21"/>
          <w:highlight w:val="none"/>
          <w:lang w:eastAsia="zh-CN"/>
        </w:rPr>
        <w:t>货物采购需求</w:t>
      </w:r>
      <w:r>
        <w:rPr>
          <w:rFonts w:hint="eastAsia" w:ascii="宋体" w:hAnsi="宋体" w:eastAsia="宋体" w:cs="宋体"/>
          <w:color w:val="auto"/>
          <w:sz w:val="21"/>
          <w:szCs w:val="21"/>
          <w:highlight w:val="none"/>
        </w:rPr>
        <w:t>；</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11.4评标办法；</w:t>
      </w:r>
    </w:p>
    <w:p>
      <w:pPr>
        <w:pStyle w:val="13"/>
        <w:keepNext w:val="0"/>
        <w:keepLines w:val="0"/>
        <w:pageBreakBefore w:val="0"/>
        <w:widowControl/>
        <w:kinsoku/>
        <w:wordWrap/>
        <w:overflowPunct/>
        <w:topLinePunct w:val="0"/>
        <w:autoSpaceDE/>
        <w:autoSpaceDN/>
        <w:bidi w:val="0"/>
        <w:spacing w:line="320" w:lineRule="exact"/>
        <w:ind w:left="31680" w:right="3168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11.5采购合同（合同主要条款及格式）；</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11.6投标文件（格式）</w:t>
      </w:r>
    </w:p>
    <w:p>
      <w:pPr>
        <w:keepNext w:val="0"/>
        <w:keepLines w:val="0"/>
        <w:pageBreakBefore w:val="0"/>
        <w:widowControl/>
        <w:tabs>
          <w:tab w:val="left" w:pos="2190"/>
        </w:tabs>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12.招标文件的澄清与修改</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12.1投标人应认真阅读招标文件，发现其中有误或有不合理要求的，投标人必须在招标公告期限届满之日起7个工作日内以书面形式要求采购代理机构澄清。</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r>
        <w:rPr>
          <w:rFonts w:hint="eastAsia" w:ascii="宋体" w:hAnsi="宋体" w:eastAsia="宋体" w:cs="宋体"/>
          <w:bCs/>
          <w:color w:val="auto"/>
          <w:sz w:val="21"/>
          <w:szCs w:val="21"/>
          <w:highlight w:val="none"/>
        </w:rPr>
        <w:t>投标人下载招标文件后应实时关注相关网站了解澄清、修改等与项目有关的内容，如因投标人未及时登录相关网站了解澄清、修改等与项目有关的内容，从而导致投标无效的，由投标人自行承担责任。</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12.4必要的澄清、修改的内容为招标文件的组成部分。当澄清、修改通知就同一内容的表述不一致时，以最后发出的书面文件为准。</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12.5招标文件的澄清、修改都应该通过采购代理机构以法定形式发布，采购人非通过本机构，不得擅自澄清、修改招标文件。</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12.6</w:t>
      </w:r>
      <w:r>
        <w:rPr>
          <w:rFonts w:hint="eastAsia" w:ascii="宋体" w:hAnsi="宋体" w:eastAsia="宋体" w:cs="宋体"/>
          <w:color w:val="auto"/>
          <w:sz w:val="21"/>
          <w:szCs w:val="21"/>
          <w:highlight w:val="none"/>
        </w:rPr>
        <w:t>采购人或者采购代理机构可以视采购具体情况，延长投标截止时间和开标时间，并在本项目招标公告发布的同一媒体上发布变更公告</w:t>
      </w:r>
    </w:p>
    <w:p>
      <w:pPr>
        <w:keepNext w:val="0"/>
        <w:keepLines w:val="0"/>
        <w:pageBreakBefore w:val="0"/>
        <w:widowControl/>
        <w:numPr>
          <w:ilvl w:val="0"/>
          <w:numId w:val="0"/>
        </w:numPr>
        <w:kinsoku/>
        <w:wordWrap/>
        <w:overflowPunct/>
        <w:topLinePunct w:val="0"/>
        <w:autoSpaceDE/>
        <w:autoSpaceDN/>
        <w:bidi w:val="0"/>
        <w:spacing w:line="320" w:lineRule="exact"/>
        <w:jc w:val="center"/>
        <w:outlineLvl w:val="3"/>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三、投标文件的编制</w:t>
      </w:r>
    </w:p>
    <w:p>
      <w:pPr>
        <w:keepNext w:val="0"/>
        <w:keepLines w:val="0"/>
        <w:pageBreakBefore w:val="0"/>
        <w:widowControl/>
        <w:tabs>
          <w:tab w:val="left" w:pos="1305"/>
        </w:tabs>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13.投标文件的组成及要求</w:t>
      </w:r>
    </w:p>
    <w:p>
      <w:pPr>
        <w:keepNext w:val="0"/>
        <w:keepLines w:val="0"/>
        <w:pageBreakBefore w:val="0"/>
        <w:widowControl/>
        <w:tabs>
          <w:tab w:val="left" w:pos="2190"/>
        </w:tabs>
        <w:kinsoku/>
        <w:wordWrap/>
        <w:overflowPunct/>
        <w:topLinePunct w:val="0"/>
        <w:autoSpaceDE/>
        <w:autoSpaceDN/>
        <w:bidi w:val="0"/>
        <w:spacing w:line="32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w:t>
      </w:r>
      <w:r>
        <w:rPr>
          <w:rFonts w:hint="eastAsia" w:ascii="宋体" w:hAnsi="宋体" w:eastAsia="宋体" w:cs="宋体"/>
          <w:b/>
          <w:color w:val="auto"/>
          <w:sz w:val="21"/>
          <w:szCs w:val="21"/>
          <w:highlight w:val="none"/>
        </w:rPr>
        <w:t>投标文件组成【格式见第六章投标文件（格式）】</w:t>
      </w:r>
    </w:p>
    <w:p>
      <w:pPr>
        <w:keepNext w:val="0"/>
        <w:keepLines w:val="0"/>
        <w:pageBreakBefore w:val="0"/>
        <w:widowControl/>
        <w:tabs>
          <w:tab w:val="left" w:pos="1305"/>
        </w:tabs>
        <w:kinsoku/>
        <w:wordWrap/>
        <w:overflowPunct/>
        <w:topLinePunct w:val="0"/>
        <w:autoSpaceDE/>
        <w:autoSpaceDN/>
        <w:bidi w:val="0"/>
        <w:spacing w:line="320" w:lineRule="exact"/>
        <w:ind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13.1.1投标报价表</w:t>
      </w:r>
      <w:r>
        <w:rPr>
          <w:rFonts w:hint="eastAsia" w:ascii="宋体" w:hAnsi="宋体" w:eastAsia="宋体" w:cs="宋体"/>
          <w:b/>
          <w:bCs/>
          <w:color w:val="auto"/>
          <w:sz w:val="21"/>
          <w:szCs w:val="21"/>
          <w:highlight w:val="none"/>
        </w:rPr>
        <w:t>（必须提供）</w:t>
      </w:r>
      <w:r>
        <w:rPr>
          <w:rFonts w:hint="eastAsia" w:ascii="宋体" w:hAnsi="宋体" w:eastAsia="宋体" w:cs="宋体"/>
          <w:b/>
          <w:color w:val="auto"/>
          <w:sz w:val="21"/>
          <w:szCs w:val="21"/>
          <w:highlight w:val="none"/>
        </w:rPr>
        <w:t>（格式见附件）</w:t>
      </w:r>
    </w:p>
    <w:p>
      <w:pPr>
        <w:keepNext w:val="0"/>
        <w:keepLines w:val="0"/>
        <w:pageBreakBefore w:val="0"/>
        <w:widowControl/>
        <w:tabs>
          <w:tab w:val="left" w:pos="1305"/>
        </w:tabs>
        <w:kinsoku/>
        <w:wordWrap/>
        <w:overflowPunct/>
        <w:topLinePunct w:val="0"/>
        <w:autoSpaceDE/>
        <w:autoSpaceDN/>
        <w:bidi w:val="0"/>
        <w:spacing w:line="320" w:lineRule="exact"/>
        <w:ind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13.1.2资格性响应证明材料：</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（1）投标人相应的法定代表人、负责人、自然人身份证正反面复印件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（2）投标人的授权委托书原件、委托代理人身份证正反面复印件以及由县级以上（含县级）社会养老保险经办机构出具的投标人为委托代理人交纳的</w:t>
      </w:r>
      <w:r>
        <w:rPr>
          <w:rFonts w:hint="eastAsia" w:ascii="宋体" w:hAnsi="宋体" w:cs="宋体"/>
          <w:color w:val="auto"/>
          <w:sz w:val="21"/>
          <w:szCs w:val="21"/>
          <w:highlight w:val="none"/>
          <w:lang w:eastAsia="zh-CN"/>
        </w:rPr>
        <w:t>开标截止日期前半年内</w:t>
      </w:r>
      <w:r>
        <w:rPr>
          <w:rFonts w:hint="eastAsia" w:ascii="宋体" w:hAnsi="宋体" w:eastAsia="宋体" w:cs="宋体"/>
          <w:color w:val="auto"/>
          <w:sz w:val="21"/>
          <w:szCs w:val="21"/>
          <w:highlight w:val="none"/>
        </w:rPr>
        <w:t>任意三个月社保证明复印件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新成立的公司则提供与授权委托人签订的劳动合同复印件【自然人投标的应提供由县级以上（含县级）社会养老保险经办机构出具的自然人本人及委托代理人所交纳的</w:t>
      </w:r>
      <w:r>
        <w:rPr>
          <w:rFonts w:hint="eastAsia" w:ascii="宋体" w:hAnsi="宋体" w:cs="宋体"/>
          <w:color w:val="auto"/>
          <w:sz w:val="21"/>
          <w:szCs w:val="21"/>
          <w:highlight w:val="none"/>
          <w:lang w:eastAsia="zh-CN"/>
        </w:rPr>
        <w:t>开标截止日期前半年内</w:t>
      </w:r>
      <w:r>
        <w:rPr>
          <w:rFonts w:hint="eastAsia" w:ascii="宋体" w:hAnsi="宋体" w:eastAsia="宋体" w:cs="宋体"/>
          <w:color w:val="auto"/>
          <w:sz w:val="21"/>
          <w:szCs w:val="21"/>
          <w:highlight w:val="none"/>
        </w:rPr>
        <w:t>任意三个月社保证明复印件】</w:t>
      </w:r>
      <w:r>
        <w:rPr>
          <w:rFonts w:hint="eastAsia" w:ascii="宋体" w:hAnsi="宋体" w:eastAsia="宋体" w:cs="宋体"/>
          <w:b/>
          <w:color w:val="auto"/>
          <w:sz w:val="21"/>
          <w:szCs w:val="21"/>
          <w:highlight w:val="none"/>
        </w:rPr>
        <w:t>（委托代理时必须提供）；</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投标人的法人或者其他组织营业执照复印件等证明文件</w:t>
      </w:r>
      <w:r>
        <w:rPr>
          <w:rFonts w:hint="eastAsia" w:ascii="宋体" w:hAnsi="宋体" w:eastAsia="宋体" w:cs="宋体"/>
          <w:b/>
          <w:color w:val="auto"/>
          <w:sz w:val="21"/>
          <w:szCs w:val="21"/>
          <w:highlight w:val="none"/>
        </w:rPr>
        <w:t>（必须提供，自然人除外）</w:t>
      </w:r>
      <w:r>
        <w:rPr>
          <w:rFonts w:hint="eastAsia" w:ascii="宋体" w:hAnsi="宋体" w:eastAsia="宋体" w:cs="宋体"/>
          <w:color w:val="auto"/>
          <w:sz w:val="21"/>
          <w:szCs w:val="21"/>
          <w:highlight w:val="none"/>
        </w:rPr>
        <w:t>；</w:t>
      </w:r>
    </w:p>
    <w:p>
      <w:pPr>
        <w:keepNext w:val="0"/>
        <w:keepLines w:val="0"/>
        <w:pageBreakBefore w:val="0"/>
        <w:widowControl/>
        <w:tabs>
          <w:tab w:val="left" w:pos="1305"/>
        </w:tabs>
        <w:kinsoku/>
        <w:wordWrap/>
        <w:overflowPunct/>
        <w:topLinePunct w:val="0"/>
        <w:autoSpaceDE/>
        <w:autoSpaceDN/>
        <w:bidi w:val="0"/>
        <w:spacing w:line="32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供应商为企业（包括合伙企业），应提供工商部门注册的有效企业经营许可证件；供应商为事业单位，应提供有效的事业单位法人证书；供应商为非企业专业服务机构的，应提供专业资格执业许可证等证明文件；供应商为个体工商户，应提供有效的“个体工商户营业执照”。</w:t>
      </w:r>
    </w:p>
    <w:p>
      <w:pPr>
        <w:keepNext w:val="0"/>
        <w:keepLines w:val="0"/>
        <w:pageBreakBefore w:val="0"/>
        <w:widowControl/>
        <w:numPr>
          <w:ilvl w:val="0"/>
          <w:numId w:val="2"/>
        </w:numPr>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投标人参加政府采购活动前3年内在经营活动中没有重大违法记录及有关信用信息的书面声明</w:t>
      </w:r>
      <w:r>
        <w:rPr>
          <w:rFonts w:hint="eastAsia" w:ascii="宋体" w:hAnsi="宋体" w:eastAsia="宋体" w:cs="宋体"/>
          <w:b/>
          <w:bCs/>
          <w:color w:val="auto"/>
          <w:sz w:val="21"/>
          <w:szCs w:val="21"/>
          <w:highlight w:val="none"/>
        </w:rPr>
        <w:t>（必须提供）；</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13.1.3商务、技术性</w:t>
      </w:r>
      <w:r>
        <w:rPr>
          <w:rFonts w:hint="eastAsia" w:ascii="宋体" w:hAnsi="宋体" w:eastAsia="宋体" w:cs="宋体"/>
          <w:bCs/>
          <w:color w:val="auto"/>
          <w:sz w:val="21"/>
          <w:szCs w:val="21"/>
          <w:highlight w:val="none"/>
        </w:rPr>
        <w:t>响应及其他证明材料：</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投标报价表</w:t>
      </w:r>
      <w:r>
        <w:rPr>
          <w:rFonts w:hint="eastAsia" w:ascii="宋体" w:hAnsi="宋体" w:eastAsia="宋体" w:cs="宋体"/>
          <w:b/>
          <w:bCs/>
          <w:color w:val="auto"/>
          <w:sz w:val="21"/>
          <w:szCs w:val="21"/>
          <w:highlight w:val="none"/>
        </w:rPr>
        <w:t>（必须提供）；</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技术规格偏离表</w:t>
      </w:r>
      <w:r>
        <w:rPr>
          <w:rFonts w:hint="eastAsia" w:ascii="宋体" w:hAnsi="宋体" w:cs="宋体"/>
          <w:color w:val="auto"/>
          <w:sz w:val="21"/>
          <w:szCs w:val="21"/>
          <w:highlight w:val="none"/>
          <w:lang w:eastAsia="zh-CN"/>
        </w:rPr>
        <w:t>及商务条款偏离表</w:t>
      </w:r>
      <w:r>
        <w:rPr>
          <w:rFonts w:hint="eastAsia" w:ascii="宋体" w:hAnsi="宋体" w:eastAsia="宋体" w:cs="宋体"/>
          <w:b/>
          <w:bCs/>
          <w:color w:val="auto"/>
          <w:sz w:val="21"/>
          <w:szCs w:val="21"/>
          <w:highlight w:val="none"/>
        </w:rPr>
        <w:t>（必须提供）</w:t>
      </w:r>
      <w:r>
        <w:rPr>
          <w:rFonts w:hint="eastAsia" w:ascii="宋体" w:hAnsi="宋体" w:eastAsia="宋体" w:cs="宋体"/>
          <w:b/>
          <w:bCs/>
          <w:color w:val="auto"/>
          <w:sz w:val="21"/>
          <w:szCs w:val="21"/>
          <w:highlight w:val="none"/>
          <w:lang w:eastAsia="zh-CN"/>
        </w:rPr>
        <w:t>；</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）投标人的售后服务承诺</w:t>
      </w:r>
      <w:r>
        <w:rPr>
          <w:rFonts w:hint="eastAsia" w:ascii="宋体" w:hAnsi="宋体" w:eastAsia="宋体" w:cs="宋体"/>
          <w:color w:val="auto"/>
          <w:sz w:val="21"/>
          <w:szCs w:val="21"/>
          <w:highlight w:val="none"/>
          <w:lang w:eastAsia="zh-CN"/>
        </w:rPr>
        <w:t>书</w:t>
      </w:r>
      <w:r>
        <w:rPr>
          <w:rFonts w:hint="eastAsia" w:ascii="宋体" w:hAnsi="宋体" w:eastAsia="宋体" w:cs="宋体"/>
          <w:b/>
          <w:color w:val="auto"/>
          <w:sz w:val="21"/>
          <w:szCs w:val="21"/>
          <w:highlight w:val="none"/>
        </w:rPr>
        <w:t>（必须提供）；</w:t>
      </w:r>
    </w:p>
    <w:p>
      <w:pPr>
        <w:pStyle w:val="16"/>
        <w:keepNext w:val="0"/>
        <w:keepLines w:val="0"/>
        <w:pageBreakBefore w:val="0"/>
        <w:widowControl/>
        <w:kinsoku/>
        <w:wordWrap/>
        <w:overflowPunct/>
        <w:topLinePunct w:val="0"/>
        <w:bidi w:val="0"/>
        <w:spacing w:line="32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）项目实施人员一览表</w:t>
      </w:r>
      <w:r>
        <w:rPr>
          <w:rFonts w:hint="eastAsia" w:ascii="宋体" w:hAnsi="宋体" w:eastAsia="宋体" w:cs="宋体"/>
          <w:b/>
          <w:color w:val="auto"/>
          <w:sz w:val="21"/>
          <w:szCs w:val="21"/>
          <w:highlight w:val="none"/>
        </w:rPr>
        <w:t>（如有，请提供）</w:t>
      </w:r>
      <w:r>
        <w:rPr>
          <w:rFonts w:hint="eastAsia" w:ascii="宋体" w:hAnsi="宋体" w:eastAsia="宋体" w:cs="宋体"/>
          <w:b/>
          <w:bCs/>
          <w:color w:val="auto"/>
          <w:sz w:val="21"/>
          <w:szCs w:val="21"/>
          <w:highlight w:val="none"/>
        </w:rPr>
        <w:t>；</w:t>
      </w:r>
    </w:p>
    <w:p>
      <w:pPr>
        <w:keepNext w:val="0"/>
        <w:keepLines w:val="0"/>
        <w:pageBreakBefore w:val="0"/>
        <w:widowControl/>
        <w:tabs>
          <w:tab w:val="left" w:pos="1305"/>
        </w:tabs>
        <w:kinsoku/>
        <w:wordWrap/>
        <w:overflowPunct/>
        <w:topLinePunct w:val="0"/>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）投标人完成同类服务业绩的相关证明材料</w:t>
      </w:r>
      <w:r>
        <w:rPr>
          <w:rFonts w:hint="eastAsia" w:ascii="宋体" w:hAnsi="宋体" w:eastAsia="宋体" w:cs="宋体"/>
          <w:color w:val="auto"/>
          <w:spacing w:val="-12"/>
          <w:sz w:val="21"/>
          <w:szCs w:val="21"/>
          <w:highlight w:val="none"/>
        </w:rPr>
        <w:t>【无不良记录，以中标（成交）通知书或签订的合同为准</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（如有，请提供）；</w:t>
      </w:r>
    </w:p>
    <w:p>
      <w:pPr>
        <w:keepNext w:val="0"/>
        <w:keepLines w:val="0"/>
        <w:pageBreakBefore w:val="0"/>
        <w:widowControl/>
        <w:tabs>
          <w:tab w:val="left" w:pos="1305"/>
        </w:tabs>
        <w:kinsoku/>
        <w:wordWrap/>
        <w:overflowPunct/>
        <w:topLinePunct w:val="0"/>
        <w:bidi w:val="0"/>
        <w:spacing w:line="32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）投标人相关获奖证书、认证证书等复印件</w:t>
      </w:r>
      <w:r>
        <w:rPr>
          <w:rFonts w:hint="eastAsia" w:ascii="宋体" w:hAnsi="宋体" w:eastAsia="宋体" w:cs="宋体"/>
          <w:b/>
          <w:color w:val="auto"/>
          <w:sz w:val="21"/>
          <w:szCs w:val="21"/>
          <w:highlight w:val="none"/>
        </w:rPr>
        <w:t>（如有，请提供）</w:t>
      </w:r>
      <w:r>
        <w:rPr>
          <w:rFonts w:hint="eastAsia" w:ascii="宋体" w:hAnsi="宋体" w:eastAsia="宋体" w:cs="宋体"/>
          <w:b/>
          <w:bCs/>
          <w:color w:val="auto"/>
          <w:sz w:val="21"/>
          <w:szCs w:val="21"/>
          <w:highlight w:val="none"/>
        </w:rPr>
        <w:t>；</w:t>
      </w:r>
    </w:p>
    <w:p>
      <w:pPr>
        <w:keepNext w:val="0"/>
        <w:keepLines w:val="0"/>
        <w:pageBreakBefore w:val="0"/>
        <w:widowControl/>
        <w:tabs>
          <w:tab w:val="left" w:pos="1305"/>
        </w:tabs>
        <w:kinsoku/>
        <w:wordWrap/>
        <w:overflowPunct/>
        <w:topLinePunct w:val="0"/>
        <w:bidi w:val="0"/>
        <w:spacing w:line="320" w:lineRule="exact"/>
        <w:ind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投标人所投产品为广西工业产品的，如实提供《广西工业产品声明函》</w:t>
      </w:r>
      <w:r>
        <w:rPr>
          <w:rFonts w:hint="eastAsia" w:ascii="宋体" w:hAnsi="宋体" w:eastAsia="宋体" w:cs="宋体"/>
          <w:b/>
          <w:bCs/>
          <w:color w:val="auto"/>
          <w:sz w:val="21"/>
          <w:szCs w:val="21"/>
          <w:highlight w:val="none"/>
        </w:rPr>
        <w:t>（如有，请提供）</w:t>
      </w:r>
      <w:r>
        <w:rPr>
          <w:rFonts w:hint="eastAsia" w:ascii="宋体" w:hAnsi="宋体" w:eastAsia="宋体" w:cs="宋体"/>
          <w:b/>
          <w:bCs/>
          <w:color w:val="auto"/>
          <w:sz w:val="21"/>
          <w:szCs w:val="21"/>
          <w:highlight w:val="none"/>
          <w:lang w:eastAsia="zh-CN"/>
        </w:rPr>
        <w:t>；</w:t>
      </w:r>
    </w:p>
    <w:p>
      <w:pPr>
        <w:keepNext w:val="0"/>
        <w:keepLines w:val="0"/>
        <w:pageBreakBefore w:val="0"/>
        <w:widowControl/>
        <w:kinsoku/>
        <w:wordWrap/>
        <w:overflowPunct/>
        <w:topLinePunct w:val="0"/>
        <w:bidi w:val="0"/>
        <w:spacing w:line="32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）投标人属于小型、微型企业的，应提供《中小企业声明函》；属于监狱企业的，应当提供由省级以上监狱管理局、戒毒管理局(含新疆生产建设兵团)出具的属于监狱企业的证明文件</w:t>
      </w:r>
      <w:r>
        <w:rPr>
          <w:rFonts w:hint="eastAsia" w:ascii="宋体" w:hAnsi="宋体" w:eastAsia="宋体" w:cs="宋体"/>
          <w:b/>
          <w:bCs/>
          <w:color w:val="auto"/>
          <w:sz w:val="21"/>
          <w:szCs w:val="21"/>
          <w:highlight w:val="none"/>
        </w:rPr>
        <w:t>（如有，请提供）；</w:t>
      </w:r>
    </w:p>
    <w:p>
      <w:pPr>
        <w:keepNext w:val="0"/>
        <w:keepLines w:val="0"/>
        <w:pageBreakBefore w:val="0"/>
        <w:widowControl/>
        <w:tabs>
          <w:tab w:val="left" w:pos="1305"/>
        </w:tabs>
        <w:kinsoku/>
        <w:wordWrap/>
        <w:overflowPunct/>
        <w:topLinePunct w:val="0"/>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）符合条件的残疾人福利性单位在参加政府采购活动时，应当提供《残疾人福利性单位声明函》（见附件），并对声明的真实性负责</w:t>
      </w:r>
      <w:r>
        <w:rPr>
          <w:rFonts w:hint="eastAsia" w:ascii="宋体" w:hAnsi="宋体" w:eastAsia="宋体" w:cs="宋体"/>
          <w:b/>
          <w:color w:val="auto"/>
          <w:sz w:val="21"/>
          <w:szCs w:val="21"/>
          <w:highlight w:val="none"/>
        </w:rPr>
        <w:t>（如有，请提供）；</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）投标人可结合本项目的评标办法视自身情况自行提交相关证明材料</w:t>
      </w:r>
      <w:r>
        <w:rPr>
          <w:rFonts w:hint="eastAsia" w:ascii="宋体" w:hAnsi="宋体" w:eastAsia="宋体" w:cs="宋体"/>
          <w:b/>
          <w:color w:val="auto"/>
          <w:sz w:val="21"/>
          <w:szCs w:val="21"/>
          <w:highlight w:val="none"/>
        </w:rPr>
        <w:t>（如有，请提供）</w:t>
      </w:r>
      <w:r>
        <w:rPr>
          <w:rFonts w:hint="eastAsia" w:ascii="宋体" w:hAnsi="宋体" w:eastAsia="宋体" w:cs="宋体"/>
          <w:color w:val="auto"/>
          <w:sz w:val="21"/>
          <w:szCs w:val="21"/>
          <w:highlight w:val="none"/>
        </w:rPr>
        <w:t>。</w:t>
      </w:r>
    </w:p>
    <w:p>
      <w:pPr>
        <w:pStyle w:val="16"/>
        <w:keepNext w:val="0"/>
        <w:keepLines w:val="0"/>
        <w:pageBreakBefore w:val="0"/>
        <w:widowControl/>
        <w:kinsoku/>
        <w:wordWrap/>
        <w:overflowPunct/>
        <w:topLinePunct w:val="0"/>
        <w:autoSpaceDE/>
        <w:autoSpaceDN/>
        <w:bidi w:val="0"/>
        <w:spacing w:line="32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投标人提供的以上相关证明材料应真实有效，属于“必须提供”的文件应加盖投标人公章（扫描公章无效，自然人除外），否则投标无效。</w:t>
      </w:r>
    </w:p>
    <w:p>
      <w:pPr>
        <w:pStyle w:val="16"/>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13.2投标人应按招标文件第六章“投标文件（格式）”编制投标文件。</w:t>
      </w:r>
    </w:p>
    <w:p>
      <w:pPr>
        <w:pStyle w:val="16"/>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13.3投标文件应当对招标文件提出的要求和条件作出明确响应。</w:t>
      </w:r>
    </w:p>
    <w:p>
      <w:pPr>
        <w:keepNext w:val="0"/>
        <w:keepLines w:val="0"/>
        <w:pageBreakBefore w:val="0"/>
        <w:widowControl/>
        <w:tabs>
          <w:tab w:val="left" w:pos="1305"/>
        </w:tabs>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14.投标文件的语言及计量</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14.2投标计量单位，招标文件已有明确规定的，使用招标文件规定的计量单位；招标文件没有规定的，应采用中华人民共和国法定计量单位（货币单位：元人民币），否则视同未响应。</w:t>
      </w:r>
    </w:p>
    <w:p>
      <w:pPr>
        <w:keepNext w:val="0"/>
        <w:keepLines w:val="0"/>
        <w:pageBreakBefore w:val="0"/>
        <w:widowControl/>
        <w:numPr>
          <w:ilvl w:val="0"/>
          <w:numId w:val="3"/>
        </w:numPr>
        <w:tabs>
          <w:tab w:val="left" w:pos="1305"/>
        </w:tabs>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w:t>
      </w:r>
    </w:p>
    <w:p>
      <w:pPr>
        <w:pStyle w:val="11"/>
        <w:keepNext w:val="0"/>
        <w:keepLines w:val="0"/>
        <w:pageBreakBefore w:val="0"/>
        <w:widowControl/>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本项目采购预算金额为：</w:t>
      </w:r>
      <w:r>
        <w:rPr>
          <w:rFonts w:hint="eastAsia" w:ascii="宋体" w:hAnsi="宋体" w:eastAsia="宋体" w:cs="宋体"/>
          <w:color w:val="auto"/>
          <w:sz w:val="21"/>
          <w:szCs w:val="21"/>
          <w:highlight w:val="none"/>
          <w:lang w:val="en-US" w:eastAsia="zh-CN"/>
        </w:rPr>
        <w:t>5951000.00元整</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投标报价应按招标文件中第六章投标文件格式填写。</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投标人必须就“</w:t>
      </w:r>
      <w:r>
        <w:rPr>
          <w:rFonts w:hint="eastAsia" w:ascii="宋体" w:hAnsi="宋体" w:eastAsia="宋体" w:cs="宋体"/>
          <w:color w:val="auto"/>
          <w:sz w:val="21"/>
          <w:szCs w:val="21"/>
          <w:highlight w:val="none"/>
          <w:lang w:eastAsia="zh-CN"/>
        </w:rPr>
        <w:t>货物采购需求</w:t>
      </w:r>
      <w:r>
        <w:rPr>
          <w:rFonts w:hint="eastAsia" w:ascii="宋体" w:hAnsi="宋体" w:eastAsia="宋体" w:cs="宋体"/>
          <w:color w:val="auto"/>
          <w:sz w:val="21"/>
          <w:szCs w:val="21"/>
          <w:highlight w:val="none"/>
        </w:rPr>
        <w:t>”中的内容作完整唯一报价，否则，其投标将被拒绝；投标文件只允许有一个报价，有选择的或有条件的报价将不予接受。</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pacing w:val="-11"/>
          <w:sz w:val="21"/>
          <w:szCs w:val="21"/>
          <w:highlight w:val="none"/>
        </w:rPr>
        <w:t>投标报价包括本次招标采购范围内货物价款、货物随配标准附件、包装、运输、装卸、保险、税</w:t>
      </w:r>
      <w:r>
        <w:rPr>
          <w:rFonts w:hint="eastAsia" w:ascii="宋体" w:hAnsi="宋体" w:eastAsia="宋体" w:cs="宋体"/>
          <w:color w:val="auto"/>
          <w:spacing w:val="-8"/>
          <w:sz w:val="21"/>
          <w:szCs w:val="21"/>
          <w:highlight w:val="none"/>
        </w:rPr>
        <w:t>金、货到位以及安装、安装所需辅材、调试、检验、售后服务、培训、保修及其他所有成本费用的总和；</w:t>
      </w:r>
      <w:r>
        <w:rPr>
          <w:rFonts w:hint="eastAsia" w:ascii="宋体" w:hAnsi="宋体" w:eastAsia="宋体" w:cs="宋体"/>
          <w:color w:val="auto"/>
          <w:spacing w:val="-2"/>
          <w:sz w:val="21"/>
          <w:szCs w:val="21"/>
          <w:highlight w:val="none"/>
        </w:rPr>
        <w:t>投标人综合考虑在报价中</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spacing w:line="320" w:lineRule="exact"/>
        <w:ind w:left="420" w:leftChars="175" w:firstLine="53" w:firstLineChars="2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16.投标有效期</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16.1投标有效期：投标截止时间之日起90天。</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16.2出现特殊情况下，需要延长投标有效期的，采购代理机构以书面形式通知投标人延长投标有效期。投标人同意延长的，不能修改投标文件。投标人拒绝延长的，其投标无效。</w:t>
      </w:r>
    </w:p>
    <w:p>
      <w:pPr>
        <w:keepNext w:val="0"/>
        <w:keepLines w:val="0"/>
        <w:pageBreakBefore w:val="0"/>
        <w:widowControl/>
        <w:kinsoku/>
        <w:wordWrap/>
        <w:overflowPunct/>
        <w:topLinePunct w:val="0"/>
        <w:autoSpaceDE/>
        <w:autoSpaceDN/>
        <w:bidi w:val="0"/>
        <w:spacing w:line="32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17.投标保证金：</w:t>
      </w:r>
      <w:r>
        <w:rPr>
          <w:rFonts w:hint="eastAsia" w:ascii="宋体" w:hAnsi="宋体" w:eastAsia="宋体" w:cs="宋体"/>
          <w:color w:val="auto"/>
          <w:sz w:val="21"/>
          <w:szCs w:val="21"/>
          <w:highlight w:val="none"/>
        </w:rPr>
        <w:t>本项目无需缴纳投标保证金。</w:t>
      </w:r>
    </w:p>
    <w:p>
      <w:pPr>
        <w:keepNext w:val="0"/>
        <w:keepLines w:val="0"/>
        <w:pageBreakBefore w:val="0"/>
        <w:widowControl/>
        <w:tabs>
          <w:tab w:val="left" w:pos="1305"/>
        </w:tabs>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18.投标文件的分数、装订、签署和包装、密封</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r>
        <w:rPr>
          <w:rFonts w:hint="eastAsia" w:ascii="宋体" w:hAnsi="宋体" w:eastAsia="宋体" w:cs="宋体"/>
          <w:b/>
          <w:color w:val="auto"/>
          <w:sz w:val="21"/>
          <w:szCs w:val="21"/>
          <w:highlight w:val="none"/>
        </w:rPr>
        <w:t>投标文件份数：</w:t>
      </w:r>
      <w:r>
        <w:rPr>
          <w:rFonts w:hint="eastAsia" w:ascii="宋体" w:hAnsi="宋体" w:eastAsia="宋体" w:cs="宋体"/>
          <w:color w:val="auto"/>
          <w:sz w:val="21"/>
          <w:szCs w:val="21"/>
          <w:highlight w:val="none"/>
        </w:rPr>
        <w:t>正本一册，副本肆册，</w:t>
      </w:r>
      <w:r>
        <w:rPr>
          <w:rFonts w:hint="eastAsia" w:ascii="宋体" w:hAnsi="宋体" w:eastAsia="宋体" w:cs="宋体"/>
          <w:b/>
          <w:bCs/>
          <w:color w:val="auto"/>
          <w:sz w:val="21"/>
          <w:szCs w:val="21"/>
          <w:highlight w:val="none"/>
          <w:lang w:eastAsia="zh-CN"/>
        </w:rPr>
        <w:t>投标文件电子版一份（</w:t>
      </w:r>
      <w:r>
        <w:rPr>
          <w:rFonts w:hint="eastAsia" w:ascii="宋体" w:hAnsi="宋体" w:eastAsia="宋体" w:cs="宋体"/>
          <w:b/>
          <w:bCs/>
          <w:color w:val="auto"/>
          <w:sz w:val="21"/>
          <w:szCs w:val="21"/>
          <w:highlight w:val="none"/>
          <w:lang w:val="en-US" w:eastAsia="zh-CN"/>
        </w:rPr>
        <w:t>U盘或者光盘</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须完整提交。</w:t>
      </w:r>
    </w:p>
    <w:p>
      <w:pPr>
        <w:keepNext w:val="0"/>
        <w:keepLines w:val="0"/>
        <w:pageBreakBefore w:val="0"/>
        <w:widowControl/>
        <w:tabs>
          <w:tab w:val="left" w:pos="1305"/>
          <w:tab w:val="center" w:pos="5029"/>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w:t>
      </w:r>
      <w:r>
        <w:rPr>
          <w:rFonts w:hint="eastAsia" w:ascii="宋体" w:hAnsi="宋体" w:eastAsia="宋体" w:cs="宋体"/>
          <w:b/>
          <w:color w:val="auto"/>
          <w:sz w:val="21"/>
          <w:szCs w:val="21"/>
          <w:highlight w:val="none"/>
        </w:rPr>
        <w:t>投标文件装订：</w:t>
      </w:r>
      <w:r>
        <w:rPr>
          <w:rFonts w:hint="eastAsia" w:ascii="宋体" w:hAnsi="宋体" w:eastAsia="宋体" w:cs="宋体"/>
          <w:color w:val="auto"/>
          <w:sz w:val="21"/>
          <w:szCs w:val="21"/>
          <w:highlight w:val="none"/>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18.3投标文件的正本需打印或用不褪色的墨水填写，投标文件正本除本招标文件中规定的可提供复印件外均须提供原件。</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18.4投标文件须由投标人在规定位置加盖投标人公章</w:t>
      </w:r>
      <w:r>
        <w:rPr>
          <w:rFonts w:hint="eastAsia" w:ascii="宋体" w:hAnsi="宋体" w:eastAsia="宋体" w:cs="宋体"/>
          <w:bCs/>
          <w:color w:val="auto"/>
          <w:sz w:val="21"/>
          <w:szCs w:val="21"/>
          <w:highlight w:val="none"/>
        </w:rPr>
        <w:t>（扫描公章无效，自然人除外）</w:t>
      </w:r>
      <w:r>
        <w:rPr>
          <w:rFonts w:hint="eastAsia" w:ascii="宋体" w:hAnsi="宋体" w:eastAsia="宋体" w:cs="宋体"/>
          <w:color w:val="auto"/>
          <w:sz w:val="21"/>
          <w:szCs w:val="21"/>
          <w:highlight w:val="none"/>
        </w:rPr>
        <w:t>并由法定代表人、负责人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自然人或相应的授权委托代理人签字，投标人应写全称，投标文件副本可以是加盖公章的正本的复印件，当正本与副本不一致时，以正本为准。</w:t>
      </w:r>
    </w:p>
    <w:p>
      <w:pPr>
        <w:keepNext w:val="0"/>
        <w:keepLines w:val="0"/>
        <w:pageBreakBefore w:val="0"/>
        <w:widowControl/>
        <w:kinsoku/>
        <w:wordWrap/>
        <w:overflowPunct/>
        <w:topLinePunct w:val="0"/>
        <w:autoSpaceDE/>
        <w:autoSpaceDN/>
        <w:bidi w:val="0"/>
        <w:snapToGrid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18.5投标文件不得涂改，若有修改错漏处，须加盖投标人公章（自然人除外）及法定代表人、负责人、自然人或相应的授权委托代理人签字。投标文件因字迹潦草或表达不清所引起的后果由投标人负责。</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18.6</w:t>
      </w:r>
      <w:r>
        <w:rPr>
          <w:rFonts w:hint="eastAsia" w:ascii="宋体" w:hAnsi="宋体" w:eastAsia="宋体" w:cs="宋体"/>
          <w:b/>
          <w:color w:val="auto"/>
          <w:sz w:val="21"/>
          <w:szCs w:val="21"/>
          <w:highlight w:val="none"/>
        </w:rPr>
        <w:t>投标人公章：</w:t>
      </w:r>
      <w:r>
        <w:rPr>
          <w:rFonts w:hint="eastAsia" w:ascii="宋体" w:hAnsi="宋体" w:eastAsia="宋体" w:cs="宋体"/>
          <w:color w:val="auto"/>
          <w:sz w:val="21"/>
          <w:szCs w:val="21"/>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w:t>
      </w:r>
      <w:r>
        <w:rPr>
          <w:rFonts w:hint="eastAsia" w:ascii="宋体" w:hAnsi="宋体" w:eastAsia="宋体" w:cs="宋体"/>
          <w:b/>
          <w:color w:val="auto"/>
          <w:sz w:val="21"/>
          <w:szCs w:val="21"/>
          <w:highlight w:val="none"/>
        </w:rPr>
        <w:t>投标文件包装、密封：</w:t>
      </w:r>
      <w:r>
        <w:rPr>
          <w:rFonts w:hint="eastAsia" w:ascii="宋体" w:hAnsi="宋体" w:eastAsia="宋体" w:cs="宋体"/>
          <w:color w:val="auto"/>
          <w:sz w:val="21"/>
          <w:szCs w:val="21"/>
          <w:highlight w:val="none"/>
        </w:rPr>
        <w:t>将投标文件“正本”、“副本”</w:t>
      </w:r>
      <w:r>
        <w:rPr>
          <w:rFonts w:hint="eastAsia" w:ascii="宋体" w:hAnsi="宋体" w:eastAsia="宋体" w:cs="宋体"/>
          <w:b/>
          <w:bCs/>
          <w:color w:val="auto"/>
          <w:sz w:val="21"/>
          <w:szCs w:val="21"/>
          <w:highlight w:val="none"/>
          <w:lang w:eastAsia="zh-CN"/>
        </w:rPr>
        <w:t>以及投标文件电子版（</w:t>
      </w:r>
      <w:r>
        <w:rPr>
          <w:rFonts w:hint="eastAsia" w:ascii="宋体" w:hAnsi="宋体" w:eastAsia="宋体" w:cs="宋体"/>
          <w:b/>
          <w:bCs/>
          <w:color w:val="auto"/>
          <w:sz w:val="21"/>
          <w:szCs w:val="21"/>
          <w:highlight w:val="none"/>
          <w:lang w:val="en-US" w:eastAsia="zh-CN"/>
        </w:rPr>
        <w:t>U盘或者光盘</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一并装入并密封在一个投标文件袋（盒、箱）中，并在密封处密封签章【公章、密封章、法定代表人、负责人、自然人或相应的授权委托代理人签字均可】。</w:t>
      </w:r>
    </w:p>
    <w:p>
      <w:pPr>
        <w:keepNext w:val="0"/>
        <w:keepLines w:val="0"/>
        <w:pageBreakBefore w:val="0"/>
        <w:widowControl/>
        <w:tabs>
          <w:tab w:val="left" w:pos="1305"/>
        </w:tabs>
        <w:kinsoku/>
        <w:wordWrap/>
        <w:overflowPunct/>
        <w:topLinePunct w:val="0"/>
        <w:autoSpaceDE/>
        <w:autoSpaceDN/>
        <w:bidi w:val="0"/>
        <w:spacing w:line="32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18.8</w:t>
      </w:r>
      <w:r>
        <w:rPr>
          <w:rFonts w:hint="eastAsia" w:ascii="宋体" w:hAnsi="宋体" w:eastAsia="宋体" w:cs="宋体"/>
          <w:b/>
          <w:bCs/>
          <w:color w:val="auto"/>
          <w:sz w:val="21"/>
          <w:szCs w:val="21"/>
          <w:highlight w:val="none"/>
        </w:rPr>
        <w:t>投标文件电子版：投标人递交投标文件时，同时递交投标文件电子版：</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（1）投标文件电子版内容：与纸质版投标文件一致；</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（2）投标文件电子版份数：1份；</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（3）投标文件电子版形式：可编辑的word文档格式；</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（4）投标文件电子版密封方式：投标文件电子版光盘或U盘单独包封（封面注明项目名称、编号、供应商名称），与纸质版投标文件一并装入投标文件袋（盒、箱）中。</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9</w:t>
      </w:r>
      <w:r>
        <w:rPr>
          <w:rFonts w:hint="eastAsia" w:ascii="宋体" w:hAnsi="宋体" w:eastAsia="宋体" w:cs="宋体"/>
          <w:b/>
          <w:color w:val="auto"/>
          <w:sz w:val="21"/>
          <w:szCs w:val="21"/>
          <w:highlight w:val="none"/>
        </w:rPr>
        <w:t>投标文件袋（盒、箱）标记：</w:t>
      </w:r>
    </w:p>
    <w:p>
      <w:pPr>
        <w:keepNext w:val="0"/>
        <w:keepLines w:val="0"/>
        <w:pageBreakBefore w:val="0"/>
        <w:widowControl/>
        <w:kinsoku/>
        <w:wordWrap/>
        <w:overflowPunct/>
        <w:topLinePunct w:val="0"/>
        <w:bidi w:val="0"/>
        <w:spacing w:line="320" w:lineRule="exact"/>
        <w:ind w:firstLine="420" w:firstLineChars="200"/>
        <w:jc w:val="both"/>
        <w:rPr>
          <w:rFonts w:hint="eastAsia" w:ascii="宋体" w:hAnsi="宋体" w:eastAsia="宋体" w:cs="宋体"/>
          <w:strike w:val="0"/>
          <w:dstrike w:val="0"/>
          <w:color w:val="auto"/>
          <w:sz w:val="21"/>
          <w:szCs w:val="21"/>
          <w:highlight w:val="none"/>
          <w:u w:val="none"/>
        </w:rPr>
      </w:pPr>
      <w:r>
        <w:rPr>
          <w:rFonts w:hint="eastAsia" w:ascii="宋体" w:hAnsi="宋体" w:eastAsia="宋体" w:cs="宋体"/>
          <w:strike w:val="0"/>
          <w:dstrike w:val="0"/>
          <w:color w:val="auto"/>
          <w:sz w:val="21"/>
          <w:szCs w:val="21"/>
          <w:highlight w:val="none"/>
          <w:u w:val="none"/>
        </w:rPr>
        <w:t>项目名称：</w:t>
      </w:r>
      <w:r>
        <w:rPr>
          <w:rFonts w:hint="eastAsia" w:ascii="宋体" w:hAnsi="宋体" w:eastAsia="宋体" w:cs="宋体"/>
          <w:bCs/>
          <w:color w:val="auto"/>
          <w:sz w:val="21"/>
          <w:szCs w:val="21"/>
          <w:highlight w:val="none"/>
          <w:lang w:eastAsia="zh-CN"/>
        </w:rPr>
        <w:t>荔浦市自然灾害防治体系建设物资采购</w:t>
      </w:r>
    </w:p>
    <w:p>
      <w:pPr>
        <w:keepNext w:val="0"/>
        <w:keepLines w:val="0"/>
        <w:pageBreakBefore w:val="0"/>
        <w:widowControl/>
        <w:kinsoku/>
        <w:wordWrap/>
        <w:overflowPunct/>
        <w:topLinePunct w:val="0"/>
        <w:bidi w:val="0"/>
        <w:spacing w:line="320" w:lineRule="exact"/>
        <w:ind w:firstLine="420" w:firstLineChars="200"/>
        <w:jc w:val="both"/>
        <w:rPr>
          <w:rFonts w:hint="eastAsia" w:ascii="宋体" w:hAnsi="宋体" w:eastAsia="宋体" w:cs="宋体"/>
          <w:strike w:val="0"/>
          <w:dstrike w:val="0"/>
          <w:color w:val="auto"/>
          <w:sz w:val="21"/>
          <w:szCs w:val="21"/>
          <w:highlight w:val="none"/>
          <w:u w:val="none"/>
          <w:lang w:eastAsia="zh-CN"/>
        </w:rPr>
      </w:pPr>
      <w:r>
        <w:rPr>
          <w:rFonts w:hint="eastAsia" w:ascii="宋体" w:hAnsi="宋体" w:eastAsia="宋体" w:cs="宋体"/>
          <w:strike w:val="0"/>
          <w:dstrike w:val="0"/>
          <w:color w:val="auto"/>
          <w:sz w:val="21"/>
          <w:szCs w:val="21"/>
          <w:highlight w:val="none"/>
          <w:u w:val="none"/>
          <w:lang w:eastAsia="zh-CN"/>
        </w:rPr>
        <w:t>项目</w:t>
      </w:r>
      <w:r>
        <w:rPr>
          <w:rFonts w:hint="eastAsia" w:ascii="宋体" w:hAnsi="宋体" w:eastAsia="宋体" w:cs="宋体"/>
          <w:strike w:val="0"/>
          <w:dstrike w:val="0"/>
          <w:color w:val="auto"/>
          <w:sz w:val="21"/>
          <w:szCs w:val="21"/>
          <w:highlight w:val="none"/>
          <w:u w:val="none"/>
        </w:rPr>
        <w:t>编号：</w:t>
      </w:r>
      <w:r>
        <w:rPr>
          <w:rFonts w:hint="eastAsia" w:ascii="宋体" w:hAnsi="宋体" w:eastAsia="宋体" w:cs="宋体"/>
          <w:color w:val="auto"/>
          <w:sz w:val="21"/>
          <w:szCs w:val="21"/>
          <w:highlight w:val="none"/>
          <w:lang w:eastAsia="zh-CN"/>
        </w:rPr>
        <w:t>GLZC2020-G1-310062-GXLY</w:t>
      </w:r>
    </w:p>
    <w:p>
      <w:pPr>
        <w:keepNext w:val="0"/>
        <w:keepLines w:val="0"/>
        <w:pageBreakBefore w:val="0"/>
        <w:widowControl/>
        <w:kinsoku/>
        <w:wordWrap/>
        <w:overflowPunct/>
        <w:topLinePunct w:val="0"/>
        <w:bidi w:val="0"/>
        <w:spacing w:line="320" w:lineRule="exact"/>
        <w:ind w:firstLine="420" w:firstLineChars="200"/>
        <w:jc w:val="both"/>
        <w:rPr>
          <w:rFonts w:hint="eastAsia" w:ascii="宋体" w:hAnsi="宋体" w:eastAsia="宋体" w:cs="宋体"/>
          <w:strike w:val="0"/>
          <w:dstrike w:val="0"/>
          <w:color w:val="auto"/>
          <w:sz w:val="21"/>
          <w:szCs w:val="21"/>
          <w:highlight w:val="none"/>
          <w:u w:val="none"/>
        </w:rPr>
      </w:pPr>
      <w:r>
        <w:rPr>
          <w:rFonts w:hint="eastAsia" w:ascii="宋体" w:hAnsi="宋体" w:eastAsia="宋体" w:cs="宋体"/>
          <w:strike w:val="0"/>
          <w:dstrike w:val="0"/>
          <w:color w:val="auto"/>
          <w:sz w:val="21"/>
          <w:szCs w:val="21"/>
          <w:highlight w:val="none"/>
          <w:u w:val="none"/>
        </w:rPr>
        <w:t>采购代理机构：广西联云项目管理有限公司</w:t>
      </w:r>
    </w:p>
    <w:p>
      <w:pPr>
        <w:keepNext w:val="0"/>
        <w:keepLines w:val="0"/>
        <w:pageBreakBefore w:val="0"/>
        <w:widowControl/>
        <w:kinsoku/>
        <w:wordWrap/>
        <w:overflowPunct/>
        <w:topLinePunct w:val="0"/>
        <w:bidi w:val="0"/>
        <w:spacing w:line="320" w:lineRule="exact"/>
        <w:ind w:firstLine="420" w:firstLineChars="200"/>
        <w:jc w:val="both"/>
        <w:rPr>
          <w:rFonts w:hint="eastAsia" w:ascii="宋体" w:hAnsi="宋体" w:eastAsia="宋体" w:cs="宋体"/>
          <w:strike w:val="0"/>
          <w:dstrike w:val="0"/>
          <w:color w:val="auto"/>
          <w:sz w:val="21"/>
          <w:szCs w:val="21"/>
          <w:highlight w:val="none"/>
          <w:u w:val="none"/>
        </w:rPr>
      </w:pPr>
      <w:r>
        <w:rPr>
          <w:rFonts w:hint="eastAsia" w:ascii="宋体" w:hAnsi="宋体" w:eastAsia="宋体" w:cs="宋体"/>
          <w:strike w:val="0"/>
          <w:dstrike w:val="0"/>
          <w:color w:val="auto"/>
          <w:sz w:val="21"/>
          <w:szCs w:val="21"/>
          <w:highlight w:val="none"/>
          <w:u w:val="none"/>
        </w:rPr>
        <w:t>投标单位：</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strike w:val="0"/>
          <w:dstrike w:val="0"/>
          <w:color w:val="auto"/>
          <w:sz w:val="21"/>
          <w:szCs w:val="21"/>
          <w:highlight w:val="none"/>
          <w:u w:val="none"/>
          <w:lang w:val="en-US" w:eastAsia="zh-CN"/>
        </w:rPr>
      </w:pPr>
      <w:r>
        <w:rPr>
          <w:rFonts w:hint="eastAsia" w:ascii="宋体" w:hAnsi="宋体" w:eastAsia="宋体" w:cs="宋体"/>
          <w:strike w:val="0"/>
          <w:dstrike w:val="0"/>
          <w:color w:val="auto"/>
          <w:sz w:val="21"/>
          <w:szCs w:val="21"/>
          <w:highlight w:val="none"/>
          <w:u w:val="none"/>
          <w:lang w:val="en-US" w:eastAsia="zh-CN"/>
        </w:rPr>
        <w:t>在2021年</w:t>
      </w:r>
      <w:r>
        <w:rPr>
          <w:rFonts w:hint="eastAsia" w:ascii="宋体" w:hAnsi="宋体" w:cs="宋体"/>
          <w:strike w:val="0"/>
          <w:dstrike w:val="0"/>
          <w:color w:val="auto"/>
          <w:sz w:val="21"/>
          <w:szCs w:val="21"/>
          <w:highlight w:val="none"/>
          <w:u w:val="none"/>
          <w:lang w:val="en-US" w:eastAsia="zh-CN"/>
        </w:rPr>
        <w:t>1月26日</w:t>
      </w:r>
      <w:r>
        <w:rPr>
          <w:rFonts w:hint="eastAsia" w:ascii="宋体" w:hAnsi="宋体" w:eastAsia="宋体" w:cs="宋体"/>
          <w:strike w:val="0"/>
          <w:dstrike w:val="0"/>
          <w:color w:val="auto"/>
          <w:sz w:val="21"/>
          <w:szCs w:val="21"/>
          <w:highlight w:val="none"/>
          <w:u w:val="none"/>
          <w:lang w:val="en-US" w:eastAsia="zh-CN"/>
        </w:rPr>
        <w:t>9时30分前不得开启（此处投标人填写投标截止时间）</w:t>
      </w:r>
    </w:p>
    <w:p>
      <w:pPr>
        <w:keepNext w:val="0"/>
        <w:keepLines w:val="0"/>
        <w:pageBreakBefore w:val="0"/>
        <w:widowControl/>
        <w:tabs>
          <w:tab w:val="left" w:pos="1305"/>
        </w:tabs>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19.投标文件的补充、修改和撤回</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投标人在投标截止时间前，可以对所递交的投标文件进行补充、修改或者撤回，并书面通知采购代理机构。补充、修改的内容应当按照招标文件要求签署、盖章、密封后，作为投标文件的组成部分。</w:t>
      </w:r>
    </w:p>
    <w:p>
      <w:pPr>
        <w:keepNext w:val="0"/>
        <w:keepLines w:val="0"/>
        <w:pageBreakBefore w:val="0"/>
        <w:widowControl/>
        <w:tabs>
          <w:tab w:val="left" w:pos="1305"/>
        </w:tabs>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20.投标文件的递交</w:t>
      </w:r>
    </w:p>
    <w:p>
      <w:pPr>
        <w:keepNext w:val="0"/>
        <w:keepLines w:val="0"/>
        <w:pageBreakBefore w:val="0"/>
        <w:widowControl/>
        <w:tabs>
          <w:tab w:val="left" w:pos="7200"/>
        </w:tabs>
        <w:kinsoku/>
        <w:wordWrap/>
        <w:overflowPunct/>
        <w:topLinePunct w:val="0"/>
        <w:autoSpaceDE/>
        <w:autoSpaceDN/>
        <w:bidi w:val="0"/>
        <w:spacing w:line="320" w:lineRule="exact"/>
        <w:ind w:firstLine="422" w:firstLineChars="200"/>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rPr>
        <w:t>20.1投标截止时间：</w:t>
      </w:r>
      <w:r>
        <w:rPr>
          <w:rFonts w:hint="eastAsia" w:ascii="宋体" w:hAnsi="宋体" w:eastAsia="宋体" w:cs="宋体"/>
          <w:color w:val="auto"/>
          <w:sz w:val="21"/>
          <w:szCs w:val="21"/>
          <w:highlight w:val="none"/>
          <w:u w:val="none"/>
          <w:lang w:eastAsia="zh-CN"/>
        </w:rPr>
        <w:t>2021年</w:t>
      </w:r>
      <w:r>
        <w:rPr>
          <w:rFonts w:hint="eastAsia" w:ascii="宋体" w:hAnsi="宋体" w:cs="宋体"/>
          <w:color w:val="auto"/>
          <w:sz w:val="21"/>
          <w:szCs w:val="21"/>
          <w:highlight w:val="none"/>
          <w:u w:val="none"/>
          <w:lang w:val="en-US" w:eastAsia="zh-CN"/>
        </w:rPr>
        <w:t>1月26日</w:t>
      </w: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分。</w:t>
      </w:r>
    </w:p>
    <w:p>
      <w:pPr>
        <w:keepNext w:val="0"/>
        <w:keepLines w:val="0"/>
        <w:pageBreakBefore w:val="0"/>
        <w:widowControl/>
        <w:tabs>
          <w:tab w:val="left" w:pos="7200"/>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投标人应于</w:t>
      </w:r>
      <w:r>
        <w:rPr>
          <w:rFonts w:hint="eastAsia" w:ascii="宋体" w:hAnsi="宋体" w:eastAsia="宋体" w:cs="宋体"/>
          <w:color w:val="auto"/>
          <w:sz w:val="21"/>
          <w:szCs w:val="21"/>
          <w:highlight w:val="none"/>
          <w:u w:val="none"/>
          <w:lang w:eastAsia="zh-CN"/>
        </w:rPr>
        <w:t>2021年</w:t>
      </w:r>
      <w:r>
        <w:rPr>
          <w:rFonts w:hint="eastAsia" w:ascii="宋体" w:hAnsi="宋体" w:cs="宋体"/>
          <w:color w:val="auto"/>
          <w:sz w:val="21"/>
          <w:szCs w:val="21"/>
          <w:highlight w:val="none"/>
          <w:u w:val="none"/>
          <w:lang w:val="en-US" w:eastAsia="zh-CN"/>
        </w:rPr>
        <w:t>1月26日</w:t>
      </w: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时至</w:t>
      </w: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分止，将投标文件密封提交至桂林市公共资源交易中心</w:t>
      </w:r>
      <w:r>
        <w:rPr>
          <w:rFonts w:hint="eastAsia" w:ascii="宋体" w:hAnsi="宋体" w:cs="宋体"/>
          <w:color w:val="auto"/>
          <w:sz w:val="21"/>
          <w:szCs w:val="21"/>
          <w:highlight w:val="none"/>
          <w:u w:val="none"/>
          <w:lang w:val="en-US" w:eastAsia="zh-CN"/>
        </w:rPr>
        <w:t>4号开标室</w:t>
      </w:r>
      <w:r>
        <w:rPr>
          <w:rFonts w:hint="eastAsia" w:ascii="宋体" w:hAnsi="宋体" w:eastAsia="宋体" w:cs="宋体"/>
          <w:color w:val="auto"/>
          <w:sz w:val="21"/>
          <w:szCs w:val="21"/>
          <w:highlight w:val="none"/>
          <w:u w:val="none"/>
        </w:rPr>
        <w:t>（广西桂林市临桂区西城中路69号创业大厦西辅楼4楼北区），未携带以上相关材料递交的或逾期送达的或未招标文件要求密封的投标文件将予以</w:t>
      </w:r>
      <w:r>
        <w:rPr>
          <w:rFonts w:hint="eastAsia" w:ascii="宋体" w:hAnsi="宋体" w:eastAsia="宋体" w:cs="宋体"/>
          <w:color w:val="auto"/>
          <w:sz w:val="21"/>
          <w:szCs w:val="21"/>
          <w:highlight w:val="none"/>
        </w:rPr>
        <w:t>拒收。</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20.2除招标文件另有规定外，投标人所递交的投标文件不予退还。</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20.3投标人应当在招标文件要求提交投标文件的截止时间前，将投标文件密封送达投标地点。采购代理机构收到投标文件后，应当如实记载投标文件的送达时间和密封情况，签收保存。任何单位和个人不得在开标前开启投标文件。</w:t>
      </w:r>
    </w:p>
    <w:p>
      <w:pPr>
        <w:keepNext w:val="0"/>
        <w:keepLines w:val="0"/>
        <w:pageBreakBefore w:val="0"/>
        <w:widowControl/>
        <w:numPr>
          <w:ilvl w:val="0"/>
          <w:numId w:val="0"/>
        </w:numPr>
        <w:kinsoku/>
        <w:wordWrap/>
        <w:overflowPunct/>
        <w:topLinePunct w:val="0"/>
        <w:autoSpaceDE/>
        <w:autoSpaceDN/>
        <w:bidi w:val="0"/>
        <w:spacing w:line="320" w:lineRule="exact"/>
        <w:jc w:val="center"/>
        <w:outlineLvl w:val="3"/>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四、开标</w:t>
      </w:r>
    </w:p>
    <w:p>
      <w:pPr>
        <w:keepNext w:val="0"/>
        <w:keepLines w:val="0"/>
        <w:pageBreakBefore w:val="0"/>
        <w:widowControl/>
        <w:tabs>
          <w:tab w:val="left" w:pos="1305"/>
        </w:tabs>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21.开标时间及地点</w:t>
      </w:r>
    </w:p>
    <w:p>
      <w:pPr>
        <w:keepNext w:val="0"/>
        <w:keepLines w:val="0"/>
        <w:pageBreakBefore w:val="0"/>
        <w:widowControl/>
        <w:kinsoku/>
        <w:wordWrap/>
        <w:overflowPunct/>
        <w:topLinePunct w:val="0"/>
        <w:autoSpaceDE/>
        <w:autoSpaceDN/>
        <w:bidi w:val="0"/>
        <w:spacing w:line="320" w:lineRule="exact"/>
        <w:ind w:left="240" w:leftChars="100"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none"/>
        </w:rPr>
        <w:t>21.1开标时间：</w:t>
      </w:r>
      <w:r>
        <w:rPr>
          <w:rFonts w:hint="eastAsia" w:ascii="宋体" w:hAnsi="宋体" w:eastAsia="宋体" w:cs="宋体"/>
          <w:color w:val="auto"/>
          <w:sz w:val="21"/>
          <w:szCs w:val="21"/>
          <w:highlight w:val="none"/>
          <w:u w:val="none"/>
          <w:lang w:eastAsia="zh-CN"/>
        </w:rPr>
        <w:t>2021年</w:t>
      </w:r>
      <w:r>
        <w:rPr>
          <w:rFonts w:hint="eastAsia" w:ascii="宋体" w:hAnsi="宋体" w:cs="宋体"/>
          <w:color w:val="auto"/>
          <w:sz w:val="21"/>
          <w:szCs w:val="21"/>
          <w:highlight w:val="none"/>
          <w:u w:val="none"/>
          <w:lang w:val="en-US" w:eastAsia="zh-CN"/>
        </w:rPr>
        <w:t>1月26日</w:t>
      </w: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分；地点：桂林市公共资源交易中心</w:t>
      </w:r>
      <w:r>
        <w:rPr>
          <w:rFonts w:hint="eastAsia" w:ascii="宋体" w:hAnsi="宋体" w:cs="宋体"/>
          <w:color w:val="auto"/>
          <w:sz w:val="21"/>
          <w:szCs w:val="21"/>
          <w:highlight w:val="none"/>
          <w:u w:val="none"/>
          <w:lang w:val="en-US" w:eastAsia="zh-CN"/>
        </w:rPr>
        <w:t>4号开标室</w:t>
      </w:r>
      <w:r>
        <w:rPr>
          <w:rFonts w:hint="eastAsia" w:ascii="宋体" w:hAnsi="宋体" w:eastAsia="宋体" w:cs="宋体"/>
          <w:color w:val="auto"/>
          <w:sz w:val="21"/>
          <w:szCs w:val="21"/>
          <w:highlight w:val="none"/>
          <w:u w:val="none"/>
        </w:rPr>
        <w:t>（广西桂林市临桂区西城中路69号创业大厦西辅楼4楼北区）开标。</w:t>
      </w:r>
      <w:r>
        <w:rPr>
          <w:rFonts w:hint="eastAsia" w:ascii="宋体" w:hAnsi="宋体" w:eastAsia="宋体" w:cs="宋体"/>
          <w:color w:val="auto"/>
          <w:sz w:val="21"/>
          <w:szCs w:val="21"/>
          <w:highlight w:val="none"/>
        </w:rPr>
        <w:t>投标人可以由法定代表人、负责人、自然人或其委托代理人出席开标会议；投标人准时参加开标会并签字，如未按时签字的，视同放弃开标监督权利，认可开标结果。</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21.2投标人不足3家的，不得开标，采购人或者采购代理机构应当重新组织采购。</w:t>
      </w:r>
    </w:p>
    <w:p>
      <w:pPr>
        <w:keepNext w:val="0"/>
        <w:keepLines w:val="0"/>
        <w:pageBreakBefore w:val="0"/>
        <w:widowControl/>
        <w:tabs>
          <w:tab w:val="left" w:pos="1305"/>
        </w:tabs>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22.开标程序</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（1）主持人宣布开标会正式开始，宣布开标程序、开标纪律，介绍项目情况和到会人员；</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（2）投标人对其投标文件的密封情况进行检查并确认签字；</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（3）按各投标人提交投标文件时间的先后顺序打开投标文件外包装；</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（4）唱标，宣读投标截止时间前接收的所有投标文件的投标人名称，投标报价表的投标报价、折扣；</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（5）采购代理机构做开标记录，投标人代表对开标记录进行当场校核及勘误并签字确认；同时由记录人、监督人（如有）当场签字确认；</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（7）宣布开标结束，采购人、投标人和有关方面代表退场，由工作人员将投标文件等材料移交评标室。</w:t>
      </w:r>
    </w:p>
    <w:p>
      <w:pPr>
        <w:keepNext w:val="0"/>
        <w:keepLines w:val="0"/>
        <w:pageBreakBefore w:val="0"/>
        <w:widowControl/>
        <w:numPr>
          <w:ilvl w:val="0"/>
          <w:numId w:val="0"/>
        </w:numPr>
        <w:kinsoku/>
        <w:wordWrap/>
        <w:overflowPunct/>
        <w:topLinePunct w:val="0"/>
        <w:autoSpaceDE/>
        <w:autoSpaceDN/>
        <w:bidi w:val="0"/>
        <w:spacing w:line="320" w:lineRule="exact"/>
        <w:jc w:val="center"/>
        <w:outlineLvl w:val="3"/>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五、资格性审查</w:t>
      </w:r>
    </w:p>
    <w:p>
      <w:pPr>
        <w:keepNext w:val="0"/>
        <w:keepLines w:val="0"/>
        <w:pageBreakBefore w:val="0"/>
        <w:widowControl/>
        <w:tabs>
          <w:tab w:val="left" w:pos="1305"/>
        </w:tabs>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23.资格性审查</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23.1公开招标采购项目开标结束后，采购人或者采购代理机构应当依法对投标人的资格进行审查。</w:t>
      </w:r>
    </w:p>
    <w:p>
      <w:pPr>
        <w:keepNext w:val="0"/>
        <w:keepLines w:val="0"/>
        <w:pageBreakBefore w:val="0"/>
        <w:widowControl/>
        <w:tabs>
          <w:tab w:val="left" w:pos="130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合格投标人不足3家的，不得评标。</w:t>
      </w:r>
    </w:p>
    <w:p>
      <w:pPr>
        <w:keepNext w:val="0"/>
        <w:keepLines w:val="0"/>
        <w:pageBreakBefore w:val="0"/>
        <w:widowControl/>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23.2</w:t>
      </w:r>
      <w:r>
        <w:rPr>
          <w:rFonts w:hint="eastAsia" w:ascii="宋体" w:hAnsi="宋体" w:eastAsia="宋体" w:cs="宋体"/>
          <w:color w:val="auto"/>
          <w:sz w:val="21"/>
          <w:szCs w:val="21"/>
          <w:highlight w:val="none"/>
        </w:rPr>
        <w:t>采购人或者采购代理机构</w:t>
      </w:r>
      <w:r>
        <w:rPr>
          <w:rFonts w:hint="eastAsia" w:ascii="宋体" w:hAnsi="宋体" w:eastAsia="宋体" w:cs="宋体"/>
          <w:bCs/>
          <w:color w:val="auto"/>
          <w:sz w:val="21"/>
          <w:szCs w:val="21"/>
          <w:highlight w:val="none"/>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查询渠道：《国家企业信用信息公示系统》http://www.gsxt.gov.cn/index.html</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审查流程：</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（1）进入《国家企业信用信息公示系统》http://www.gsxt.gov.cn/index.html，输入企业名称，进入企业信息主页面；</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（2）查看主页“股东及出资信息”栏，或年报中的“股东及出资信息”栏信息；</w:t>
      </w:r>
    </w:p>
    <w:p>
      <w:pPr>
        <w:keepNext w:val="0"/>
        <w:keepLines w:val="0"/>
        <w:pageBreakBefore w:val="0"/>
        <w:widowControl/>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（3）将各投标人的股东及出资信息进行比对，得出审查结论；</w:t>
      </w:r>
    </w:p>
    <w:p>
      <w:pPr>
        <w:keepNext w:val="0"/>
        <w:keepLines w:val="0"/>
        <w:pageBreakBefore w:val="0"/>
        <w:widowControl/>
        <w:kinsoku/>
        <w:wordWrap/>
        <w:overflowPunct/>
        <w:topLinePunct w:val="0"/>
        <w:autoSpaceDE/>
        <w:autoSpaceDN/>
        <w:bidi w:val="0"/>
        <w:snapToGrid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（4）将相关资料作为评审资料打印存档。</w:t>
      </w:r>
    </w:p>
    <w:p>
      <w:pPr>
        <w:keepNext w:val="0"/>
        <w:keepLines w:val="0"/>
        <w:pageBreakBefore w:val="0"/>
        <w:widowControl/>
        <w:numPr>
          <w:ilvl w:val="0"/>
          <w:numId w:val="0"/>
        </w:numPr>
        <w:kinsoku/>
        <w:wordWrap/>
        <w:overflowPunct/>
        <w:topLinePunct w:val="0"/>
        <w:autoSpaceDE/>
        <w:autoSpaceDN/>
        <w:bidi w:val="0"/>
        <w:spacing w:line="320" w:lineRule="exact"/>
        <w:jc w:val="center"/>
        <w:outlineLvl w:val="3"/>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六、评标</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24.评标委员会组成</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评标委员会由采购人代表和评审专家组成，成员人数共5人</w:t>
      </w:r>
      <w:r>
        <w:rPr>
          <w:rFonts w:hint="eastAsia" w:ascii="宋体" w:hAnsi="宋体" w:eastAsia="宋体" w:cs="宋体"/>
          <w:color w:val="auto"/>
          <w:sz w:val="21"/>
          <w:szCs w:val="21"/>
          <w:highlight w:val="none"/>
        </w:rPr>
        <w:t>。</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25.评标办法</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25.1评标办法：具体评标内容及标准详见第四章。</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25.2评标委员会应按招标文件进行评标，不得擅自更改评标办法。</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26.评标</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26.1采购代理机构负责评标组织工作；宣布评标工作纪律，公布投标人名单，告知评标专家应当回避的情形，组织评标委员会推选评标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26.3在评标过程中，评标委员会任何人不得对某个投标人发表任何倾向性意见，不得向其他专家评委明示或者暗示自己的评审意见。</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26.4评标委员会应当对符合资格的投标人的投标文件进行符合性审查，以确定其是否满足招标文件的实质性要求。</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26.5对于投标文件中含义不明确、同类问题表述不一致或者有明显文字和计算错误的内容，评标委员会应当以书面形式要求投标人作出必要的澄清、说明或者补正。</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26.6</w:t>
      </w:r>
      <w:r>
        <w:rPr>
          <w:rFonts w:hint="eastAsia" w:ascii="宋体" w:hAnsi="宋体" w:eastAsia="宋体" w:cs="宋体"/>
          <w:color w:val="auto"/>
          <w:sz w:val="21"/>
          <w:szCs w:val="21"/>
          <w:highlight w:val="none"/>
        </w:rPr>
        <w:t>评标委员会应当按照招标文件中规定的评标方法和标准，对符合性审查合格的投标文件进行商务和技术评估，综合比较与评价。</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26.7投标文件报价出现前后不一致的，除招标文件另有规定外，按照下列规定修正：</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（1）投标文件中投标报价表内容与投标文件中相应内容不一致的，以投标报价表为准；</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（2）大写金额和小写金额不一致的，以大写金额为准；</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（3）单价金额小数点或者百分比有明显错位的，以报价表的总价为准，并修改单价；</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（4）总价金额与按单价汇总金额不一致的，以单价金额计算结果为准。</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同时出现两种以上不一致的，按照前款规定的顺序修正。修正后的报价（不得超出投标文件的范围或者改变投标文件的实质性内容）经投标人确认后产生约束力，投标人不确认的，其投标无效。</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26.9评标委员会成员对需要共同认定的事项存在争议的，应当按照少数服从多数的原则作出结论。持不同意见的评标委员会成员应当在评标报告上签署不同意见及理由，否则视为同意评标报告。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26.10评标结果汇总完成后，除下列情形外，任何人不得修改评标结果：</w:t>
      </w:r>
    </w:p>
    <w:p>
      <w:pPr>
        <w:keepNext w:val="0"/>
        <w:keepLines w:val="0"/>
        <w:pageBreakBefore w:val="0"/>
        <w:widowControl/>
        <w:numPr>
          <w:ilvl w:val="0"/>
          <w:numId w:val="4"/>
        </w:numPr>
        <w:tabs>
          <w:tab w:val="center" w:pos="0"/>
        </w:tabs>
        <w:kinsoku/>
        <w:wordWrap/>
        <w:overflowPunct/>
        <w:topLinePunct w:val="0"/>
        <w:autoSpaceDE/>
        <w:autoSpaceDN/>
        <w:bidi w:val="0"/>
        <w:spacing w:line="320" w:lineRule="exact"/>
        <w:ind w:left="-15" w:firstLine="4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分值汇总计算错误的；</w:t>
      </w:r>
    </w:p>
    <w:p>
      <w:pPr>
        <w:keepNext w:val="0"/>
        <w:keepLines w:val="0"/>
        <w:pageBreakBefore w:val="0"/>
        <w:widowControl/>
        <w:numPr>
          <w:ilvl w:val="0"/>
          <w:numId w:val="4"/>
        </w:numPr>
        <w:tabs>
          <w:tab w:val="center" w:pos="0"/>
        </w:tabs>
        <w:kinsoku/>
        <w:wordWrap/>
        <w:overflowPunct/>
        <w:topLinePunct w:val="0"/>
        <w:autoSpaceDE/>
        <w:autoSpaceDN/>
        <w:bidi w:val="0"/>
        <w:spacing w:line="320" w:lineRule="exact"/>
        <w:ind w:left="-15" w:firstLine="4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分项评分超出评分标准范围的；</w:t>
      </w:r>
    </w:p>
    <w:p>
      <w:pPr>
        <w:keepNext w:val="0"/>
        <w:keepLines w:val="0"/>
        <w:pageBreakBefore w:val="0"/>
        <w:widowControl/>
        <w:numPr>
          <w:ilvl w:val="0"/>
          <w:numId w:val="4"/>
        </w:numPr>
        <w:tabs>
          <w:tab w:val="center" w:pos="0"/>
        </w:tabs>
        <w:kinsoku/>
        <w:wordWrap/>
        <w:overflowPunct/>
        <w:topLinePunct w:val="0"/>
        <w:autoSpaceDE/>
        <w:autoSpaceDN/>
        <w:bidi w:val="0"/>
        <w:spacing w:line="320" w:lineRule="exact"/>
        <w:ind w:left="-15" w:firstLine="4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评标委员会成员对客观评审因素评分不一致的；</w:t>
      </w:r>
    </w:p>
    <w:p>
      <w:pPr>
        <w:keepNext w:val="0"/>
        <w:keepLines w:val="0"/>
        <w:pageBreakBefore w:val="0"/>
        <w:widowControl/>
        <w:numPr>
          <w:ilvl w:val="0"/>
          <w:numId w:val="4"/>
        </w:numPr>
        <w:tabs>
          <w:tab w:val="center" w:pos="0"/>
        </w:tabs>
        <w:kinsoku/>
        <w:wordWrap/>
        <w:overflowPunct/>
        <w:topLinePunct w:val="0"/>
        <w:autoSpaceDE/>
        <w:autoSpaceDN/>
        <w:bidi w:val="0"/>
        <w:spacing w:line="320" w:lineRule="exact"/>
        <w:ind w:left="-15" w:firstLine="49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经评标委员会认定评分畸高、畸低的。</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投标人对本条第一款情形提出质疑的，采购人或者采购代理机构可以组织原评标委员会进行重新评审，重新评审改变评标结果的，应当书面报告本级财政部门。</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26.11采购代理机构发现评标委员会有明显的违规倾向或歧视现象，或不按评标办法进行，或其他不正常行为的，应当及时制止。如制止无效，应及时向</w:t>
      </w:r>
      <w:r>
        <w:rPr>
          <w:rFonts w:hint="eastAsia" w:ascii="宋体" w:hAnsi="宋体" w:eastAsia="宋体" w:cs="宋体"/>
          <w:sz w:val="21"/>
          <w:szCs w:val="21"/>
        </w:rPr>
        <w:t>荔浦市政府采购管理办公室</w:t>
      </w:r>
      <w:r>
        <w:rPr>
          <w:rFonts w:hint="eastAsia" w:ascii="宋体" w:hAnsi="宋体" w:eastAsia="宋体" w:cs="宋体"/>
          <w:bCs/>
          <w:color w:val="auto"/>
          <w:sz w:val="21"/>
          <w:szCs w:val="21"/>
          <w:highlight w:val="none"/>
        </w:rPr>
        <w:t>监督管理机构报告。</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27.推荐及确定中标候选供应商原则</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将根据得分由高到低排列次序（若得分相同时，按投标报价由低到高顺序排列；得分相同且投标报价相同的，按技术分由高到低顺序排列）并推荐三名中标候选供应商。招标采购单位应当确定评审委员会推荐排名第一的中标候选人为中标人。</w:t>
      </w:r>
    </w:p>
    <w:p>
      <w:pPr>
        <w:pStyle w:val="13"/>
        <w:keepNext w:val="0"/>
        <w:keepLines w:val="0"/>
        <w:pageBreakBefore w:val="0"/>
        <w:widowControl/>
        <w:kinsoku/>
        <w:wordWrap/>
        <w:overflowPunct/>
        <w:topLinePunct w:val="0"/>
        <w:autoSpaceDE/>
        <w:autoSpaceDN/>
        <w:bidi w:val="0"/>
        <w:snapToGrid/>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排名第一的中标候选人放弃中标、因不可抗力提出不能履行合同，或信用信息记录不符合相关规定的，或者招标文件规定应当提交履约保证金而在规定的期限内未能提交的，招标采购单位可以确定排名第二的中标候选人为中标人或重新组织采购。排名第二的中标候选人因前款规定的同样原因不能签订合同的，招标采购单位可以确定排名第三的中标候选人为中标人或重新组织采购。</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bCs/>
          <w:color w:val="auto"/>
          <w:sz w:val="21"/>
          <w:szCs w:val="21"/>
          <w:highlight w:val="none"/>
        </w:rPr>
        <w:t>。</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28.属于下列情况之一者，投标无效：</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（1）未按照招标文件规定完整提交投标文件或未按要求密封、签字、盖章的；</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（2）报价超过招标文件中规定的预算金额的；</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（3）不具备招标文件中规定的资格要求的；</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（4）投标文件含有采购人不能接受的附加条件的；</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（5）投标文件未按招标文件的内容和要求编制，或提供虚假或无效材料的；</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（6）投标人未就“</w:t>
      </w:r>
      <w:r>
        <w:rPr>
          <w:rFonts w:hint="eastAsia" w:ascii="宋体" w:hAnsi="宋体" w:eastAsia="宋体" w:cs="宋体"/>
          <w:bCs/>
          <w:color w:val="auto"/>
          <w:sz w:val="21"/>
          <w:szCs w:val="21"/>
          <w:highlight w:val="none"/>
          <w:lang w:eastAsia="zh-CN"/>
        </w:rPr>
        <w:t>货物采购需求</w:t>
      </w:r>
      <w:r>
        <w:rPr>
          <w:rFonts w:hint="eastAsia" w:ascii="宋体" w:hAnsi="宋体" w:eastAsia="宋体" w:cs="宋体"/>
          <w:bCs/>
          <w:color w:val="auto"/>
          <w:sz w:val="21"/>
          <w:szCs w:val="21"/>
          <w:highlight w:val="none"/>
        </w:rPr>
        <w:t>”中</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rPr>
        <w:t>所有内容作完整唯一报价的；</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（7）未完全响应招标文件实质性要求的；</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（8）法律、法规和招标文件规定的其他无效情形。</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29.投标人有下列情形之一的，视为串通投标，投标文件将被视为无效：</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（1）不同投标人的投标文件由同一单位或者个人编制；或不同投标人报名的IP地址一致的；</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（2）不同投标人委托同一单位或者个人办理投标事宜；</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（3）不同的投标人的投标文件载明的项目管理员或者联系人员为同一个人；</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（4）不同投标人的投标文件异常一致或投标报价呈规律性差异；</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（5）不同投标人的投标文件相互混装。</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30.属于下列情形之一的，应予废标：</w:t>
      </w:r>
    </w:p>
    <w:p>
      <w:pPr>
        <w:keepNext w:val="0"/>
        <w:keepLines w:val="0"/>
        <w:pageBreakBefore w:val="0"/>
        <w:widowControl/>
        <w:numPr>
          <w:ilvl w:val="0"/>
          <w:numId w:val="5"/>
        </w:numPr>
        <w:tabs>
          <w:tab w:val="left" w:pos="720"/>
        </w:tabs>
        <w:kinsoku/>
        <w:wordWrap/>
        <w:overflowPunct/>
        <w:topLinePunct w:val="0"/>
        <w:autoSpaceDE/>
        <w:autoSpaceDN/>
        <w:bidi w:val="0"/>
        <w:spacing w:line="3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符合专业条件的供应商或者对招标文件作实质响应的供应商不足3家的；</w:t>
      </w:r>
    </w:p>
    <w:p>
      <w:pPr>
        <w:keepNext w:val="0"/>
        <w:keepLines w:val="0"/>
        <w:pageBreakBefore w:val="0"/>
        <w:widowControl/>
        <w:numPr>
          <w:ilvl w:val="0"/>
          <w:numId w:val="5"/>
        </w:numPr>
        <w:tabs>
          <w:tab w:val="left" w:pos="720"/>
        </w:tabs>
        <w:kinsoku/>
        <w:wordWrap/>
        <w:overflowPunct/>
        <w:topLinePunct w:val="0"/>
        <w:autoSpaceDE/>
        <w:autoSpaceDN/>
        <w:bidi w:val="0"/>
        <w:spacing w:line="3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出现影响采购公正的违法、违规行为的；</w:t>
      </w:r>
    </w:p>
    <w:p>
      <w:pPr>
        <w:keepNext w:val="0"/>
        <w:keepLines w:val="0"/>
        <w:pageBreakBefore w:val="0"/>
        <w:widowControl/>
        <w:numPr>
          <w:ilvl w:val="0"/>
          <w:numId w:val="5"/>
        </w:numPr>
        <w:tabs>
          <w:tab w:val="left" w:pos="720"/>
        </w:tabs>
        <w:kinsoku/>
        <w:wordWrap/>
        <w:overflowPunct/>
        <w:topLinePunct w:val="0"/>
        <w:autoSpaceDE/>
        <w:autoSpaceDN/>
        <w:bidi w:val="0"/>
        <w:spacing w:line="3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采购文件内容违反国家有关强制性规定的；</w:t>
      </w:r>
    </w:p>
    <w:p>
      <w:pPr>
        <w:keepNext w:val="0"/>
        <w:keepLines w:val="0"/>
        <w:pageBreakBefore w:val="0"/>
        <w:widowControl/>
        <w:numPr>
          <w:ilvl w:val="0"/>
          <w:numId w:val="5"/>
        </w:numPr>
        <w:tabs>
          <w:tab w:val="left" w:pos="720"/>
        </w:tabs>
        <w:kinsoku/>
        <w:wordWrap/>
        <w:overflowPunct/>
        <w:topLinePunct w:val="0"/>
        <w:autoSpaceDE/>
        <w:autoSpaceDN/>
        <w:bidi w:val="0"/>
        <w:spacing w:line="3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因重大变故，采购任务取消的。</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31.开标、评标过程的监控</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本项目开标、评标过程实行全程录音、录像监控，投标人在评标过程中所进行的试图影响评标结果的不公正活动，可能导致其投标被拒绝。</w:t>
      </w:r>
    </w:p>
    <w:p>
      <w:pPr>
        <w:keepNext w:val="0"/>
        <w:keepLines w:val="0"/>
        <w:pageBreakBefore w:val="0"/>
        <w:widowControl/>
        <w:numPr>
          <w:ilvl w:val="0"/>
          <w:numId w:val="6"/>
        </w:numPr>
        <w:tabs>
          <w:tab w:val="center" w:pos="4411"/>
          <w:tab w:val="left" w:pos="5475"/>
        </w:tabs>
        <w:kinsoku/>
        <w:wordWrap/>
        <w:overflowPunct/>
        <w:topLinePunct w:val="0"/>
        <w:autoSpaceDE/>
        <w:autoSpaceDN/>
        <w:bidi w:val="0"/>
        <w:spacing w:line="32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信用查询</w:t>
      </w:r>
    </w:p>
    <w:p>
      <w:pPr>
        <w:keepNext w:val="0"/>
        <w:keepLines w:val="0"/>
        <w:pageBreakBefore w:val="0"/>
        <w:widowControl/>
        <w:numPr>
          <w:ilvl w:val="0"/>
          <w:numId w:val="0"/>
        </w:numPr>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根据《关于做好政府采购有关信用主体标识码登记及在政府采购活动中查询使用信用记录有关问题的通知》桂财采〔2016〕37号的通知，中标通知书发出前，由采购代理机构对中标候选供应商进行信用查询：</w:t>
      </w:r>
    </w:p>
    <w:p>
      <w:pPr>
        <w:keepNext w:val="0"/>
        <w:keepLines w:val="0"/>
        <w:pageBreakBefore w:val="0"/>
        <w:widowControl/>
        <w:numPr>
          <w:ilvl w:val="0"/>
          <w:numId w:val="7"/>
        </w:numPr>
        <w:tabs>
          <w:tab w:val="left" w:pos="480"/>
        </w:tabs>
        <w:kinsoku/>
        <w:wordWrap/>
        <w:overflowPunct/>
        <w:topLinePunct w:val="0"/>
        <w:autoSpaceDE/>
        <w:autoSpaceDN/>
        <w:bidi w:val="0"/>
        <w:spacing w:line="320" w:lineRule="exact"/>
        <w:ind w:left="480" w:leftChars="200"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查询渠道：‘信用中国’网站(www.creditchina.gov.cn)；‘中国政府采购网’(www.ccgp.gov.cn)；</w:t>
      </w:r>
    </w:p>
    <w:p>
      <w:pPr>
        <w:keepNext w:val="0"/>
        <w:keepLines w:val="0"/>
        <w:pageBreakBefore w:val="0"/>
        <w:widowControl/>
        <w:numPr>
          <w:ilvl w:val="0"/>
          <w:numId w:val="7"/>
        </w:numPr>
        <w:tabs>
          <w:tab w:val="left" w:pos="480"/>
        </w:tabs>
        <w:kinsoku/>
        <w:wordWrap/>
        <w:overflowPunct/>
        <w:topLinePunct w:val="0"/>
        <w:autoSpaceDE/>
        <w:autoSpaceDN/>
        <w:bidi w:val="0"/>
        <w:spacing w:line="320" w:lineRule="exact"/>
        <w:ind w:left="480" w:leftChars="200"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查询截止时间：中标通知书发出前；</w:t>
      </w:r>
    </w:p>
    <w:p>
      <w:pPr>
        <w:keepNext w:val="0"/>
        <w:keepLines w:val="0"/>
        <w:pageBreakBefore w:val="0"/>
        <w:widowControl/>
        <w:numPr>
          <w:ilvl w:val="0"/>
          <w:numId w:val="7"/>
        </w:numPr>
        <w:tabs>
          <w:tab w:val="left" w:pos="480"/>
        </w:tabs>
        <w:kinsoku/>
        <w:wordWrap/>
        <w:overflowPunct/>
        <w:topLinePunct w:val="0"/>
        <w:autoSpaceDE/>
        <w:autoSpaceDN/>
        <w:bidi w:val="0"/>
        <w:spacing w:line="320" w:lineRule="exact"/>
        <w:ind w:left="480" w:leftChars="200"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信用信息查询记录和证据留存方式：在查询网站中直接打印查询记录，打印材料作为采购活动资料保存；</w:t>
      </w:r>
    </w:p>
    <w:p>
      <w:pPr>
        <w:keepNext w:val="0"/>
        <w:keepLines w:val="0"/>
        <w:pageBreakBefore w:val="0"/>
        <w:widowControl/>
        <w:numPr>
          <w:ilvl w:val="0"/>
          <w:numId w:val="7"/>
        </w:numPr>
        <w:tabs>
          <w:tab w:val="left" w:pos="240"/>
        </w:tabs>
        <w:kinsoku/>
        <w:wordWrap/>
        <w:overflowPunct/>
        <w:topLinePunct w:val="0"/>
        <w:autoSpaceDE/>
        <w:autoSpaceDN/>
        <w:bidi w:val="0"/>
        <w:spacing w:line="320" w:lineRule="exact"/>
        <w:ind w:left="240" w:leftChars="100"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33.中标公告及中标通知书</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pStyle w:val="11"/>
        <w:keepNext w:val="0"/>
        <w:keepLines w:val="0"/>
        <w:pageBreakBefore w:val="0"/>
        <w:widowControl/>
        <w:kinsoku/>
        <w:wordWrap/>
        <w:overflowPunct/>
        <w:topLinePunct w:val="0"/>
        <w:bidi w:val="0"/>
        <w:spacing w:line="3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33.2</w:t>
      </w:r>
      <w:r>
        <w:rPr>
          <w:rFonts w:hint="eastAsia" w:ascii="宋体" w:hAnsi="宋体" w:eastAsia="宋体" w:cs="宋体"/>
          <w:color w:val="auto"/>
          <w:sz w:val="21"/>
          <w:szCs w:val="21"/>
          <w:highlight w:val="none"/>
        </w:rPr>
        <w:t>中小企业在政府采购活动过程中，请根据自己的真实情况出具《中小企业声明函》。依法享受中小企业优惠政策的，采购人或采购代理机构在公告中标结果时，同时公告其《中小企业声明函》，接受社会监督</w:t>
      </w:r>
      <w:r>
        <w:rPr>
          <w:rFonts w:hint="eastAsia" w:ascii="宋体" w:hAnsi="宋体" w:eastAsia="宋体" w:cs="宋体"/>
          <w:color w:val="auto"/>
          <w:sz w:val="21"/>
          <w:szCs w:val="21"/>
          <w:highlight w:val="none"/>
          <w:lang w:eastAsia="zh-CN"/>
        </w:rPr>
        <w:t>。</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33.</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中标公告同时采购代理机构向中标供应商发出中标通知书，中标供应商应自接到通知之日起七个工作日内，办理中标通知书领取手续。</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2" w:firstLineChars="20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七、履约保证金</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34.履约保证金</w:t>
      </w:r>
    </w:p>
    <w:p>
      <w:pPr>
        <w:pStyle w:val="41"/>
        <w:keepNext w:val="0"/>
        <w:keepLines w:val="0"/>
        <w:pageBreakBefore w:val="0"/>
        <w:widowControl/>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34.1履约保证金金额按中标价的5%（人民币，四舍五入到元）缴纳，由中标供应商在签订合同时将履约保证金以支票、汇票、本票或者金融机构、担保机构出具的保函等非现金形式提交缴入采购人指定账户。</w:t>
      </w:r>
    </w:p>
    <w:p>
      <w:pPr>
        <w:pStyle w:val="41"/>
        <w:keepNext w:val="0"/>
        <w:keepLines w:val="0"/>
        <w:pageBreakBefore w:val="0"/>
        <w:widowControl/>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34.2如果中标供应商没能按上述第34.1款规定执行，采购代理机构将上报</w:t>
      </w:r>
      <w:r>
        <w:rPr>
          <w:rFonts w:hint="eastAsia" w:ascii="宋体" w:hAnsi="宋体" w:eastAsia="宋体" w:cs="宋体"/>
          <w:sz w:val="21"/>
          <w:szCs w:val="21"/>
        </w:rPr>
        <w:t>荔浦市政府采购管理办公室</w:t>
      </w:r>
      <w:r>
        <w:rPr>
          <w:rFonts w:hint="eastAsia" w:ascii="宋体" w:hAnsi="宋体" w:eastAsia="宋体" w:cs="宋体"/>
          <w:color w:val="auto"/>
          <w:sz w:val="21"/>
          <w:szCs w:val="21"/>
          <w:highlight w:val="none"/>
        </w:rPr>
        <w:t>监督管理机构，取消该中标资格，并有权授予第二中标候选供应商为中标供应商资格或重新组织招标。</w:t>
      </w:r>
    </w:p>
    <w:p>
      <w:pPr>
        <w:pStyle w:val="41"/>
        <w:keepNext w:val="0"/>
        <w:keepLines w:val="0"/>
        <w:pageBreakBefore w:val="0"/>
        <w:widowControl/>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项目验收合格后，中标供应商凭《政府采购项目履约验收单》和履约保证金转款凭证向采购人申请办理退还手续，采购人不得额外要求供应商提交其他证明材料，并应当自收到退还资料之日起5个工作日内退还其履约保证金。</w:t>
      </w:r>
    </w:p>
    <w:p>
      <w:pPr>
        <w:pStyle w:val="41"/>
        <w:keepNext w:val="0"/>
        <w:keepLines w:val="0"/>
        <w:pageBreakBefore w:val="0"/>
        <w:widowControl/>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34.4在履约保证金到期退还前，若中标供应商的开户名称、开户银行、账号有变动的，以书面形式通知采购人，否则由此产生的后果由中标供应商自负。</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35.签订合同</w:t>
      </w:r>
    </w:p>
    <w:p>
      <w:pPr>
        <w:keepNext w:val="0"/>
        <w:keepLines w:val="0"/>
        <w:pageBreakBefore w:val="0"/>
        <w:widowControl/>
        <w:tabs>
          <w:tab w:val="left" w:pos="1140"/>
        </w:tabs>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rPr>
        <w:t>签订合同时间：</w:t>
      </w:r>
      <w:r>
        <w:rPr>
          <w:rFonts w:hint="eastAsia" w:ascii="宋体" w:hAnsi="宋体" w:eastAsia="宋体" w:cs="宋体"/>
          <w:color w:val="auto"/>
          <w:sz w:val="21"/>
          <w:szCs w:val="21"/>
          <w:highlight w:val="none"/>
        </w:rPr>
        <w:t>采购人应当自中标通知书发出之日起</w:t>
      </w:r>
      <w:r>
        <w:rPr>
          <w:rFonts w:hint="eastAsia" w:ascii="宋体" w:hAnsi="宋体" w:eastAsia="宋体" w:cs="宋体"/>
          <w:color w:val="auto"/>
          <w:sz w:val="21"/>
          <w:szCs w:val="21"/>
          <w:highlight w:val="none"/>
          <w:lang w:eastAsia="zh-CN"/>
        </w:rPr>
        <w:t>25日内</w:t>
      </w:r>
      <w:r>
        <w:rPr>
          <w:rFonts w:hint="eastAsia" w:ascii="宋体" w:hAnsi="宋体" w:eastAsia="宋体" w:cs="宋体"/>
          <w:color w:val="auto"/>
          <w:sz w:val="21"/>
          <w:szCs w:val="21"/>
          <w:highlight w:val="none"/>
        </w:rPr>
        <w:t>，按照招标文件和中标人投标文件的规定，与中标人签订书面合同。所签订的合同不得对招标文件确定的事项和中标人投标文件作实质性修改。</w:t>
      </w:r>
    </w:p>
    <w:p>
      <w:pPr>
        <w:keepNext w:val="0"/>
        <w:keepLines w:val="0"/>
        <w:pageBreakBefore w:val="0"/>
        <w:widowControl/>
        <w:kinsoku/>
        <w:wordWrap/>
        <w:overflowPunct/>
        <w:topLinePunct w:val="0"/>
        <w:autoSpaceDE/>
        <w:autoSpaceDN/>
        <w:bidi w:val="0"/>
        <w:adjustRightInd/>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.2如</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供应商有下列情形之一的，情节严重的，由财政部门将其列入不良行为记录名单，在一至三年内禁止参加政府采购活动，并予以通报。采购代理机构可从磋商小组推荐的</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候选供应商中按顺序重新确定</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供应商或重新组织采购。拒绝签订政府采购合同的</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供应商不得参加对该项目重新开展的采购活动。</w:t>
      </w:r>
    </w:p>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后不与采购人签订合同的（不可抗力除外）；</w:t>
      </w:r>
    </w:p>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（2）将</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项目转让给他人，或者在</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文件中未说明，且未经采购人同意，将</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项目分包给他人的；</w:t>
      </w:r>
    </w:p>
    <w:p>
      <w:pPr>
        <w:keepNext w:val="0"/>
        <w:keepLines w:val="0"/>
        <w:pageBreakBefore w:val="0"/>
        <w:widowControl/>
        <w:kinsoku/>
        <w:wordWrap/>
        <w:overflowPunct/>
        <w:topLinePunct w:val="0"/>
        <w:autoSpaceDE/>
        <w:autoSpaceDN/>
        <w:bidi w:val="0"/>
        <w:adjustRightInd/>
        <w:spacing w:line="32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（3）拒绝履行合同义务的。</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jc w:val="left"/>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.3合同</w:t>
      </w:r>
      <w:r>
        <w:rPr>
          <w:rFonts w:hint="eastAsia" w:ascii="宋体" w:hAnsi="宋体" w:eastAsia="宋体" w:cs="宋体"/>
          <w:color w:val="auto"/>
          <w:sz w:val="21"/>
          <w:szCs w:val="21"/>
          <w:highlight w:val="none"/>
          <w:lang w:eastAsia="zh-CN"/>
        </w:rPr>
        <w:t>备案</w:t>
      </w:r>
      <w:r>
        <w:rPr>
          <w:rFonts w:hint="eastAsia" w:ascii="宋体" w:hAnsi="宋体" w:eastAsia="宋体" w:cs="宋体"/>
          <w:color w:val="auto"/>
          <w:sz w:val="21"/>
          <w:szCs w:val="21"/>
          <w:highlight w:val="none"/>
        </w:rPr>
        <w:t>存档：</w:t>
      </w:r>
      <w:r>
        <w:rPr>
          <w:rFonts w:hint="eastAsia" w:ascii="宋体" w:hAnsi="宋体" w:eastAsia="宋体" w:cs="宋体"/>
          <w:color w:val="auto"/>
          <w:kern w:val="0"/>
          <w:sz w:val="21"/>
          <w:szCs w:val="21"/>
          <w:highlight w:val="none"/>
          <w:lang w:val="en-US" w:eastAsia="zh-CN" w:bidi="ar-SA"/>
        </w:rPr>
        <w:t>政府采购合同双方自签订之日起1个工作日内将合同原件一份交采购代理机构存档，采购代理机构收到政府采购合同原件后在省级以上人民政府财政部门指定媒体上公告，中标供应商于合同签订之日起7个工作日内将一份合同原件送</w:t>
      </w:r>
      <w:r>
        <w:rPr>
          <w:rFonts w:hint="eastAsia" w:ascii="宋体" w:hAnsi="宋体" w:eastAsia="宋体" w:cs="宋体"/>
          <w:sz w:val="21"/>
          <w:szCs w:val="21"/>
        </w:rPr>
        <w:t>荔浦市政府采购管理办公室</w:t>
      </w:r>
      <w:r>
        <w:rPr>
          <w:rFonts w:hint="eastAsia" w:ascii="宋体" w:hAnsi="宋体" w:eastAsia="宋体" w:cs="宋体"/>
          <w:color w:val="auto"/>
          <w:kern w:val="0"/>
          <w:sz w:val="21"/>
          <w:szCs w:val="21"/>
          <w:highlight w:val="none"/>
          <w:lang w:val="en-US" w:eastAsia="zh-CN" w:bidi="ar-SA"/>
        </w:rPr>
        <w:t>备案。</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八、</w:t>
      </w:r>
      <w:r>
        <w:rPr>
          <w:rFonts w:hint="eastAsia" w:ascii="宋体" w:hAnsi="宋体" w:eastAsia="宋体" w:cs="宋体"/>
          <w:b/>
          <w:color w:val="auto"/>
          <w:sz w:val="21"/>
          <w:szCs w:val="21"/>
          <w:highlight w:val="none"/>
        </w:rPr>
        <w:t>其他事项</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36.招标代理服务费</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本项目代理服务费标准参照计价格[2002]1980号《招标代理服务收费管理暂行办法》收费标准中货物类收费标准计算，由中标供应商在领取中标通知书前，向采购代理机构一次性支付（代理服务费不足人民币</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000.00按</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000.00收取）。</w:t>
      </w:r>
    </w:p>
    <w:tbl>
      <w:tblPr>
        <w:tblStyle w:val="24"/>
        <w:tblW w:w="9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vAlign w:val="top"/>
          </w:tcPr>
          <w:p>
            <w:pPr>
              <w:pStyle w:val="16"/>
              <w:keepNext w:val="0"/>
              <w:keepLines w:val="0"/>
              <w:pageBreakBefore w:val="0"/>
              <w:widowControl/>
              <w:kinsoku/>
              <w:wordWrap/>
              <w:overflowPunct/>
              <w:topLinePunct w:val="0"/>
              <w:bidi w:val="0"/>
              <w:spacing w:line="320" w:lineRule="exact"/>
              <w:ind w:lef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72576" behindDoc="0" locked="0" layoutInCell="1" allowOverlap="1">
                      <wp:simplePos x="0" y="0"/>
                      <wp:positionH relativeFrom="column">
                        <wp:posOffset>334010</wp:posOffset>
                      </wp:positionH>
                      <wp:positionV relativeFrom="paragraph">
                        <wp:posOffset>20320</wp:posOffset>
                      </wp:positionV>
                      <wp:extent cx="1405890" cy="663575"/>
                      <wp:effectExtent l="1905" t="4445" r="1905" b="17780"/>
                      <wp:wrapNone/>
                      <wp:docPr id="1" name="直线 3"/>
                      <wp:cNvGraphicFramePr/>
                      <a:graphic xmlns:a="http://schemas.openxmlformats.org/drawingml/2006/main">
                        <a:graphicData uri="http://schemas.microsoft.com/office/word/2010/wordprocessingShape">
                          <wps:wsp>
                            <wps:cNvCnPr/>
                            <wps:spPr>
                              <a:xfrm>
                                <a:off x="0" y="0"/>
                                <a:ext cx="1405890" cy="663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6.3pt;margin-top:1.6pt;height:52.25pt;width:110.7pt;z-index:251672576;mso-width-relative:page;mso-height-relative:page;" filled="f" stroked="t" coordsize="21600,21600" o:gfxdata="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Hp&#10;knLWAAAACAEAAA8AAAAAAAAAAQAgAAAAIgAAAGRycy9kb3ducmV2LnhtbFBLAQIUABQAAAAIAIdO&#10;4kDRsI7p7AEAAOA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折扣         服务类型</w:t>
            </w:r>
          </w:p>
          <w:p>
            <w:pPr>
              <w:pStyle w:val="16"/>
              <w:keepNext w:val="0"/>
              <w:keepLines w:val="0"/>
              <w:pageBreakBefore w:val="0"/>
              <w:widowControl/>
              <w:kinsoku/>
              <w:wordWrap/>
              <w:overflowPunct/>
              <w:topLinePunct w:val="0"/>
              <w:bidi w:val="0"/>
              <w:spacing w:line="320" w:lineRule="exact"/>
              <w:ind w:lef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73600" behindDoc="0" locked="0" layoutInCell="1" allowOverlap="1">
                      <wp:simplePos x="0" y="0"/>
                      <wp:positionH relativeFrom="column">
                        <wp:posOffset>-48895</wp:posOffset>
                      </wp:positionH>
                      <wp:positionV relativeFrom="paragraph">
                        <wp:posOffset>58420</wp:posOffset>
                      </wp:positionV>
                      <wp:extent cx="1828800" cy="396240"/>
                      <wp:effectExtent l="1270" t="4445" r="17780" b="18415"/>
                      <wp:wrapNone/>
                      <wp:docPr id="2" name="直线 4"/>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85pt;margin-top:4.6pt;height:31.2pt;width:144pt;z-index:251673600;mso-width-relative:page;mso-height-relative:page;" filled="f" stroked="t" coordsize="21600,21600" o:gfxdata="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jS19YAAAAHAQAADwAAAAAAAAABACAAAAAiAAAAZHJzL2Rvd25yZXYueG1sUEsBAhQAFAAAAAgA&#10;h07iQAUjTC3uAQAA4AMAAA4AAAAAAAAAAQAgAAAAJQEAAGRycy9lMm9Eb2MueG1sUEsFBgAAAAAG&#10;AAYAWQEAAIUFAAAAAA==&#10;">
                      <v:fill on="f" focussize="0,0"/>
                      <v:stroke color="#000000" joinstyle="round"/>
                      <v:imagedata o:title=""/>
                      <o:lock v:ext="edit" aspectratio="f"/>
                    </v:line>
                  </w:pict>
                </mc:Fallback>
              </mc:AlternateContent>
            </w:r>
          </w:p>
          <w:p>
            <w:pPr>
              <w:pStyle w:val="16"/>
              <w:keepNext w:val="0"/>
              <w:keepLines w:val="0"/>
              <w:pageBreakBefore w:val="0"/>
              <w:widowControl/>
              <w:kinsoku/>
              <w:wordWrap/>
              <w:overflowPunct/>
              <w:topLinePunct w:val="0"/>
              <w:bidi w:val="0"/>
              <w:spacing w:line="320" w:lineRule="exact"/>
              <w:ind w:lef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中标金额（万元）</w:t>
            </w:r>
          </w:p>
        </w:tc>
        <w:tc>
          <w:tcPr>
            <w:tcW w:w="1841" w:type="dxa"/>
            <w:vAlign w:val="center"/>
          </w:tcPr>
          <w:p>
            <w:pPr>
              <w:pStyle w:val="16"/>
              <w:keepNext w:val="0"/>
              <w:keepLines w:val="0"/>
              <w:pageBreakBefore w:val="0"/>
              <w:widowControl/>
              <w:kinsoku/>
              <w:wordWrap/>
              <w:overflowPunct/>
              <w:topLinePunct w:val="0"/>
              <w:bidi w:val="0"/>
              <w:spacing w:line="32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992" w:type="dxa"/>
            <w:vAlign w:val="center"/>
          </w:tcPr>
          <w:p>
            <w:pPr>
              <w:pStyle w:val="16"/>
              <w:keepNext w:val="0"/>
              <w:keepLines w:val="0"/>
              <w:pageBreakBefore w:val="0"/>
              <w:widowControl/>
              <w:kinsoku/>
              <w:wordWrap/>
              <w:overflowPunct/>
              <w:topLinePunct w:val="0"/>
              <w:bidi w:val="0"/>
              <w:spacing w:line="32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2293" w:type="dxa"/>
            <w:vAlign w:val="center"/>
          </w:tcPr>
          <w:p>
            <w:pPr>
              <w:pStyle w:val="16"/>
              <w:keepNext w:val="0"/>
              <w:keepLines w:val="0"/>
              <w:pageBreakBefore w:val="0"/>
              <w:widowControl/>
              <w:kinsoku/>
              <w:wordWrap/>
              <w:overflowPunct/>
              <w:topLinePunct w:val="0"/>
              <w:bidi w:val="0"/>
              <w:spacing w:line="32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vAlign w:val="top"/>
          </w:tcPr>
          <w:p>
            <w:pPr>
              <w:pStyle w:val="16"/>
              <w:keepNext w:val="0"/>
              <w:keepLines w:val="0"/>
              <w:pageBreakBefore w:val="0"/>
              <w:widowControl/>
              <w:kinsoku/>
              <w:wordWrap/>
              <w:overflowPunct/>
              <w:topLinePunct w:val="0"/>
              <w:bidi w:val="0"/>
              <w:spacing w:line="320" w:lineRule="exact"/>
              <w:ind w:lef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841" w:type="dxa"/>
            <w:vAlign w:val="top"/>
          </w:tcPr>
          <w:p>
            <w:pPr>
              <w:pStyle w:val="16"/>
              <w:keepNext w:val="0"/>
              <w:keepLines w:val="0"/>
              <w:pageBreakBefore w:val="0"/>
              <w:widowControl/>
              <w:kinsoku/>
              <w:wordWrap/>
              <w:overflowPunct/>
              <w:topLinePunct w:val="0"/>
              <w:bidi w:val="0"/>
              <w:spacing w:line="32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92" w:type="dxa"/>
            <w:vAlign w:val="top"/>
          </w:tcPr>
          <w:p>
            <w:pPr>
              <w:pStyle w:val="16"/>
              <w:keepNext w:val="0"/>
              <w:keepLines w:val="0"/>
              <w:pageBreakBefore w:val="0"/>
              <w:widowControl/>
              <w:kinsoku/>
              <w:wordWrap/>
              <w:overflowPunct/>
              <w:topLinePunct w:val="0"/>
              <w:bidi w:val="0"/>
              <w:spacing w:line="32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293" w:type="dxa"/>
            <w:vAlign w:val="top"/>
          </w:tcPr>
          <w:p>
            <w:pPr>
              <w:pStyle w:val="16"/>
              <w:keepNext w:val="0"/>
              <w:keepLines w:val="0"/>
              <w:pageBreakBefore w:val="0"/>
              <w:widowControl/>
              <w:kinsoku/>
              <w:wordWrap/>
              <w:overflowPunct/>
              <w:topLinePunct w:val="0"/>
              <w:bidi w:val="0"/>
              <w:spacing w:line="32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vAlign w:val="top"/>
          </w:tcPr>
          <w:p>
            <w:pPr>
              <w:pStyle w:val="16"/>
              <w:keepNext w:val="0"/>
              <w:keepLines w:val="0"/>
              <w:pageBreakBefore w:val="0"/>
              <w:widowControl/>
              <w:kinsoku/>
              <w:wordWrap/>
              <w:overflowPunct/>
              <w:topLinePunct w:val="0"/>
              <w:bidi w:val="0"/>
              <w:spacing w:line="320" w:lineRule="exact"/>
              <w:ind w:lef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841" w:type="dxa"/>
            <w:vAlign w:val="top"/>
          </w:tcPr>
          <w:p>
            <w:pPr>
              <w:pStyle w:val="16"/>
              <w:keepNext w:val="0"/>
              <w:keepLines w:val="0"/>
              <w:pageBreakBefore w:val="0"/>
              <w:widowControl/>
              <w:kinsoku/>
              <w:wordWrap/>
              <w:overflowPunct/>
              <w:topLinePunct w:val="0"/>
              <w:bidi w:val="0"/>
              <w:spacing w:line="32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92" w:type="dxa"/>
            <w:vAlign w:val="top"/>
          </w:tcPr>
          <w:p>
            <w:pPr>
              <w:pStyle w:val="16"/>
              <w:keepNext w:val="0"/>
              <w:keepLines w:val="0"/>
              <w:pageBreakBefore w:val="0"/>
              <w:widowControl/>
              <w:kinsoku/>
              <w:wordWrap/>
              <w:overflowPunct/>
              <w:topLinePunct w:val="0"/>
              <w:bidi w:val="0"/>
              <w:spacing w:line="32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2293" w:type="dxa"/>
            <w:vAlign w:val="top"/>
          </w:tcPr>
          <w:p>
            <w:pPr>
              <w:pStyle w:val="16"/>
              <w:keepNext w:val="0"/>
              <w:keepLines w:val="0"/>
              <w:pageBreakBefore w:val="0"/>
              <w:widowControl/>
              <w:kinsoku/>
              <w:wordWrap/>
              <w:overflowPunct/>
              <w:topLinePunct w:val="0"/>
              <w:bidi w:val="0"/>
              <w:spacing w:line="32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Style w:val="16"/>
              <w:keepNext w:val="0"/>
              <w:keepLines w:val="0"/>
              <w:pageBreakBefore w:val="0"/>
              <w:widowControl/>
              <w:kinsoku/>
              <w:wordWrap/>
              <w:overflowPunct/>
              <w:topLinePunct w:val="0"/>
              <w:bidi w:val="0"/>
              <w:spacing w:line="320" w:lineRule="exact"/>
              <w:ind w:lef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1841" w:type="dxa"/>
            <w:vAlign w:val="top"/>
          </w:tcPr>
          <w:p>
            <w:pPr>
              <w:pStyle w:val="16"/>
              <w:keepNext w:val="0"/>
              <w:keepLines w:val="0"/>
              <w:pageBreakBefore w:val="0"/>
              <w:widowControl/>
              <w:kinsoku/>
              <w:wordWrap/>
              <w:overflowPunct/>
              <w:topLinePunct w:val="0"/>
              <w:bidi w:val="0"/>
              <w:spacing w:line="32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992" w:type="dxa"/>
            <w:vAlign w:val="top"/>
          </w:tcPr>
          <w:p>
            <w:pPr>
              <w:pStyle w:val="16"/>
              <w:keepNext w:val="0"/>
              <w:keepLines w:val="0"/>
              <w:pageBreakBefore w:val="0"/>
              <w:widowControl/>
              <w:kinsoku/>
              <w:wordWrap/>
              <w:overflowPunct/>
              <w:topLinePunct w:val="0"/>
              <w:bidi w:val="0"/>
              <w:spacing w:line="32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2293" w:type="dxa"/>
            <w:vAlign w:val="top"/>
          </w:tcPr>
          <w:p>
            <w:pPr>
              <w:pStyle w:val="16"/>
              <w:keepNext w:val="0"/>
              <w:keepLines w:val="0"/>
              <w:pageBreakBefore w:val="0"/>
              <w:widowControl/>
              <w:kinsoku/>
              <w:wordWrap/>
              <w:overflowPunct/>
              <w:topLinePunct w:val="0"/>
              <w:bidi w:val="0"/>
              <w:spacing w:line="32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Style w:val="16"/>
              <w:keepNext w:val="0"/>
              <w:keepLines w:val="0"/>
              <w:pageBreakBefore w:val="0"/>
              <w:widowControl/>
              <w:kinsoku/>
              <w:wordWrap/>
              <w:overflowPunct/>
              <w:topLinePunct w:val="0"/>
              <w:bidi w:val="0"/>
              <w:spacing w:line="320" w:lineRule="exact"/>
              <w:ind w:lef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1841" w:type="dxa"/>
            <w:vAlign w:val="top"/>
          </w:tcPr>
          <w:p>
            <w:pPr>
              <w:pStyle w:val="16"/>
              <w:keepNext w:val="0"/>
              <w:keepLines w:val="0"/>
              <w:pageBreakBefore w:val="0"/>
              <w:widowControl/>
              <w:kinsoku/>
              <w:wordWrap/>
              <w:overflowPunct/>
              <w:topLinePunct w:val="0"/>
              <w:bidi w:val="0"/>
              <w:spacing w:line="32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992" w:type="dxa"/>
            <w:vAlign w:val="top"/>
          </w:tcPr>
          <w:p>
            <w:pPr>
              <w:pStyle w:val="16"/>
              <w:keepNext w:val="0"/>
              <w:keepLines w:val="0"/>
              <w:pageBreakBefore w:val="0"/>
              <w:widowControl/>
              <w:kinsoku/>
              <w:wordWrap/>
              <w:overflowPunct/>
              <w:topLinePunct w:val="0"/>
              <w:bidi w:val="0"/>
              <w:spacing w:line="32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2293" w:type="dxa"/>
            <w:vAlign w:val="top"/>
          </w:tcPr>
          <w:p>
            <w:pPr>
              <w:pStyle w:val="16"/>
              <w:keepNext w:val="0"/>
              <w:keepLines w:val="0"/>
              <w:pageBreakBefore w:val="0"/>
              <w:widowControl/>
              <w:kinsoku/>
              <w:wordWrap/>
              <w:overflowPunct/>
              <w:topLinePunct w:val="0"/>
              <w:bidi w:val="0"/>
              <w:spacing w:line="32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Style w:val="16"/>
              <w:keepNext w:val="0"/>
              <w:keepLines w:val="0"/>
              <w:pageBreakBefore w:val="0"/>
              <w:widowControl/>
              <w:kinsoku/>
              <w:wordWrap/>
              <w:overflowPunct/>
              <w:topLinePunct w:val="0"/>
              <w:bidi w:val="0"/>
              <w:spacing w:line="320" w:lineRule="exact"/>
              <w:ind w:left="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1841" w:type="dxa"/>
            <w:vAlign w:val="top"/>
          </w:tcPr>
          <w:p>
            <w:pPr>
              <w:pStyle w:val="16"/>
              <w:keepNext w:val="0"/>
              <w:keepLines w:val="0"/>
              <w:pageBreakBefore w:val="0"/>
              <w:widowControl/>
              <w:kinsoku/>
              <w:wordWrap/>
              <w:overflowPunct/>
              <w:topLinePunct w:val="0"/>
              <w:bidi w:val="0"/>
              <w:spacing w:line="32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992" w:type="dxa"/>
            <w:vAlign w:val="top"/>
          </w:tcPr>
          <w:p>
            <w:pPr>
              <w:pStyle w:val="16"/>
              <w:keepNext w:val="0"/>
              <w:keepLines w:val="0"/>
              <w:pageBreakBefore w:val="0"/>
              <w:widowControl/>
              <w:kinsoku/>
              <w:wordWrap/>
              <w:overflowPunct/>
              <w:topLinePunct w:val="0"/>
              <w:bidi w:val="0"/>
              <w:spacing w:line="32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2293" w:type="dxa"/>
            <w:vAlign w:val="top"/>
          </w:tcPr>
          <w:p>
            <w:pPr>
              <w:pStyle w:val="16"/>
              <w:keepNext w:val="0"/>
              <w:keepLines w:val="0"/>
              <w:pageBreakBefore w:val="0"/>
              <w:widowControl/>
              <w:kinsoku/>
              <w:wordWrap/>
              <w:overflowPunct/>
              <w:topLinePunct w:val="0"/>
              <w:bidi w:val="0"/>
              <w:spacing w:line="320" w:lineRule="exact"/>
              <w:ind w:lef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bl>
    <w:p>
      <w:pPr>
        <w:pStyle w:val="41"/>
        <w:keepNext w:val="0"/>
        <w:keepLines w:val="0"/>
        <w:pageBreakBefore w:val="0"/>
        <w:widowControl/>
        <w:kinsoku/>
        <w:wordWrap/>
        <w:overflowPunct/>
        <w:topLinePunct w:val="0"/>
        <w:bidi w:val="0"/>
        <w:spacing w:line="320" w:lineRule="exact"/>
        <w:ind w:left="0" w:leftChars="0"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注：招标代理服务收费按差额定率累进法计算。</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37.采购代理机构银行账户：</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开户名称：广西联云项目管理有限公司桂林分公司</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开户银行：桂林银行中隐路支行</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银行账号：6600 1011 3977 9000 10</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2" w:firstLineChars="20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Cs/>
          <w:color w:val="auto"/>
          <w:sz w:val="21"/>
          <w:szCs w:val="21"/>
          <w:highlight w:val="none"/>
        </w:rPr>
        <w:t>8.解释权：本招标文件是根据《中华人民共和国政府采购法》、《中华人民共和国政府采购法实施条例》及《政府采购货物和服务招标投标管理办法》财政部令第87号和政府采购管理有关规定编制，本招标文件的解释权属于采购代理机构。</w:t>
      </w:r>
    </w:p>
    <w:p>
      <w:pPr>
        <w:keepNext w:val="0"/>
        <w:keepLines w:val="0"/>
        <w:pageBreakBefore w:val="0"/>
        <w:widowControl/>
        <w:tabs>
          <w:tab w:val="center" w:pos="4411"/>
          <w:tab w:val="left" w:pos="5475"/>
        </w:tabs>
        <w:kinsoku/>
        <w:wordWrap/>
        <w:overflowPunct/>
        <w:topLinePunct w:val="0"/>
        <w:autoSpaceDE/>
        <w:autoSpaceDN/>
        <w:bidi w:val="0"/>
        <w:spacing w:line="32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39.监督管理机构：</w:t>
      </w:r>
      <w:r>
        <w:rPr>
          <w:rFonts w:hint="eastAsia" w:ascii="宋体" w:hAnsi="宋体" w:eastAsia="宋体" w:cs="宋体"/>
          <w:sz w:val="21"/>
          <w:szCs w:val="21"/>
        </w:rPr>
        <w:t>荔浦市政府采购管理办公室</w:t>
      </w:r>
      <w:r>
        <w:rPr>
          <w:rFonts w:hint="eastAsia" w:ascii="宋体" w:hAnsi="宋体" w:eastAsia="宋体" w:cs="宋体"/>
          <w:bCs/>
          <w:color w:val="auto"/>
          <w:sz w:val="21"/>
          <w:szCs w:val="21"/>
          <w:highlight w:val="none"/>
        </w:rPr>
        <w:t xml:space="preserve">    电话：0773-</w:t>
      </w:r>
      <w:r>
        <w:rPr>
          <w:rFonts w:hint="eastAsia" w:ascii="宋体" w:hAnsi="宋体" w:eastAsia="宋体" w:cs="宋体"/>
          <w:bCs/>
          <w:color w:val="auto"/>
          <w:sz w:val="21"/>
          <w:szCs w:val="21"/>
          <w:highlight w:val="none"/>
          <w:lang w:eastAsia="zh-CN"/>
        </w:rPr>
        <w:t>7233366</w:t>
      </w:r>
    </w:p>
    <w:p>
      <w:pPr>
        <w:pStyle w:val="13"/>
        <w:ind w:left="0" w:leftChars="0" w:right="31680" w:firstLine="0" w:firstLineChars="0"/>
        <w:jc w:val="both"/>
        <w:rPr>
          <w:rFonts w:hint="eastAsia" w:ascii="宋体" w:hAnsi="宋体" w:eastAsia="宋体" w:cs="宋体"/>
          <w:bCs/>
          <w:color w:val="auto"/>
          <w:szCs w:val="24"/>
          <w:highlight w:val="none"/>
        </w:rPr>
      </w:pPr>
    </w:p>
    <w:p>
      <w:pPr>
        <w:pStyle w:val="13"/>
        <w:ind w:left="0" w:leftChars="0" w:right="31680" w:firstLine="0" w:firstLineChars="0"/>
        <w:jc w:val="both"/>
        <w:rPr>
          <w:rFonts w:hint="eastAsia" w:ascii="宋体" w:hAnsi="宋体" w:eastAsia="宋体" w:cs="宋体"/>
          <w:bCs/>
          <w:color w:val="auto"/>
          <w:szCs w:val="24"/>
          <w:highlight w:val="none"/>
        </w:rPr>
      </w:pPr>
    </w:p>
    <w:p>
      <w:pPr>
        <w:pStyle w:val="13"/>
        <w:ind w:left="0" w:leftChars="0" w:right="31680" w:firstLine="0" w:firstLineChars="0"/>
        <w:jc w:val="both"/>
        <w:rPr>
          <w:rFonts w:hint="eastAsia" w:ascii="宋体" w:hAnsi="宋体" w:eastAsia="宋体" w:cs="宋体"/>
          <w:bCs/>
          <w:color w:val="auto"/>
          <w:szCs w:val="24"/>
          <w:highlight w:val="none"/>
        </w:rPr>
      </w:pPr>
    </w:p>
    <w:p>
      <w:pPr>
        <w:pStyle w:val="13"/>
        <w:ind w:left="0" w:leftChars="0" w:right="31680" w:firstLine="0" w:firstLineChars="0"/>
        <w:jc w:val="both"/>
        <w:rPr>
          <w:rFonts w:hint="eastAsia" w:ascii="宋体" w:hAnsi="宋体" w:eastAsia="宋体" w:cs="宋体"/>
          <w:bCs/>
          <w:color w:val="auto"/>
          <w:szCs w:val="24"/>
          <w:highlight w:val="none"/>
        </w:rPr>
      </w:pPr>
    </w:p>
    <w:p>
      <w:pPr>
        <w:rPr>
          <w:rFonts w:hint="eastAsia" w:ascii="宋体" w:hAnsi="宋体" w:eastAsia="宋体" w:cs="宋体"/>
          <w:bCs/>
          <w:color w:val="auto"/>
          <w:szCs w:val="24"/>
          <w:highlight w:val="none"/>
        </w:rPr>
      </w:pPr>
    </w:p>
    <w:p>
      <w:pPr>
        <w:pStyle w:val="23"/>
        <w:rPr>
          <w:rFonts w:hint="eastAsia" w:ascii="宋体" w:hAnsi="宋体" w:eastAsia="宋体" w:cs="宋体"/>
          <w:bCs/>
          <w:color w:val="auto"/>
          <w:szCs w:val="24"/>
          <w:highlight w:val="none"/>
        </w:rPr>
      </w:pPr>
    </w:p>
    <w:p>
      <w:pPr>
        <w:pStyle w:val="23"/>
        <w:rPr>
          <w:rFonts w:hint="eastAsia" w:ascii="宋体" w:hAnsi="宋体" w:eastAsia="宋体" w:cs="宋体"/>
          <w:bCs/>
          <w:color w:val="auto"/>
          <w:szCs w:val="24"/>
          <w:highlight w:val="none"/>
        </w:rPr>
      </w:pPr>
    </w:p>
    <w:p>
      <w:pPr>
        <w:pStyle w:val="23"/>
        <w:rPr>
          <w:rFonts w:hint="eastAsia" w:ascii="宋体" w:hAnsi="宋体" w:eastAsia="宋体" w:cs="宋体"/>
          <w:bCs/>
          <w:color w:val="auto"/>
          <w:szCs w:val="24"/>
          <w:highlight w:val="none"/>
        </w:rPr>
      </w:pPr>
    </w:p>
    <w:p>
      <w:pPr>
        <w:pStyle w:val="23"/>
        <w:rPr>
          <w:rFonts w:hint="eastAsia" w:ascii="宋体" w:hAnsi="宋体" w:eastAsia="宋体" w:cs="宋体"/>
          <w:bCs/>
          <w:color w:val="auto"/>
          <w:szCs w:val="24"/>
          <w:highlight w:val="none"/>
        </w:rPr>
      </w:pPr>
    </w:p>
    <w:p>
      <w:pPr>
        <w:pStyle w:val="13"/>
        <w:ind w:left="0" w:leftChars="0" w:right="31680" w:firstLine="0" w:firstLineChars="0"/>
        <w:jc w:val="both"/>
        <w:rPr>
          <w:rFonts w:hint="eastAsia" w:ascii="宋体" w:hAnsi="宋体" w:eastAsia="宋体" w:cs="宋体"/>
          <w:bCs/>
          <w:color w:val="auto"/>
          <w:szCs w:val="24"/>
          <w:highlight w:val="none"/>
        </w:rPr>
      </w:pPr>
    </w:p>
    <w:p>
      <w:pPr>
        <w:rPr>
          <w:rFonts w:hint="eastAsia"/>
        </w:rPr>
      </w:pPr>
    </w:p>
    <w:p>
      <w:pPr>
        <w:pStyle w:val="13"/>
        <w:ind w:left="0" w:leftChars="0" w:right="31680" w:firstLine="0" w:firstLineChars="0"/>
        <w:jc w:val="both"/>
        <w:rPr>
          <w:rFonts w:hint="eastAsia" w:ascii="宋体" w:hAnsi="宋体" w:eastAsia="宋体" w:cs="宋体"/>
          <w:bCs/>
          <w:color w:val="auto"/>
          <w:szCs w:val="24"/>
          <w:highlight w:val="none"/>
        </w:rPr>
      </w:pPr>
    </w:p>
    <w:p>
      <w:pPr>
        <w:pStyle w:val="13"/>
        <w:ind w:left="0" w:leftChars="0" w:right="31680" w:firstLine="0" w:firstLineChars="0"/>
        <w:jc w:val="both"/>
        <w:rPr>
          <w:rFonts w:hint="eastAsia" w:ascii="宋体" w:hAnsi="宋体" w:eastAsia="宋体" w:cs="宋体"/>
          <w:bCs/>
          <w:color w:val="auto"/>
          <w:szCs w:val="24"/>
          <w:highlight w:val="none"/>
        </w:rPr>
      </w:pPr>
    </w:p>
    <w:p>
      <w:pPr>
        <w:rPr>
          <w:rFonts w:hint="eastAsia" w:ascii="宋体" w:hAnsi="宋体" w:eastAsia="宋体" w:cs="宋体"/>
          <w:bCs/>
          <w:color w:val="auto"/>
          <w:szCs w:val="24"/>
          <w:highlight w:val="none"/>
        </w:rPr>
      </w:pPr>
    </w:p>
    <w:p>
      <w:pPr>
        <w:pStyle w:val="2"/>
        <w:rPr>
          <w:rFonts w:hint="eastAsia"/>
        </w:rPr>
      </w:pPr>
    </w:p>
    <w:p>
      <w:pPr>
        <w:pStyle w:val="13"/>
        <w:ind w:left="0" w:leftChars="0" w:right="31680" w:firstLine="0" w:firstLineChars="0"/>
        <w:jc w:val="both"/>
        <w:rPr>
          <w:rFonts w:hint="eastAsia" w:ascii="宋体" w:hAnsi="宋体" w:eastAsia="宋体" w:cs="宋体"/>
          <w:bCs/>
          <w:color w:val="auto"/>
          <w:szCs w:val="24"/>
          <w:highlight w:val="none"/>
        </w:rPr>
      </w:pPr>
    </w:p>
    <w:p>
      <w:pPr>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t>第</w:t>
      </w:r>
      <w:r>
        <w:rPr>
          <w:rFonts w:hint="eastAsia" w:ascii="宋体" w:hAnsi="宋体" w:eastAsia="宋体" w:cs="宋体"/>
          <w:b/>
          <w:color w:val="auto"/>
          <w:sz w:val="30"/>
          <w:szCs w:val="30"/>
          <w:highlight w:val="none"/>
          <w:lang w:eastAsia="zh-CN"/>
        </w:rPr>
        <w:t>三</w:t>
      </w:r>
      <w:r>
        <w:rPr>
          <w:rFonts w:hint="eastAsia" w:ascii="宋体" w:hAnsi="宋体" w:eastAsia="宋体" w:cs="宋体"/>
          <w:b/>
          <w:color w:val="auto"/>
          <w:sz w:val="30"/>
          <w:szCs w:val="30"/>
          <w:highlight w:val="none"/>
        </w:rPr>
        <w:t>章</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lang w:eastAsia="zh-CN"/>
        </w:rPr>
        <w:t>货物采购需求</w:t>
      </w:r>
    </w:p>
    <w:p>
      <w:pPr>
        <w:pStyle w:val="11"/>
        <w:keepNext w:val="0"/>
        <w:keepLines w:val="0"/>
        <w:pageBreakBefore w:val="0"/>
        <w:widowControl/>
        <w:kinsoku/>
        <w:wordWrap/>
        <w:overflowPunct/>
        <w:topLinePunct w:val="0"/>
        <w:autoSpaceDE/>
        <w:autoSpaceDN/>
        <w:bidi w:val="0"/>
        <w:adjustRightInd/>
        <w:snapToGrid/>
        <w:spacing w:line="340" w:lineRule="exact"/>
        <w:ind w:firstLine="4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说明：</w:t>
      </w:r>
    </w:p>
    <w:p>
      <w:pPr>
        <w:pStyle w:val="11"/>
        <w:keepNext w:val="0"/>
        <w:keepLines w:val="0"/>
        <w:pageBreakBefore w:val="0"/>
        <w:widowControl/>
        <w:kinsoku/>
        <w:wordWrap/>
        <w:overflowPunct/>
        <w:topLinePunct w:val="0"/>
        <w:autoSpaceDE/>
        <w:autoSpaceDN/>
        <w:bidi w:val="0"/>
        <w:adjustRightInd/>
        <w:snapToGrid/>
        <w:spacing w:line="340" w:lineRule="exact"/>
        <w:ind w:firstLine="4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本表中的品牌规格型号仅起参考作用，投标人可选用其他品牌规格型号替代。★号</w:t>
      </w:r>
      <w:r>
        <w:rPr>
          <w:rFonts w:hint="eastAsia" w:ascii="宋体" w:hAnsi="宋体" w:cs="宋体"/>
          <w:b w:val="0"/>
          <w:bCs w:val="0"/>
          <w:color w:val="auto"/>
          <w:sz w:val="21"/>
          <w:szCs w:val="21"/>
          <w:highlight w:val="none"/>
          <w:lang w:val="en-US" w:eastAsia="zh-CN"/>
        </w:rPr>
        <w:t>及商务要求</w:t>
      </w:r>
      <w:r>
        <w:rPr>
          <w:rFonts w:hint="eastAsia" w:ascii="宋体" w:hAnsi="宋体" w:eastAsia="宋体" w:cs="宋体"/>
          <w:b w:val="0"/>
          <w:bCs w:val="0"/>
          <w:color w:val="auto"/>
          <w:sz w:val="21"/>
          <w:szCs w:val="21"/>
          <w:highlight w:val="none"/>
          <w:lang w:val="en-US" w:eastAsia="zh-CN"/>
        </w:rPr>
        <w:t>为实质性要求，投标人必须满足，否则投标无效。</w:t>
      </w:r>
    </w:p>
    <w:p>
      <w:pPr>
        <w:pStyle w:val="11"/>
        <w:keepNext w:val="0"/>
        <w:keepLines w:val="0"/>
        <w:pageBreakBefore w:val="0"/>
        <w:widowControl/>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lang w:val="en-US" w:eastAsia="zh-CN"/>
        </w:rPr>
        <w:t>本项目所要执行的政府采购政策：《政府采购促进中小企业发展管理办法》</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（财库[2020]46号）；《关于政府采购支持监狱企业发展有关问题的通知》（财库[2014]68号）；《关于促进残疾人就业政府采购政策的通知》（财库[2017]141号）；强制、优先采购环境标志产品、节能产品。</w:t>
      </w:r>
    </w:p>
    <w:tbl>
      <w:tblPr>
        <w:tblStyle w:val="24"/>
        <w:tblW w:w="102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4"/>
        <w:gridCol w:w="759"/>
        <w:gridCol w:w="6348"/>
        <w:gridCol w:w="762"/>
        <w:gridCol w:w="669"/>
        <w:gridCol w:w="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项号</w:t>
            </w:r>
          </w:p>
        </w:tc>
        <w:tc>
          <w:tcPr>
            <w:tcW w:w="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63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eastAsia="宋体" w:cs="宋体"/>
                <w:b/>
                <w:bCs/>
                <w:color w:val="auto"/>
                <w:sz w:val="21"/>
                <w:szCs w:val="21"/>
              </w:rPr>
            </w:pPr>
            <w:r>
              <w:rPr>
                <w:rFonts w:hint="eastAsia" w:ascii="宋体" w:hAnsi="宋体" w:eastAsia="宋体" w:cs="宋体"/>
                <w:b/>
                <w:color w:val="auto"/>
                <w:sz w:val="21"/>
                <w:szCs w:val="21"/>
              </w:rPr>
              <w:t>项目要求及技术需求</w:t>
            </w: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eastAsia="宋体" w:cs="宋体"/>
                <w:b/>
                <w:bCs/>
                <w:color w:val="auto"/>
                <w:sz w:val="21"/>
                <w:szCs w:val="21"/>
                <w:lang w:eastAsia="zh-CN"/>
              </w:rPr>
            </w:pPr>
            <w:r>
              <w:rPr>
                <w:rFonts w:hint="eastAsia" w:ascii="宋体" w:hAnsi="宋体" w:cs="宋体"/>
                <w:b/>
                <w:bCs/>
                <w:sz w:val="21"/>
                <w:szCs w:val="21"/>
              </w:rPr>
              <w:t>参考单价（元）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rPr>
              <w:t>1</w:t>
            </w:r>
          </w:p>
        </w:tc>
        <w:tc>
          <w:tcPr>
            <w:tcW w:w="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棉胎</w:t>
            </w:r>
            <w:r>
              <w:rPr>
                <w:rFonts w:hint="eastAsia" w:ascii="宋体" w:hAnsi="宋体" w:cs="宋体"/>
                <w:color w:val="auto"/>
                <w:sz w:val="21"/>
                <w:szCs w:val="21"/>
                <w:lang w:eastAsia="zh-CN"/>
              </w:rPr>
              <w:t>、</w:t>
            </w:r>
            <w:r>
              <w:rPr>
                <w:rFonts w:hint="eastAsia" w:ascii="宋体" w:hAnsi="宋体" w:eastAsia="宋体" w:cs="宋体"/>
                <w:color w:val="auto"/>
                <w:sz w:val="21"/>
                <w:szCs w:val="21"/>
              </w:rPr>
              <w:t>被套</w:t>
            </w:r>
          </w:p>
        </w:tc>
        <w:tc>
          <w:tcPr>
            <w:tcW w:w="63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rPr>
                <w:rFonts w:hint="eastAsia" w:ascii="宋体" w:hAnsi="宋体" w:cs="宋体"/>
                <w:sz w:val="21"/>
                <w:szCs w:val="21"/>
              </w:rPr>
            </w:pPr>
            <w:r>
              <w:rPr>
                <w:rFonts w:hint="eastAsia" w:ascii="宋体" w:hAnsi="宋体" w:cs="宋体"/>
                <w:sz w:val="21"/>
                <w:szCs w:val="21"/>
              </w:rPr>
              <w:t>一、棉胎</w:t>
            </w:r>
          </w:p>
          <w:p>
            <w:pPr>
              <w:autoSpaceDE w:val="0"/>
              <w:autoSpaceDN w:val="0"/>
              <w:adjustRightInd w:val="0"/>
              <w:rPr>
                <w:rFonts w:hint="eastAsia" w:ascii="宋体" w:hAnsi="宋体" w:cs="宋体"/>
                <w:sz w:val="21"/>
                <w:szCs w:val="21"/>
              </w:rPr>
            </w:pPr>
            <w:r>
              <w:rPr>
                <w:rFonts w:hint="eastAsia" w:ascii="宋体" w:hAnsi="宋体" w:cs="宋体"/>
                <w:sz w:val="21"/>
                <w:szCs w:val="21"/>
              </w:rPr>
              <w:t>1、规格：150cm*200cm（允差±5cm）；</w:t>
            </w:r>
          </w:p>
          <w:p>
            <w:pPr>
              <w:autoSpaceDE w:val="0"/>
              <w:autoSpaceDN w:val="0"/>
              <w:adjustRightInd w:val="0"/>
              <w:rPr>
                <w:rFonts w:hint="eastAsia" w:ascii="宋体" w:hAnsi="宋体" w:cs="宋体"/>
                <w:sz w:val="21"/>
                <w:szCs w:val="21"/>
              </w:rPr>
            </w:pPr>
            <w:r>
              <w:rPr>
                <w:rFonts w:hint="eastAsia" w:ascii="宋体" w:hAnsi="宋体" w:cs="宋体"/>
                <w:sz w:val="21"/>
                <w:szCs w:val="21"/>
              </w:rPr>
              <w:t>2、重量：≥4KG；</w:t>
            </w:r>
          </w:p>
          <w:p>
            <w:pPr>
              <w:autoSpaceDE w:val="0"/>
              <w:autoSpaceDN w:val="0"/>
              <w:adjustRightInd w:val="0"/>
              <w:rPr>
                <w:rFonts w:hint="eastAsia" w:ascii="宋体" w:hAnsi="宋体" w:cs="宋体"/>
                <w:sz w:val="21"/>
                <w:szCs w:val="21"/>
              </w:rPr>
            </w:pPr>
            <w:r>
              <w:rPr>
                <w:rFonts w:hint="eastAsia" w:ascii="宋体" w:hAnsi="宋体" w:cs="宋体"/>
                <w:sz w:val="21"/>
                <w:szCs w:val="21"/>
              </w:rPr>
              <w:t>3、原料成分:100%棉；</w:t>
            </w:r>
          </w:p>
          <w:p>
            <w:pPr>
              <w:autoSpaceDE w:val="0"/>
              <w:autoSpaceDN w:val="0"/>
              <w:adjustRightInd w:val="0"/>
              <w:rPr>
                <w:rFonts w:hint="eastAsia" w:ascii="宋体" w:hAnsi="宋体" w:cs="宋体"/>
                <w:sz w:val="21"/>
                <w:szCs w:val="21"/>
              </w:rPr>
            </w:pPr>
            <w:r>
              <w:rPr>
                <w:rFonts w:hint="eastAsia" w:ascii="宋体" w:hAnsi="宋体" w:cs="宋体"/>
                <w:sz w:val="21"/>
                <w:szCs w:val="21"/>
              </w:rPr>
              <w:t>4、含杂率：≤0.8%；</w:t>
            </w:r>
          </w:p>
          <w:p>
            <w:pPr>
              <w:autoSpaceDE w:val="0"/>
              <w:autoSpaceDN w:val="0"/>
              <w:adjustRightInd w:val="0"/>
              <w:rPr>
                <w:rFonts w:hint="eastAsia" w:ascii="宋体" w:hAnsi="宋体" w:cs="宋体"/>
                <w:sz w:val="21"/>
                <w:szCs w:val="21"/>
              </w:rPr>
            </w:pPr>
            <w:r>
              <w:rPr>
                <w:rFonts w:hint="eastAsia" w:ascii="宋体" w:hAnsi="宋体" w:cs="宋体"/>
                <w:sz w:val="21"/>
                <w:szCs w:val="21"/>
              </w:rPr>
              <w:t>5、一级梳棉胎；</w:t>
            </w:r>
          </w:p>
          <w:p>
            <w:pPr>
              <w:autoSpaceDE w:val="0"/>
              <w:autoSpaceDN w:val="0"/>
              <w:adjustRightInd w:val="0"/>
              <w:rPr>
                <w:rFonts w:hint="eastAsia" w:ascii="宋体" w:hAnsi="宋体" w:cs="宋体"/>
                <w:sz w:val="21"/>
                <w:szCs w:val="21"/>
              </w:rPr>
            </w:pPr>
            <w:r>
              <w:rPr>
                <w:rFonts w:hint="eastAsia" w:ascii="宋体" w:hAnsi="宋体" w:cs="宋体"/>
                <w:sz w:val="21"/>
                <w:szCs w:val="21"/>
              </w:rPr>
              <w:t>6、检验依据：GB18383-2007《絮用纤维制品通用技术要求》、GB/T35932-2018《梳棉胎》；</w:t>
            </w:r>
          </w:p>
          <w:p>
            <w:pPr>
              <w:autoSpaceDE w:val="0"/>
              <w:autoSpaceDN w:val="0"/>
              <w:adjustRightInd w:val="0"/>
              <w:rPr>
                <w:rFonts w:hint="eastAsia" w:ascii="宋体" w:hAnsi="宋体" w:cs="宋体"/>
                <w:sz w:val="21"/>
                <w:szCs w:val="21"/>
              </w:rPr>
            </w:pPr>
            <w:r>
              <w:rPr>
                <w:rFonts w:hint="eastAsia" w:ascii="宋体" w:hAnsi="宋体" w:cs="宋体"/>
                <w:sz w:val="21"/>
                <w:szCs w:val="21"/>
              </w:rPr>
              <w:t>★</w:t>
            </w:r>
            <w:r>
              <w:rPr>
                <w:rFonts w:hint="eastAsia" w:ascii="宋体" w:hAnsi="宋体" w:cs="宋体"/>
                <w:b/>
                <w:bCs/>
                <w:sz w:val="21"/>
                <w:szCs w:val="21"/>
              </w:rPr>
              <w:t>7、投标时</w:t>
            </w:r>
            <w:r>
              <w:rPr>
                <w:rFonts w:hint="eastAsia" w:ascii="宋体" w:hAnsi="宋体" w:cs="宋体"/>
                <w:b/>
                <w:bCs/>
                <w:sz w:val="21"/>
                <w:szCs w:val="21"/>
                <w:lang w:eastAsia="zh-CN"/>
              </w:rPr>
              <w:t>必须</w:t>
            </w:r>
            <w:r>
              <w:rPr>
                <w:rFonts w:hint="eastAsia" w:ascii="宋体" w:hAnsi="宋体" w:cs="宋体"/>
                <w:b/>
                <w:bCs/>
                <w:sz w:val="21"/>
                <w:szCs w:val="21"/>
              </w:rPr>
              <w:t>提供</w:t>
            </w:r>
            <w:r>
              <w:rPr>
                <w:rFonts w:hint="eastAsia" w:ascii="宋体" w:hAnsi="宋体" w:cs="宋体"/>
                <w:b/>
                <w:bCs/>
                <w:sz w:val="21"/>
                <w:szCs w:val="21"/>
                <w:lang w:eastAsia="zh-CN"/>
              </w:rPr>
              <w:t>所投产品</w:t>
            </w:r>
            <w:r>
              <w:rPr>
                <w:rFonts w:hint="eastAsia" w:ascii="宋体" w:hAnsi="宋体" w:cs="宋体"/>
                <w:b/>
                <w:bCs/>
                <w:sz w:val="21"/>
                <w:szCs w:val="21"/>
                <w:lang w:val="en-US" w:eastAsia="zh-CN"/>
              </w:rPr>
              <w:t>2020年以来</w:t>
            </w:r>
            <w:r>
              <w:rPr>
                <w:rFonts w:hint="eastAsia" w:ascii="宋体" w:hAnsi="宋体" w:cs="宋体"/>
                <w:b/>
                <w:bCs/>
                <w:sz w:val="21"/>
                <w:szCs w:val="21"/>
              </w:rPr>
              <w:t>由</w:t>
            </w:r>
            <w:r>
              <w:rPr>
                <w:rFonts w:hint="eastAsia" w:ascii="宋体" w:hAnsi="宋体" w:cs="宋体"/>
                <w:b/>
                <w:bCs/>
                <w:sz w:val="21"/>
                <w:szCs w:val="21"/>
                <w:lang w:eastAsia="zh-CN"/>
              </w:rPr>
              <w:t>有资质的</w:t>
            </w:r>
            <w:r>
              <w:rPr>
                <w:rFonts w:hint="eastAsia" w:ascii="宋体" w:hAnsi="宋体" w:cs="宋体"/>
                <w:b/>
                <w:bCs/>
                <w:sz w:val="21"/>
                <w:szCs w:val="21"/>
              </w:rPr>
              <w:t>第三方</w:t>
            </w:r>
            <w:r>
              <w:rPr>
                <w:rFonts w:hint="eastAsia" w:ascii="宋体" w:hAnsi="宋体" w:cs="宋体"/>
                <w:b/>
                <w:bCs/>
                <w:sz w:val="21"/>
                <w:szCs w:val="21"/>
                <w:lang w:eastAsia="zh-CN"/>
              </w:rPr>
              <w:t>检测</w:t>
            </w:r>
            <w:r>
              <w:rPr>
                <w:rFonts w:hint="eastAsia" w:ascii="宋体" w:hAnsi="宋体" w:cs="宋体"/>
                <w:b/>
                <w:bCs/>
                <w:sz w:val="21"/>
                <w:szCs w:val="21"/>
              </w:rPr>
              <w:t>机构出具的有效</w:t>
            </w:r>
            <w:r>
              <w:rPr>
                <w:rFonts w:hint="eastAsia" w:ascii="宋体" w:hAnsi="宋体" w:cs="宋体"/>
                <w:b/>
                <w:bCs/>
                <w:sz w:val="21"/>
                <w:szCs w:val="21"/>
                <w:lang w:eastAsia="zh-CN"/>
              </w:rPr>
              <w:t>检测</w:t>
            </w:r>
            <w:r>
              <w:rPr>
                <w:rFonts w:hint="eastAsia" w:ascii="宋体" w:hAnsi="宋体" w:cs="宋体"/>
                <w:b/>
                <w:bCs/>
                <w:sz w:val="21"/>
                <w:szCs w:val="21"/>
              </w:rPr>
              <w:t>报告复印件，</w:t>
            </w:r>
            <w:r>
              <w:rPr>
                <w:rFonts w:hint="eastAsia" w:ascii="宋体" w:hAnsi="宋体" w:cs="宋体"/>
                <w:b/>
                <w:bCs/>
                <w:sz w:val="21"/>
                <w:szCs w:val="21"/>
                <w:lang w:eastAsia="zh-CN"/>
              </w:rPr>
              <w:t>检测</w:t>
            </w:r>
            <w:r>
              <w:rPr>
                <w:rFonts w:hint="eastAsia" w:ascii="宋体" w:hAnsi="宋体" w:cs="宋体"/>
                <w:b/>
                <w:bCs/>
                <w:sz w:val="21"/>
                <w:szCs w:val="21"/>
              </w:rPr>
              <w:t>内容必须满足棉胎第</w:t>
            </w:r>
            <w:r>
              <w:rPr>
                <w:rFonts w:hint="eastAsia" w:ascii="宋体" w:hAnsi="宋体" w:cs="宋体"/>
                <w:b/>
                <w:bCs/>
                <w:sz w:val="21"/>
                <w:szCs w:val="21"/>
                <w:lang w:val="en-US" w:eastAsia="zh-CN"/>
              </w:rPr>
              <w:t>3</w:t>
            </w:r>
            <w:r>
              <w:rPr>
                <w:rFonts w:hint="eastAsia" w:ascii="宋体" w:hAnsi="宋体" w:cs="宋体"/>
                <w:b/>
                <w:bCs/>
                <w:sz w:val="21"/>
                <w:szCs w:val="21"/>
              </w:rPr>
              <w:t>-5条参数要求。否则投标无效。</w:t>
            </w:r>
          </w:p>
          <w:p>
            <w:pPr>
              <w:autoSpaceDE w:val="0"/>
              <w:autoSpaceDN w:val="0"/>
              <w:adjustRightInd w:val="0"/>
              <w:rPr>
                <w:rFonts w:hint="eastAsia" w:ascii="宋体" w:hAnsi="宋体" w:cs="宋体"/>
                <w:sz w:val="21"/>
                <w:szCs w:val="21"/>
              </w:rPr>
            </w:pPr>
            <w:r>
              <w:rPr>
                <w:rFonts w:hint="eastAsia" w:ascii="宋体" w:hAnsi="宋体" w:cs="宋体"/>
                <w:sz w:val="21"/>
                <w:szCs w:val="21"/>
              </w:rPr>
              <w:t>二、被套</w:t>
            </w:r>
          </w:p>
          <w:p>
            <w:pPr>
              <w:autoSpaceDE w:val="0"/>
              <w:autoSpaceDN w:val="0"/>
              <w:adjustRightInd w:val="0"/>
              <w:rPr>
                <w:rFonts w:hint="eastAsia" w:ascii="宋体" w:hAnsi="宋体" w:cs="宋体"/>
                <w:sz w:val="21"/>
                <w:szCs w:val="21"/>
              </w:rPr>
            </w:pPr>
            <w:r>
              <w:rPr>
                <w:rFonts w:hint="eastAsia" w:ascii="宋体" w:hAnsi="宋体" w:cs="宋体"/>
                <w:sz w:val="21"/>
                <w:szCs w:val="21"/>
              </w:rPr>
              <w:t>1、规格：160cm×210cm（允差±5cm）；</w:t>
            </w:r>
          </w:p>
          <w:p>
            <w:pPr>
              <w:autoSpaceDE w:val="0"/>
              <w:autoSpaceDN w:val="0"/>
              <w:adjustRightInd w:val="0"/>
              <w:rPr>
                <w:rFonts w:hint="eastAsia" w:ascii="宋体" w:hAnsi="宋体" w:cs="宋体"/>
                <w:sz w:val="21"/>
                <w:szCs w:val="21"/>
              </w:rPr>
            </w:pPr>
            <w:r>
              <w:rPr>
                <w:rFonts w:hint="eastAsia" w:ascii="宋体" w:hAnsi="宋体" w:cs="宋体"/>
                <w:sz w:val="21"/>
                <w:szCs w:val="21"/>
              </w:rPr>
              <w:t>2、布料成分：≥80%(允差±2%）棉布料，涤纶约20％(允差±2%）；</w:t>
            </w:r>
          </w:p>
          <w:p>
            <w:pPr>
              <w:autoSpaceDE w:val="0"/>
              <w:autoSpaceDN w:val="0"/>
              <w:adjustRightInd w:val="0"/>
              <w:rPr>
                <w:rFonts w:hint="eastAsia" w:ascii="宋体" w:hAnsi="宋体" w:cs="宋体"/>
                <w:sz w:val="21"/>
                <w:szCs w:val="21"/>
              </w:rPr>
            </w:pPr>
            <w:r>
              <w:rPr>
                <w:rFonts w:hint="eastAsia" w:ascii="宋体" w:hAnsi="宋体" w:cs="宋体"/>
                <w:sz w:val="21"/>
                <w:szCs w:val="21"/>
              </w:rPr>
              <w:t>3、机织物密度:经纱密度≥275根/10㎝；纬纱密度≥220根/10㎝；</w:t>
            </w:r>
          </w:p>
          <w:p>
            <w:pPr>
              <w:autoSpaceDE w:val="0"/>
              <w:autoSpaceDN w:val="0"/>
              <w:adjustRightInd w:val="0"/>
              <w:rPr>
                <w:rFonts w:hint="eastAsia" w:ascii="宋体" w:hAnsi="宋体" w:cs="宋体"/>
                <w:sz w:val="21"/>
                <w:szCs w:val="21"/>
              </w:rPr>
            </w:pPr>
            <w:r>
              <w:rPr>
                <w:rFonts w:hint="eastAsia" w:ascii="宋体" w:hAnsi="宋体" w:cs="宋体"/>
                <w:sz w:val="21"/>
                <w:szCs w:val="21"/>
              </w:rPr>
              <w:t>4、经向断裂强力≥550N，纬向断裂强力≥500N；</w:t>
            </w:r>
          </w:p>
          <w:p>
            <w:pPr>
              <w:autoSpaceDE w:val="0"/>
              <w:autoSpaceDN w:val="0"/>
              <w:adjustRightInd w:val="0"/>
              <w:rPr>
                <w:rFonts w:hint="eastAsia" w:ascii="宋体" w:hAnsi="宋体" w:cs="宋体"/>
                <w:sz w:val="21"/>
                <w:szCs w:val="21"/>
              </w:rPr>
            </w:pPr>
            <w:r>
              <w:rPr>
                <w:rFonts w:hint="eastAsia" w:ascii="宋体" w:hAnsi="宋体" w:cs="宋体"/>
                <w:sz w:val="21"/>
                <w:szCs w:val="21"/>
              </w:rPr>
              <w:t>5、色牢度干摩≥4级；湿摩：≥3级；</w:t>
            </w:r>
          </w:p>
          <w:p>
            <w:pPr>
              <w:autoSpaceDE w:val="0"/>
              <w:autoSpaceDN w:val="0"/>
              <w:adjustRightInd w:val="0"/>
              <w:rPr>
                <w:rFonts w:hint="eastAsia" w:ascii="宋体" w:hAnsi="宋体" w:cs="宋体"/>
                <w:sz w:val="21"/>
                <w:szCs w:val="21"/>
              </w:rPr>
            </w:pPr>
            <w:r>
              <w:rPr>
                <w:rFonts w:hint="eastAsia" w:ascii="宋体" w:hAnsi="宋体" w:cs="宋体"/>
                <w:sz w:val="21"/>
                <w:szCs w:val="21"/>
              </w:rPr>
              <w:t>6、色牢度耐皂洗、耐汗：≥4级；</w:t>
            </w:r>
          </w:p>
          <w:p>
            <w:pPr>
              <w:autoSpaceDE w:val="0"/>
              <w:autoSpaceDN w:val="0"/>
              <w:adjustRightInd w:val="0"/>
              <w:rPr>
                <w:rFonts w:hint="eastAsia" w:ascii="宋体" w:hAnsi="宋体" w:cs="宋体"/>
                <w:sz w:val="21"/>
                <w:szCs w:val="21"/>
              </w:rPr>
            </w:pPr>
            <w:r>
              <w:rPr>
                <w:rFonts w:hint="eastAsia" w:ascii="宋体" w:hAnsi="宋体" w:cs="宋体"/>
                <w:sz w:val="21"/>
                <w:szCs w:val="21"/>
              </w:rPr>
              <w:t>7、PH值：4.0-8.5；</w:t>
            </w:r>
          </w:p>
          <w:p>
            <w:pPr>
              <w:autoSpaceDE w:val="0"/>
              <w:autoSpaceDN w:val="0"/>
              <w:adjustRightInd w:val="0"/>
              <w:rPr>
                <w:rFonts w:hint="eastAsia" w:ascii="宋体" w:hAnsi="宋体" w:cs="宋体"/>
                <w:sz w:val="21"/>
                <w:szCs w:val="21"/>
              </w:rPr>
            </w:pPr>
            <w:r>
              <w:rPr>
                <w:rFonts w:hint="eastAsia" w:ascii="宋体" w:hAnsi="宋体" w:cs="宋体"/>
                <w:sz w:val="21"/>
                <w:szCs w:val="21"/>
              </w:rPr>
              <w:t>8、甲醛：未检出；</w:t>
            </w:r>
          </w:p>
          <w:p>
            <w:pPr>
              <w:autoSpaceDE w:val="0"/>
              <w:autoSpaceDN w:val="0"/>
              <w:adjustRightInd w:val="0"/>
              <w:rPr>
                <w:rFonts w:hint="eastAsia" w:ascii="宋体" w:hAnsi="宋体" w:cs="宋体"/>
                <w:sz w:val="21"/>
                <w:szCs w:val="21"/>
              </w:rPr>
            </w:pPr>
            <w:r>
              <w:rPr>
                <w:rFonts w:hint="eastAsia" w:ascii="宋体" w:hAnsi="宋体" w:cs="宋体"/>
                <w:sz w:val="21"/>
                <w:szCs w:val="21"/>
              </w:rPr>
              <w:t>9、单位面积净干质量150g/㎡±3g/㎡；</w:t>
            </w:r>
          </w:p>
          <w:p>
            <w:pPr>
              <w:autoSpaceDE w:val="0"/>
              <w:autoSpaceDN w:val="0"/>
              <w:adjustRightInd w:val="0"/>
              <w:rPr>
                <w:rFonts w:hint="eastAsia" w:ascii="宋体" w:hAnsi="宋体" w:cs="宋体"/>
                <w:sz w:val="21"/>
                <w:szCs w:val="21"/>
              </w:rPr>
            </w:pPr>
            <w:r>
              <w:rPr>
                <w:rFonts w:hint="eastAsia" w:ascii="宋体" w:hAnsi="宋体" w:cs="宋体"/>
                <w:sz w:val="21"/>
                <w:szCs w:val="21"/>
              </w:rPr>
              <w:t>10、可分解致癌芳香胺染料：未检出；</w:t>
            </w:r>
          </w:p>
          <w:p>
            <w:pPr>
              <w:autoSpaceDE w:val="0"/>
              <w:autoSpaceDN w:val="0"/>
              <w:adjustRightInd w:val="0"/>
              <w:rPr>
                <w:rFonts w:hint="eastAsia" w:ascii="宋体" w:hAnsi="宋体" w:cs="宋体"/>
                <w:sz w:val="21"/>
                <w:szCs w:val="21"/>
              </w:rPr>
            </w:pPr>
            <w:r>
              <w:rPr>
                <w:rFonts w:hint="eastAsia" w:ascii="宋体" w:hAnsi="宋体" w:cs="宋体"/>
                <w:sz w:val="21"/>
                <w:szCs w:val="21"/>
              </w:rPr>
              <w:t>11、检验依据：GB/T22796-2009；</w:t>
            </w:r>
          </w:p>
          <w:p>
            <w:pPr>
              <w:autoSpaceDE w:val="0"/>
              <w:autoSpaceDN w:val="0"/>
              <w:adjustRightInd w:val="0"/>
              <w:rPr>
                <w:rFonts w:hint="default" w:ascii="宋体" w:hAnsi="宋体" w:cs="宋体"/>
                <w:sz w:val="21"/>
                <w:szCs w:val="21"/>
                <w:lang w:val="en-US" w:eastAsia="zh-CN"/>
              </w:rPr>
            </w:pPr>
            <w:r>
              <w:rPr>
                <w:rFonts w:hint="eastAsia" w:ascii="宋体" w:hAnsi="宋体" w:cs="宋体"/>
                <w:b/>
                <w:bCs/>
                <w:sz w:val="21"/>
                <w:szCs w:val="21"/>
              </w:rPr>
              <w:t>★12、投标时必须提供所投产品2020年以来由有资质的第三方检测机构出具的有效检测报告复印件，检测内容必须满足被套第2、3、4、5、9、12条参数要求。否则投标无效。</w:t>
            </w:r>
            <w:bookmarkStart w:id="33" w:name="_GoBack"/>
            <w:bookmarkEnd w:id="33"/>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12300</w:t>
            </w:r>
          </w:p>
        </w:tc>
        <w:tc>
          <w:tcPr>
            <w:tcW w:w="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床</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eastAsia="宋体" w:cs="宋体"/>
                <w:color w:val="auto"/>
                <w:sz w:val="21"/>
                <w:szCs w:val="21"/>
              </w:rPr>
            </w:pPr>
            <w:r>
              <w:rPr>
                <w:rFonts w:hint="eastAsia" w:ascii="宋体" w:hAnsi="宋体" w:cs="宋体"/>
                <w:sz w:val="21"/>
                <w:szCs w:val="21"/>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垫被</w:t>
            </w:r>
          </w:p>
        </w:tc>
        <w:tc>
          <w:tcPr>
            <w:tcW w:w="6348"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adjustRightInd w:val="0"/>
              <w:rPr>
                <w:rFonts w:ascii="宋体" w:hAnsi="宋体" w:cs="宋体"/>
                <w:sz w:val="21"/>
                <w:szCs w:val="21"/>
              </w:rPr>
            </w:pPr>
            <w:r>
              <w:rPr>
                <w:rFonts w:hint="eastAsia" w:ascii="宋体" w:hAnsi="宋体" w:cs="宋体"/>
                <w:sz w:val="21"/>
                <w:szCs w:val="21"/>
              </w:rPr>
              <w:t>1.规格：1.5m×2.0m（允差±5cm）；重量：≥1.5KG</w:t>
            </w:r>
          </w:p>
          <w:p>
            <w:pPr>
              <w:autoSpaceDE w:val="0"/>
              <w:autoSpaceDN w:val="0"/>
              <w:adjustRightInd w:val="0"/>
              <w:rPr>
                <w:rFonts w:ascii="宋体" w:hAnsi="宋体" w:cs="宋体"/>
                <w:sz w:val="21"/>
                <w:szCs w:val="21"/>
              </w:rPr>
            </w:pPr>
            <w:r>
              <w:rPr>
                <w:rFonts w:hint="eastAsia" w:ascii="宋体" w:hAnsi="宋体" w:cs="宋体"/>
                <w:sz w:val="21"/>
                <w:szCs w:val="21"/>
              </w:rPr>
              <w:t>2.等级：一等品；</w:t>
            </w:r>
          </w:p>
          <w:p>
            <w:pPr>
              <w:autoSpaceDE w:val="0"/>
              <w:autoSpaceDN w:val="0"/>
              <w:adjustRightInd w:val="0"/>
              <w:rPr>
                <w:rFonts w:ascii="宋体" w:hAnsi="宋体" w:cs="宋体"/>
                <w:sz w:val="21"/>
                <w:szCs w:val="21"/>
              </w:rPr>
            </w:pPr>
            <w:r>
              <w:rPr>
                <w:rFonts w:hint="eastAsia" w:ascii="宋体" w:hAnsi="宋体" w:cs="宋体"/>
                <w:sz w:val="21"/>
                <w:szCs w:val="21"/>
              </w:rPr>
              <w:t>3.材质：聚酯纤维</w:t>
            </w:r>
          </w:p>
          <w:p>
            <w:pPr>
              <w:autoSpaceDE w:val="0"/>
              <w:autoSpaceDN w:val="0"/>
              <w:adjustRightInd w:val="0"/>
              <w:rPr>
                <w:rFonts w:ascii="宋体" w:hAnsi="宋体" w:cs="宋体"/>
                <w:sz w:val="21"/>
                <w:szCs w:val="21"/>
              </w:rPr>
            </w:pPr>
            <w:r>
              <w:rPr>
                <w:rFonts w:hint="eastAsia" w:ascii="宋体" w:hAnsi="宋体" w:cs="宋体"/>
                <w:sz w:val="21"/>
                <w:szCs w:val="21"/>
              </w:rPr>
              <w:t>4.甲醛：≤75mg/kg</w:t>
            </w:r>
          </w:p>
          <w:p>
            <w:pPr>
              <w:autoSpaceDE w:val="0"/>
              <w:autoSpaceDN w:val="0"/>
              <w:adjustRightInd w:val="0"/>
              <w:rPr>
                <w:rFonts w:ascii="宋体" w:hAnsi="宋体" w:cs="宋体"/>
                <w:sz w:val="21"/>
                <w:szCs w:val="21"/>
              </w:rPr>
            </w:pPr>
            <w:r>
              <w:rPr>
                <w:rFonts w:hint="eastAsia" w:ascii="宋体" w:hAnsi="宋体" w:cs="宋体"/>
                <w:sz w:val="21"/>
                <w:szCs w:val="21"/>
              </w:rPr>
              <w:t>5.PH值:4.0-8.5</w:t>
            </w:r>
          </w:p>
          <w:p>
            <w:pPr>
              <w:autoSpaceDE w:val="0"/>
              <w:autoSpaceDN w:val="0"/>
              <w:adjustRightInd w:val="0"/>
              <w:rPr>
                <w:rFonts w:ascii="宋体" w:hAnsi="宋体" w:cs="宋体"/>
                <w:sz w:val="21"/>
                <w:szCs w:val="21"/>
              </w:rPr>
            </w:pPr>
            <w:r>
              <w:rPr>
                <w:rFonts w:hint="eastAsia" w:ascii="宋体" w:hAnsi="宋体" w:cs="宋体"/>
                <w:sz w:val="21"/>
                <w:szCs w:val="21"/>
              </w:rPr>
              <w:t>6.外形颜色：浅灰色、兰灰色</w:t>
            </w:r>
          </w:p>
          <w:p>
            <w:pPr>
              <w:autoSpaceDE w:val="0"/>
              <w:autoSpaceDN w:val="0"/>
              <w:adjustRightInd w:val="0"/>
              <w:rPr>
                <w:rFonts w:hint="eastAsia" w:ascii="宋体" w:hAnsi="宋体" w:eastAsia="宋体" w:cs="宋体"/>
                <w:color w:val="auto"/>
                <w:sz w:val="21"/>
                <w:szCs w:val="21"/>
              </w:rPr>
            </w:pPr>
            <w:r>
              <w:rPr>
                <w:rFonts w:hint="eastAsia" w:ascii="宋体" w:hAnsi="宋体" w:cs="宋体"/>
                <w:sz w:val="21"/>
                <w:szCs w:val="21"/>
              </w:rPr>
              <w:t>7.其它要求：无异味，手感柔软平整，质地细腻，不起球，不掉色，不过敏，吸湿性好；包装：单条手提袋包装</w:t>
            </w: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12300</w:t>
            </w:r>
          </w:p>
        </w:tc>
        <w:tc>
          <w:tcPr>
            <w:tcW w:w="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床</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eastAsia="宋体" w:cs="宋体"/>
                <w:color w:val="auto"/>
                <w:kern w:val="0"/>
                <w:sz w:val="21"/>
                <w:szCs w:val="21"/>
              </w:rPr>
            </w:pPr>
            <w:r>
              <w:rPr>
                <w:rFonts w:hint="eastAsia" w:ascii="宋体" w:hAnsi="宋体" w:cs="宋体"/>
                <w:sz w:val="21"/>
                <w:szCs w:val="21"/>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9"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秋冬运动休闲套装</w:t>
            </w:r>
          </w:p>
        </w:tc>
        <w:tc>
          <w:tcPr>
            <w:tcW w:w="63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rPr>
                <w:rFonts w:hint="eastAsia" w:ascii="宋体" w:hAnsi="宋体" w:cs="宋体"/>
                <w:sz w:val="21"/>
                <w:szCs w:val="21"/>
              </w:rPr>
            </w:pPr>
            <w:r>
              <w:rPr>
                <w:rFonts w:hint="eastAsia" w:ascii="宋体" w:hAnsi="宋体" w:cs="宋体"/>
                <w:sz w:val="21"/>
                <w:szCs w:val="21"/>
              </w:rPr>
              <w:t>1、规格：M\L\XL\XXL</w:t>
            </w:r>
          </w:p>
          <w:p>
            <w:pPr>
              <w:autoSpaceDE w:val="0"/>
              <w:autoSpaceDN w:val="0"/>
              <w:adjustRightInd w:val="0"/>
              <w:rPr>
                <w:rFonts w:hint="eastAsia" w:ascii="宋体" w:hAnsi="宋体" w:cs="宋体"/>
                <w:sz w:val="21"/>
                <w:szCs w:val="21"/>
              </w:rPr>
            </w:pPr>
            <w:r>
              <w:rPr>
                <w:rFonts w:hint="eastAsia" w:ascii="宋体" w:hAnsi="宋体" w:cs="宋体"/>
                <w:sz w:val="21"/>
                <w:szCs w:val="21"/>
              </w:rPr>
              <w:t>2、款式：上衣深蓝色衣袖兰色条纹，立领、尼龙拉链衣门襟，两个斜口袋衣尾和袖口为松紧带；下衣为松紧裤腰，两个口袋</w:t>
            </w:r>
          </w:p>
          <w:p>
            <w:pPr>
              <w:autoSpaceDE w:val="0"/>
              <w:autoSpaceDN w:val="0"/>
              <w:adjustRightInd w:val="0"/>
              <w:rPr>
                <w:rFonts w:hint="eastAsia" w:ascii="宋体" w:hAnsi="宋体" w:cs="宋体"/>
                <w:sz w:val="21"/>
                <w:szCs w:val="21"/>
              </w:rPr>
            </w:pPr>
            <w:r>
              <w:rPr>
                <w:rFonts w:hint="eastAsia" w:ascii="宋体" w:hAnsi="宋体" w:cs="宋体"/>
                <w:sz w:val="21"/>
                <w:szCs w:val="21"/>
              </w:rPr>
              <w:t>3、产品等级：一等品</w:t>
            </w:r>
          </w:p>
          <w:p>
            <w:pPr>
              <w:autoSpaceDE w:val="0"/>
              <w:autoSpaceDN w:val="0"/>
              <w:adjustRightInd w:val="0"/>
              <w:rPr>
                <w:rFonts w:hint="eastAsia" w:ascii="宋体" w:hAnsi="宋体" w:cs="宋体"/>
                <w:sz w:val="21"/>
                <w:szCs w:val="21"/>
              </w:rPr>
            </w:pPr>
            <w:r>
              <w:rPr>
                <w:rFonts w:hint="eastAsia" w:ascii="宋体" w:hAnsi="宋体" w:cs="宋体"/>
                <w:sz w:val="21"/>
                <w:szCs w:val="21"/>
              </w:rPr>
              <w:t>4、材质：①面料：棉85%(允差±2%)、聚酯纤维12%(允差±2%)、氨纶3%（±2%）、单位面积公定质量≥380g/㎡，②里料：聚酯纤维100%。</w:t>
            </w:r>
          </w:p>
          <w:p>
            <w:pPr>
              <w:autoSpaceDE w:val="0"/>
              <w:autoSpaceDN w:val="0"/>
              <w:adjustRightInd w:val="0"/>
              <w:rPr>
                <w:rFonts w:hint="eastAsia" w:ascii="宋体" w:hAnsi="宋体" w:cs="宋体"/>
                <w:sz w:val="21"/>
                <w:szCs w:val="21"/>
              </w:rPr>
            </w:pPr>
            <w:r>
              <w:rPr>
                <w:rFonts w:hint="eastAsia" w:ascii="宋体" w:hAnsi="宋体" w:cs="宋体"/>
                <w:sz w:val="21"/>
                <w:szCs w:val="21"/>
              </w:rPr>
              <w:t>5、断裂强力：经向≥450N,纬向≥350N</w:t>
            </w:r>
          </w:p>
          <w:p>
            <w:pPr>
              <w:autoSpaceDE w:val="0"/>
              <w:autoSpaceDN w:val="0"/>
              <w:adjustRightInd w:val="0"/>
              <w:rPr>
                <w:rFonts w:hint="eastAsia" w:ascii="宋体" w:hAnsi="宋体" w:cs="宋体"/>
                <w:sz w:val="21"/>
                <w:szCs w:val="21"/>
              </w:rPr>
            </w:pPr>
            <w:r>
              <w:rPr>
                <w:rFonts w:hint="eastAsia" w:ascii="宋体" w:hAnsi="宋体" w:cs="宋体"/>
                <w:sz w:val="21"/>
                <w:szCs w:val="21"/>
              </w:rPr>
              <w:t>6、可分解致癌芳香胺染料：未检出</w:t>
            </w:r>
          </w:p>
          <w:p>
            <w:pPr>
              <w:autoSpaceDE w:val="0"/>
              <w:autoSpaceDN w:val="0"/>
              <w:adjustRightInd w:val="0"/>
              <w:rPr>
                <w:rFonts w:hint="eastAsia" w:ascii="宋体" w:hAnsi="宋体" w:cs="宋体"/>
                <w:sz w:val="21"/>
                <w:szCs w:val="21"/>
              </w:rPr>
            </w:pPr>
            <w:r>
              <w:rPr>
                <w:rFonts w:hint="eastAsia" w:ascii="宋体" w:hAnsi="宋体" w:cs="宋体"/>
                <w:sz w:val="21"/>
                <w:szCs w:val="21"/>
              </w:rPr>
              <w:t>7、甲醛≤75mg/Kg</w:t>
            </w:r>
          </w:p>
          <w:p>
            <w:pPr>
              <w:autoSpaceDE w:val="0"/>
              <w:autoSpaceDN w:val="0"/>
              <w:adjustRightInd w:val="0"/>
              <w:rPr>
                <w:rFonts w:hint="eastAsia" w:ascii="宋体" w:hAnsi="宋体" w:cs="宋体"/>
                <w:sz w:val="21"/>
                <w:szCs w:val="21"/>
              </w:rPr>
            </w:pPr>
            <w:r>
              <w:rPr>
                <w:rFonts w:hint="eastAsia" w:ascii="宋体" w:hAnsi="宋体" w:cs="宋体"/>
                <w:sz w:val="21"/>
                <w:szCs w:val="21"/>
              </w:rPr>
              <w:t>8、PH值：4.0~8.5</w:t>
            </w:r>
          </w:p>
          <w:p>
            <w:pPr>
              <w:autoSpaceDE w:val="0"/>
              <w:autoSpaceDN w:val="0"/>
              <w:adjustRightInd w:val="0"/>
              <w:rPr>
                <w:rFonts w:hint="eastAsia" w:ascii="宋体" w:hAnsi="宋体" w:cs="宋体"/>
                <w:sz w:val="21"/>
                <w:szCs w:val="21"/>
              </w:rPr>
            </w:pPr>
            <w:r>
              <w:rPr>
                <w:rFonts w:hint="eastAsia" w:ascii="宋体" w:hAnsi="宋体" w:cs="宋体"/>
                <w:sz w:val="21"/>
                <w:szCs w:val="21"/>
              </w:rPr>
              <w:t>9、加工工艺：要求工艺制作精细、无脱线、无漏线，缝纫针距：明、暗线针距不少于12针/3cm；包缝线针距不少于9针/3cm；绗线针距不少于9针/3cm</w:t>
            </w:r>
          </w:p>
          <w:p>
            <w:pPr>
              <w:autoSpaceDE w:val="0"/>
              <w:autoSpaceDN w:val="0"/>
              <w:adjustRightInd w:val="0"/>
              <w:rPr>
                <w:rFonts w:hint="eastAsia" w:ascii="宋体" w:hAnsi="宋体" w:cs="宋体"/>
                <w:sz w:val="21"/>
                <w:szCs w:val="21"/>
              </w:rPr>
            </w:pPr>
            <w:r>
              <w:rPr>
                <w:rFonts w:hint="eastAsia" w:ascii="宋体" w:hAnsi="宋体" w:cs="宋体"/>
                <w:sz w:val="21"/>
                <w:szCs w:val="21"/>
              </w:rPr>
              <w:t>10、包装：每套独立的包装袋包装</w:t>
            </w:r>
          </w:p>
          <w:p>
            <w:pPr>
              <w:autoSpaceDE w:val="0"/>
              <w:autoSpaceDN w:val="0"/>
              <w:adjustRightInd w:val="0"/>
              <w:rPr>
                <w:rFonts w:hint="eastAsia" w:ascii="宋体" w:hAnsi="宋体" w:cs="宋体"/>
                <w:sz w:val="21"/>
                <w:szCs w:val="21"/>
              </w:rPr>
            </w:pPr>
            <w:r>
              <w:rPr>
                <w:rFonts w:hint="eastAsia" w:ascii="宋体" w:hAnsi="宋体" w:cs="宋体"/>
                <w:sz w:val="21"/>
                <w:szCs w:val="21"/>
              </w:rPr>
              <w:t>11、投标时提供样品一套</w:t>
            </w:r>
          </w:p>
          <w:p>
            <w:pPr>
              <w:autoSpaceDE w:val="0"/>
              <w:autoSpaceDN w:val="0"/>
              <w:adjustRightInd w:val="0"/>
              <w:rPr>
                <w:rFonts w:hint="eastAsia" w:ascii="宋体" w:hAnsi="宋体" w:cs="宋体"/>
                <w:sz w:val="21"/>
                <w:szCs w:val="21"/>
              </w:rPr>
            </w:pPr>
            <w:r>
              <w:rPr>
                <w:rFonts w:hint="eastAsia" w:ascii="宋体" w:hAnsi="宋体" w:cs="宋体"/>
                <w:b/>
                <w:bCs/>
                <w:sz w:val="21"/>
                <w:szCs w:val="21"/>
              </w:rPr>
              <w:t>★12、投标时</w:t>
            </w:r>
            <w:r>
              <w:rPr>
                <w:rFonts w:hint="eastAsia" w:ascii="宋体" w:hAnsi="宋体" w:cs="宋体"/>
                <w:b/>
                <w:bCs/>
                <w:sz w:val="21"/>
                <w:szCs w:val="21"/>
                <w:lang w:eastAsia="zh-CN"/>
              </w:rPr>
              <w:t>必须</w:t>
            </w:r>
            <w:r>
              <w:rPr>
                <w:rFonts w:hint="eastAsia" w:ascii="宋体" w:hAnsi="宋体" w:cs="宋体"/>
                <w:b/>
                <w:bCs/>
                <w:sz w:val="21"/>
                <w:szCs w:val="21"/>
              </w:rPr>
              <w:t>提供</w:t>
            </w:r>
            <w:r>
              <w:rPr>
                <w:rFonts w:hint="eastAsia" w:ascii="宋体" w:hAnsi="宋体" w:cs="宋体"/>
                <w:b/>
                <w:bCs/>
                <w:sz w:val="21"/>
                <w:szCs w:val="21"/>
                <w:lang w:eastAsia="zh-CN"/>
              </w:rPr>
              <w:t>所投产品</w:t>
            </w:r>
            <w:r>
              <w:rPr>
                <w:rFonts w:hint="eastAsia" w:ascii="宋体" w:hAnsi="宋体" w:cs="宋体"/>
                <w:b/>
                <w:bCs/>
                <w:sz w:val="21"/>
                <w:szCs w:val="21"/>
              </w:rPr>
              <w:t>由</w:t>
            </w:r>
            <w:r>
              <w:rPr>
                <w:rFonts w:hint="eastAsia" w:ascii="宋体" w:hAnsi="宋体" w:cs="宋体"/>
                <w:b/>
                <w:bCs/>
                <w:sz w:val="21"/>
                <w:szCs w:val="21"/>
                <w:lang w:eastAsia="zh-CN"/>
              </w:rPr>
              <w:t>有资质的</w:t>
            </w:r>
            <w:r>
              <w:rPr>
                <w:rFonts w:hint="eastAsia" w:ascii="宋体" w:hAnsi="宋体" w:cs="宋体"/>
                <w:b/>
                <w:bCs/>
                <w:sz w:val="21"/>
                <w:szCs w:val="21"/>
              </w:rPr>
              <w:t>第三方</w:t>
            </w:r>
            <w:r>
              <w:rPr>
                <w:rFonts w:hint="eastAsia" w:ascii="宋体" w:hAnsi="宋体" w:cs="宋体"/>
                <w:b/>
                <w:bCs/>
                <w:sz w:val="21"/>
                <w:szCs w:val="21"/>
                <w:lang w:eastAsia="zh-CN"/>
              </w:rPr>
              <w:t>检测</w:t>
            </w:r>
            <w:r>
              <w:rPr>
                <w:rFonts w:hint="eastAsia" w:ascii="宋体" w:hAnsi="宋体" w:cs="宋体"/>
                <w:b/>
                <w:bCs/>
                <w:sz w:val="21"/>
                <w:szCs w:val="21"/>
              </w:rPr>
              <w:t>机构出具的有效</w:t>
            </w:r>
            <w:r>
              <w:rPr>
                <w:rFonts w:hint="eastAsia" w:ascii="宋体" w:hAnsi="宋体" w:cs="宋体"/>
                <w:b/>
                <w:bCs/>
                <w:sz w:val="21"/>
                <w:szCs w:val="21"/>
                <w:lang w:eastAsia="zh-CN"/>
              </w:rPr>
              <w:t>检测</w:t>
            </w:r>
            <w:r>
              <w:rPr>
                <w:rFonts w:hint="eastAsia" w:ascii="宋体" w:hAnsi="宋体" w:cs="宋体"/>
                <w:b/>
                <w:bCs/>
                <w:sz w:val="21"/>
                <w:szCs w:val="21"/>
              </w:rPr>
              <w:t>报告复印件，</w:t>
            </w:r>
            <w:r>
              <w:rPr>
                <w:rFonts w:hint="eastAsia" w:ascii="宋体" w:hAnsi="宋体" w:cs="宋体"/>
                <w:b/>
                <w:bCs/>
                <w:sz w:val="21"/>
                <w:szCs w:val="21"/>
                <w:lang w:eastAsia="zh-CN"/>
              </w:rPr>
              <w:t>检测</w:t>
            </w:r>
            <w:r>
              <w:rPr>
                <w:rFonts w:hint="eastAsia" w:ascii="宋体" w:hAnsi="宋体" w:cs="宋体"/>
                <w:b/>
                <w:bCs/>
                <w:sz w:val="21"/>
                <w:szCs w:val="21"/>
              </w:rPr>
              <w:t>内容必须满足第4-8条参数要求。否则投标无效。</w:t>
            </w: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12300</w:t>
            </w:r>
          </w:p>
        </w:tc>
        <w:tc>
          <w:tcPr>
            <w:tcW w:w="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eastAsia="宋体" w:cs="宋体"/>
                <w:color w:val="auto"/>
                <w:kern w:val="0"/>
                <w:sz w:val="21"/>
                <w:szCs w:val="21"/>
              </w:rPr>
            </w:pPr>
            <w:r>
              <w:rPr>
                <w:rFonts w:hint="eastAsia" w:ascii="宋体" w:hAnsi="宋体" w:cs="宋体"/>
                <w:sz w:val="21"/>
                <w:szCs w:val="21"/>
              </w:rPr>
              <w:t>180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解放鞋</w:t>
            </w:r>
          </w:p>
        </w:tc>
        <w:tc>
          <w:tcPr>
            <w:tcW w:w="63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rPr>
                <w:rFonts w:ascii="宋体" w:hAnsi="宋体" w:cs="宋体"/>
                <w:sz w:val="21"/>
                <w:szCs w:val="21"/>
              </w:rPr>
            </w:pPr>
            <w:r>
              <w:rPr>
                <w:rFonts w:hint="eastAsia" w:ascii="宋体" w:hAnsi="宋体" w:cs="宋体"/>
                <w:sz w:val="21"/>
                <w:szCs w:val="21"/>
              </w:rPr>
              <w:t>1、帮面材质：涤纶长丝单层布，内里：本色高强里布，鞋底：天然橡胶；</w:t>
            </w:r>
          </w:p>
          <w:p>
            <w:pPr>
              <w:autoSpaceDE w:val="0"/>
              <w:autoSpaceDN w:val="0"/>
              <w:adjustRightInd w:val="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w:t>
            </w:r>
            <w:r>
              <w:rPr>
                <w:rFonts w:hint="eastAsia" w:ascii="宋体" w:hAnsi="宋体" w:cs="宋体"/>
                <w:sz w:val="21"/>
                <w:szCs w:val="21"/>
              </w:rPr>
              <w:t>尺码：35-44低帮；颜色：迷彩；</w:t>
            </w:r>
          </w:p>
          <w:p>
            <w:pPr>
              <w:autoSpaceDE w:val="0"/>
              <w:autoSpaceDN w:val="0"/>
              <w:adjustRightInd w:val="0"/>
              <w:rPr>
                <w:rFonts w:ascii="宋体" w:hAnsi="宋体" w:cs="宋体"/>
                <w:sz w:val="21"/>
                <w:szCs w:val="21"/>
              </w:rPr>
            </w:pPr>
            <w:r>
              <w:rPr>
                <w:rFonts w:hint="eastAsia" w:ascii="宋体" w:hAnsi="宋体" w:cs="宋体"/>
                <w:sz w:val="21"/>
                <w:szCs w:val="21"/>
              </w:rPr>
              <w:t>3</w:t>
            </w:r>
            <w:r>
              <w:rPr>
                <w:rFonts w:hint="eastAsia" w:ascii="宋体" w:hAnsi="宋体" w:cs="宋体"/>
                <w:sz w:val="21"/>
                <w:szCs w:val="21"/>
                <w:lang w:val="en-US" w:eastAsia="zh-CN"/>
              </w:rPr>
              <w:t>、</w:t>
            </w:r>
            <w:r>
              <w:rPr>
                <w:rFonts w:hint="eastAsia" w:ascii="宋体" w:hAnsi="宋体" w:cs="宋体"/>
                <w:sz w:val="21"/>
                <w:szCs w:val="21"/>
              </w:rPr>
              <w:t>防滑耐磨大底，吸附力、抓地力、回弹力和扩张力高，韧性好，具有良好的防震，缓冲性能、防滑性能佳；帮面采用涤纶长丝材质，透气舒适、耐穿、不易变形；鞋头天然橡胶护胶围条加固鞋头，防撞防踢；</w:t>
            </w:r>
          </w:p>
          <w:p>
            <w:pPr>
              <w:pStyle w:val="23"/>
              <w:ind w:left="0" w:leftChars="0" w:right="72" w:rightChars="30" w:firstLine="0" w:firstLineChars="0"/>
              <w:jc w:val="left"/>
              <w:rPr>
                <w:rFonts w:hint="eastAsia" w:ascii="宋体" w:hAnsi="宋体" w:eastAsia="宋体" w:cs="宋体"/>
                <w:color w:val="auto"/>
                <w:sz w:val="21"/>
                <w:szCs w:val="21"/>
              </w:rPr>
            </w:pPr>
            <w:r>
              <w:rPr>
                <w:rFonts w:hint="eastAsia" w:ascii="宋体" w:hAnsi="宋体" w:cs="宋体"/>
                <w:kern w:val="0"/>
                <w:szCs w:val="21"/>
              </w:rPr>
              <w:t>4、有效保护脚趾安全，地表浅水防渗透能力好。</w:t>
            </w: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1300</w:t>
            </w:r>
          </w:p>
        </w:tc>
        <w:tc>
          <w:tcPr>
            <w:tcW w:w="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双</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eastAsia="宋体" w:cs="宋体"/>
                <w:color w:val="auto"/>
                <w:kern w:val="0"/>
                <w:sz w:val="21"/>
                <w:szCs w:val="21"/>
              </w:rPr>
            </w:pPr>
            <w:r>
              <w:rPr>
                <w:rFonts w:hint="eastAsia" w:ascii="宋体" w:hAnsi="宋体" w:cs="宋体"/>
                <w:sz w:val="21"/>
                <w:szCs w:val="21"/>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军大衣</w:t>
            </w:r>
          </w:p>
        </w:tc>
        <w:tc>
          <w:tcPr>
            <w:tcW w:w="63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rPr>
                <w:rFonts w:ascii="宋体" w:hAnsi="宋体" w:cs="宋体"/>
                <w:sz w:val="21"/>
                <w:szCs w:val="21"/>
              </w:rPr>
            </w:pPr>
            <w:r>
              <w:rPr>
                <w:rFonts w:hint="eastAsia" w:ascii="宋体" w:hAnsi="宋体" w:cs="宋体"/>
                <w:sz w:val="21"/>
                <w:szCs w:val="21"/>
              </w:rPr>
              <w:t>1、尺寸：大、中、小；</w:t>
            </w:r>
          </w:p>
          <w:p>
            <w:pPr>
              <w:adjustRightInd w:val="0"/>
              <w:snapToGrid w:val="0"/>
              <w:rPr>
                <w:rFonts w:ascii="宋体" w:hAnsi="宋体" w:cs="宋体"/>
                <w:sz w:val="21"/>
                <w:szCs w:val="21"/>
              </w:rPr>
            </w:pPr>
            <w:r>
              <w:rPr>
                <w:rFonts w:hint="eastAsia" w:ascii="宋体" w:hAnsi="宋体" w:cs="宋体"/>
                <w:sz w:val="21"/>
                <w:szCs w:val="21"/>
              </w:rPr>
              <w:t>2、产品面料为军绿色涤棉卡其布，成分：棉20%（±3%），涤80%（±3%），单位面积净干质量：185g/㎡±5g/㎡；</w:t>
            </w:r>
          </w:p>
          <w:p>
            <w:pPr>
              <w:adjustRightInd w:val="0"/>
              <w:snapToGrid w:val="0"/>
              <w:rPr>
                <w:rFonts w:ascii="宋体" w:hAnsi="宋体" w:cs="宋体"/>
                <w:sz w:val="21"/>
                <w:szCs w:val="21"/>
              </w:rPr>
            </w:pPr>
            <w:r>
              <w:rPr>
                <w:rFonts w:hint="eastAsia" w:ascii="宋体" w:hAnsi="宋体" w:cs="宋体"/>
                <w:sz w:val="21"/>
                <w:szCs w:val="21"/>
              </w:rPr>
              <w:t>3、里料成分：棉100%</w:t>
            </w:r>
          </w:p>
          <w:p>
            <w:pPr>
              <w:ind w:right="72" w:firstLine="210"/>
            </w:pPr>
            <w:r>
              <w:rPr>
                <w:rFonts w:hint="eastAsia" w:ascii="宋体" w:hAnsi="宋体" w:cs="宋体"/>
                <w:sz w:val="21"/>
                <w:szCs w:val="21"/>
              </w:rPr>
              <w:t>填充物：98%棉</w:t>
            </w:r>
          </w:p>
          <w:p>
            <w:pPr>
              <w:rPr>
                <w:rFonts w:ascii="宋体" w:hAnsi="宋体" w:cs="宋体"/>
                <w:sz w:val="21"/>
                <w:szCs w:val="21"/>
              </w:rPr>
            </w:pPr>
            <w:r>
              <w:rPr>
                <w:rFonts w:hint="eastAsia" w:ascii="宋体" w:hAnsi="宋体" w:cs="宋体"/>
                <w:sz w:val="21"/>
                <w:szCs w:val="21"/>
              </w:rPr>
              <w:t>4、重量：≥2.5kg；</w:t>
            </w:r>
          </w:p>
          <w:p>
            <w:pPr>
              <w:rPr>
                <w:rFonts w:ascii="宋体" w:hAnsi="宋体" w:cs="宋体"/>
                <w:sz w:val="21"/>
                <w:szCs w:val="21"/>
              </w:rPr>
            </w:pPr>
            <w:r>
              <w:rPr>
                <w:rFonts w:hint="eastAsia" w:ascii="宋体" w:hAnsi="宋体" w:cs="宋体"/>
                <w:sz w:val="21"/>
                <w:szCs w:val="21"/>
              </w:rPr>
              <w:t>5、毛领材质：采用咖啡色涤纶人造毛绒，保暖性强、舒适度高；</w:t>
            </w:r>
          </w:p>
          <w:p>
            <w:pPr>
              <w:rPr>
                <w:rFonts w:hint="eastAsia" w:ascii="宋体" w:hAnsi="宋体" w:eastAsia="宋体" w:cs="宋体"/>
                <w:color w:val="auto"/>
                <w:kern w:val="0"/>
                <w:sz w:val="21"/>
                <w:szCs w:val="21"/>
                <w:lang w:eastAsia="zh-CN"/>
              </w:rPr>
            </w:pPr>
            <w:r>
              <w:rPr>
                <w:rFonts w:hint="eastAsia" w:ascii="宋体" w:hAnsi="宋体" w:cs="宋体"/>
                <w:sz w:val="21"/>
                <w:szCs w:val="21"/>
                <w:lang w:val="en-US" w:eastAsia="zh-CN"/>
              </w:rPr>
              <w:t>6</w:t>
            </w:r>
            <w:r>
              <w:rPr>
                <w:rFonts w:hint="eastAsia" w:ascii="宋体" w:hAnsi="宋体" w:cs="宋体"/>
                <w:sz w:val="21"/>
                <w:szCs w:val="21"/>
              </w:rPr>
              <w:t>、缝制质量要求产品整洁、平服，缝纫线路顺直，距边宽窄一致，左右对称，定位准确，结合牢固，松紧适宜；各缝制部位应缝制牢固，不得有开线、断线、下炕位等缺陷；</w:t>
            </w: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200</w:t>
            </w:r>
          </w:p>
        </w:tc>
        <w:tc>
          <w:tcPr>
            <w:tcW w:w="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件</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eastAsia="宋体" w:cs="宋体"/>
                <w:color w:val="auto"/>
                <w:sz w:val="21"/>
                <w:szCs w:val="21"/>
              </w:rPr>
            </w:pPr>
            <w:r>
              <w:rPr>
                <w:rFonts w:hint="eastAsia" w:ascii="宋体" w:hAnsi="宋体" w:cs="宋体"/>
                <w:sz w:val="21"/>
                <w:szCs w:val="21"/>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夹克</w:t>
            </w:r>
          </w:p>
        </w:tc>
        <w:tc>
          <w:tcPr>
            <w:tcW w:w="63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3"/>
              <w:spacing w:line="240" w:lineRule="exact"/>
              <w:ind w:left="0" w:leftChars="0" w:right="72" w:firstLine="0" w:firstLineChars="0"/>
              <w:rPr>
                <w:rFonts w:ascii="宋体" w:hAnsi="宋体" w:cs="宋体"/>
                <w:szCs w:val="21"/>
              </w:rPr>
            </w:pPr>
            <w:r>
              <w:rPr>
                <w:rFonts w:hint="eastAsia" w:ascii="宋体" w:hAnsi="宋体" w:cs="宋体"/>
                <w:szCs w:val="21"/>
              </w:rPr>
              <w:t>主要成分：聚酯纤维100%</w:t>
            </w:r>
          </w:p>
          <w:p>
            <w:pPr>
              <w:pStyle w:val="23"/>
              <w:spacing w:line="240" w:lineRule="exact"/>
              <w:ind w:left="0" w:leftChars="0" w:right="72" w:firstLine="0" w:firstLineChars="0"/>
              <w:rPr>
                <w:rFonts w:ascii="宋体" w:hAnsi="宋体" w:cs="宋体"/>
                <w:szCs w:val="21"/>
              </w:rPr>
            </w:pPr>
            <w:r>
              <w:rPr>
                <w:rFonts w:hint="eastAsia" w:ascii="宋体" w:hAnsi="宋体" w:cs="宋体"/>
                <w:szCs w:val="21"/>
              </w:rPr>
              <w:t>领型：翻领</w:t>
            </w:r>
          </w:p>
          <w:p>
            <w:pPr>
              <w:pStyle w:val="23"/>
              <w:spacing w:line="240" w:lineRule="exact"/>
              <w:ind w:left="0" w:leftChars="0" w:right="72" w:firstLine="0" w:firstLineChars="0"/>
              <w:rPr>
                <w:rFonts w:ascii="宋体" w:hAnsi="宋体" w:cs="宋体"/>
                <w:szCs w:val="21"/>
              </w:rPr>
            </w:pPr>
            <w:r>
              <w:rPr>
                <w:rFonts w:hint="eastAsia" w:ascii="宋体" w:hAnsi="宋体" w:cs="宋体"/>
                <w:szCs w:val="21"/>
              </w:rPr>
              <w:t>版型：宽松版</w:t>
            </w:r>
          </w:p>
          <w:p>
            <w:pPr>
              <w:pStyle w:val="23"/>
              <w:spacing w:line="240" w:lineRule="exact"/>
              <w:ind w:left="0" w:leftChars="0" w:right="72" w:firstLine="0" w:firstLineChars="0"/>
              <w:rPr>
                <w:rFonts w:ascii="宋体" w:hAnsi="宋体" w:cs="宋体"/>
                <w:szCs w:val="21"/>
              </w:rPr>
            </w:pPr>
            <w:r>
              <w:rPr>
                <w:rFonts w:hint="eastAsia" w:ascii="宋体" w:hAnsi="宋体" w:cs="宋体"/>
                <w:szCs w:val="21"/>
              </w:rPr>
              <w:t>门襟：拉链</w:t>
            </w:r>
          </w:p>
          <w:p>
            <w:pPr>
              <w:pStyle w:val="23"/>
              <w:spacing w:line="240" w:lineRule="exact"/>
              <w:ind w:left="0" w:leftChars="0" w:right="72" w:firstLine="0" w:firstLineChars="0"/>
              <w:rPr>
                <w:rFonts w:ascii="宋体" w:hAnsi="宋体" w:cs="宋体"/>
                <w:szCs w:val="21"/>
              </w:rPr>
            </w:pPr>
            <w:r>
              <w:rPr>
                <w:rFonts w:hint="eastAsia" w:ascii="宋体" w:hAnsi="宋体" w:cs="宋体"/>
                <w:szCs w:val="21"/>
              </w:rPr>
              <w:t xml:space="preserve">薄厚：加厚 加绒 加棉 </w:t>
            </w:r>
          </w:p>
          <w:p>
            <w:pPr>
              <w:pStyle w:val="23"/>
              <w:spacing w:line="240" w:lineRule="exact"/>
              <w:ind w:left="0" w:leftChars="0" w:right="72" w:firstLine="0" w:firstLineChars="0"/>
              <w:rPr>
                <w:rFonts w:ascii="宋体" w:hAnsi="宋体" w:cs="宋体"/>
                <w:szCs w:val="21"/>
              </w:rPr>
            </w:pPr>
            <w:r>
              <w:rPr>
                <w:rFonts w:hint="eastAsia" w:ascii="宋体" w:hAnsi="宋体" w:cs="宋体"/>
                <w:szCs w:val="21"/>
              </w:rPr>
              <w:t xml:space="preserve">图案：纯色 </w:t>
            </w:r>
          </w:p>
          <w:p>
            <w:pPr>
              <w:pStyle w:val="23"/>
              <w:spacing w:line="240" w:lineRule="exact"/>
              <w:ind w:left="0" w:leftChars="0" w:right="72" w:firstLine="0" w:firstLineChars="0"/>
              <w:rPr>
                <w:rFonts w:ascii="宋体" w:hAnsi="宋体" w:cs="宋体"/>
                <w:szCs w:val="21"/>
              </w:rPr>
            </w:pPr>
            <w:r>
              <w:rPr>
                <w:rFonts w:hint="eastAsia" w:ascii="宋体" w:hAnsi="宋体" w:cs="宋体"/>
                <w:szCs w:val="21"/>
              </w:rPr>
              <w:t xml:space="preserve">服装下摆设计：圆下摆 </w:t>
            </w:r>
          </w:p>
          <w:p>
            <w:pPr>
              <w:pStyle w:val="23"/>
              <w:spacing w:line="240" w:lineRule="exact"/>
              <w:ind w:left="0" w:leftChars="0" w:right="72" w:firstLine="0" w:firstLineChars="0"/>
              <w:jc w:val="left"/>
              <w:rPr>
                <w:rFonts w:ascii="宋体" w:hAnsi="宋体" w:cs="宋体"/>
                <w:szCs w:val="21"/>
              </w:rPr>
            </w:pPr>
            <w:r>
              <w:rPr>
                <w:rFonts w:hint="eastAsia" w:ascii="宋体" w:hAnsi="宋体" w:cs="宋体"/>
                <w:szCs w:val="21"/>
              </w:rPr>
              <w:t>颜色：黑色 深蓝色</w:t>
            </w:r>
          </w:p>
          <w:p>
            <w:pPr>
              <w:pStyle w:val="23"/>
              <w:spacing w:line="240" w:lineRule="exact"/>
              <w:ind w:left="0" w:leftChars="0" w:right="72" w:firstLine="0" w:firstLineChars="0"/>
              <w:jc w:val="left"/>
              <w:rPr>
                <w:rFonts w:ascii="宋体" w:hAnsi="宋体" w:cs="宋体"/>
                <w:szCs w:val="21"/>
              </w:rPr>
            </w:pPr>
            <w:r>
              <w:rPr>
                <w:rFonts w:hint="eastAsia" w:ascii="宋体" w:hAnsi="宋体" w:cs="宋体"/>
                <w:szCs w:val="21"/>
              </w:rPr>
              <w:t>规格：M\L\XL\XXL。</w:t>
            </w:r>
          </w:p>
          <w:p>
            <w:pPr>
              <w:pStyle w:val="23"/>
              <w:spacing w:line="240" w:lineRule="exact"/>
              <w:ind w:left="0" w:leftChars="0" w:right="72" w:rightChars="30" w:firstLine="0" w:firstLineChars="0"/>
              <w:jc w:val="left"/>
              <w:rPr>
                <w:rFonts w:hint="eastAsia" w:ascii="宋体" w:hAnsi="宋体" w:eastAsia="宋体" w:cs="宋体"/>
                <w:color w:val="auto"/>
                <w:sz w:val="21"/>
                <w:szCs w:val="21"/>
                <w:lang w:eastAsia="zh-CN"/>
              </w:rPr>
            </w:pPr>
            <w:r>
              <w:rPr>
                <w:rFonts w:hint="eastAsia" w:ascii="宋体" w:hAnsi="宋体" w:cs="宋体"/>
                <w:szCs w:val="21"/>
              </w:rPr>
              <w:t>版型：直筒 翻领 拉链 不连帽</w:t>
            </w: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200</w:t>
            </w:r>
          </w:p>
        </w:tc>
        <w:tc>
          <w:tcPr>
            <w:tcW w:w="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件</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eastAsia="宋体" w:cs="宋体"/>
                <w:color w:val="auto"/>
                <w:sz w:val="21"/>
                <w:szCs w:val="21"/>
              </w:rPr>
            </w:pPr>
            <w:r>
              <w:rPr>
                <w:rFonts w:hint="eastAsia" w:ascii="宋体" w:hAnsi="宋体" w:cs="宋体"/>
                <w:sz w:val="21"/>
                <w:szCs w:val="21"/>
              </w:rPr>
              <w:t>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6"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sz w:val="21"/>
                <w:szCs w:val="21"/>
              </w:rPr>
            </w:pPr>
            <w:r>
              <w:rPr>
                <w:rFonts w:hint="eastAsia" w:ascii="宋体" w:hAnsi="宋体" w:cs="宋体"/>
                <w:color w:val="auto"/>
                <w:sz w:val="21"/>
                <w:szCs w:val="21"/>
                <w:lang w:eastAsia="zh-CN"/>
              </w:rPr>
              <w:t>冬</w:t>
            </w:r>
            <w:r>
              <w:rPr>
                <w:rFonts w:hint="eastAsia" w:ascii="宋体" w:hAnsi="宋体" w:eastAsia="宋体" w:cs="宋体"/>
                <w:color w:val="auto"/>
                <w:sz w:val="21"/>
                <w:szCs w:val="21"/>
              </w:rPr>
              <w:t>裤</w:t>
            </w:r>
          </w:p>
        </w:tc>
        <w:tc>
          <w:tcPr>
            <w:tcW w:w="63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3"/>
              <w:numPr>
                <w:ilvl w:val="0"/>
                <w:numId w:val="0"/>
              </w:numPr>
              <w:ind w:leftChars="0" w:right="72" w:rightChars="30"/>
              <w:jc w:val="left"/>
              <w:rPr>
                <w:rFonts w:hint="eastAsia" w:ascii="宋体" w:hAnsi="宋体" w:cs="宋体"/>
                <w:szCs w:val="21"/>
                <w:lang w:val="en-US" w:eastAsia="zh-CN"/>
              </w:rPr>
            </w:pPr>
            <w:r>
              <w:rPr>
                <w:rFonts w:hint="eastAsia" w:ascii="宋体" w:hAnsi="宋体" w:cs="宋体"/>
                <w:szCs w:val="21"/>
                <w:lang w:val="en-US" w:eastAsia="zh-CN"/>
              </w:rPr>
              <w:t>1.里料：聚酯纤维。</w:t>
            </w:r>
            <w:r>
              <w:rPr>
                <w:rFonts w:hint="eastAsia" w:ascii="宋体" w:hAnsi="宋体" w:cs="宋体"/>
                <w:szCs w:val="21"/>
                <w:lang w:val="en-US" w:eastAsia="zh-CN"/>
              </w:rPr>
              <w:br w:type="textWrapping"/>
            </w:r>
            <w:r>
              <w:rPr>
                <w:rFonts w:hint="eastAsia" w:ascii="宋体" w:hAnsi="宋体" w:cs="宋体"/>
                <w:szCs w:val="21"/>
                <w:lang w:val="en-US" w:eastAsia="zh-CN"/>
              </w:rPr>
              <w:t>2.面料：95%聚酯纤维（涤纶）</w:t>
            </w:r>
            <w:r>
              <w:rPr>
                <w:rFonts w:hint="eastAsia" w:ascii="宋体" w:hAnsi="宋体" w:cs="宋体"/>
                <w:szCs w:val="21"/>
                <w:lang w:val="en-US" w:eastAsia="zh-CN"/>
              </w:rPr>
              <w:br w:type="textWrapping"/>
            </w:r>
            <w:r>
              <w:rPr>
                <w:rFonts w:hint="eastAsia" w:ascii="宋体" w:hAnsi="宋体" w:cs="宋体"/>
                <w:szCs w:val="21"/>
                <w:lang w:val="en-US" w:eastAsia="zh-CN"/>
              </w:rPr>
              <w:t>3.适用性别：中性/男女均可。</w:t>
            </w:r>
            <w:r>
              <w:rPr>
                <w:rFonts w:hint="eastAsia" w:ascii="宋体" w:hAnsi="宋体" w:cs="宋体"/>
                <w:szCs w:val="21"/>
                <w:lang w:val="en-US" w:eastAsia="zh-CN"/>
              </w:rPr>
              <w:br w:type="textWrapping"/>
            </w:r>
            <w:r>
              <w:rPr>
                <w:rFonts w:hint="eastAsia" w:ascii="宋体" w:hAnsi="宋体" w:cs="宋体"/>
                <w:szCs w:val="21"/>
                <w:lang w:val="en-US" w:eastAsia="zh-CN"/>
              </w:rPr>
              <w:t>4.填充物：羊羔绒。</w:t>
            </w:r>
            <w:r>
              <w:rPr>
                <w:rFonts w:hint="eastAsia" w:ascii="宋体" w:hAnsi="宋体" w:cs="宋体"/>
                <w:szCs w:val="21"/>
                <w:lang w:val="en-US" w:eastAsia="zh-CN"/>
              </w:rPr>
              <w:br w:type="textWrapping"/>
            </w:r>
            <w:r>
              <w:rPr>
                <w:rFonts w:hint="eastAsia" w:ascii="宋体" w:hAnsi="宋体" w:cs="宋体"/>
                <w:szCs w:val="21"/>
                <w:lang w:val="en-US" w:eastAsia="zh-CN"/>
              </w:rPr>
              <w:t xml:space="preserve">5.规格：M\L\XL\XXL </w:t>
            </w:r>
          </w:p>
          <w:p>
            <w:pPr>
              <w:pStyle w:val="23"/>
              <w:numPr>
                <w:ilvl w:val="0"/>
                <w:numId w:val="0"/>
              </w:numPr>
              <w:ind w:leftChars="0" w:right="72" w:rightChars="30"/>
              <w:jc w:val="left"/>
              <w:rPr>
                <w:rFonts w:hint="eastAsia" w:ascii="宋体" w:hAnsi="宋体" w:cs="宋体"/>
                <w:szCs w:val="21"/>
                <w:lang w:val="en-US" w:eastAsia="zh-CN"/>
              </w:rPr>
            </w:pPr>
            <w:r>
              <w:rPr>
                <w:rFonts w:hint="eastAsia" w:ascii="宋体" w:hAnsi="宋体" w:cs="宋体"/>
                <w:szCs w:val="21"/>
                <w:lang w:val="en-US" w:eastAsia="zh-CN"/>
              </w:rPr>
              <w:t>填充物：羊羔绒 加绒</w:t>
            </w:r>
          </w:p>
          <w:p>
            <w:pPr>
              <w:pStyle w:val="23"/>
              <w:numPr>
                <w:ilvl w:val="0"/>
                <w:numId w:val="0"/>
              </w:numPr>
              <w:ind w:leftChars="0" w:right="72" w:rightChars="30"/>
              <w:jc w:val="left"/>
              <w:rPr>
                <w:rFonts w:hint="eastAsia" w:ascii="宋体" w:hAnsi="宋体" w:cs="宋体"/>
                <w:szCs w:val="21"/>
                <w:lang w:val="en-US" w:eastAsia="zh-CN"/>
              </w:rPr>
            </w:pPr>
            <w:r>
              <w:rPr>
                <w:rFonts w:hint="eastAsia" w:ascii="宋体" w:hAnsi="宋体" w:cs="宋体"/>
                <w:szCs w:val="21"/>
                <w:lang w:val="en-US" w:eastAsia="zh-CN"/>
              </w:rPr>
              <w:t>裤型：直筒、两侧口袋</w:t>
            </w:r>
          </w:p>
          <w:p>
            <w:pPr>
              <w:pStyle w:val="23"/>
              <w:numPr>
                <w:ilvl w:val="0"/>
                <w:numId w:val="0"/>
              </w:numPr>
              <w:ind w:leftChars="0" w:right="72" w:rightChars="30"/>
              <w:jc w:val="left"/>
              <w:rPr>
                <w:rFonts w:hint="eastAsia" w:ascii="宋体" w:hAnsi="宋体" w:cs="宋体"/>
                <w:szCs w:val="21"/>
                <w:lang w:val="en-US" w:eastAsia="zh-CN"/>
              </w:rPr>
            </w:pPr>
            <w:r>
              <w:rPr>
                <w:rFonts w:hint="eastAsia" w:ascii="宋体" w:hAnsi="宋体" w:cs="宋体"/>
                <w:szCs w:val="21"/>
                <w:lang w:val="en-US" w:eastAsia="zh-CN"/>
              </w:rPr>
              <w:t>裤门襟：系绳闭襟</w:t>
            </w:r>
          </w:p>
          <w:p>
            <w:pPr>
              <w:pStyle w:val="23"/>
              <w:numPr>
                <w:ilvl w:val="0"/>
                <w:numId w:val="0"/>
              </w:numPr>
              <w:ind w:leftChars="0" w:right="72" w:rightChars="30"/>
              <w:jc w:val="left"/>
              <w:rPr>
                <w:rFonts w:hint="eastAsia" w:ascii="宋体" w:hAnsi="宋体" w:cs="宋体"/>
                <w:szCs w:val="21"/>
                <w:lang w:val="en-US" w:eastAsia="zh-CN"/>
              </w:rPr>
            </w:pPr>
            <w:r>
              <w:rPr>
                <w:rFonts w:hint="eastAsia" w:ascii="宋体" w:hAnsi="宋体" w:cs="宋体"/>
                <w:szCs w:val="21"/>
                <w:lang w:val="en-US" w:eastAsia="zh-CN"/>
              </w:rPr>
              <w:t>弹力：微弹</w:t>
            </w: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b/>
                <w:bCs/>
                <w:color w:val="auto"/>
                <w:kern w:val="0"/>
                <w:sz w:val="21"/>
                <w:szCs w:val="21"/>
              </w:rPr>
            </w:pPr>
            <w:r>
              <w:rPr>
                <w:rFonts w:hint="eastAsia" w:ascii="宋体" w:hAnsi="宋体" w:eastAsia="宋体" w:cs="宋体"/>
                <w:color w:val="auto"/>
                <w:sz w:val="21"/>
                <w:szCs w:val="21"/>
              </w:rPr>
              <w:t>200</w:t>
            </w:r>
          </w:p>
        </w:tc>
        <w:tc>
          <w:tcPr>
            <w:tcW w:w="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件</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eastAsia="宋体" w:cs="宋体"/>
                <w:color w:val="auto"/>
                <w:sz w:val="21"/>
                <w:szCs w:val="21"/>
              </w:rPr>
            </w:pPr>
            <w:r>
              <w:rPr>
                <w:rFonts w:hint="eastAsia" w:ascii="宋体" w:hAnsi="宋体" w:cs="宋体"/>
                <w:sz w:val="21"/>
                <w:szCs w:val="21"/>
              </w:rPr>
              <w:t>115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6"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雨衣雨裤套装</w:t>
            </w:r>
          </w:p>
        </w:tc>
        <w:tc>
          <w:tcPr>
            <w:tcW w:w="63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3"/>
              <w:numPr>
                <w:ilvl w:val="0"/>
                <w:numId w:val="0"/>
              </w:numPr>
              <w:ind w:leftChars="0" w:right="72" w:rightChars="30"/>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雨衣选用优质PVC材料精制而成,面料柔软舒适,防水透气,不脱层,无毒无味,且胸前、背后加有高亮反光条,方便在夜间使用,增强了安全性。</w:t>
            </w:r>
          </w:p>
          <w:p>
            <w:pPr>
              <w:pStyle w:val="23"/>
              <w:numPr>
                <w:ilvl w:val="0"/>
                <w:numId w:val="0"/>
              </w:numPr>
              <w:ind w:leftChars="0" w:right="72" w:rightChars="30"/>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款式：分体套装，上，可隐藏衣帽带双层透明面罩，松紧袖口，防雨口袋，下裤松紧带裤；里布为透气网布。</w:t>
            </w:r>
          </w:p>
          <w:p>
            <w:pPr>
              <w:pStyle w:val="23"/>
              <w:numPr>
                <w:ilvl w:val="0"/>
                <w:numId w:val="0"/>
              </w:numPr>
              <w:ind w:leftChars="0" w:right="72" w:rightChars="30"/>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防水设计：衣有防水拉链，拉链前带扣子防雨门襟，拼接处均有压胶处理，防渗透抗撕裂，袖口隐藏设计防水效果好。</w:t>
            </w:r>
          </w:p>
          <w:p>
            <w:pPr>
              <w:pStyle w:val="23"/>
              <w:numPr>
                <w:ilvl w:val="0"/>
                <w:numId w:val="0"/>
              </w:numPr>
              <w:ind w:leftChars="0" w:right="72" w:rightChars="30"/>
              <w:jc w:val="left"/>
              <w:rPr>
                <w:rFonts w:hint="default" w:ascii="宋体" w:hAnsi="宋体" w:eastAsia="宋体" w:cs="宋体"/>
                <w:color w:val="auto"/>
                <w:sz w:val="21"/>
                <w:szCs w:val="21"/>
                <w:lang w:val="en-US" w:eastAsia="zh-CN"/>
              </w:rPr>
            </w:pPr>
            <w:r>
              <w:rPr>
                <w:rFonts w:hint="eastAsia" w:ascii="宋体" w:hAnsi="宋体" w:cs="宋体"/>
                <w:szCs w:val="21"/>
                <w:lang w:val="en-US" w:eastAsia="zh-CN"/>
              </w:rPr>
              <w:t>4.</w:t>
            </w:r>
            <w:r>
              <w:rPr>
                <w:rFonts w:hint="eastAsia" w:ascii="宋体" w:hAnsi="宋体" w:cs="宋体"/>
                <w:szCs w:val="21"/>
              </w:rPr>
              <w:t>规格：L\XL\XXL\XXXL</w:t>
            </w: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w:t>
            </w:r>
          </w:p>
        </w:tc>
        <w:tc>
          <w:tcPr>
            <w:tcW w:w="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eastAsia="宋体" w:cs="宋体"/>
                <w:color w:val="auto"/>
                <w:kern w:val="0"/>
                <w:sz w:val="21"/>
                <w:szCs w:val="21"/>
              </w:rPr>
            </w:pPr>
            <w:r>
              <w:rPr>
                <w:rFonts w:hint="eastAsia" w:ascii="宋体" w:hAnsi="宋体" w:cs="宋体"/>
                <w:sz w:val="21"/>
                <w:szCs w:val="21"/>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w:t>
            </w:r>
          </w:p>
        </w:tc>
        <w:tc>
          <w:tcPr>
            <w:tcW w:w="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雨鞋</w:t>
            </w:r>
          </w:p>
        </w:tc>
        <w:tc>
          <w:tcPr>
            <w:tcW w:w="6348" w:type="dxa"/>
            <w:tcBorders>
              <w:top w:val="single" w:color="000000" w:sz="8" w:space="0"/>
              <w:left w:val="single" w:color="000000" w:sz="8" w:space="0"/>
              <w:bottom w:val="single" w:color="000000" w:sz="8" w:space="0"/>
              <w:right w:val="single" w:color="000000" w:sz="8" w:space="0"/>
            </w:tcBorders>
            <w:shd w:val="clear" w:color="auto" w:fill="FFFFFF"/>
            <w:vAlign w:val="top"/>
          </w:tcPr>
          <w:p>
            <w:pPr>
              <w:pStyle w:val="23"/>
              <w:ind w:left="0" w:leftChars="0" w:right="72" w:firstLine="0" w:firstLineChars="0"/>
              <w:jc w:val="left"/>
              <w:rPr>
                <w:rFonts w:ascii="宋体" w:hAnsi="宋体" w:cs="宋体"/>
                <w:szCs w:val="21"/>
              </w:rPr>
            </w:pPr>
            <w:r>
              <w:rPr>
                <w:rFonts w:hint="eastAsia" w:ascii="宋体" w:hAnsi="宋体" w:cs="宋体"/>
                <w:szCs w:val="21"/>
              </w:rPr>
              <w:t>1、规格：35-46码中筒；</w:t>
            </w:r>
          </w:p>
          <w:p>
            <w:pPr>
              <w:pStyle w:val="23"/>
              <w:ind w:left="0" w:leftChars="0" w:right="72" w:firstLine="0" w:firstLineChars="0"/>
              <w:jc w:val="left"/>
              <w:rPr>
                <w:rFonts w:hint="eastAsia" w:ascii="宋体" w:hAnsi="宋体" w:eastAsia="宋体" w:cs="宋体"/>
                <w:color w:val="auto"/>
                <w:sz w:val="21"/>
                <w:szCs w:val="21"/>
                <w:lang w:eastAsia="zh-CN"/>
              </w:rPr>
            </w:pPr>
            <w:r>
              <w:rPr>
                <w:rFonts w:hint="eastAsia" w:ascii="宋体" w:hAnsi="宋体" w:cs="宋体"/>
                <w:szCs w:val="21"/>
              </w:rPr>
              <w:t>2、材质：牛筋鞋底，天然橡胶鞋面，吸汗棉布内里。鞋底由高密度橡胶制成，防滑耐磨，鞋底与鞋面的凝固强度高。</w:t>
            </w: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w:t>
            </w:r>
          </w:p>
        </w:tc>
        <w:tc>
          <w:tcPr>
            <w:tcW w:w="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双</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eastAsia="宋体" w:cs="宋体"/>
                <w:color w:val="auto"/>
                <w:kern w:val="0"/>
                <w:sz w:val="21"/>
                <w:szCs w:val="21"/>
              </w:rPr>
            </w:pPr>
            <w:r>
              <w:rPr>
                <w:rFonts w:hint="eastAsia" w:ascii="宋体" w:hAnsi="宋体" w:cs="宋体"/>
                <w:sz w:val="21"/>
                <w:szCs w:val="21"/>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sz w:val="21"/>
                <w:szCs w:val="21"/>
              </w:rPr>
            </w:pPr>
            <w:r>
              <w:rPr>
                <w:rFonts w:hint="eastAsia" w:ascii="宋体" w:hAnsi="宋体" w:cs="宋体"/>
                <w:sz w:val="21"/>
                <w:szCs w:val="21"/>
              </w:rPr>
              <w:t>背心穿带救生衣</w:t>
            </w:r>
          </w:p>
        </w:tc>
        <w:tc>
          <w:tcPr>
            <w:tcW w:w="63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3"/>
              <w:ind w:left="0" w:leftChars="0" w:right="72" w:firstLine="0" w:firstLineChars="0"/>
              <w:jc w:val="left"/>
              <w:rPr>
                <w:rFonts w:ascii="宋体" w:hAnsi="宋体" w:cs="宋体"/>
                <w:szCs w:val="21"/>
              </w:rPr>
            </w:pPr>
            <w:r>
              <w:rPr>
                <w:rFonts w:hint="eastAsia" w:ascii="宋体" w:hAnsi="宋体" w:cs="宋体"/>
                <w:szCs w:val="21"/>
              </w:rPr>
              <w:t>1、内含可拆卸高浮泡沫，明显提高浮力，救生衣的浮力：≥100N；。</w:t>
            </w:r>
          </w:p>
          <w:p>
            <w:pPr>
              <w:pStyle w:val="23"/>
              <w:ind w:left="0" w:leftChars="0" w:right="72" w:firstLine="0" w:firstLineChars="0"/>
              <w:jc w:val="left"/>
              <w:rPr>
                <w:rFonts w:ascii="宋体" w:hAnsi="宋体" w:cs="宋体"/>
                <w:szCs w:val="21"/>
              </w:rPr>
            </w:pPr>
            <w:r>
              <w:rPr>
                <w:rFonts w:hint="eastAsia" w:ascii="宋体" w:hAnsi="宋体" w:cs="宋体"/>
                <w:szCs w:val="21"/>
              </w:rPr>
              <w:t>2、可拆卸领子，领子里面装有帽子，衣服拉链设计装着更方便。</w:t>
            </w:r>
          </w:p>
          <w:p>
            <w:pPr>
              <w:pStyle w:val="23"/>
              <w:ind w:left="0" w:leftChars="0" w:right="72" w:firstLine="0" w:firstLineChars="0"/>
              <w:jc w:val="left"/>
              <w:rPr>
                <w:rFonts w:ascii="宋体" w:hAnsi="宋体" w:cs="宋体"/>
                <w:szCs w:val="21"/>
              </w:rPr>
            </w:pPr>
            <w:r>
              <w:rPr>
                <w:rFonts w:hint="eastAsia" w:ascii="宋体" w:hAnsi="宋体" w:cs="宋体"/>
                <w:szCs w:val="21"/>
              </w:rPr>
              <w:t>3、面料：聚酯纤维；颜色：橙色，衣服里布是网眼设计更透气。</w:t>
            </w:r>
          </w:p>
          <w:p>
            <w:pPr>
              <w:pStyle w:val="23"/>
              <w:ind w:left="0" w:leftChars="0" w:right="72" w:firstLine="0" w:firstLineChars="0"/>
              <w:jc w:val="left"/>
              <w:rPr>
                <w:rFonts w:ascii="宋体" w:hAnsi="宋体" w:cs="宋体"/>
                <w:szCs w:val="21"/>
              </w:rPr>
            </w:pPr>
            <w:r>
              <w:rPr>
                <w:rFonts w:hint="eastAsia" w:ascii="宋体" w:hAnsi="宋体" w:cs="宋体"/>
                <w:szCs w:val="21"/>
              </w:rPr>
              <w:t>4、设计精美鲜艳,配带两条夜间反光条,在水中明显易辨，逆向反光片面积≥400㎝2，便于在水中发现,方便搜救者用探照灯找到求救者。</w:t>
            </w:r>
          </w:p>
          <w:p>
            <w:pPr>
              <w:pStyle w:val="23"/>
              <w:ind w:left="0" w:leftChars="0" w:right="72" w:firstLine="0" w:firstLineChars="0"/>
              <w:jc w:val="left"/>
              <w:rPr>
                <w:rFonts w:ascii="宋体" w:hAnsi="宋体" w:cs="宋体"/>
                <w:szCs w:val="21"/>
              </w:rPr>
            </w:pPr>
            <w:r>
              <w:rPr>
                <w:rFonts w:hint="eastAsia" w:ascii="宋体" w:hAnsi="宋体" w:cs="宋体"/>
                <w:szCs w:val="21"/>
              </w:rPr>
              <w:t>5、缝线为耐油、耐海水的机缝线，其断裂强度不小于19.6N；</w:t>
            </w:r>
          </w:p>
          <w:p>
            <w:pPr>
              <w:pStyle w:val="23"/>
              <w:ind w:left="0" w:leftChars="0" w:right="72" w:firstLine="0" w:firstLineChars="0"/>
              <w:jc w:val="left"/>
              <w:rPr>
                <w:rFonts w:ascii="宋体" w:hAnsi="宋体" w:cs="宋体"/>
                <w:szCs w:val="21"/>
              </w:rPr>
            </w:pPr>
            <w:r>
              <w:rPr>
                <w:rFonts w:hint="eastAsia" w:ascii="宋体" w:hAnsi="宋体" w:cs="宋体"/>
                <w:szCs w:val="21"/>
              </w:rPr>
              <w:t>6、应不小于在浸入淡水时及浸入24h后均应测量其浮力，浮力损失不得超过5%。</w:t>
            </w:r>
          </w:p>
          <w:p>
            <w:pPr>
              <w:pStyle w:val="23"/>
              <w:ind w:left="0" w:leftChars="0" w:right="72" w:firstLine="0" w:firstLineChars="0"/>
              <w:jc w:val="left"/>
              <w:rPr>
                <w:rFonts w:ascii="宋体" w:hAnsi="宋体" w:cs="宋体"/>
                <w:szCs w:val="21"/>
              </w:rPr>
            </w:pPr>
            <w:r>
              <w:rPr>
                <w:rFonts w:hint="eastAsia" w:ascii="宋体" w:hAnsi="宋体" w:cs="宋体"/>
                <w:szCs w:val="21"/>
              </w:rPr>
              <w:t>7、哨笛：1只，用不松脱的死结捆扎口哨；</w:t>
            </w:r>
          </w:p>
          <w:p>
            <w:pPr>
              <w:pStyle w:val="23"/>
              <w:ind w:left="0" w:leftChars="0" w:right="72" w:firstLine="0" w:firstLineChars="0"/>
              <w:jc w:val="left"/>
              <w:rPr>
                <w:rFonts w:ascii="宋体" w:hAnsi="宋体" w:cs="宋体"/>
                <w:szCs w:val="21"/>
              </w:rPr>
            </w:pPr>
            <w:r>
              <w:rPr>
                <w:rFonts w:hint="eastAsia" w:ascii="宋体" w:hAnsi="宋体" w:cs="宋体"/>
                <w:szCs w:val="21"/>
              </w:rPr>
              <w:t>8、单件重量：≤0.8kg；</w:t>
            </w:r>
          </w:p>
          <w:p>
            <w:pPr>
              <w:pStyle w:val="23"/>
              <w:ind w:left="0" w:leftChars="0" w:right="72" w:rightChars="30" w:firstLine="0" w:firstLineChars="0"/>
              <w:jc w:val="left"/>
              <w:rPr>
                <w:rFonts w:hint="eastAsia" w:ascii="宋体" w:hAnsi="宋体" w:eastAsia="宋体" w:cs="宋体"/>
                <w:color w:val="auto"/>
                <w:sz w:val="21"/>
                <w:szCs w:val="21"/>
                <w:lang w:eastAsia="zh-CN"/>
              </w:rPr>
            </w:pPr>
            <w:r>
              <w:rPr>
                <w:rFonts w:hint="eastAsia" w:ascii="宋体" w:hAnsi="宋体" w:cs="宋体"/>
                <w:szCs w:val="21"/>
              </w:rPr>
              <w:t>9、包装：外包装应平整、牢固、无破损、无沾污，每箱内必须放置合格证；</w:t>
            </w: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500</w:t>
            </w:r>
          </w:p>
        </w:tc>
        <w:tc>
          <w:tcPr>
            <w:tcW w:w="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件</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eastAsia="宋体" w:cs="宋体"/>
                <w:color w:val="auto"/>
                <w:sz w:val="21"/>
                <w:szCs w:val="21"/>
              </w:rPr>
            </w:pPr>
            <w:r>
              <w:rPr>
                <w:rFonts w:hint="eastAsia" w:ascii="宋体" w:hAnsi="宋体" w:cs="宋体"/>
                <w:sz w:val="21"/>
                <w:szCs w:val="21"/>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8"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w:t>
            </w:r>
          </w:p>
        </w:tc>
        <w:tc>
          <w:tcPr>
            <w:tcW w:w="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防爆手电筒</w:t>
            </w:r>
          </w:p>
        </w:tc>
        <w:tc>
          <w:tcPr>
            <w:tcW w:w="6348" w:type="dxa"/>
            <w:tcBorders>
              <w:top w:val="single" w:color="000000" w:sz="8" w:space="0"/>
              <w:left w:val="single" w:color="000000" w:sz="8" w:space="0"/>
              <w:bottom w:val="single" w:color="000000" w:sz="8" w:space="0"/>
              <w:right w:val="single" w:color="000000" w:sz="8" w:space="0"/>
            </w:tcBorders>
            <w:shd w:val="clear" w:color="auto" w:fill="FFFFFF"/>
            <w:vAlign w:val="top"/>
          </w:tcPr>
          <w:p>
            <w:pPr>
              <w:pStyle w:val="23"/>
              <w:ind w:left="0" w:leftChars="0" w:right="72" w:firstLine="0" w:firstLineChars="0"/>
              <w:jc w:val="left"/>
              <w:rPr>
                <w:rFonts w:hint="eastAsia" w:ascii="宋体" w:hAnsi="宋体" w:cs="宋体"/>
                <w:szCs w:val="21"/>
                <w:lang w:eastAsia="zh-CN"/>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lang w:eastAsia="zh-CN"/>
              </w:rPr>
              <w:t>防爆标志：</w:t>
            </w:r>
            <w:r>
              <w:rPr>
                <w:rFonts w:hint="eastAsia" w:ascii="宋体" w:hAnsi="宋体" w:cs="宋体"/>
                <w:szCs w:val="21"/>
              </w:rPr>
              <w:t>Ex ib IIC T4 Gb</w:t>
            </w:r>
            <w:r>
              <w:rPr>
                <w:rFonts w:hint="eastAsia" w:ascii="宋体" w:hAnsi="宋体" w:cs="宋体"/>
                <w:szCs w:val="21"/>
                <w:lang w:eastAsia="zh-CN"/>
              </w:rPr>
              <w:t>。</w:t>
            </w:r>
          </w:p>
          <w:p>
            <w:pPr>
              <w:pStyle w:val="23"/>
              <w:ind w:left="0" w:leftChars="0" w:right="72" w:firstLine="0" w:firstLineChars="0"/>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采用</w:t>
            </w:r>
            <w:r>
              <w:rPr>
                <w:rFonts w:hint="eastAsia" w:ascii="宋体" w:hAnsi="宋体" w:cs="宋体"/>
                <w:szCs w:val="21"/>
                <w:lang w:eastAsia="zh-CN"/>
              </w:rPr>
              <w:t>优质选材铜基板设计，大幅提升</w:t>
            </w:r>
            <w:r>
              <w:rPr>
                <w:rFonts w:hint="eastAsia" w:ascii="宋体" w:hAnsi="宋体" w:cs="宋体"/>
                <w:szCs w:val="21"/>
                <w:lang w:val="en-US" w:eastAsia="zh-CN"/>
              </w:rPr>
              <w:t>LED光源散热性能、提升光源使用寿命及光效</w:t>
            </w:r>
            <w:r>
              <w:rPr>
                <w:rFonts w:hint="eastAsia" w:ascii="宋体" w:hAnsi="宋体" w:cs="宋体"/>
                <w:szCs w:val="21"/>
              </w:rPr>
              <w:t>。</w:t>
            </w:r>
          </w:p>
          <w:p>
            <w:pPr>
              <w:pStyle w:val="23"/>
              <w:ind w:left="0" w:leftChars="0" w:right="72" w:firstLine="0" w:firstLineChars="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3、2米处初始照度:强光平均照度值不小于1160lx。</w:t>
            </w:r>
          </w:p>
          <w:p>
            <w:pPr>
              <w:pStyle w:val="23"/>
              <w:ind w:left="0" w:leftChars="0" w:right="72" w:firstLine="0" w:firstLineChars="0"/>
              <w:jc w:val="left"/>
              <w:rPr>
                <w:rFonts w:hint="eastAsia" w:ascii="宋体" w:hAnsi="宋体" w:cs="宋体"/>
                <w:szCs w:val="21"/>
                <w:lang w:eastAsia="zh-CN"/>
              </w:rPr>
            </w:pPr>
            <w:r>
              <w:rPr>
                <w:rFonts w:hint="eastAsia" w:ascii="宋体" w:hAnsi="宋体" w:cs="宋体"/>
                <w:szCs w:val="21"/>
                <w:lang w:val="en-US" w:eastAsia="zh-CN"/>
              </w:rPr>
              <w:t>4、4</w:t>
            </w:r>
            <w:r>
              <w:rPr>
                <w:rFonts w:hint="eastAsia" w:ascii="宋体" w:hAnsi="宋体" w:cs="宋体"/>
                <w:szCs w:val="21"/>
              </w:rPr>
              <w:t>段式蓝色LED电量显示，实时呈现电量剩余情况。采用全新</w:t>
            </w:r>
            <w:r>
              <w:rPr>
                <w:rFonts w:hint="eastAsia" w:ascii="宋体" w:hAnsi="宋体" w:cs="宋体"/>
                <w:szCs w:val="21"/>
                <w:lang w:val="en-US" w:eastAsia="zh-CN"/>
              </w:rPr>
              <w:t>type-C</w:t>
            </w:r>
            <w:r>
              <w:rPr>
                <w:rFonts w:hint="eastAsia" w:ascii="宋体" w:hAnsi="宋体" w:cs="宋体"/>
                <w:szCs w:val="21"/>
              </w:rPr>
              <w:t>充电</w:t>
            </w:r>
            <w:r>
              <w:rPr>
                <w:rFonts w:hint="eastAsia" w:ascii="宋体" w:hAnsi="宋体" w:cs="宋体"/>
                <w:szCs w:val="21"/>
                <w:lang w:eastAsia="zh-CN"/>
              </w:rPr>
              <w:t>接口</w:t>
            </w:r>
            <w:r>
              <w:rPr>
                <w:rFonts w:hint="eastAsia" w:ascii="宋体" w:hAnsi="宋体" w:cs="宋体"/>
                <w:szCs w:val="21"/>
              </w:rPr>
              <w:t>，充电方便快捷</w:t>
            </w:r>
            <w:r>
              <w:rPr>
                <w:rFonts w:hint="eastAsia" w:ascii="宋体" w:hAnsi="宋体" w:cs="宋体"/>
                <w:szCs w:val="21"/>
                <w:lang w:eastAsia="zh-CN"/>
              </w:rPr>
              <w:t>。</w:t>
            </w:r>
          </w:p>
          <w:p>
            <w:pPr>
              <w:pStyle w:val="23"/>
              <w:ind w:left="0" w:leftChars="0" w:right="72" w:firstLine="0" w:firstLineChars="0"/>
              <w:jc w:val="left"/>
              <w:rPr>
                <w:rFonts w:hint="eastAsia" w:ascii="宋体" w:hAnsi="宋体" w:cs="宋体"/>
                <w:szCs w:val="21"/>
              </w:rPr>
            </w:pPr>
            <w:r>
              <w:rPr>
                <w:rFonts w:hint="eastAsia" w:ascii="宋体" w:hAnsi="宋体" w:cs="宋体"/>
                <w:szCs w:val="21"/>
              </w:rPr>
              <w:t>▲5</w:t>
            </w:r>
            <w:r>
              <w:rPr>
                <w:rFonts w:hint="eastAsia" w:ascii="宋体" w:hAnsi="宋体" w:cs="宋体"/>
                <w:szCs w:val="21"/>
                <w:lang w:eastAsia="zh-CN"/>
              </w:rPr>
              <w:t>、耐电压性能：</w:t>
            </w:r>
            <w:r>
              <w:rPr>
                <w:rFonts w:hint="eastAsia" w:ascii="宋体" w:hAnsi="宋体" w:cs="宋体"/>
                <w:szCs w:val="21"/>
              </w:rPr>
              <w:t>灯具应能耐受频率为50Hz±0.5Hz,交流电压为500V±50V，历时60s±5s的耐电压试验。试验过程中，灯具不应出现表面飞弧和击穿现象，试验结束后，灯具</w:t>
            </w:r>
            <w:r>
              <w:rPr>
                <w:rFonts w:hint="eastAsia" w:ascii="宋体" w:hAnsi="宋体" w:cs="宋体"/>
                <w:szCs w:val="21"/>
                <w:lang w:eastAsia="zh-CN"/>
              </w:rPr>
              <w:t>应能</w:t>
            </w:r>
            <w:r>
              <w:rPr>
                <w:rFonts w:hint="eastAsia" w:ascii="宋体" w:hAnsi="宋体" w:cs="宋体"/>
                <w:szCs w:val="21"/>
              </w:rPr>
              <w:t>正常进行开、关和强、弱光切换。</w:t>
            </w:r>
          </w:p>
          <w:p>
            <w:pPr>
              <w:pStyle w:val="23"/>
              <w:ind w:left="0" w:leftChars="0" w:right="72" w:firstLine="0" w:firstLineChars="0"/>
              <w:jc w:val="left"/>
              <w:rPr>
                <w:rFonts w:hint="eastAsia" w:ascii="宋体" w:hAnsi="宋体" w:cs="宋体"/>
                <w:szCs w:val="21"/>
              </w:rPr>
            </w:pPr>
            <w:r>
              <w:rPr>
                <w:rFonts w:hint="eastAsia" w:ascii="宋体" w:hAnsi="宋体" w:cs="宋体"/>
                <w:szCs w:val="21"/>
              </w:rPr>
              <w:t>▲6</w:t>
            </w:r>
            <w:r>
              <w:rPr>
                <w:rFonts w:hint="eastAsia" w:ascii="宋体" w:hAnsi="宋体" w:cs="宋体"/>
                <w:szCs w:val="21"/>
                <w:lang w:eastAsia="zh-CN"/>
              </w:rPr>
              <w:t>、抗振动性能：</w:t>
            </w:r>
            <w:r>
              <w:rPr>
                <w:rFonts w:hint="eastAsia" w:ascii="宋体" w:hAnsi="宋体" w:cs="宋体"/>
                <w:szCs w:val="21"/>
              </w:rPr>
              <w:t>灯具必须通过频率循环范围10-150Hz,加速幅值1g，扫频速率1 Oct/min,振动方向为X、Y、Z，每轴线扫描循环次数10的抗振动性能试验，试验后，灯具</w:t>
            </w:r>
            <w:r>
              <w:rPr>
                <w:rFonts w:hint="eastAsia" w:ascii="宋体" w:hAnsi="宋体" w:cs="宋体"/>
                <w:szCs w:val="21"/>
                <w:lang w:eastAsia="zh-CN"/>
              </w:rPr>
              <w:t>应</w:t>
            </w:r>
            <w:r>
              <w:rPr>
                <w:rFonts w:hint="eastAsia" w:ascii="宋体" w:hAnsi="宋体" w:cs="宋体"/>
                <w:szCs w:val="21"/>
              </w:rPr>
              <w:t>无机械损伤和紧固件松动现象，且能正常进行开、关和强、弱光切换。</w:t>
            </w:r>
          </w:p>
          <w:p>
            <w:pPr>
              <w:pStyle w:val="23"/>
              <w:ind w:left="0" w:leftChars="0" w:right="72" w:firstLine="0" w:firstLineChars="0"/>
              <w:jc w:val="left"/>
              <w:rPr>
                <w:rFonts w:hint="eastAsia" w:ascii="宋体" w:hAnsi="宋体" w:cs="宋体"/>
                <w:szCs w:val="21"/>
              </w:rPr>
            </w:pPr>
            <w:r>
              <w:rPr>
                <w:rFonts w:hint="eastAsia" w:ascii="宋体" w:hAnsi="宋体" w:cs="宋体"/>
                <w:szCs w:val="21"/>
              </w:rPr>
              <w:t>7</w:t>
            </w:r>
            <w:r>
              <w:rPr>
                <w:rFonts w:hint="eastAsia" w:ascii="宋体" w:hAnsi="宋体" w:cs="宋体"/>
                <w:szCs w:val="21"/>
                <w:lang w:eastAsia="zh-CN"/>
              </w:rPr>
              <w:t>、</w:t>
            </w:r>
            <w:r>
              <w:rPr>
                <w:rFonts w:hint="eastAsia" w:ascii="宋体" w:hAnsi="宋体" w:cs="宋体"/>
                <w:szCs w:val="21"/>
              </w:rPr>
              <w:t>照明功能：灯具通过轻按开关可实现强光、弱光的开启、关闭和切换，对现场进行照明；信号指示：灯具通过长按开关可开启爆闪信号，用作信号指示使用；</w:t>
            </w:r>
          </w:p>
          <w:p>
            <w:pPr>
              <w:pStyle w:val="23"/>
              <w:ind w:left="0" w:leftChars="0" w:right="72" w:firstLine="0" w:firstLineChars="0"/>
              <w:jc w:val="left"/>
              <w:rPr>
                <w:rFonts w:hint="eastAsia" w:ascii="宋体" w:hAnsi="宋体" w:cs="宋体"/>
                <w:szCs w:val="21"/>
              </w:rPr>
            </w:pPr>
            <w:r>
              <w:rPr>
                <w:rFonts w:hint="eastAsia" w:ascii="宋体" w:hAnsi="宋体" w:cs="宋体"/>
                <w:szCs w:val="21"/>
              </w:rPr>
              <w:t>▲8</w:t>
            </w:r>
            <w:r>
              <w:rPr>
                <w:rFonts w:hint="eastAsia" w:ascii="宋体" w:hAnsi="宋体" w:cs="宋体"/>
                <w:szCs w:val="21"/>
                <w:lang w:eastAsia="zh-CN"/>
              </w:rPr>
              <w:t>、开关的可靠性：</w:t>
            </w:r>
            <w:r>
              <w:rPr>
                <w:rFonts w:hint="eastAsia" w:ascii="宋体" w:hAnsi="宋体" w:cs="宋体"/>
                <w:szCs w:val="21"/>
              </w:rPr>
              <w:t>灯具的开关经50000次可靠性试验后应保持完好，且灯具应能正常点亮并实现强、弱光切换。</w:t>
            </w:r>
          </w:p>
          <w:p>
            <w:pPr>
              <w:pStyle w:val="23"/>
              <w:ind w:left="0" w:leftChars="0" w:right="72" w:firstLine="0" w:firstLineChars="0"/>
              <w:jc w:val="left"/>
              <w:rPr>
                <w:rFonts w:hint="eastAsia" w:ascii="宋体" w:hAnsi="宋体" w:cs="宋体"/>
                <w:szCs w:val="21"/>
                <w:lang w:val="en-US" w:eastAsia="zh-CN"/>
              </w:rPr>
            </w:pPr>
            <w:r>
              <w:rPr>
                <w:rFonts w:hint="eastAsia" w:ascii="宋体" w:hAnsi="宋体" w:cs="宋体"/>
                <w:szCs w:val="21"/>
              </w:rPr>
              <w:t>▲</w:t>
            </w:r>
            <w:r>
              <w:rPr>
                <w:rFonts w:hint="eastAsia" w:ascii="宋体" w:hAnsi="宋体" w:cs="宋体"/>
                <w:szCs w:val="21"/>
                <w:lang w:val="en-US" w:eastAsia="zh-CN"/>
              </w:rPr>
              <w:t>9、外壳防护等级：灯具的外壳防护等级应为GB</w:t>
            </w:r>
            <w:r>
              <w:rPr>
                <w:rFonts w:hint="eastAsia" w:ascii="宋体" w:hAnsi="宋体" w:cs="宋体"/>
                <w:szCs w:val="21"/>
              </w:rPr>
              <w:t>/</w:t>
            </w:r>
            <w:r>
              <w:rPr>
                <w:rFonts w:hint="eastAsia" w:ascii="宋体" w:hAnsi="宋体" w:cs="宋体"/>
                <w:szCs w:val="21"/>
                <w:lang w:val="en-US" w:eastAsia="zh-CN"/>
              </w:rPr>
              <w:t>T4208-2008规定的IP66</w:t>
            </w:r>
            <w:r>
              <w:rPr>
                <w:rFonts w:hint="eastAsia" w:ascii="宋体" w:hAnsi="宋体" w:cs="宋体"/>
                <w:szCs w:val="21"/>
              </w:rPr>
              <w:t>/</w:t>
            </w:r>
            <w:r>
              <w:rPr>
                <w:rFonts w:hint="eastAsia" w:ascii="宋体" w:hAnsi="宋体" w:cs="宋体"/>
                <w:szCs w:val="21"/>
                <w:lang w:val="en-US" w:eastAsia="zh-CN"/>
              </w:rPr>
              <w:t>IP67或IP66</w:t>
            </w:r>
            <w:r>
              <w:rPr>
                <w:rFonts w:hint="eastAsia" w:ascii="宋体" w:hAnsi="宋体" w:cs="宋体"/>
                <w:szCs w:val="21"/>
              </w:rPr>
              <w:t>/</w:t>
            </w:r>
            <w:r>
              <w:rPr>
                <w:rFonts w:hint="eastAsia" w:ascii="宋体" w:hAnsi="宋体" w:cs="宋体"/>
                <w:szCs w:val="21"/>
                <w:lang w:val="en-US" w:eastAsia="zh-CN"/>
              </w:rPr>
              <w:t>IP68的要求。在潜水深度为5M深时持续时间不少于1小时。</w:t>
            </w:r>
          </w:p>
          <w:p>
            <w:pPr>
              <w:pStyle w:val="23"/>
              <w:ind w:left="0" w:leftChars="0" w:right="72" w:firstLine="0" w:firstLineChars="0"/>
              <w:jc w:val="left"/>
              <w:rPr>
                <w:rFonts w:hint="eastAsia" w:ascii="宋体" w:hAnsi="宋体" w:cs="宋体"/>
                <w:szCs w:val="21"/>
                <w:lang w:val="en-US" w:eastAsia="zh-CN"/>
              </w:rPr>
            </w:pPr>
            <w:r>
              <w:rPr>
                <w:rFonts w:hint="eastAsia" w:ascii="宋体" w:hAnsi="宋体" w:cs="宋体"/>
                <w:szCs w:val="21"/>
              </w:rPr>
              <w:t>▲</w:t>
            </w:r>
            <w:r>
              <w:rPr>
                <w:rFonts w:hint="eastAsia" w:ascii="宋体" w:hAnsi="宋体" w:cs="宋体"/>
                <w:szCs w:val="21"/>
                <w:lang w:val="en-US" w:eastAsia="zh-CN"/>
              </w:rPr>
              <w:t>10、抗跌落性能：在高度1.5m，</w:t>
            </w:r>
            <w:r>
              <w:rPr>
                <w:rFonts w:hint="eastAsia" w:ascii="宋体" w:hAnsi="宋体" w:cs="宋体"/>
                <w:szCs w:val="21"/>
                <w:lang w:eastAsia="zh-CN"/>
              </w:rPr>
              <w:t>跌落</w:t>
            </w:r>
            <w:r>
              <w:rPr>
                <w:rFonts w:hint="eastAsia" w:ascii="宋体" w:hAnsi="宋体" w:cs="宋体"/>
                <w:szCs w:val="21"/>
              </w:rPr>
              <w:t>方向为X、Y、Z</w:t>
            </w:r>
            <w:r>
              <w:rPr>
                <w:rFonts w:hint="eastAsia" w:ascii="宋体" w:hAnsi="宋体" w:cs="宋体"/>
                <w:szCs w:val="21"/>
                <w:lang w:eastAsia="zh-CN"/>
              </w:rPr>
              <w:t>，</w:t>
            </w:r>
            <w:r>
              <w:rPr>
                <w:rFonts w:hint="eastAsia" w:ascii="宋体" w:hAnsi="宋体" w:cs="宋体"/>
                <w:szCs w:val="21"/>
              </w:rPr>
              <w:t>每</w:t>
            </w:r>
            <w:r>
              <w:rPr>
                <w:rFonts w:hint="eastAsia" w:ascii="宋体" w:hAnsi="宋体" w:cs="宋体"/>
                <w:szCs w:val="21"/>
                <w:lang w:eastAsia="zh-CN"/>
              </w:rPr>
              <w:t>个</w:t>
            </w:r>
            <w:r>
              <w:rPr>
                <w:rFonts w:hint="eastAsia" w:ascii="宋体" w:hAnsi="宋体" w:cs="宋体"/>
                <w:szCs w:val="21"/>
              </w:rPr>
              <w:t>轴</w:t>
            </w:r>
            <w:r>
              <w:rPr>
                <w:rFonts w:hint="eastAsia" w:ascii="宋体" w:hAnsi="宋体" w:cs="宋体"/>
                <w:szCs w:val="21"/>
                <w:lang w:eastAsia="zh-CN"/>
              </w:rPr>
              <w:t>向跌落次数为</w:t>
            </w:r>
            <w:r>
              <w:rPr>
                <w:rFonts w:hint="eastAsia" w:ascii="宋体" w:hAnsi="宋体" w:cs="宋体"/>
                <w:szCs w:val="21"/>
                <w:lang w:val="en-US" w:eastAsia="zh-CN"/>
              </w:rPr>
              <w:t>1的</w:t>
            </w:r>
            <w:r>
              <w:rPr>
                <w:rFonts w:hint="eastAsia" w:ascii="宋体" w:hAnsi="宋体" w:cs="宋体"/>
                <w:szCs w:val="21"/>
              </w:rPr>
              <w:t>抗</w:t>
            </w:r>
            <w:r>
              <w:rPr>
                <w:rFonts w:hint="eastAsia" w:ascii="宋体" w:hAnsi="宋体" w:cs="宋体"/>
                <w:szCs w:val="21"/>
                <w:lang w:eastAsia="zh-CN"/>
              </w:rPr>
              <w:t>跌落</w:t>
            </w:r>
            <w:r>
              <w:rPr>
                <w:rFonts w:hint="eastAsia" w:ascii="宋体" w:hAnsi="宋体" w:cs="宋体"/>
                <w:szCs w:val="21"/>
              </w:rPr>
              <w:t>性能试验，试验后，灯具</w:t>
            </w:r>
            <w:r>
              <w:rPr>
                <w:rFonts w:hint="eastAsia" w:ascii="宋体" w:hAnsi="宋体" w:cs="宋体"/>
                <w:szCs w:val="21"/>
                <w:lang w:eastAsia="zh-CN"/>
              </w:rPr>
              <w:t>应</w:t>
            </w:r>
            <w:r>
              <w:rPr>
                <w:rFonts w:hint="eastAsia" w:ascii="宋体" w:hAnsi="宋体" w:cs="宋体"/>
                <w:szCs w:val="21"/>
              </w:rPr>
              <w:t>无机械损伤和紧固件松动现象，且能正常进行开、关和强、弱光切换</w:t>
            </w:r>
            <w:r>
              <w:rPr>
                <w:rFonts w:hint="eastAsia" w:ascii="宋体" w:hAnsi="宋体" w:cs="宋体"/>
                <w:szCs w:val="21"/>
                <w:lang w:val="en-US" w:eastAsia="zh-CN"/>
              </w:rPr>
              <w:t>。</w:t>
            </w:r>
          </w:p>
          <w:p>
            <w:pPr>
              <w:pStyle w:val="23"/>
              <w:ind w:left="0" w:leftChars="0" w:right="72" w:firstLine="0" w:firstLineChars="0"/>
              <w:jc w:val="left"/>
              <w:rPr>
                <w:rFonts w:hint="default" w:ascii="宋体" w:hAnsi="宋体" w:cs="宋体"/>
                <w:szCs w:val="21"/>
                <w:lang w:val="en-US" w:eastAsia="zh-CN"/>
              </w:rPr>
            </w:pPr>
            <w:r>
              <w:rPr>
                <w:rFonts w:hint="eastAsia" w:ascii="宋体" w:hAnsi="宋体" w:cs="宋体"/>
                <w:szCs w:val="21"/>
              </w:rPr>
              <w:t>▲</w:t>
            </w:r>
            <w:r>
              <w:rPr>
                <w:rFonts w:hint="eastAsia" w:ascii="宋体" w:hAnsi="宋体" w:cs="宋体"/>
                <w:szCs w:val="21"/>
                <w:lang w:val="en-US" w:eastAsia="zh-CN"/>
              </w:rPr>
              <w:t>11、绝缘性能：在常温环境下，灯具带电端子与外壳间的绝缘电阻应不小于20，交变温热试验后应不小于5。</w:t>
            </w:r>
          </w:p>
          <w:p>
            <w:pPr>
              <w:pStyle w:val="23"/>
              <w:ind w:left="0" w:leftChars="0" w:right="72" w:firstLine="0" w:firstLineChars="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基本参数：额定电压：DC3.7V、额定容量：1.9Ah、</w:t>
            </w:r>
          </w:p>
          <w:p>
            <w:pPr>
              <w:pStyle w:val="23"/>
              <w:ind w:left="0" w:leftChars="0" w:right="72" w:firstLine="0" w:firstLineChars="0"/>
              <w:jc w:val="left"/>
              <w:rPr>
                <w:rFonts w:hint="eastAsia" w:ascii="宋体" w:hAnsi="宋体" w:cs="宋体"/>
                <w:szCs w:val="21"/>
              </w:rPr>
            </w:pPr>
            <w:r>
              <w:rPr>
                <w:rFonts w:hint="eastAsia" w:ascii="宋体" w:hAnsi="宋体" w:cs="宋体"/>
                <w:szCs w:val="21"/>
              </w:rPr>
              <w:t>连续放电时间：强光≥4h/工作光≥8h、充电时间＜4h、外形尺寸（外径×长）：</w:t>
            </w:r>
            <w:r>
              <w:rPr>
                <w:rFonts w:hint="eastAsia" w:ascii="宋体" w:hAnsi="宋体" w:cs="宋体"/>
                <w:szCs w:val="21"/>
                <w:lang w:eastAsia="zh-CN"/>
              </w:rPr>
              <w:t>≈</w:t>
            </w:r>
            <w:r>
              <w:rPr>
                <w:rFonts w:hint="eastAsia" w:ascii="宋体" w:hAnsi="宋体" w:cs="宋体"/>
                <w:szCs w:val="21"/>
              </w:rPr>
              <w:t>23.2mm×11</w:t>
            </w:r>
            <w:r>
              <w:rPr>
                <w:rFonts w:hint="eastAsia" w:ascii="宋体" w:hAnsi="宋体" w:cs="宋体"/>
                <w:szCs w:val="21"/>
                <w:lang w:val="en-US" w:eastAsia="zh-CN"/>
              </w:rPr>
              <w:t>5</w:t>
            </w:r>
            <w:r>
              <w:rPr>
                <w:rFonts w:hint="eastAsia" w:ascii="宋体" w:hAnsi="宋体" w:cs="宋体"/>
                <w:szCs w:val="21"/>
              </w:rPr>
              <w:t>.5mm、外壳防护：IP66/IP6</w:t>
            </w:r>
            <w:r>
              <w:rPr>
                <w:rFonts w:hint="eastAsia" w:ascii="宋体" w:hAnsi="宋体" w:cs="宋体"/>
                <w:szCs w:val="21"/>
                <w:lang w:val="en-US" w:eastAsia="zh-CN"/>
              </w:rPr>
              <w:t>8</w:t>
            </w:r>
            <w:r>
              <w:rPr>
                <w:rFonts w:hint="eastAsia" w:ascii="宋体" w:hAnsi="宋体" w:cs="宋体"/>
                <w:szCs w:val="21"/>
              </w:rPr>
              <w:t>、</w:t>
            </w:r>
          </w:p>
          <w:p>
            <w:pPr>
              <w:pStyle w:val="23"/>
              <w:ind w:left="0" w:leftChars="0" w:right="72" w:firstLine="0" w:firstLineChars="0"/>
              <w:jc w:val="left"/>
              <w:rPr>
                <w:rFonts w:hint="eastAsia" w:ascii="宋体" w:hAnsi="宋体" w:cs="宋体"/>
                <w:szCs w:val="21"/>
                <w:lang w:eastAsia="zh-CN"/>
              </w:rPr>
            </w:pPr>
            <w:r>
              <w:rPr>
                <w:rFonts w:hint="eastAsia" w:ascii="宋体" w:hAnsi="宋体" w:cs="宋体"/>
                <w:szCs w:val="21"/>
              </w:rPr>
              <w:t>重量：</w:t>
            </w:r>
            <w:r>
              <w:rPr>
                <w:rFonts w:hint="eastAsia" w:ascii="宋体" w:hAnsi="宋体" w:cs="宋体"/>
                <w:szCs w:val="21"/>
                <w:lang w:val="en-US" w:eastAsia="zh-CN"/>
              </w:rPr>
              <w:t>88</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g</w:t>
            </w:r>
            <w:r>
              <w:rPr>
                <w:rFonts w:hint="eastAsia" w:ascii="宋体" w:hAnsi="宋体" w:cs="宋体"/>
                <w:szCs w:val="21"/>
                <w:lang w:eastAsia="zh-CN"/>
              </w:rPr>
              <w:t>。</w:t>
            </w:r>
          </w:p>
          <w:p>
            <w:pPr>
              <w:pStyle w:val="23"/>
              <w:ind w:left="0" w:leftChars="0" w:right="72" w:firstLine="0" w:firstLineChars="0"/>
              <w:jc w:val="left"/>
              <w:rPr>
                <w:rFonts w:hint="eastAsia" w:ascii="宋体" w:hAnsi="宋体" w:cs="宋体"/>
                <w:b/>
                <w:bCs/>
                <w:szCs w:val="21"/>
                <w:lang w:val="en-US" w:eastAsia="zh-CN"/>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灯具必须有可选</w:t>
            </w:r>
            <w:r>
              <w:rPr>
                <w:rFonts w:hint="eastAsia" w:ascii="宋体" w:hAnsi="宋体" w:cs="宋体"/>
                <w:szCs w:val="21"/>
              </w:rPr>
              <w:t>配</w:t>
            </w:r>
            <w:r>
              <w:rPr>
                <w:rFonts w:hint="eastAsia" w:ascii="宋体" w:hAnsi="宋体" w:cs="宋体"/>
                <w:szCs w:val="21"/>
                <w:lang w:eastAsia="zh-CN"/>
              </w:rPr>
              <w:t>的</w:t>
            </w:r>
            <w:r>
              <w:rPr>
                <w:rFonts w:hint="eastAsia" w:ascii="宋体" w:hAnsi="宋体" w:cs="宋体"/>
                <w:szCs w:val="21"/>
              </w:rPr>
              <w:t>专业集中式充电箱</w:t>
            </w:r>
            <w:r>
              <w:rPr>
                <w:rFonts w:hint="eastAsia" w:ascii="宋体" w:hAnsi="宋体" w:cs="宋体"/>
                <w:szCs w:val="21"/>
                <w:lang w:eastAsia="zh-CN"/>
              </w:rPr>
              <w:t>，</w:t>
            </w:r>
            <w:r>
              <w:rPr>
                <w:rFonts w:hint="eastAsia" w:ascii="宋体" w:hAnsi="宋体" w:cs="宋体"/>
                <w:szCs w:val="21"/>
              </w:rPr>
              <w:t>具备市电及车载充电功能，底座用于放置充电箱，同时充电箱需满足便于手提携带的要求，充电箱应设计有充电指示灯。输入：AC220V/--10-30V、输出：10路5v 1A、外形尺寸（长x宽x高）：</w:t>
            </w:r>
            <w:r>
              <w:rPr>
                <w:rFonts w:hint="eastAsia" w:ascii="宋体" w:hAnsi="宋体" w:cs="宋体"/>
                <w:szCs w:val="21"/>
                <w:lang w:eastAsia="zh-CN"/>
              </w:rPr>
              <w:t>≈（</w:t>
            </w:r>
            <w:r>
              <w:rPr>
                <w:rFonts w:hint="eastAsia" w:ascii="宋体" w:hAnsi="宋体" w:cs="宋体"/>
                <w:szCs w:val="21"/>
              </w:rPr>
              <w:t>300±</w:t>
            </w:r>
            <w:r>
              <w:rPr>
                <w:rFonts w:hint="eastAsia" w:ascii="宋体" w:hAnsi="宋体" w:cs="宋体"/>
                <w:szCs w:val="21"/>
                <w:lang w:val="en-US" w:eastAsia="zh-CN"/>
              </w:rPr>
              <w:t xml:space="preserve">5）mm </w:t>
            </w:r>
            <w:r>
              <w:rPr>
                <w:rFonts w:hint="eastAsia" w:ascii="宋体" w:hAnsi="宋体" w:cs="宋体"/>
                <w:szCs w:val="21"/>
              </w:rPr>
              <w:t>x</w:t>
            </w:r>
            <w:r>
              <w:rPr>
                <w:rFonts w:hint="eastAsia" w:ascii="宋体" w:hAnsi="宋体" w:cs="宋体"/>
                <w:szCs w:val="21"/>
                <w:lang w:val="en-US" w:eastAsia="zh-CN"/>
              </w:rPr>
              <w:t>(</w:t>
            </w:r>
            <w:r>
              <w:rPr>
                <w:rFonts w:hint="eastAsia" w:ascii="宋体" w:hAnsi="宋体" w:cs="宋体"/>
                <w:szCs w:val="21"/>
              </w:rPr>
              <w:t>15</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5)mm</w:t>
            </w:r>
            <w:r>
              <w:rPr>
                <w:rFonts w:hint="eastAsia" w:ascii="宋体" w:hAnsi="宋体" w:cs="宋体"/>
                <w:szCs w:val="21"/>
              </w:rPr>
              <w:t>x</w:t>
            </w:r>
            <w:r>
              <w:rPr>
                <w:rFonts w:hint="eastAsia" w:ascii="宋体" w:hAnsi="宋体" w:cs="宋体"/>
                <w:szCs w:val="21"/>
                <w:lang w:val="en-US" w:eastAsia="zh-CN"/>
              </w:rPr>
              <w:t>(</w:t>
            </w:r>
            <w:r>
              <w:rPr>
                <w:rFonts w:hint="eastAsia" w:ascii="宋体" w:hAnsi="宋体" w:cs="宋体"/>
                <w:szCs w:val="21"/>
              </w:rPr>
              <w:t>17</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mm(不含托盘）、</w:t>
            </w:r>
            <w:r>
              <w:rPr>
                <w:rFonts w:hint="eastAsia" w:ascii="宋体" w:hAnsi="宋体" w:cs="宋体"/>
                <w:szCs w:val="21"/>
                <w:lang w:val="en-US" w:eastAsia="zh-CN"/>
              </w:rPr>
              <w:t>(</w:t>
            </w:r>
            <w:r>
              <w:rPr>
                <w:rFonts w:hint="eastAsia" w:ascii="宋体" w:hAnsi="宋体" w:cs="宋体"/>
                <w:szCs w:val="21"/>
              </w:rPr>
              <w:t>323±</w:t>
            </w:r>
            <w:r>
              <w:rPr>
                <w:rFonts w:hint="eastAsia" w:ascii="宋体" w:hAnsi="宋体" w:cs="宋体"/>
                <w:szCs w:val="21"/>
                <w:lang w:val="en-US" w:eastAsia="zh-CN"/>
              </w:rPr>
              <w:t>5)mm</w:t>
            </w:r>
            <w:r>
              <w:rPr>
                <w:rFonts w:hint="eastAsia" w:ascii="宋体" w:hAnsi="宋体" w:cs="宋体"/>
                <w:szCs w:val="21"/>
              </w:rPr>
              <w:t>x</w:t>
            </w:r>
            <w:r>
              <w:rPr>
                <w:rFonts w:hint="eastAsia" w:ascii="宋体" w:hAnsi="宋体" w:cs="宋体"/>
                <w:szCs w:val="21"/>
                <w:lang w:val="en-US" w:eastAsia="zh-CN"/>
              </w:rPr>
              <w:t>(</w:t>
            </w:r>
            <w:r>
              <w:rPr>
                <w:rFonts w:hint="eastAsia" w:ascii="宋体" w:hAnsi="宋体" w:cs="宋体"/>
                <w:szCs w:val="21"/>
              </w:rPr>
              <w:t>173±</w:t>
            </w:r>
            <w:r>
              <w:rPr>
                <w:rFonts w:hint="eastAsia" w:ascii="宋体" w:hAnsi="宋体" w:cs="宋体"/>
                <w:szCs w:val="21"/>
                <w:lang w:val="en-US" w:eastAsia="zh-CN"/>
              </w:rPr>
              <w:t>5)mm</w:t>
            </w:r>
            <w:r>
              <w:rPr>
                <w:rFonts w:hint="eastAsia" w:ascii="宋体" w:hAnsi="宋体" w:cs="宋体"/>
                <w:szCs w:val="21"/>
              </w:rPr>
              <w:t>x</w:t>
            </w:r>
            <w:r>
              <w:rPr>
                <w:rFonts w:hint="eastAsia" w:ascii="宋体" w:hAnsi="宋体" w:cs="宋体"/>
                <w:szCs w:val="21"/>
                <w:lang w:val="en-US" w:eastAsia="zh-CN"/>
              </w:rPr>
              <w:t>(</w:t>
            </w:r>
            <w:r>
              <w:rPr>
                <w:rFonts w:hint="eastAsia" w:ascii="宋体" w:hAnsi="宋体" w:cs="宋体"/>
                <w:szCs w:val="21"/>
              </w:rPr>
              <w:t>179±5</w:t>
            </w:r>
            <w:r>
              <w:rPr>
                <w:rFonts w:hint="eastAsia" w:ascii="宋体" w:hAnsi="宋体" w:cs="宋体"/>
                <w:szCs w:val="21"/>
                <w:lang w:val="en-US" w:eastAsia="zh-CN"/>
              </w:rPr>
              <w:t>)</w:t>
            </w:r>
            <w:r>
              <w:rPr>
                <w:rFonts w:hint="eastAsia" w:ascii="宋体" w:hAnsi="宋体" w:cs="宋体"/>
                <w:szCs w:val="21"/>
              </w:rPr>
              <w:t>mm(含托盘）、重量（不含托盘）：</w:t>
            </w:r>
            <w:r>
              <w:rPr>
                <w:rFonts w:hint="eastAsia" w:ascii="宋体" w:hAnsi="宋体" w:cs="宋体"/>
                <w:szCs w:val="21"/>
                <w:lang w:val="en-US" w:eastAsia="zh-CN"/>
              </w:rPr>
              <w:t>(</w:t>
            </w:r>
            <w:r>
              <w:rPr>
                <w:rFonts w:hint="eastAsia" w:ascii="宋体" w:hAnsi="宋体" w:cs="宋体"/>
                <w:szCs w:val="21"/>
              </w:rPr>
              <w:t>1.8±</w:t>
            </w:r>
            <w:r>
              <w:rPr>
                <w:rFonts w:hint="eastAsia" w:ascii="宋体" w:hAnsi="宋体" w:cs="宋体"/>
                <w:szCs w:val="21"/>
                <w:lang w:val="en-US" w:eastAsia="zh-CN"/>
              </w:rPr>
              <w:t>0.2)</w:t>
            </w:r>
            <w:r>
              <w:rPr>
                <w:rFonts w:hint="eastAsia" w:ascii="宋体" w:hAnsi="宋体" w:cs="宋体"/>
                <w:szCs w:val="21"/>
              </w:rPr>
              <w:t>kg(不含灯具）。</w:t>
            </w:r>
            <w:r>
              <w:rPr>
                <w:rFonts w:hint="eastAsia" w:ascii="宋体" w:hAnsi="宋体" w:cs="宋体"/>
                <w:b/>
                <w:bCs/>
                <w:szCs w:val="21"/>
                <w:lang w:eastAsia="zh-CN"/>
              </w:rPr>
              <w:t>投标时必须提供有资质的</w:t>
            </w:r>
            <w:r>
              <w:rPr>
                <w:rFonts w:hint="eastAsia" w:ascii="宋体" w:hAnsi="宋体" w:cs="宋体"/>
                <w:b/>
                <w:bCs/>
                <w:szCs w:val="21"/>
                <w:lang w:val="en-US" w:eastAsia="zh-CN"/>
              </w:rPr>
              <w:t>第三方检测机构出具的有效的（</w:t>
            </w:r>
            <w:r>
              <w:rPr>
                <w:rFonts w:hint="eastAsia" w:ascii="宋体" w:hAnsi="宋体" w:cs="宋体"/>
                <w:b/>
                <w:bCs/>
                <w:szCs w:val="21"/>
                <w:lang w:eastAsia="zh-CN"/>
              </w:rPr>
              <w:t>含</w:t>
            </w:r>
            <w:r>
              <w:rPr>
                <w:rFonts w:hint="eastAsia" w:ascii="宋体" w:hAnsi="宋体" w:cs="宋体"/>
                <w:b/>
                <w:bCs/>
                <w:szCs w:val="21"/>
                <w:lang w:val="en-US" w:eastAsia="zh-CN"/>
              </w:rPr>
              <w:t>CMA）标志的第13条“集中式充电箱”检测报告复印件。</w:t>
            </w:r>
          </w:p>
          <w:p>
            <w:pPr>
              <w:pStyle w:val="23"/>
              <w:ind w:left="0" w:leftChars="0" w:right="72" w:firstLine="0" w:firstLineChars="0"/>
              <w:jc w:val="left"/>
              <w:rPr>
                <w:rFonts w:hint="eastAsia" w:ascii="宋体" w:hAnsi="宋体" w:cs="宋体"/>
                <w:szCs w:val="21"/>
              </w:rPr>
            </w:pPr>
            <w:r>
              <w:rPr>
                <w:rFonts w:hint="eastAsia" w:ascii="宋体" w:hAnsi="宋体" w:cs="宋体"/>
                <w:szCs w:val="21"/>
              </w:rPr>
              <w:t>★</w:t>
            </w:r>
            <w:r>
              <w:rPr>
                <w:rFonts w:hint="eastAsia" w:ascii="宋体" w:hAnsi="宋体" w:cs="宋体"/>
                <w:b/>
                <w:bCs/>
                <w:szCs w:val="21"/>
                <w:lang w:val="en-US" w:eastAsia="zh-CN"/>
              </w:rPr>
              <w:t>14、</w:t>
            </w:r>
            <w:r>
              <w:rPr>
                <w:rFonts w:hint="eastAsia" w:ascii="宋体" w:hAnsi="宋体" w:cs="宋体"/>
                <w:b/>
                <w:bCs/>
                <w:szCs w:val="21"/>
                <w:lang w:eastAsia="zh-CN"/>
              </w:rPr>
              <w:t>投标时必须提供所投产品由有资质的</w:t>
            </w:r>
            <w:r>
              <w:rPr>
                <w:rFonts w:hint="eastAsia" w:ascii="宋体" w:hAnsi="宋体" w:cs="宋体"/>
                <w:b/>
                <w:bCs/>
                <w:szCs w:val="21"/>
                <w:lang w:val="en-US" w:eastAsia="zh-CN"/>
              </w:rPr>
              <w:t>第三方检测机构出具的有效的检测报告复印件及防爆合格证复印件。</w:t>
            </w: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30</w:t>
            </w:r>
          </w:p>
        </w:tc>
        <w:tc>
          <w:tcPr>
            <w:tcW w:w="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rPr>
            </w:pPr>
            <w:r>
              <w:rPr>
                <w:rFonts w:hint="eastAsia"/>
              </w:rPr>
              <w:t>支</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rPr>
                <w:rFonts w:hint="eastAsia"/>
              </w:rPr>
            </w:pPr>
            <w:r>
              <w:rPr>
                <w:rFonts w:hint="eastAsia"/>
              </w:rPr>
              <w:t>650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eastAsia="宋体" w:cs="宋体"/>
                <w:color w:val="auto"/>
                <w:kern w:val="0"/>
                <w:sz w:val="21"/>
                <w:szCs w:val="21"/>
              </w:rPr>
            </w:pPr>
            <w:r>
              <w:rPr>
                <w:rFonts w:hint="eastAsia" w:ascii="宋体" w:hAnsi="宋体" w:eastAsia="宋体" w:cs="宋体"/>
                <w:sz w:val="21"/>
                <w:szCs w:val="21"/>
              </w:rPr>
              <w:t>12</w:t>
            </w:r>
          </w:p>
        </w:tc>
        <w:tc>
          <w:tcPr>
            <w:tcW w:w="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76" w:lineRule="auto"/>
              <w:jc w:val="center"/>
              <w:rPr>
                <w:rFonts w:hint="eastAsia" w:ascii="宋体" w:hAnsi="宋体" w:eastAsia="宋体" w:cs="宋体"/>
                <w:color w:val="auto"/>
                <w:kern w:val="0"/>
                <w:sz w:val="21"/>
                <w:szCs w:val="21"/>
              </w:rPr>
            </w:pPr>
            <w:r>
              <w:rPr>
                <w:rFonts w:hint="eastAsia" w:ascii="宋体" w:hAnsi="宋体" w:eastAsia="宋体" w:cs="宋体"/>
                <w:sz w:val="21"/>
                <w:szCs w:val="21"/>
              </w:rPr>
              <w:t>多功能防爆手提灯</w:t>
            </w:r>
          </w:p>
        </w:tc>
        <w:tc>
          <w:tcPr>
            <w:tcW w:w="63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ind w:left="0" w:leftChars="0" w:right="72"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防爆标志：</w:t>
            </w:r>
            <w:r>
              <w:rPr>
                <w:rFonts w:hint="eastAsia" w:ascii="宋体" w:hAnsi="宋体" w:eastAsia="宋体" w:cs="宋体"/>
                <w:color w:val="000000"/>
                <w:sz w:val="21"/>
                <w:szCs w:val="21"/>
              </w:rPr>
              <w:t>Ex dia IIC T6 Gb。</w:t>
            </w:r>
          </w:p>
          <w:p>
            <w:pPr>
              <w:keepNext/>
              <w:ind w:right="-120" w:rightChars="-50"/>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color w:val="000000"/>
                <w:sz w:val="21"/>
                <w:szCs w:val="21"/>
              </w:rPr>
              <w:t>专业密封设计，灯具的外壳防护等级应为GB/T4208—2008规定的IP66/IP68的要求,灯具的潜水深度1.5M,持续时间不少于1h。</w:t>
            </w:r>
          </w:p>
          <w:p>
            <w:pPr>
              <w:keepNext/>
              <w:ind w:right="-120" w:rightChars="-50"/>
              <w:jc w:val="left"/>
              <w:rPr>
                <w:rFonts w:hint="eastAsia" w:ascii="宋体" w:hAnsi="宋体" w:eastAsia="宋体" w:cs="宋体"/>
                <w:color w:val="000000"/>
                <w:sz w:val="21"/>
                <w:szCs w:val="21"/>
              </w:rPr>
            </w:pPr>
            <w:r>
              <w:rPr>
                <w:rFonts w:hint="eastAsia" w:ascii="宋体" w:hAnsi="宋体" w:eastAsia="宋体" w:cs="宋体"/>
                <w:color w:val="000000"/>
                <w:sz w:val="21"/>
                <w:szCs w:val="21"/>
              </w:rPr>
              <w:t>3、产品设计有冷暖可调功能，使用中可根据现场需要进行黄光和白光的切换，满足不同场所的使用需求。灯具尾部设计高穿透性、高可视性能的方位灯。</w:t>
            </w:r>
          </w:p>
          <w:p>
            <w:pPr>
              <w:snapToGrid w:val="0"/>
              <w:jc w:val="left"/>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4、聚光强光初始照度：距光源5米处平均照度不低于650lx。</w:t>
            </w:r>
          </w:p>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5、多种照明警示模式，产品主照明采用聚光设计，用于日常照明搜索等，同时灯体侧面设计有侧发光模组，侧发光模组采用泛光设计，用于现场工作照明，同时灯具侧面设计有红蓝警示功能，开启可对现场进行警示保护。</w:t>
            </w:r>
          </w:p>
          <w:p>
            <w:pPr>
              <w:keepNext/>
              <w:ind w:right="-120" w:rightChars="-50"/>
              <w:jc w:val="left"/>
              <w:rPr>
                <w:rFonts w:hint="eastAsia" w:ascii="宋体" w:hAnsi="宋体" w:eastAsia="宋体" w:cs="宋体"/>
                <w:color w:val="000000"/>
                <w:sz w:val="21"/>
                <w:szCs w:val="21"/>
              </w:rPr>
            </w:pPr>
            <w:r>
              <w:rPr>
                <w:rFonts w:hint="eastAsia" w:ascii="宋体" w:hAnsi="宋体" w:eastAsia="宋体" w:cs="宋体"/>
                <w:color w:val="000000"/>
                <w:sz w:val="21"/>
                <w:szCs w:val="21"/>
              </w:rPr>
              <w:t>6、灯具采用全新快充技术，快充模式下≤3小时可以充满电；提升灯具的应急保障和续航能力。灯具内部电路设计具有防止过充、过放、短路保护功能。</w:t>
            </w:r>
          </w:p>
          <w:p>
            <w:pPr>
              <w:keepNext/>
              <w:ind w:right="-120" w:rightChars="-50"/>
              <w:jc w:val="left"/>
              <w:rPr>
                <w:rFonts w:hint="eastAsia" w:ascii="宋体" w:hAnsi="宋体" w:eastAsia="宋体" w:cs="宋体"/>
                <w:color w:val="000000"/>
                <w:sz w:val="21"/>
                <w:szCs w:val="21"/>
              </w:rPr>
            </w:pPr>
            <w:r>
              <w:rPr>
                <w:rFonts w:hint="eastAsia" w:ascii="宋体" w:hAnsi="宋体" w:eastAsia="宋体" w:cs="宋体"/>
                <w:color w:val="000000"/>
                <w:sz w:val="21"/>
                <w:szCs w:val="21"/>
              </w:rPr>
              <w:t>7、在灯具上设计有清晰的电量显示装置，通过4段式显示能够实时呈现灯具现有电量。</w:t>
            </w:r>
          </w:p>
          <w:p>
            <w:pPr>
              <w:keepNext/>
              <w:ind w:right="-120" w:rightChars="-50"/>
              <w:jc w:val="left"/>
              <w:rPr>
                <w:rFonts w:hint="eastAsia" w:ascii="宋体" w:hAnsi="宋体" w:eastAsia="宋体" w:cs="宋体"/>
                <w:color w:val="000000"/>
                <w:sz w:val="21"/>
                <w:szCs w:val="21"/>
              </w:rPr>
            </w:pPr>
            <w:r>
              <w:rPr>
                <w:rFonts w:hint="eastAsia" w:ascii="宋体" w:hAnsi="宋体" w:eastAsia="宋体" w:cs="宋体"/>
                <w:color w:val="000000"/>
                <w:sz w:val="21"/>
                <w:szCs w:val="21"/>
              </w:rPr>
              <w:t>8、基本参数：</w:t>
            </w:r>
          </w:p>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8.1电池额定电压：DC22.2V、电池额定容量：2.5Ah</w:t>
            </w:r>
          </w:p>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8.2光源功率：2*12W（双光型）6W（泛光）</w:t>
            </w:r>
          </w:p>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8.3连续稳定工作时间：聚光工作光≥10h，</w:t>
            </w:r>
          </w:p>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泛光强光单侧≥8h；泛光强光双侧光≥4h，</w:t>
            </w:r>
          </w:p>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泛光工作光单侧≥16h；泛光工作光双侧光≥8h；</w:t>
            </w:r>
          </w:p>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8.4重量：1.2（±0.1）kg；</w:t>
            </w:r>
          </w:p>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8.5外形尺寸：（70±3）×（190±3）mm；</w:t>
            </w:r>
          </w:p>
          <w:p>
            <w:pPr>
              <w:pStyle w:val="13"/>
              <w:ind w:left="0" w:leftChars="0" w:right="72"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▲9、强光照明时间：在完全充满电状态下，强光模式放电时间不少于300min。</w:t>
            </w:r>
          </w:p>
          <w:p>
            <w:pPr>
              <w:pStyle w:val="13"/>
              <w:ind w:left="0" w:leftChars="0" w:right="72" w:firstLine="0" w:firstLineChars="0"/>
              <w:jc w:val="left"/>
              <w:rPr>
                <w:rFonts w:hint="eastAsia" w:ascii="宋体" w:hAnsi="宋体" w:eastAsia="宋体" w:cs="宋体"/>
                <w:color w:val="FF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10、抗跌落性能，在高度1m处跌落试验，试验后，灯具无机械损伤和紧固件松动现象，且能正常进行开、关和强、弱切换。</w:t>
            </w:r>
          </w:p>
          <w:p>
            <w:pPr>
              <w:pStyle w:val="13"/>
              <w:ind w:left="0" w:leftChars="0" w:right="72" w:firstLine="0" w:firstLineChars="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11、在高温70℃，低温-40℃环境下连续贮存16h，试验后，灯具能正常进行开、关和强、弱光切换</w:t>
            </w:r>
            <w:r>
              <w:rPr>
                <w:rFonts w:hint="eastAsia" w:ascii="宋体" w:hAnsi="宋体" w:cs="宋体"/>
                <w:color w:val="000000"/>
                <w:sz w:val="21"/>
                <w:szCs w:val="21"/>
                <w:lang w:eastAsia="zh-CN"/>
              </w:rPr>
              <w:t>。</w:t>
            </w:r>
          </w:p>
          <w:p>
            <w:pPr>
              <w:pStyle w:val="13"/>
              <w:ind w:left="0" w:leftChars="0" w:right="72"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12、低电压状态下连续工作时间强光≥15min，弱光≥30min；具有低电量警示功能，当电量低于10%时，会自动频闪15次，灯具的低电压报警时间应为10s～20s。</w:t>
            </w:r>
          </w:p>
          <w:p>
            <w:pPr>
              <w:pStyle w:val="13"/>
              <w:ind w:left="0" w:leftChars="0" w:right="72" w:firstLine="0" w:firstLineChars="0"/>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sz w:val="21"/>
                <w:szCs w:val="21"/>
              </w:rPr>
              <w:t>▲</w:t>
            </w:r>
            <w:r>
              <w:rPr>
                <w:rFonts w:hint="eastAsia" w:ascii="宋体" w:hAnsi="宋体" w:eastAsia="宋体" w:cs="宋体"/>
                <w:color w:val="000000"/>
                <w:sz w:val="21"/>
                <w:szCs w:val="21"/>
              </w:rPr>
              <w:t>13、抗振动性能：灯具必须通过频率循环范围10-150Hz,加速幅值1g，扫频速率1Oct/min,振动方向为X、Y、Z，每轴线扫描循环次数10的抗振动性能试验，试验后，灯具无机械损伤和紧固件松动现象，且能可以正常进行开、关和强、弱光切换。灯具的抗振性能达到合格。</w:t>
            </w: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p>
        </w:tc>
        <w:tc>
          <w:tcPr>
            <w:tcW w:w="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jc w:val="center"/>
              <w:rPr>
                <w:rFonts w:hint="eastAsia" w:eastAsia="宋体"/>
                <w:lang w:eastAsia="zh-CN"/>
              </w:rPr>
            </w:pPr>
            <w:r>
              <w:rPr>
                <w:rFonts w:hint="eastAsia"/>
                <w:lang w:eastAsia="zh-CN"/>
              </w:rPr>
              <w:t>支</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jc w:val="center"/>
              <w:rPr>
                <w:rFonts w:hint="eastAsia"/>
                <w:lang w:eastAsia="zh-CN"/>
              </w:rPr>
            </w:pPr>
            <w:r>
              <w:rPr>
                <w:rFonts w:hint="eastAsia"/>
              </w:rPr>
              <w:t>2625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5" w:hRule="atLeast"/>
          <w:jc w:val="center"/>
        </w:trPr>
        <w:tc>
          <w:tcPr>
            <w:tcW w:w="6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13</w:t>
            </w:r>
          </w:p>
        </w:tc>
        <w:tc>
          <w:tcPr>
            <w:tcW w:w="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户外强光手电筒</w:t>
            </w:r>
          </w:p>
        </w:tc>
        <w:tc>
          <w:tcPr>
            <w:tcW w:w="63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宋体" w:hAnsi="宋体" w:eastAsia="宋体" w:cs="宋体"/>
                <w:sz w:val="21"/>
                <w:szCs w:val="21"/>
                <w:shd w:val="clear" w:color="auto" w:fill="FFFFFF"/>
                <w:lang w:eastAsia="zh-CN"/>
              </w:rPr>
            </w:pPr>
            <w:r>
              <w:rPr>
                <w:rFonts w:hint="eastAsia" w:ascii="宋体" w:hAnsi="宋体" w:cs="宋体"/>
                <w:sz w:val="21"/>
                <w:szCs w:val="21"/>
                <w:shd w:val="clear" w:color="auto" w:fill="FFFFFF"/>
              </w:rPr>
              <w:t>1、采用新型节能电路设计,照射距离达350米以上,光源使用寿命长达10万小时,照明时间超长可达16小时</w:t>
            </w:r>
            <w:r>
              <w:rPr>
                <w:rFonts w:hint="eastAsia" w:ascii="宋体" w:hAnsi="宋体" w:cs="宋体"/>
                <w:sz w:val="21"/>
                <w:szCs w:val="21"/>
                <w:shd w:val="clear" w:color="auto" w:fill="FFFFFF"/>
                <w:lang w:eastAsia="zh-CN"/>
              </w:rPr>
              <w:t>；</w:t>
            </w:r>
          </w:p>
          <w:p>
            <w:pPr>
              <w:jc w:val="left"/>
              <w:rPr>
                <w:rFonts w:hint="eastAsia" w:ascii="宋体" w:hAnsi="宋体" w:eastAsia="宋体" w:cs="宋体"/>
                <w:sz w:val="21"/>
                <w:szCs w:val="21"/>
                <w:shd w:val="clear" w:color="auto" w:fill="FFFFFF"/>
                <w:lang w:eastAsia="zh-CN"/>
              </w:rPr>
            </w:pPr>
            <w:r>
              <w:rPr>
                <w:rFonts w:hint="eastAsia" w:ascii="宋体" w:hAnsi="宋体" w:cs="宋体"/>
                <w:sz w:val="21"/>
                <w:szCs w:val="21"/>
                <w:shd w:val="clear" w:color="auto" w:fill="FFFFFF"/>
              </w:rPr>
              <w:t>2、产品可调光、具有强光、弱光</w:t>
            </w:r>
            <w:r>
              <w:rPr>
                <w:rFonts w:hint="eastAsia" w:ascii="宋体" w:hAnsi="宋体" w:cs="宋体"/>
                <w:sz w:val="21"/>
                <w:szCs w:val="21"/>
                <w:shd w:val="clear" w:color="auto" w:fill="FFFFFF"/>
                <w:lang w:eastAsia="zh-CN"/>
              </w:rPr>
              <w:t>、</w:t>
            </w:r>
            <w:r>
              <w:rPr>
                <w:rFonts w:hint="eastAsia" w:ascii="宋体" w:hAnsi="宋体" w:cs="宋体"/>
                <w:sz w:val="21"/>
                <w:szCs w:val="21"/>
                <w:shd w:val="clear" w:color="auto" w:fill="FFFFFF"/>
              </w:rPr>
              <w:t>微光、爆闪、SOS五种模式,轻触尾部开关换挡。开关在经受25000次的开关寿命测试后,开关功能正常</w:t>
            </w:r>
            <w:r>
              <w:rPr>
                <w:rFonts w:hint="eastAsia" w:ascii="宋体" w:hAnsi="宋体" w:cs="宋体"/>
                <w:sz w:val="21"/>
                <w:szCs w:val="21"/>
                <w:shd w:val="clear" w:color="auto" w:fill="FFFFFF"/>
                <w:lang w:eastAsia="zh-CN"/>
              </w:rPr>
              <w:t>；</w:t>
            </w:r>
          </w:p>
          <w:p>
            <w:pPr>
              <w:jc w:val="left"/>
              <w:rPr>
                <w:rFonts w:hint="eastAsia" w:ascii="宋体" w:hAnsi="宋体" w:eastAsia="宋体" w:cs="宋体"/>
                <w:sz w:val="21"/>
                <w:szCs w:val="21"/>
                <w:shd w:val="clear" w:color="auto" w:fill="FFFFFF"/>
                <w:lang w:eastAsia="zh-CN"/>
              </w:rPr>
            </w:pPr>
            <w:r>
              <w:rPr>
                <w:rFonts w:hint="eastAsia" w:ascii="宋体" w:hAnsi="宋体" w:cs="宋体"/>
                <w:sz w:val="21"/>
                <w:szCs w:val="21"/>
                <w:shd w:val="clear" w:color="auto" w:fill="FFFFFF"/>
              </w:rPr>
              <w:t>3、外壳采用铝合金CNC加工,配备P50 LED光源,亚克力光杯</w:t>
            </w:r>
            <w:r>
              <w:rPr>
                <w:rFonts w:hint="eastAsia" w:ascii="宋体" w:hAnsi="宋体" w:cs="宋体"/>
                <w:sz w:val="21"/>
                <w:szCs w:val="21"/>
                <w:shd w:val="clear" w:color="auto" w:fill="FFFFFF"/>
                <w:lang w:eastAsia="zh-CN"/>
              </w:rPr>
              <w:t>；</w:t>
            </w:r>
          </w:p>
          <w:p>
            <w:pPr>
              <w:jc w:val="left"/>
              <w:rPr>
                <w:rFonts w:hint="eastAsia" w:ascii="宋体" w:hAnsi="宋体" w:eastAsia="宋体" w:cs="宋体"/>
                <w:sz w:val="21"/>
                <w:szCs w:val="21"/>
                <w:shd w:val="clear" w:color="auto" w:fill="FFFFFF"/>
                <w:lang w:eastAsia="zh-CN"/>
              </w:rPr>
            </w:pPr>
            <w:r>
              <w:rPr>
                <w:rFonts w:hint="eastAsia" w:ascii="宋体" w:hAnsi="宋体" w:cs="宋体"/>
                <w:sz w:val="21"/>
                <w:szCs w:val="21"/>
                <w:shd w:val="clear" w:color="auto" w:fill="FFFFFF"/>
              </w:rPr>
              <w:t>4、产品坚固耐用,不带包装应能承受1m高度从任意角度跌落到水平混凝土地面4次,电池不应脱落,且不能产生影响功能的变形或损坏</w:t>
            </w:r>
            <w:r>
              <w:rPr>
                <w:rFonts w:hint="eastAsia" w:ascii="宋体" w:hAnsi="宋体" w:cs="宋体"/>
                <w:sz w:val="21"/>
                <w:szCs w:val="21"/>
                <w:shd w:val="clear" w:color="auto" w:fill="FFFFFF"/>
                <w:lang w:eastAsia="zh-CN"/>
              </w:rPr>
              <w:t>；</w:t>
            </w:r>
          </w:p>
          <w:p>
            <w:pPr>
              <w:jc w:val="left"/>
              <w:rPr>
                <w:rFonts w:hint="eastAsia" w:ascii="宋体" w:hAnsi="宋体" w:eastAsia="宋体" w:cs="宋体"/>
                <w:sz w:val="21"/>
                <w:szCs w:val="21"/>
                <w:shd w:val="clear" w:color="auto" w:fill="FFFFFF"/>
                <w:lang w:eastAsia="zh-CN"/>
              </w:rPr>
            </w:pPr>
            <w:r>
              <w:rPr>
                <w:rFonts w:hint="eastAsia" w:ascii="宋体" w:hAnsi="宋体" w:cs="宋体"/>
                <w:sz w:val="21"/>
                <w:szCs w:val="21"/>
                <w:shd w:val="clear" w:color="auto" w:fill="FFFFFF"/>
              </w:rPr>
              <w:t xml:space="preserve">5、电池为26650高能锂电池,电池额定容量: </w:t>
            </w:r>
            <w:r>
              <w:rPr>
                <w:rFonts w:hint="eastAsia" w:ascii="宋体" w:hAnsi="宋体" w:cs="宋体"/>
                <w:sz w:val="21"/>
                <w:szCs w:val="21"/>
                <w:shd w:val="clear" w:color="auto" w:fill="FFFFFF"/>
                <w:lang w:val="en-US" w:eastAsia="zh-CN"/>
              </w:rPr>
              <w:t>4800</w:t>
            </w:r>
            <w:r>
              <w:rPr>
                <w:rFonts w:hint="eastAsia" w:ascii="宋体" w:hAnsi="宋体" w:cs="宋体"/>
                <w:sz w:val="21"/>
                <w:szCs w:val="21"/>
                <w:shd w:val="clear" w:color="auto" w:fill="FFFFFF"/>
              </w:rPr>
              <w:t>mAh。额定功率</w:t>
            </w:r>
            <w:r>
              <w:rPr>
                <w:rFonts w:hint="eastAsia" w:ascii="宋体" w:hAnsi="宋体" w:cs="宋体"/>
                <w:sz w:val="21"/>
                <w:szCs w:val="21"/>
                <w:shd w:val="clear" w:color="auto" w:fill="FFFFFF"/>
                <w:lang w:eastAsia="zh-CN"/>
              </w:rPr>
              <w:t>：</w:t>
            </w:r>
            <w:r>
              <w:rPr>
                <w:rFonts w:hint="eastAsia" w:ascii="宋体" w:hAnsi="宋体" w:cs="宋体"/>
                <w:sz w:val="21"/>
                <w:szCs w:val="21"/>
                <w:shd w:val="clear" w:color="auto" w:fill="FFFFFF"/>
              </w:rPr>
              <w:t>5w</w:t>
            </w:r>
            <w:r>
              <w:rPr>
                <w:rFonts w:hint="eastAsia" w:ascii="宋体" w:hAnsi="宋体" w:cs="宋体"/>
                <w:sz w:val="21"/>
                <w:szCs w:val="21"/>
                <w:shd w:val="clear" w:color="auto" w:fill="FFFFFF"/>
                <w:lang w:eastAsia="zh-CN"/>
              </w:rPr>
              <w:t>；</w:t>
            </w:r>
          </w:p>
          <w:p>
            <w:pPr>
              <w:jc w:val="left"/>
              <w:rPr>
                <w:rFonts w:hint="eastAsia" w:ascii="宋体" w:hAnsi="宋体" w:eastAsia="宋体" w:cs="宋体"/>
                <w:sz w:val="21"/>
                <w:szCs w:val="21"/>
                <w:shd w:val="clear" w:color="auto" w:fill="FFFFFF"/>
                <w:lang w:eastAsia="zh-CN"/>
              </w:rPr>
            </w:pPr>
            <w:r>
              <w:rPr>
                <w:rFonts w:hint="eastAsia" w:ascii="宋体" w:hAnsi="宋体" w:cs="宋体"/>
                <w:sz w:val="21"/>
                <w:szCs w:val="21"/>
                <w:shd w:val="clear" w:color="auto" w:fill="FFFFFF"/>
              </w:rPr>
              <w:t>6、光通量:强光亮度达3500lm,工作光100lm</w:t>
            </w:r>
            <w:r>
              <w:rPr>
                <w:rFonts w:hint="eastAsia" w:ascii="宋体" w:hAnsi="宋体" w:cs="宋体"/>
                <w:sz w:val="21"/>
                <w:szCs w:val="21"/>
                <w:shd w:val="clear" w:color="auto" w:fill="FFFFFF"/>
                <w:lang w:eastAsia="zh-CN"/>
              </w:rPr>
              <w:t>；</w:t>
            </w:r>
          </w:p>
          <w:p>
            <w:pPr>
              <w:jc w:val="left"/>
              <w:rPr>
                <w:rFonts w:hint="eastAsia" w:ascii="宋体" w:hAnsi="宋体" w:cs="宋体"/>
                <w:sz w:val="21"/>
                <w:szCs w:val="21"/>
                <w:shd w:val="clear" w:color="auto" w:fill="FFFFFF"/>
                <w:lang w:eastAsia="zh-CN"/>
              </w:rPr>
            </w:pPr>
            <w:r>
              <w:rPr>
                <w:rFonts w:hint="eastAsia" w:ascii="宋体" w:hAnsi="宋体" w:cs="宋体"/>
                <w:sz w:val="21"/>
                <w:szCs w:val="21"/>
                <w:shd w:val="clear" w:color="auto" w:fill="FFFFFF"/>
              </w:rPr>
              <w:t>7、充电时间(完全放电条件下) &lt;5小时</w:t>
            </w:r>
            <w:r>
              <w:rPr>
                <w:rFonts w:hint="eastAsia" w:ascii="宋体" w:hAnsi="宋体" w:cs="宋体"/>
                <w:sz w:val="21"/>
                <w:szCs w:val="21"/>
                <w:shd w:val="clear" w:color="auto" w:fill="FFFFFF"/>
                <w:lang w:eastAsia="zh-CN"/>
              </w:rPr>
              <w:t>；</w:t>
            </w:r>
          </w:p>
          <w:p>
            <w:pPr>
              <w:jc w:val="left"/>
              <w:rPr>
                <w:rFonts w:hint="eastAsia" w:ascii="宋体" w:hAnsi="宋体" w:eastAsia="宋体" w:cs="宋体"/>
                <w:sz w:val="21"/>
                <w:szCs w:val="21"/>
                <w:shd w:val="clear" w:color="auto" w:fill="FFFFFF"/>
                <w:lang w:eastAsia="zh-CN"/>
              </w:rPr>
            </w:pPr>
            <w:r>
              <w:rPr>
                <w:rFonts w:hint="eastAsia" w:ascii="宋体" w:hAnsi="宋体" w:cs="宋体"/>
                <w:sz w:val="21"/>
                <w:szCs w:val="21"/>
                <w:shd w:val="clear" w:color="auto" w:fill="FFFFFF"/>
              </w:rPr>
              <w:t>8、灯具照度:强光&gt;11000Lx、工作光&gt;2600L.x</w:t>
            </w:r>
            <w:r>
              <w:rPr>
                <w:rFonts w:hint="eastAsia" w:ascii="宋体" w:hAnsi="宋体" w:cs="宋体"/>
                <w:sz w:val="21"/>
                <w:szCs w:val="21"/>
                <w:shd w:val="clear" w:color="auto" w:fill="FFFFFF"/>
                <w:lang w:eastAsia="zh-CN"/>
              </w:rPr>
              <w:t>；</w:t>
            </w:r>
          </w:p>
          <w:p>
            <w:pPr>
              <w:jc w:val="left"/>
              <w:rPr>
                <w:rFonts w:hint="eastAsia" w:ascii="宋体" w:hAnsi="宋体" w:cs="宋体"/>
                <w:sz w:val="21"/>
                <w:szCs w:val="21"/>
                <w:shd w:val="clear" w:color="auto" w:fill="FFFFFF"/>
                <w:lang w:eastAsia="zh-CN"/>
              </w:rPr>
            </w:pPr>
            <w:r>
              <w:rPr>
                <w:rFonts w:hint="eastAsia" w:ascii="宋体" w:hAnsi="宋体" w:cs="宋体"/>
                <w:sz w:val="21"/>
                <w:szCs w:val="21"/>
                <w:shd w:val="clear" w:color="auto" w:fill="FFFFFF"/>
              </w:rPr>
              <w:t>9、灯具连续放电时间:工作光16h、强光6h</w:t>
            </w:r>
            <w:r>
              <w:rPr>
                <w:rFonts w:hint="eastAsia" w:ascii="宋体" w:hAnsi="宋体" w:cs="宋体"/>
                <w:sz w:val="21"/>
                <w:szCs w:val="21"/>
                <w:shd w:val="clear" w:color="auto" w:fill="FFFFFF"/>
                <w:lang w:eastAsia="zh-CN"/>
              </w:rPr>
              <w:t>；</w:t>
            </w:r>
          </w:p>
          <w:p>
            <w:pPr>
              <w:jc w:val="left"/>
              <w:rPr>
                <w:rFonts w:hint="eastAsia" w:ascii="宋体" w:hAnsi="宋体" w:eastAsia="宋体" w:cs="宋体"/>
                <w:sz w:val="21"/>
                <w:szCs w:val="21"/>
                <w:shd w:val="clear" w:color="auto" w:fill="FFFFFF"/>
                <w:lang w:eastAsia="zh-CN"/>
              </w:rPr>
            </w:pPr>
            <w:r>
              <w:rPr>
                <w:rFonts w:hint="eastAsia" w:ascii="宋体" w:hAnsi="宋体" w:cs="宋体"/>
                <w:sz w:val="21"/>
                <w:szCs w:val="21"/>
                <w:shd w:val="clear" w:color="auto" w:fill="FFFFFF"/>
              </w:rPr>
              <w:t>10、灯具外壳防护等级：IP54(标文件提供需第三方检验报告证明复印件)</w:t>
            </w:r>
            <w:r>
              <w:rPr>
                <w:rFonts w:hint="eastAsia" w:ascii="宋体" w:hAnsi="宋体" w:cs="宋体"/>
                <w:sz w:val="21"/>
                <w:szCs w:val="21"/>
                <w:shd w:val="clear" w:color="auto" w:fill="FFFFFF"/>
                <w:lang w:eastAsia="zh-CN"/>
              </w:rPr>
              <w:t>；</w:t>
            </w:r>
          </w:p>
          <w:p>
            <w:pPr>
              <w:jc w:val="left"/>
              <w:rPr>
                <w:rFonts w:hint="eastAsia" w:ascii="宋体" w:hAnsi="宋体" w:eastAsia="宋体" w:cs="宋体"/>
                <w:sz w:val="21"/>
                <w:szCs w:val="21"/>
                <w:shd w:val="clear" w:color="auto" w:fill="FFFFFF"/>
                <w:lang w:eastAsia="zh-CN"/>
              </w:rPr>
            </w:pPr>
            <w:r>
              <w:rPr>
                <w:rFonts w:hint="eastAsia" w:ascii="宋体" w:hAnsi="宋体" w:cs="宋体"/>
                <w:sz w:val="21"/>
                <w:szCs w:val="21"/>
                <w:shd w:val="clear" w:color="auto" w:fill="FFFFFF"/>
              </w:rPr>
              <w:t>11、防水按键开关设计，轻触切换档位，带电量显示</w:t>
            </w:r>
            <w:r>
              <w:rPr>
                <w:rFonts w:hint="eastAsia" w:ascii="宋体" w:hAnsi="宋体" w:cs="宋体"/>
                <w:sz w:val="21"/>
                <w:szCs w:val="21"/>
                <w:shd w:val="clear" w:color="auto" w:fill="FFFFFF"/>
                <w:lang w:eastAsia="zh-CN"/>
              </w:rPr>
              <w:t>；</w:t>
            </w:r>
          </w:p>
          <w:p>
            <w:pPr>
              <w:pStyle w:val="23"/>
              <w:ind w:left="0" w:leftChars="0" w:right="72" w:rightChars="30" w:firstLine="0" w:firstLineChars="0"/>
              <w:jc w:val="left"/>
              <w:rPr>
                <w:rFonts w:hint="eastAsia" w:ascii="宋体" w:hAnsi="宋体" w:eastAsia="宋体" w:cs="宋体"/>
                <w:kern w:val="2"/>
                <w:sz w:val="21"/>
                <w:szCs w:val="21"/>
                <w:lang w:val="en-US" w:eastAsia="zh-CN" w:bidi="ar-SA"/>
              </w:rPr>
            </w:pPr>
            <w:r>
              <w:rPr>
                <w:rFonts w:hint="eastAsia" w:ascii="宋体" w:hAnsi="宋体" w:cs="宋体"/>
                <w:sz w:val="21"/>
                <w:szCs w:val="21"/>
                <w:shd w:val="clear" w:color="auto" w:fill="FFFFFF"/>
              </w:rPr>
              <w:t>12、外观尺寸（约）：φ（46±1）mm*（168±1）mm，整灯重量（约）246±15g（含电池）</w:t>
            </w:r>
            <w:r>
              <w:rPr>
                <w:rFonts w:hint="eastAsia" w:ascii="宋体" w:hAnsi="宋体" w:cs="宋体"/>
                <w:sz w:val="21"/>
                <w:szCs w:val="21"/>
                <w:shd w:val="clear" w:color="auto" w:fill="FFFFFF"/>
                <w:lang w:eastAsia="zh-CN"/>
              </w:rPr>
              <w:t>。</w:t>
            </w: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500</w:t>
            </w:r>
          </w:p>
        </w:tc>
        <w:tc>
          <w:tcPr>
            <w:tcW w:w="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jc w:val="center"/>
              <w:rPr>
                <w:rFonts w:hint="eastAsia" w:eastAsia="宋体"/>
                <w:lang w:val="en-US" w:eastAsia="zh-CN"/>
              </w:rPr>
            </w:pPr>
            <w:r>
              <w:rPr>
                <w:rFonts w:hint="eastAsia"/>
                <w:lang w:val="en-US" w:eastAsia="zh-CN"/>
              </w:rPr>
              <w:t>支</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jc w:val="center"/>
              <w:rPr>
                <w:rFonts w:hint="eastAsia"/>
                <w:lang w:val="en-US" w:eastAsia="zh-CN"/>
              </w:rPr>
            </w:pPr>
            <w:r>
              <w:rPr>
                <w:rFonts w:hint="eastAsia"/>
              </w:rPr>
              <w:t>140</w:t>
            </w:r>
          </w:p>
        </w:tc>
      </w:tr>
    </w:tbl>
    <w:p>
      <w:pPr>
        <w:pStyle w:val="11"/>
        <w:keepNext w:val="0"/>
        <w:keepLines w:val="0"/>
        <w:pageBreakBefore w:val="0"/>
        <w:widowControl/>
        <w:kinsoku/>
        <w:wordWrap/>
        <w:overflowPunct/>
        <w:topLinePunct w:val="0"/>
        <w:autoSpaceDE/>
        <w:autoSpaceDN/>
        <w:bidi w:val="0"/>
        <w:adjustRightInd/>
        <w:snapToGrid/>
        <w:spacing w:line="340" w:lineRule="exact"/>
        <w:ind w:firstLine="420"/>
        <w:textAlignment w:val="auto"/>
        <w:rPr>
          <w:rFonts w:hint="eastAsia" w:ascii="宋体" w:hAnsi="宋体" w:eastAsia="宋体" w:cs="宋体"/>
          <w:b w:val="0"/>
          <w:bCs w:val="0"/>
          <w:color w:val="auto"/>
          <w:sz w:val="21"/>
          <w:szCs w:val="21"/>
          <w:highlight w:val="none"/>
          <w:lang w:val="en-US" w:eastAsia="zh-CN"/>
        </w:rPr>
      </w:pPr>
    </w:p>
    <w:tbl>
      <w:tblPr>
        <w:tblStyle w:val="25"/>
        <w:tblW w:w="10177" w:type="dxa"/>
        <w:tblInd w:w="-8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7" w:type="dxa"/>
            <w:vAlign w:val="center"/>
          </w:tcPr>
          <w:p>
            <w:pPr>
              <w:pStyle w:val="2"/>
              <w:jc w:val="left"/>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177" w:type="dxa"/>
            <w:vAlign w:val="center"/>
          </w:tcPr>
          <w:p>
            <w:pPr>
              <w:pStyle w:val="2"/>
              <w:jc w:val="left"/>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售后服务要求</w:t>
            </w:r>
          </w:p>
          <w:p>
            <w:pPr>
              <w:widowControl w:val="0"/>
              <w:spacing w:line="360" w:lineRule="exact"/>
              <w:jc w:val="left"/>
              <w:rPr>
                <w:rFonts w:hint="eastAsia" w:ascii="宋体" w:hAnsi="宋体" w:cs="宋体"/>
                <w:b/>
                <w:bCs/>
                <w:color w:val="auto"/>
                <w:kern w:val="0"/>
                <w:sz w:val="21"/>
                <w:szCs w:val="21"/>
              </w:rPr>
            </w:pPr>
            <w:r>
              <w:rPr>
                <w:rFonts w:hint="eastAsia" w:ascii="宋体" w:hAnsi="宋体" w:cs="宋体"/>
                <w:b/>
                <w:bCs/>
                <w:color w:val="auto"/>
                <w:kern w:val="0"/>
                <w:sz w:val="21"/>
                <w:szCs w:val="21"/>
              </w:rPr>
              <w:t>免费保修期：</w:t>
            </w:r>
          </w:p>
          <w:p>
            <w:pPr>
              <w:widowControl w:val="0"/>
              <w:spacing w:line="360" w:lineRule="exact"/>
              <w:jc w:val="left"/>
              <w:rPr>
                <w:rFonts w:hint="eastAsia" w:ascii="宋体" w:hAnsi="宋体" w:cs="宋体"/>
                <w:color w:val="auto"/>
                <w:sz w:val="21"/>
                <w:szCs w:val="21"/>
              </w:rPr>
            </w:pPr>
            <w:r>
              <w:rPr>
                <w:rFonts w:hint="eastAsia" w:ascii="宋体" w:hAnsi="宋体" w:cs="宋体"/>
                <w:color w:val="auto"/>
                <w:kern w:val="0"/>
                <w:sz w:val="21"/>
                <w:szCs w:val="21"/>
              </w:rPr>
              <w:t>本服务项目中涉及的产品按国家有关产品“三包”规定执行“三包”，质保期最短不得少于1年。（“货物采购需求”中特别规定的，按规定执行）</w:t>
            </w:r>
            <w:r>
              <w:rPr>
                <w:rFonts w:hint="eastAsia" w:ascii="宋体" w:hAnsi="宋体" w:cs="宋体"/>
                <w:color w:val="auto"/>
                <w:sz w:val="21"/>
                <w:szCs w:val="21"/>
              </w:rPr>
              <w:t>保修期内上门维修免收维修费和元器件费，并提供终身维修服务。</w:t>
            </w:r>
          </w:p>
          <w:p>
            <w:pPr>
              <w:widowControl w:val="0"/>
              <w:adjustRightInd w:val="0"/>
              <w:spacing w:line="276" w:lineRule="auto"/>
              <w:jc w:val="left"/>
              <w:rPr>
                <w:rFonts w:hint="eastAsia" w:ascii="宋体" w:hAnsi="宋体" w:cs="宋体"/>
                <w:b/>
                <w:bCs/>
                <w:color w:val="auto"/>
                <w:kern w:val="0"/>
                <w:sz w:val="21"/>
                <w:szCs w:val="21"/>
              </w:rPr>
            </w:pPr>
            <w:r>
              <w:rPr>
                <w:rFonts w:hint="eastAsia" w:ascii="宋体" w:hAnsi="宋体" w:cs="宋体"/>
                <w:b/>
                <w:bCs/>
                <w:color w:val="auto"/>
                <w:kern w:val="0"/>
                <w:sz w:val="21"/>
                <w:szCs w:val="21"/>
              </w:rPr>
              <w:t>售后服务的内容和措施：</w:t>
            </w:r>
          </w:p>
          <w:p>
            <w:pPr>
              <w:widowControl w:val="0"/>
              <w:adjustRightInd w:val="0"/>
              <w:spacing w:line="276" w:lineRule="auto"/>
              <w:jc w:val="left"/>
              <w:rPr>
                <w:rFonts w:hint="eastAsia" w:ascii="宋体" w:hAnsi="宋体" w:cs="宋体"/>
                <w:color w:val="auto"/>
                <w:kern w:val="0"/>
                <w:sz w:val="21"/>
                <w:szCs w:val="21"/>
              </w:rPr>
            </w:pPr>
            <w:r>
              <w:rPr>
                <w:rFonts w:hint="eastAsia" w:ascii="宋体" w:hAnsi="宋体" w:cs="宋体"/>
                <w:color w:val="auto"/>
                <w:kern w:val="0"/>
                <w:sz w:val="21"/>
                <w:szCs w:val="21"/>
              </w:rPr>
              <w:t>1、采购范围内的货物免费送货上门、免费安装调试合格；</w:t>
            </w:r>
          </w:p>
          <w:p>
            <w:pPr>
              <w:widowControl w:val="0"/>
              <w:spacing w:line="360" w:lineRule="exact"/>
              <w:jc w:val="left"/>
              <w:rPr>
                <w:rFonts w:hint="eastAsia" w:ascii="宋体" w:hAnsi="宋体" w:cs="宋体"/>
                <w:color w:val="auto"/>
                <w:sz w:val="21"/>
                <w:szCs w:val="21"/>
              </w:rPr>
            </w:pPr>
            <w:r>
              <w:rPr>
                <w:rFonts w:hint="eastAsia" w:ascii="宋体" w:hAnsi="宋体" w:cs="宋体"/>
                <w:color w:val="auto"/>
                <w:kern w:val="0"/>
                <w:sz w:val="21"/>
                <w:szCs w:val="21"/>
              </w:rPr>
              <w:t>2、免费保修期内不收取任何费用，免费保修期外，需提供终身维修服务，只收取合理的费用并提供零配件优惠服务方案；</w:t>
            </w:r>
          </w:p>
          <w:p>
            <w:pPr>
              <w:widowControl w:val="0"/>
              <w:adjustRightInd w:val="0"/>
              <w:spacing w:line="276" w:lineRule="auto"/>
              <w:jc w:val="left"/>
              <w:rPr>
                <w:rFonts w:hint="eastAsia" w:ascii="宋体" w:hAnsi="宋体" w:cs="宋体"/>
                <w:color w:val="auto"/>
                <w:kern w:val="0"/>
                <w:sz w:val="21"/>
                <w:szCs w:val="21"/>
              </w:rPr>
            </w:pPr>
            <w:r>
              <w:rPr>
                <w:rFonts w:hint="eastAsia" w:ascii="宋体" w:hAnsi="宋体" w:cs="宋体"/>
                <w:color w:val="auto"/>
                <w:kern w:val="0"/>
                <w:sz w:val="21"/>
                <w:szCs w:val="21"/>
              </w:rPr>
              <w:t>3、定期进行回访并对今后升级改造后的软硬件继续提供技术支持；</w:t>
            </w:r>
          </w:p>
          <w:p>
            <w:pPr>
              <w:widowControl w:val="0"/>
              <w:spacing w:line="360" w:lineRule="exact"/>
              <w:jc w:val="left"/>
              <w:rPr>
                <w:rFonts w:hint="eastAsia" w:ascii="宋体" w:hAnsi="宋体" w:cs="宋体"/>
                <w:color w:val="auto"/>
                <w:sz w:val="21"/>
                <w:szCs w:val="21"/>
              </w:rPr>
            </w:pPr>
            <w:r>
              <w:rPr>
                <w:rFonts w:hint="eastAsia" w:ascii="宋体" w:hAnsi="宋体" w:cs="宋体"/>
                <w:color w:val="auto"/>
                <w:kern w:val="0"/>
                <w:sz w:val="21"/>
                <w:szCs w:val="21"/>
              </w:rPr>
              <w:t>4、应急响应服务：提供7×24小时上门服务，接采购人报故障电话2小时内响应，产品生产厂家或其授权工程师需在4小时内抵达现场；故障无法当日解决必须提供同档次备件或备机。</w:t>
            </w:r>
            <w:r>
              <w:rPr>
                <w:rFonts w:hint="eastAsia" w:ascii="宋体" w:hAnsi="宋体" w:cs="宋体"/>
                <w:color w:val="auto"/>
                <w:sz w:val="21"/>
                <w:szCs w:val="21"/>
              </w:rPr>
              <w:t>如果需要更换配件的，要求更换的配件应跟被更换的品牌、类型相一致或者是同类同档次的替代品，后者需征得用户方管理人员同意；</w:t>
            </w:r>
          </w:p>
          <w:p>
            <w:pPr>
              <w:pStyle w:val="2"/>
              <w:numPr>
                <w:ilvl w:val="0"/>
                <w:numId w:val="0"/>
              </w:numPr>
              <w:jc w:val="lef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5、中标供应商须在离采购人尽可能近的地方提供技术服务人员和售后服务点，以便缩短售后服务响应时间和售后服务满意度</w:t>
            </w:r>
            <w:r>
              <w:rPr>
                <w:rFonts w:hint="eastAsia" w:ascii="宋体" w:hAnsi="宋体" w:cs="宋体"/>
                <w:color w:val="auto"/>
                <w:kern w:val="0"/>
                <w:sz w:val="21"/>
                <w:szCs w:val="21"/>
                <w:lang w:eastAsia="zh-CN"/>
              </w:rPr>
              <w:t>；</w:t>
            </w:r>
          </w:p>
          <w:p>
            <w:pPr>
              <w:pStyle w:val="2"/>
              <w:numPr>
                <w:ilvl w:val="0"/>
                <w:numId w:val="0"/>
              </w:numPr>
              <w:jc w:val="left"/>
              <w:rPr>
                <w:rFonts w:hint="eastAsia" w:ascii="宋体" w:hAnsi="宋体" w:eastAsia="宋体" w:cs="宋体"/>
                <w:color w:val="auto"/>
                <w:kern w:val="0"/>
                <w:sz w:val="21"/>
                <w:szCs w:val="21"/>
                <w:lang w:eastAsia="zh-CN"/>
              </w:rPr>
            </w:pPr>
            <w:r>
              <w:rPr>
                <w:rFonts w:hint="eastAsia" w:ascii="宋体" w:hAnsi="宋体" w:cs="宋体"/>
                <w:bCs/>
                <w:color w:val="auto"/>
                <w:lang w:val="en-US" w:eastAsia="zh-CN"/>
              </w:rPr>
              <w:t>6、</w:t>
            </w:r>
            <w:r>
              <w:rPr>
                <w:rFonts w:hint="eastAsia" w:ascii="宋体" w:hAnsi="宋体" w:cs="宋体"/>
                <w:bCs/>
                <w:color w:val="auto"/>
                <w:lang w:eastAsia="zh-Hans"/>
              </w:rPr>
              <w:t>投标产品必须是原厂生产的正品全新、完整、未使用过的合格产品，产品质量符合国家相关标准和规范，具备正规合法经销渠道。相关部件及服务须满足本项目需求中各项要求。所有产品除满足上表要求的技术参数和配置外，其余均按国家标准及生产厂家出厂标准配置</w:t>
            </w:r>
            <w:r>
              <w:rPr>
                <w:rFonts w:hint="eastAsia" w:ascii="宋体" w:hAnsi="宋体" w:cs="宋体"/>
                <w:bCs/>
                <w:color w:val="auto"/>
                <w:lang w:eastAsia="zh-CN"/>
              </w:rPr>
              <w:t>。</w:t>
            </w:r>
          </w:p>
          <w:p>
            <w:pPr>
              <w:pStyle w:val="2"/>
              <w:numPr>
                <w:ilvl w:val="0"/>
                <w:numId w:val="0"/>
              </w:numPr>
              <w:jc w:val="left"/>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交付使用时间及地点</w:t>
            </w:r>
          </w:p>
          <w:p>
            <w:pPr>
              <w:pStyle w:val="2"/>
              <w:numPr>
                <w:ilvl w:val="0"/>
                <w:numId w:val="0"/>
              </w:numPr>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1.交付使用时间:</w:t>
            </w:r>
            <w:r>
              <w:rPr>
                <w:rFonts w:hint="eastAsia" w:ascii="宋体" w:hAnsi="宋体" w:cs="宋体"/>
                <w:bCs/>
                <w:sz w:val="21"/>
                <w:szCs w:val="21"/>
              </w:rPr>
              <w:t>自签订合同之日起</w:t>
            </w:r>
            <w:r>
              <w:rPr>
                <w:rFonts w:hint="eastAsia" w:ascii="宋体" w:hAnsi="宋体" w:cs="宋体"/>
                <w:bCs/>
                <w:sz w:val="21"/>
                <w:szCs w:val="21"/>
                <w:lang w:val="en-US" w:eastAsia="zh-CN"/>
              </w:rPr>
              <w:t>5</w:t>
            </w:r>
            <w:r>
              <w:rPr>
                <w:rFonts w:hint="eastAsia" w:ascii="宋体" w:hAnsi="宋体" w:cs="宋体"/>
                <w:bCs/>
                <w:sz w:val="21"/>
                <w:szCs w:val="21"/>
              </w:rPr>
              <w:t>个工作日内</w:t>
            </w:r>
            <w:r>
              <w:rPr>
                <w:rFonts w:hint="eastAsia" w:ascii="宋体" w:hAnsi="宋体" w:cs="宋体"/>
                <w:bCs/>
                <w:sz w:val="21"/>
                <w:szCs w:val="21"/>
                <w:lang w:eastAsia="zh-CN"/>
              </w:rPr>
              <w:t>全部交货并验收合格</w:t>
            </w:r>
            <w:r>
              <w:rPr>
                <w:rFonts w:hint="eastAsia" w:ascii="宋体" w:hAnsi="宋体" w:eastAsia="宋体" w:cs="宋体"/>
                <w:b w:val="0"/>
                <w:bCs/>
                <w:color w:val="auto"/>
                <w:sz w:val="21"/>
                <w:szCs w:val="21"/>
                <w:highlight w:val="none"/>
                <w:vertAlign w:val="baseline"/>
                <w:lang w:val="en-US" w:eastAsia="zh-CN"/>
              </w:rPr>
              <w:t>；</w:t>
            </w:r>
          </w:p>
          <w:p>
            <w:pPr>
              <w:pStyle w:val="2"/>
              <w:numPr>
                <w:ilvl w:val="0"/>
                <w:numId w:val="0"/>
              </w:numPr>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2.地点:采购人指定地点</w:t>
            </w:r>
            <w:r>
              <w:rPr>
                <w:rFonts w:hint="eastAsia" w:ascii="宋体" w:hAnsi="宋体" w:cs="宋体"/>
                <w:b w:val="0"/>
                <w:bCs/>
                <w:color w:val="auto"/>
                <w:sz w:val="21"/>
                <w:szCs w:val="21"/>
                <w:highlight w:val="none"/>
                <w:vertAlign w:val="baseline"/>
                <w:lang w:val="en-US" w:eastAsia="zh-CN"/>
              </w:rPr>
              <w:t>。</w:t>
            </w:r>
          </w:p>
          <w:p>
            <w:pPr>
              <w:pStyle w:val="2"/>
              <w:numPr>
                <w:ilvl w:val="0"/>
                <w:numId w:val="0"/>
              </w:numPr>
              <w:jc w:val="left"/>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付款方式</w:t>
            </w:r>
          </w:p>
          <w:p>
            <w:pPr>
              <w:pStyle w:val="2"/>
              <w:numPr>
                <w:ilvl w:val="0"/>
                <w:numId w:val="0"/>
              </w:numPr>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验收合格后5个工作日一次性付清。</w:t>
            </w:r>
          </w:p>
          <w:p>
            <w:pPr>
              <w:pStyle w:val="2"/>
              <w:numPr>
                <w:ilvl w:val="0"/>
                <w:numId w:val="0"/>
              </w:numPr>
              <w:jc w:val="left"/>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验收标准</w:t>
            </w:r>
          </w:p>
          <w:p>
            <w:pPr>
              <w:pStyle w:val="2"/>
              <w:numPr>
                <w:ilvl w:val="0"/>
                <w:numId w:val="0"/>
              </w:numPr>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为确保采购产品的质量，</w:t>
            </w:r>
            <w:r>
              <w:rPr>
                <w:rFonts w:hint="eastAsia" w:ascii="宋体" w:hAnsi="宋体" w:cs="宋体"/>
                <w:color w:val="auto"/>
                <w:sz w:val="21"/>
                <w:szCs w:val="21"/>
                <w:highlight w:val="none"/>
                <w:lang w:eastAsia="zh-CN"/>
              </w:rPr>
              <w:t>交货时</w:t>
            </w:r>
            <w:r>
              <w:rPr>
                <w:rFonts w:hint="eastAsia" w:ascii="宋体" w:hAnsi="宋体" w:eastAsia="宋体" w:cs="宋体"/>
                <w:color w:val="auto"/>
                <w:sz w:val="21"/>
                <w:szCs w:val="21"/>
                <w:highlight w:val="none"/>
                <w:lang w:eastAsia="zh-CN"/>
              </w:rPr>
              <w:t>采购人将现场进行核验，核验合格后才予以验收。如发现中标供应商的产品核验后与采购需求的要求、投标文件承诺的技术参数不相符，采购人拒绝收货，由此造成采购人经济损失的由中标人负责承担全部赔偿责任。如有异议，将交由国家认可并具有检验检测资格的第三方机构邀请相关专家进行实际检验，所有产生的费用由中标供应商承担。</w:t>
            </w:r>
            <w:r>
              <w:rPr>
                <w:rFonts w:hint="eastAsia" w:ascii="宋体" w:hAnsi="宋体" w:cs="宋体"/>
                <w:color w:val="auto"/>
                <w:sz w:val="21"/>
                <w:szCs w:val="21"/>
                <w:highlight w:val="none"/>
                <w:lang w:eastAsia="zh-CN"/>
              </w:rPr>
              <w:t>必须在规定时间内完成供货</w:t>
            </w:r>
            <w:r>
              <w:rPr>
                <w:rFonts w:hint="eastAsia" w:ascii="宋体" w:hAnsi="宋体" w:cs="宋体"/>
                <w:bCs/>
                <w:sz w:val="21"/>
                <w:szCs w:val="21"/>
                <w:lang w:eastAsia="zh-CN"/>
              </w:rPr>
              <w:t>，</w:t>
            </w:r>
            <w:r>
              <w:rPr>
                <w:rFonts w:hint="eastAsia" w:ascii="宋体" w:hAnsi="宋体" w:cs="宋体"/>
                <w:bCs/>
                <w:sz w:val="21"/>
                <w:szCs w:val="21"/>
              </w:rPr>
              <w:t>否则</w:t>
            </w:r>
            <w:r>
              <w:rPr>
                <w:rFonts w:hint="eastAsia" w:ascii="宋体" w:hAnsi="宋体" w:cs="宋体"/>
                <w:bCs/>
                <w:sz w:val="21"/>
                <w:szCs w:val="21"/>
                <w:lang w:eastAsia="zh-CN"/>
              </w:rPr>
              <w:t>将</w:t>
            </w:r>
            <w:r>
              <w:rPr>
                <w:rFonts w:hint="eastAsia" w:ascii="宋体" w:hAnsi="宋体" w:cs="宋体"/>
                <w:bCs/>
                <w:sz w:val="21"/>
                <w:szCs w:val="21"/>
              </w:rPr>
              <w:t>视为违约</w:t>
            </w:r>
            <w:r>
              <w:rPr>
                <w:rFonts w:hint="eastAsia" w:ascii="宋体" w:hAnsi="宋体" w:cs="宋体"/>
                <w:bCs/>
                <w:sz w:val="21"/>
                <w:szCs w:val="21"/>
                <w:lang w:eastAsia="zh-CN"/>
              </w:rPr>
              <w:t>，</w:t>
            </w:r>
            <w:r>
              <w:rPr>
                <w:rFonts w:hint="eastAsia" w:ascii="宋体" w:hAnsi="宋体" w:cs="宋体"/>
                <w:bCs/>
                <w:sz w:val="21"/>
                <w:szCs w:val="21"/>
              </w:rPr>
              <w:t>记入政府采购黑名单</w:t>
            </w:r>
            <w:r>
              <w:rPr>
                <w:rFonts w:hint="eastAsia" w:ascii="宋体" w:hAnsi="宋体" w:cs="宋体"/>
                <w:bCs/>
                <w:sz w:val="21"/>
                <w:szCs w:val="21"/>
                <w:lang w:eastAsia="zh-CN"/>
              </w:rPr>
              <w:t>并</w:t>
            </w:r>
            <w:r>
              <w:rPr>
                <w:rFonts w:hint="eastAsia" w:ascii="宋体" w:hAnsi="宋体" w:eastAsia="宋体" w:cs="宋体"/>
                <w:color w:val="auto"/>
                <w:sz w:val="21"/>
                <w:szCs w:val="21"/>
                <w:highlight w:val="none"/>
                <w:lang w:eastAsia="zh-CN"/>
              </w:rPr>
              <w:t>承担全部赔偿责任</w:t>
            </w:r>
            <w:r>
              <w:rPr>
                <w:rFonts w:hint="eastAsia" w:ascii="宋体" w:hAnsi="宋体" w:cs="宋体"/>
                <w:color w:val="auto"/>
                <w:sz w:val="21"/>
                <w:szCs w:val="21"/>
                <w:highlight w:val="none"/>
                <w:lang w:eastAsia="zh-CN"/>
              </w:rPr>
              <w:t>。</w:t>
            </w:r>
          </w:p>
          <w:p>
            <w:pPr>
              <w:pStyle w:val="2"/>
              <w:numPr>
                <w:ilvl w:val="0"/>
                <w:numId w:val="0"/>
              </w:numPr>
              <w:jc w:val="left"/>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其他要求：</w:t>
            </w:r>
          </w:p>
          <w:p>
            <w:pPr>
              <w:pStyle w:val="2"/>
              <w:numPr>
                <w:ilvl w:val="0"/>
                <w:numId w:val="0"/>
              </w:numPr>
              <w:jc w:val="left"/>
              <w:rPr>
                <w:rFonts w:hint="eastAsia" w:ascii="宋体" w:hAnsi="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1、样品</w:t>
            </w:r>
          </w:p>
          <w:p>
            <w:pPr>
              <w:pStyle w:val="2"/>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（1）样品的要求：样品不得出现品牌商标、生产厂家等标记信息及投标人的相关信息。</w:t>
            </w:r>
          </w:p>
          <w:p>
            <w:pPr>
              <w:pStyle w:val="2"/>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（2）样品递交方式：随投标文件一同递交，以邮寄方式（包括平邮、快递、货运物流）递交样品的将被拒绝接收，且后果自负。</w:t>
            </w:r>
          </w:p>
          <w:p>
            <w:pPr>
              <w:pStyle w:val="2"/>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（3）样品递交截止时间：同投标文件递交截止时间。</w:t>
            </w:r>
          </w:p>
          <w:p>
            <w:pPr>
              <w:pStyle w:val="2"/>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（4）样品递交地点：同投标文件递交地点。</w:t>
            </w:r>
          </w:p>
          <w:p>
            <w:pPr>
              <w:pStyle w:val="2"/>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5）样品清退时间：中标供应商的样品由采购人封存，作为交货验收的依据；未中标的供应商自接到采购代理机构领取样品通知之日起两个工作日内不领回样品的，采购代理机构对其样品不承担保管义务，采购代理机构对其样品有权进行处置。</w:t>
            </w:r>
          </w:p>
          <w:p>
            <w:pPr>
              <w:pStyle w:val="2"/>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（6）样品在评标过程中如有破损，采购代理机构概不负责。</w:t>
            </w:r>
          </w:p>
          <w:p>
            <w:pPr>
              <w:pStyle w:val="2"/>
              <w:jc w:val="left"/>
              <w:rPr>
                <w:rFonts w:hint="eastAsia" w:ascii="宋体" w:hAnsi="宋体" w:cs="宋体"/>
                <w:szCs w:val="21"/>
                <w:lang w:val="en-US" w:eastAsia="zh-CN"/>
              </w:rPr>
            </w:pPr>
            <w:r>
              <w:rPr>
                <w:rFonts w:hint="eastAsia" w:ascii="宋体" w:hAnsi="宋体" w:cs="宋体"/>
                <w:b w:val="0"/>
                <w:bCs/>
                <w:color w:val="auto"/>
                <w:sz w:val="21"/>
                <w:szCs w:val="21"/>
                <w:highlight w:val="none"/>
                <w:vertAlign w:val="baseline"/>
                <w:lang w:val="en-US" w:eastAsia="zh-CN"/>
              </w:rPr>
              <w:t>2、供货时必须提供所投产品第1、3分项</w:t>
            </w:r>
            <w:r>
              <w:rPr>
                <w:rFonts w:hint="eastAsia" w:ascii="宋体" w:hAnsi="宋体" w:cs="宋体"/>
                <w:szCs w:val="21"/>
                <w:lang w:eastAsia="zh-CN"/>
              </w:rPr>
              <w:t>有资质的</w:t>
            </w:r>
            <w:r>
              <w:rPr>
                <w:rFonts w:hint="eastAsia" w:ascii="宋体" w:hAnsi="宋体" w:cs="宋体"/>
                <w:szCs w:val="21"/>
                <w:lang w:val="en-US" w:eastAsia="zh-CN"/>
              </w:rPr>
              <w:t>第三方检测机构出具的有效的检测报告原件；</w:t>
            </w:r>
          </w:p>
          <w:p>
            <w:pPr>
              <w:pStyle w:val="2"/>
              <w:jc w:val="left"/>
              <w:rPr>
                <w:rFonts w:hint="default" w:ascii="宋体" w:hAnsi="宋体" w:cs="宋体"/>
                <w:szCs w:val="21"/>
                <w:lang w:val="en-US" w:eastAsia="zh-CN"/>
              </w:rPr>
            </w:pPr>
            <w:r>
              <w:rPr>
                <w:rFonts w:hint="eastAsia" w:ascii="宋体" w:hAnsi="宋体" w:cs="宋体"/>
                <w:szCs w:val="21"/>
                <w:lang w:val="en-US" w:eastAsia="zh-CN"/>
              </w:rPr>
              <w:t>3、</w:t>
            </w:r>
            <w:r>
              <w:rPr>
                <w:rFonts w:hint="eastAsia" w:ascii="宋体" w:hAnsi="宋体" w:cs="宋体"/>
                <w:b w:val="0"/>
                <w:bCs/>
                <w:color w:val="auto"/>
                <w:sz w:val="21"/>
                <w:szCs w:val="21"/>
                <w:highlight w:val="none"/>
                <w:vertAlign w:val="baseline"/>
                <w:lang w:val="en-US" w:eastAsia="zh-CN"/>
              </w:rPr>
              <w:t>供货时必须提供所投产品第11、12分项</w:t>
            </w:r>
            <w:r>
              <w:rPr>
                <w:rFonts w:hint="eastAsia" w:ascii="宋体" w:hAnsi="宋体" w:cs="宋体"/>
                <w:szCs w:val="21"/>
                <w:lang w:eastAsia="zh-CN"/>
              </w:rPr>
              <w:t>有资质的</w:t>
            </w:r>
            <w:r>
              <w:rPr>
                <w:rFonts w:hint="eastAsia" w:ascii="宋体" w:hAnsi="宋体" w:cs="宋体"/>
                <w:szCs w:val="21"/>
                <w:lang w:val="en-US" w:eastAsia="zh-CN"/>
              </w:rPr>
              <w:t>第三方检测机构出具的有效的检测报告原件及防爆合格证原件；</w:t>
            </w:r>
          </w:p>
          <w:p>
            <w:pPr>
              <w:pStyle w:val="2"/>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4、</w:t>
            </w:r>
            <w:r>
              <w:rPr>
                <w:rFonts w:hint="eastAsia" w:ascii="宋体" w:hAnsi="宋体" w:eastAsia="宋体" w:cs="宋体"/>
                <w:b w:val="0"/>
                <w:bCs/>
                <w:color w:val="auto"/>
                <w:sz w:val="21"/>
                <w:szCs w:val="21"/>
                <w:highlight w:val="none"/>
                <w:vertAlign w:val="baseline"/>
                <w:lang w:val="en-US" w:eastAsia="zh-CN"/>
              </w:rPr>
              <w:t>投标报价包括：采购范围内货物的价格（包括货款、杂配件、安装调试费）、货物的标准附件、备品备件、专用工具的价格、运输、装卸、调试、检测、培训、技术支持、售后服务费、各项税金、现场安装所有费用等。投标人自行考虑完成项目所需的辅材、杂配件等数量，投标报价中应包含全部内容，中标后采购人不再另行支付额外费用。</w:t>
            </w:r>
          </w:p>
          <w:p>
            <w:pPr>
              <w:pStyle w:val="2"/>
              <w:jc w:val="left"/>
              <w:rPr>
                <w:rFonts w:hint="default" w:ascii="宋体" w:hAnsi="宋体" w:eastAsia="宋体" w:cs="宋体"/>
                <w:b w:val="0"/>
                <w:bCs/>
                <w:color w:val="auto"/>
                <w:sz w:val="21"/>
                <w:szCs w:val="21"/>
                <w:highlight w:val="none"/>
                <w:vertAlign w:val="baseline"/>
                <w:lang w:val="en-US" w:eastAsia="zh-CN"/>
              </w:rPr>
            </w:pP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、供货时必须提供</w:t>
            </w:r>
            <w:r>
              <w:rPr>
                <w:rFonts w:hint="eastAsia" w:ascii="宋体" w:hAnsi="宋体" w:eastAsia="宋体" w:cs="宋体"/>
                <w:color w:val="000000" w:themeColor="text1"/>
                <w:sz w:val="21"/>
                <w:szCs w:val="21"/>
                <w:lang w:eastAsia="zh-CN"/>
                <w14:textFill>
                  <w14:solidFill>
                    <w14:schemeClr w14:val="tx1"/>
                  </w14:solidFill>
                </w14:textFill>
              </w:rPr>
              <w:t>有资质的第三方检测机构出具</w:t>
            </w:r>
            <w:r>
              <w:rPr>
                <w:rFonts w:hint="eastAsia" w:ascii="宋体" w:hAnsi="宋体" w:cs="宋体"/>
                <w:color w:val="000000" w:themeColor="text1"/>
                <w:sz w:val="21"/>
                <w:szCs w:val="21"/>
                <w:lang w:eastAsia="zh-CN"/>
                <w14:textFill>
                  <w14:solidFill>
                    <w14:schemeClr w14:val="tx1"/>
                  </w14:solidFill>
                </w14:textFill>
              </w:rPr>
              <w:t>所投产品第</w:t>
            </w:r>
            <w:r>
              <w:rPr>
                <w:rFonts w:hint="eastAsia" w:ascii="宋体" w:hAnsi="宋体" w:cs="宋体"/>
                <w:color w:val="000000" w:themeColor="text1"/>
                <w:sz w:val="21"/>
                <w:szCs w:val="21"/>
                <w:lang w:val="en-US" w:eastAsia="zh-CN"/>
                <w14:textFill>
                  <w14:solidFill>
                    <w14:schemeClr w14:val="tx1"/>
                  </w14:solidFill>
                </w14:textFill>
              </w:rPr>
              <w:t>11分项</w:t>
            </w:r>
            <w:r>
              <w:rPr>
                <w:rFonts w:hint="eastAsia" w:ascii="宋体" w:hAnsi="宋体" w:eastAsia="宋体" w:cs="宋体"/>
                <w:color w:val="000000" w:themeColor="text1"/>
                <w:sz w:val="21"/>
                <w:szCs w:val="21"/>
                <w:lang w:eastAsia="zh-CN"/>
                <w14:textFill>
                  <w14:solidFill>
                    <w14:schemeClr w14:val="tx1"/>
                  </w14:solidFill>
                </w14:textFill>
              </w:rPr>
              <w:t>有效检测报告原件。</w:t>
            </w:r>
          </w:p>
          <w:p>
            <w:pPr>
              <w:pStyle w:val="2"/>
              <w:numPr>
                <w:ilvl w:val="0"/>
                <w:numId w:val="0"/>
              </w:numPr>
              <w:jc w:val="left"/>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lang w:val="en-US" w:eastAsia="zh-CN"/>
              </w:rPr>
              <w:t>本项目货物不接受进口产品（即通过中国海关报关验放进入中国境内且产自关境外的产品）参与谈判，如有此类产品参与谈判的作无效响应处理；</w:t>
            </w:r>
          </w:p>
          <w:p>
            <w:pPr>
              <w:pStyle w:val="2"/>
              <w:numPr>
                <w:ilvl w:val="0"/>
                <w:numId w:val="0"/>
              </w:numPr>
              <w:jc w:val="left"/>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rPr>
              <w:t>本</w:t>
            </w:r>
            <w:r>
              <w:rPr>
                <w:rFonts w:hint="eastAsia" w:ascii="宋体" w:hAnsi="宋体" w:cs="宋体"/>
                <w:bCs/>
                <w:color w:val="auto"/>
                <w:kern w:val="0"/>
                <w:sz w:val="21"/>
                <w:szCs w:val="21"/>
                <w:highlight w:val="none"/>
                <w:lang w:val="en-US" w:eastAsia="zh-CN"/>
              </w:rPr>
              <w:t>项目</w:t>
            </w:r>
            <w:r>
              <w:rPr>
                <w:rFonts w:hint="eastAsia" w:ascii="宋体" w:hAnsi="宋体" w:eastAsia="宋体" w:cs="宋体"/>
                <w:bCs/>
                <w:color w:val="auto"/>
                <w:kern w:val="0"/>
                <w:sz w:val="21"/>
                <w:szCs w:val="21"/>
                <w:highlight w:val="none"/>
              </w:rPr>
              <w:t>政府采购预算金额为人民币</w:t>
            </w:r>
            <w:r>
              <w:rPr>
                <w:rFonts w:hint="eastAsia" w:ascii="宋体" w:hAnsi="宋体" w:cs="宋体"/>
                <w:color w:val="auto"/>
                <w:sz w:val="21"/>
                <w:szCs w:val="21"/>
                <w:highlight w:val="none"/>
                <w:lang w:val="en-US" w:eastAsia="zh-CN"/>
              </w:rPr>
              <w:t>5951000.00</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eastAsia="zh-CN"/>
              </w:rPr>
              <w:t>整</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投标</w:t>
            </w:r>
            <w:r>
              <w:rPr>
                <w:rFonts w:hint="eastAsia" w:ascii="宋体" w:hAnsi="宋体" w:eastAsia="宋体" w:cs="宋体"/>
                <w:bCs/>
                <w:color w:val="auto"/>
                <w:kern w:val="0"/>
                <w:sz w:val="21"/>
                <w:szCs w:val="21"/>
                <w:highlight w:val="none"/>
              </w:rPr>
              <w:t>报价超出采购预算金额的将被视为无效响应</w:t>
            </w:r>
            <w:r>
              <w:rPr>
                <w:rFonts w:hint="eastAsia" w:ascii="宋体" w:hAnsi="宋体" w:eastAsia="宋体" w:cs="宋体"/>
                <w:bCs/>
                <w:color w:val="auto"/>
                <w:kern w:val="0"/>
                <w:sz w:val="21"/>
                <w:szCs w:val="21"/>
                <w:highlight w:val="none"/>
                <w:lang w:eastAsia="zh-CN"/>
              </w:rPr>
              <w:t>；</w:t>
            </w:r>
          </w:p>
          <w:p>
            <w:pPr>
              <w:pStyle w:val="2"/>
              <w:numPr>
                <w:ilvl w:val="0"/>
                <w:numId w:val="0"/>
              </w:numPr>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bCs w:val="0"/>
                <w:color w:val="auto"/>
                <w:kern w:val="0"/>
                <w:sz w:val="21"/>
                <w:szCs w:val="21"/>
                <w:highlight w:val="none"/>
                <w:lang w:val="en-US" w:eastAsia="zh-CN"/>
              </w:rPr>
              <w:t>8、</w:t>
            </w:r>
            <w:r>
              <w:rPr>
                <w:rFonts w:hint="eastAsia" w:ascii="宋体" w:hAnsi="宋体" w:eastAsia="宋体" w:cs="宋体"/>
                <w:b/>
                <w:bCs w:val="0"/>
                <w:color w:val="auto"/>
                <w:kern w:val="0"/>
                <w:sz w:val="21"/>
                <w:szCs w:val="21"/>
                <w:highlight w:val="none"/>
                <w:lang w:val="en-US" w:eastAsia="zh-CN"/>
              </w:rPr>
              <w:t>本</w:t>
            </w:r>
            <w:r>
              <w:rPr>
                <w:rFonts w:hint="eastAsia" w:ascii="宋体" w:hAnsi="宋体" w:cs="宋体"/>
                <w:b/>
                <w:bCs w:val="0"/>
                <w:color w:val="auto"/>
                <w:kern w:val="0"/>
                <w:sz w:val="21"/>
                <w:szCs w:val="21"/>
                <w:highlight w:val="none"/>
                <w:lang w:val="en-US" w:eastAsia="zh-CN"/>
              </w:rPr>
              <w:t>项目</w:t>
            </w:r>
            <w:r>
              <w:rPr>
                <w:rFonts w:hint="eastAsia" w:ascii="宋体" w:hAnsi="宋体" w:eastAsia="宋体" w:cs="宋体"/>
                <w:b/>
                <w:bCs w:val="0"/>
                <w:color w:val="auto"/>
                <w:kern w:val="0"/>
                <w:sz w:val="21"/>
                <w:szCs w:val="21"/>
                <w:highlight w:val="none"/>
                <w:lang w:val="en-US" w:eastAsia="zh-CN"/>
              </w:rPr>
              <w:t>核心产品为：</w:t>
            </w:r>
            <w:r>
              <w:rPr>
                <w:rFonts w:hint="eastAsia" w:ascii="宋体" w:hAnsi="宋体" w:cs="宋体"/>
                <w:b/>
                <w:bCs w:val="0"/>
                <w:color w:val="auto"/>
                <w:kern w:val="0"/>
                <w:sz w:val="21"/>
                <w:szCs w:val="21"/>
                <w:highlight w:val="none"/>
                <w:lang w:val="en-US" w:eastAsia="zh-CN"/>
              </w:rPr>
              <w:t>第1分项“棉胎（被套）”</w:t>
            </w:r>
            <w:r>
              <w:rPr>
                <w:rFonts w:hint="eastAsia" w:ascii="宋体" w:hAnsi="宋体" w:eastAsia="宋体" w:cs="宋体"/>
                <w:b/>
                <w:bCs w:val="0"/>
                <w:color w:val="auto"/>
                <w:kern w:val="0"/>
                <w:sz w:val="21"/>
                <w:szCs w:val="21"/>
                <w:highlight w:val="none"/>
                <w:lang w:val="en-US" w:eastAsia="zh-CN"/>
              </w:rPr>
              <w:t>。</w:t>
            </w:r>
          </w:p>
        </w:tc>
      </w:tr>
    </w:tbl>
    <w:p>
      <w:pPr>
        <w:spacing w:line="360" w:lineRule="exact"/>
        <w:jc w:val="center"/>
        <w:rPr>
          <w:rFonts w:hint="eastAsia" w:ascii="宋体" w:hAnsi="宋体" w:eastAsia="宋体" w:cs="宋体"/>
          <w:b/>
          <w:color w:val="auto"/>
          <w:sz w:val="32"/>
          <w:szCs w:val="32"/>
          <w:highlight w:val="none"/>
        </w:rPr>
      </w:pPr>
    </w:p>
    <w:p>
      <w:pPr>
        <w:spacing w:line="360" w:lineRule="exact"/>
        <w:jc w:val="center"/>
        <w:rPr>
          <w:rFonts w:hint="eastAsia" w:ascii="宋体" w:hAnsi="宋体" w:eastAsia="宋体" w:cs="宋体"/>
          <w:b/>
          <w:color w:val="auto"/>
          <w:sz w:val="32"/>
          <w:szCs w:val="32"/>
          <w:highlight w:val="none"/>
        </w:rPr>
      </w:pPr>
    </w:p>
    <w:p>
      <w:pPr>
        <w:spacing w:line="360" w:lineRule="exact"/>
        <w:jc w:val="center"/>
        <w:rPr>
          <w:rFonts w:hint="eastAsia" w:ascii="宋体" w:hAnsi="宋体" w:eastAsia="宋体" w:cs="宋体"/>
          <w:b/>
          <w:color w:val="auto"/>
          <w:sz w:val="32"/>
          <w:szCs w:val="32"/>
          <w:highlight w:val="none"/>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3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第四章</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评标办法</w:t>
      </w:r>
    </w:p>
    <w:p>
      <w:pPr>
        <w:pStyle w:val="13"/>
        <w:keepNext w:val="0"/>
        <w:keepLines w:val="0"/>
        <w:pageBreakBefore w:val="0"/>
        <w:widowControl/>
        <w:kinsoku/>
        <w:wordWrap/>
        <w:overflowPunct/>
        <w:topLinePunct w:val="0"/>
        <w:autoSpaceDE/>
        <w:autoSpaceDN/>
        <w:bidi w:val="0"/>
        <w:snapToGrid/>
        <w:spacing w:line="36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一、评标依据及方式</w:t>
      </w:r>
    </w:p>
    <w:p>
      <w:pPr>
        <w:pStyle w:val="13"/>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1.评标依据：评标委员会以招标文件和投标文件为评标依据，对投标人的投标报价、技术、</w:t>
      </w:r>
      <w:r>
        <w:rPr>
          <w:rFonts w:hint="eastAsia" w:ascii="宋体" w:hAnsi="宋体" w:eastAsia="宋体" w:cs="宋体"/>
          <w:color w:val="auto"/>
          <w:sz w:val="21"/>
          <w:szCs w:val="21"/>
          <w:highlight w:val="none"/>
          <w:lang w:eastAsia="zh-CN"/>
        </w:rPr>
        <w:t>售后服务方案、信誉业绩、政策功能</w:t>
      </w:r>
      <w:r>
        <w:rPr>
          <w:rFonts w:hint="eastAsia" w:ascii="宋体" w:hAnsi="宋体" w:eastAsia="宋体" w:cs="宋体"/>
          <w:color w:val="auto"/>
          <w:sz w:val="21"/>
          <w:szCs w:val="21"/>
          <w:highlight w:val="none"/>
        </w:rPr>
        <w:t>等方面内容按百分制打分。</w:t>
      </w:r>
    </w:p>
    <w:p>
      <w:pPr>
        <w:pStyle w:val="13"/>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2.评标方式：以封闭方式进行评标。</w:t>
      </w:r>
    </w:p>
    <w:p>
      <w:pPr>
        <w:pStyle w:val="13"/>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3.根据财库〔2012〕69号文规定，采购人和采购代理机构、评标委员会成员要严格遵守政府采购相关法律制度，依法履行各自职责，公正、客观、审慎地组织和参与评审工作。</w:t>
      </w:r>
    </w:p>
    <w:p>
      <w:pPr>
        <w:pStyle w:val="13"/>
        <w:keepNext w:val="0"/>
        <w:keepLines w:val="0"/>
        <w:pageBreakBefore w:val="0"/>
        <w:widowControl/>
        <w:kinsoku/>
        <w:wordWrap/>
        <w:overflowPunct/>
        <w:topLinePunct w:val="0"/>
        <w:autoSpaceDE/>
        <w:autoSpaceDN/>
        <w:bidi w:val="0"/>
        <w:snapToGrid/>
        <w:spacing w:line="36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二、评标办法</w:t>
      </w:r>
    </w:p>
    <w:p>
      <w:pPr>
        <w:pStyle w:val="13"/>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（一）对进入详评的，采用综合评分法。</w:t>
      </w:r>
    </w:p>
    <w:p>
      <w:pPr>
        <w:pStyle w:val="13"/>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（二）计分办法（按四舍五入取至小数点后二位）</w:t>
      </w:r>
    </w:p>
    <w:p>
      <w:pPr>
        <w:pStyle w:val="13"/>
        <w:keepNext w:val="0"/>
        <w:keepLines w:val="0"/>
        <w:pageBreakBefore w:val="0"/>
        <w:widowControl/>
        <w:kinsoku/>
        <w:wordWrap/>
        <w:overflowPunct/>
        <w:topLinePunct w:val="0"/>
        <w:autoSpaceDE/>
        <w:autoSpaceDN/>
        <w:bidi w:val="0"/>
        <w:snapToGrid/>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价格分……………………………………………………………………………………</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0分</w:t>
      </w:r>
    </w:p>
    <w:p>
      <w:pPr>
        <w:pStyle w:val="13"/>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（1）按照《政府采购促进中小企业发展</w:t>
      </w:r>
      <w:r>
        <w:rPr>
          <w:rFonts w:hint="eastAsia" w:ascii="宋体" w:hAnsi="宋体" w:cs="宋体"/>
          <w:color w:val="auto"/>
          <w:sz w:val="21"/>
          <w:szCs w:val="21"/>
          <w:highlight w:val="none"/>
          <w:lang w:val="en-US" w:eastAsia="zh-CN"/>
        </w:rPr>
        <w:t>管理办法</w:t>
      </w:r>
      <w:r>
        <w:rPr>
          <w:rFonts w:hint="eastAsia" w:ascii="宋体" w:hAnsi="宋体" w:eastAsia="宋体" w:cs="宋体"/>
          <w:color w:val="auto"/>
          <w:sz w:val="21"/>
          <w:szCs w:val="21"/>
          <w:highlight w:val="none"/>
        </w:rPr>
        <w:t>》（财库[2</w:t>
      </w:r>
      <w:r>
        <w:rPr>
          <w:rFonts w:hint="eastAsia" w:ascii="宋体" w:hAnsi="宋体" w:cs="宋体"/>
          <w:color w:val="auto"/>
          <w:sz w:val="21"/>
          <w:szCs w:val="21"/>
          <w:highlight w:val="none"/>
          <w:lang w:val="en-US" w:eastAsia="zh-CN"/>
        </w:rPr>
        <w:t>020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46</w:t>
      </w:r>
      <w:r>
        <w:rPr>
          <w:rFonts w:hint="eastAsia" w:ascii="宋体" w:hAnsi="宋体" w:eastAsia="宋体" w:cs="宋体"/>
          <w:color w:val="auto"/>
          <w:sz w:val="21"/>
          <w:szCs w:val="21"/>
          <w:highlight w:val="none"/>
        </w:rPr>
        <w:t>号）规定：</w:t>
      </w:r>
    </w:p>
    <w:p>
      <w:pPr>
        <w:pStyle w:val="13"/>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对小型和微型企业提供</w:t>
      </w:r>
      <w:r>
        <w:rPr>
          <w:rFonts w:hint="eastAsia" w:ascii="宋体" w:hAnsi="宋体" w:cs="宋体"/>
          <w:color w:val="auto"/>
          <w:sz w:val="21"/>
          <w:szCs w:val="21"/>
          <w:highlight w:val="none"/>
          <w:lang w:eastAsia="zh-CN"/>
        </w:rPr>
        <w:t>货物</w:t>
      </w:r>
      <w:r>
        <w:rPr>
          <w:rFonts w:hint="eastAsia" w:ascii="宋体" w:hAnsi="宋体" w:eastAsia="宋体" w:cs="宋体"/>
          <w:color w:val="auto"/>
          <w:sz w:val="21"/>
          <w:szCs w:val="21"/>
          <w:highlight w:val="none"/>
        </w:rPr>
        <w:t>的投标人（以投标文件提供的符合规定的有关证明材料为准），其投标报价给予</w:t>
      </w:r>
      <w:r>
        <w:rPr>
          <w:rFonts w:hint="eastAsia"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rPr>
        <w:t>的扣除，扣除后的价格为评标报价，即评标报价=投标报价×（1-</w:t>
      </w:r>
      <w:r>
        <w:rPr>
          <w:rFonts w:hint="eastAsia"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rPr>
        <w:t>）；除上述情况外，评标报价=投标报价。</w:t>
      </w:r>
    </w:p>
    <w:p>
      <w:pPr>
        <w:pStyle w:val="13"/>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pStyle w:val="13"/>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（3）价格分应当采用低价优先法计算，即满足招标文件要求且投标价格最低的投标报价为评标基准价，其价格分为满分。其他投标人的价格分统一按照下列公式计算：</w:t>
      </w:r>
    </w:p>
    <w:p>
      <w:pPr>
        <w:pStyle w:val="13"/>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以进入评标的最低的评标报价为</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0分。</w:t>
      </w:r>
    </w:p>
    <w:p>
      <w:pPr>
        <w:pStyle w:val="16"/>
        <w:keepNext w:val="0"/>
        <w:keepLines w:val="0"/>
        <w:pageBreakBefore w:val="0"/>
        <w:widowControl/>
        <w:kinsoku/>
        <w:wordWrap/>
        <w:overflowPunct/>
        <w:topLinePunct w:val="0"/>
        <w:autoSpaceDE/>
        <w:autoSpaceDN/>
        <w:bidi w:val="0"/>
        <w:snapToGrid/>
        <w:spacing w:line="360" w:lineRule="exact"/>
        <w:ind w:firstLine="3780" w:firstLineChars="18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评标基准价</w:t>
      </w:r>
    </w:p>
    <w:p>
      <w:pPr>
        <w:pStyle w:val="16"/>
        <w:keepNext w:val="0"/>
        <w:keepLines w:val="0"/>
        <w:pageBreakBefore w:val="0"/>
        <w:widowControl/>
        <w:kinsoku/>
        <w:wordWrap/>
        <w:overflowPunct/>
        <w:topLinePunct w:val="0"/>
        <w:autoSpaceDE/>
        <w:autoSpaceDN/>
        <w:bidi w:val="0"/>
        <w:snapToGrid/>
        <w:spacing w:line="360" w:lineRule="exact"/>
        <w:ind w:firstLine="315" w:firstLineChars="15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mc:AlternateContent>
          <mc:Choice Requires="wps">
            <w:drawing>
              <wp:anchor distT="0" distB="0" distL="114300" distR="114300" simplePos="0" relativeHeight="251678720" behindDoc="0" locked="0" layoutInCell="1" allowOverlap="1">
                <wp:simplePos x="0" y="0"/>
                <wp:positionH relativeFrom="column">
                  <wp:posOffset>1621155</wp:posOffset>
                </wp:positionH>
                <wp:positionV relativeFrom="paragraph">
                  <wp:posOffset>112395</wp:posOffset>
                </wp:positionV>
                <wp:extent cx="2200275" cy="0"/>
                <wp:effectExtent l="0" t="0" r="0" b="0"/>
                <wp:wrapNone/>
                <wp:docPr id="6" name="Line 105"/>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ln>
                        <a:effectLst/>
                      </wps:spPr>
                      <wps:bodyPr/>
                    </wps:wsp>
                  </a:graphicData>
                </a:graphic>
              </wp:anchor>
            </w:drawing>
          </mc:Choice>
          <mc:Fallback>
            <w:pict>
              <v:line id="Line 105" o:spid="_x0000_s1026" o:spt="20" style="position:absolute;left:0pt;margin-left:127.65pt;margin-top:8.85pt;height:0pt;width:173.25pt;z-index:251678720;mso-width-relative:page;mso-height-relative:page;" filled="f" stroked="t" coordsize="21600,21600" o:gfxdata="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LwLlm1gAAAAkBAAAPAAAAAAAAAAEAIAAAACIAAABk&#10;cnMvZG93bnJldi54bWxQSwECFAAUAAAACACHTuJAuXN2Qs8BAACvAwAADgAAAAAAAAABACAAAAAl&#10;AQAAZHJzL2Uyb0RvYy54bWxQSwUGAAAAAAYABgBZAQAAZgUAAAAA&#10;">
                <v:fill on="f" focussize="0,0"/>
                <v:stroke color="#000000" joinstyle="round"/>
                <v:imagedata o:title=""/>
                <o:lock v:ext="edit" aspectratio="f"/>
              </v:line>
            </w:pict>
          </mc:Fallback>
        </mc:AlternateContent>
      </w:r>
      <w:r>
        <w:rPr>
          <w:rFonts w:hint="eastAsia" w:ascii="宋体" w:hAnsi="宋体" w:eastAsia="宋体" w:cs="宋体"/>
          <w:bCs/>
          <w:color w:val="auto"/>
          <w:sz w:val="21"/>
          <w:szCs w:val="21"/>
          <w:highlight w:val="none"/>
        </w:rPr>
        <w:t>（4）投标人价格分=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50</w:t>
      </w:r>
      <w:r>
        <w:rPr>
          <w:rFonts w:hint="eastAsia" w:ascii="宋体" w:hAnsi="宋体" w:eastAsia="宋体" w:cs="宋体"/>
          <w:bCs/>
          <w:color w:val="auto"/>
          <w:sz w:val="21"/>
          <w:szCs w:val="21"/>
          <w:highlight w:val="none"/>
        </w:rPr>
        <w:t>分</w:t>
      </w:r>
    </w:p>
    <w:p>
      <w:pPr>
        <w:pStyle w:val="11"/>
        <w:keepNext w:val="0"/>
        <w:keepLines w:val="0"/>
        <w:pageBreakBefore w:val="0"/>
        <w:widowControl/>
        <w:kinsoku/>
        <w:wordWrap/>
        <w:overflowPunct/>
        <w:topLinePunct w:val="0"/>
        <w:autoSpaceDE/>
        <w:autoSpaceDN/>
        <w:bidi w:val="0"/>
        <w:snapToGrid/>
        <w:spacing w:line="360" w:lineRule="exact"/>
        <w:rPr>
          <w:rFonts w:hint="eastAsia"/>
          <w:lang w:val="en-US" w:eastAsia="zh-CN"/>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投标人</w:t>
      </w:r>
      <w:r>
        <w:rPr>
          <w:rFonts w:hint="eastAsia" w:ascii="宋体" w:hAnsi="宋体" w:eastAsia="宋体" w:cs="宋体"/>
          <w:color w:val="auto"/>
          <w:sz w:val="21"/>
          <w:szCs w:val="21"/>
          <w:highlight w:val="none"/>
        </w:rPr>
        <w:t>评标报价</w:t>
      </w:r>
    </w:p>
    <w:p>
      <w:pPr>
        <w:pStyle w:val="13"/>
        <w:keepNext w:val="0"/>
        <w:keepLines w:val="0"/>
        <w:pageBreakBefore w:val="0"/>
        <w:widowControl/>
        <w:kinsoku/>
        <w:wordWrap/>
        <w:overflowPunct/>
        <w:topLinePunct w:val="0"/>
        <w:autoSpaceDE/>
        <w:autoSpaceDN/>
        <w:bidi w:val="0"/>
        <w:snapToGrid/>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2.技术分……………………………………………………………………………………</w:t>
      </w:r>
      <w:r>
        <w:rPr>
          <w:rFonts w:hint="eastAsia" w:ascii="宋体" w:hAnsi="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p>
      <w:pPr>
        <w:pStyle w:val="13"/>
        <w:keepNext w:val="0"/>
        <w:keepLines w:val="0"/>
        <w:pageBreakBefore w:val="0"/>
        <w:widowControl/>
        <w:kinsoku/>
        <w:wordWrap/>
        <w:overflowPunct/>
        <w:topLinePunct w:val="0"/>
        <w:autoSpaceDE/>
        <w:autoSpaceDN/>
        <w:bidi w:val="0"/>
        <w:snapToGrid/>
        <w:spacing w:line="360" w:lineRule="exact"/>
        <w:ind w:firstLine="422" w:firstLineChars="20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color w:val="auto"/>
          <w:sz w:val="21"/>
          <w:szCs w:val="21"/>
          <w:highlight w:val="none"/>
        </w:rPr>
        <w:t>技术</w:t>
      </w:r>
      <w:r>
        <w:rPr>
          <w:rFonts w:hint="eastAsia" w:ascii="宋体" w:hAnsi="宋体" w:cs="宋体"/>
          <w:b/>
          <w:color w:val="auto"/>
          <w:sz w:val="21"/>
          <w:szCs w:val="21"/>
          <w:highlight w:val="none"/>
          <w:lang w:eastAsia="zh-CN"/>
        </w:rPr>
        <w:t>参数</w:t>
      </w:r>
      <w:r>
        <w:rPr>
          <w:rFonts w:hint="eastAsia" w:ascii="宋体" w:hAnsi="宋体" w:cs="宋体"/>
          <w:b/>
          <w:bCs/>
          <w:color w:val="auto"/>
          <w:sz w:val="21"/>
          <w:szCs w:val="21"/>
          <w:highlight w:val="none"/>
          <w:lang w:eastAsia="zh-CN"/>
        </w:rPr>
        <w:t>分（</w:t>
      </w:r>
      <w:r>
        <w:rPr>
          <w:rFonts w:hint="eastAsia" w:ascii="宋体" w:hAnsi="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rPr>
        <w:t>分</w:t>
      </w:r>
      <w:r>
        <w:rPr>
          <w:rFonts w:hint="eastAsia" w:ascii="宋体" w:hAnsi="宋体" w:cs="宋体"/>
          <w:b/>
          <w:bCs/>
          <w:color w:val="auto"/>
          <w:sz w:val="21"/>
          <w:szCs w:val="21"/>
          <w:highlight w:val="none"/>
          <w:lang w:eastAsia="zh-CN"/>
        </w:rPr>
        <w:t>）</w:t>
      </w:r>
    </w:p>
    <w:p>
      <w:pPr>
        <w:pStyle w:val="13"/>
        <w:keepNext w:val="0"/>
        <w:keepLines w:val="0"/>
        <w:pageBreakBefore w:val="0"/>
        <w:widowControl/>
        <w:kinsoku/>
        <w:wordWrap/>
        <w:overflowPunct/>
        <w:topLinePunct w:val="0"/>
        <w:autoSpaceDE/>
        <w:autoSpaceDN/>
        <w:bidi w:val="0"/>
        <w:snapToGrid/>
        <w:spacing w:line="360" w:lineRule="exact"/>
        <w:ind w:firstLine="420" w:firstLineChars="200"/>
        <w:jc w:val="left"/>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在投标文件中提供所投第</w:t>
      </w:r>
      <w:r>
        <w:rPr>
          <w:rFonts w:hint="eastAsia" w:ascii="宋体" w:hAnsi="宋体" w:cs="宋体"/>
          <w:b w:val="0"/>
          <w:bCs/>
          <w:color w:val="auto"/>
          <w:sz w:val="21"/>
          <w:szCs w:val="21"/>
          <w:highlight w:val="none"/>
          <w:lang w:val="en-US" w:eastAsia="zh-CN"/>
        </w:rPr>
        <w:t>11、12</w:t>
      </w:r>
      <w:r>
        <w:rPr>
          <w:rFonts w:hint="default" w:ascii="宋体" w:hAnsi="宋体" w:eastAsia="宋体" w:cs="宋体"/>
          <w:b w:val="0"/>
          <w:bCs/>
          <w:color w:val="auto"/>
          <w:sz w:val="21"/>
          <w:szCs w:val="21"/>
          <w:highlight w:val="none"/>
          <w:lang w:val="en-US" w:eastAsia="zh-CN"/>
        </w:rPr>
        <w:t>分项产品有资质的第三方检测机构出具的满足或优于标注“▲”号的参数要求的检测报告复印件且在投标文件中逐点应答并标注出其在第三方检测机构出具的检测报告中的具体位置，原件核查（原件需在投标截止时间前单独递交，以便评委核查，否则不予计分）。每项得</w:t>
      </w:r>
      <w:r>
        <w:rPr>
          <w:rFonts w:hint="eastAsia" w:ascii="宋体" w:hAnsi="宋体" w:cs="宋体"/>
          <w:b w:val="0"/>
          <w:bCs/>
          <w:color w:val="auto"/>
          <w:sz w:val="21"/>
          <w:szCs w:val="21"/>
          <w:highlight w:val="none"/>
          <w:lang w:val="en-US" w:eastAsia="zh-CN"/>
        </w:rPr>
        <w:t>1</w:t>
      </w:r>
      <w:r>
        <w:rPr>
          <w:rFonts w:hint="default" w:ascii="宋体" w:hAnsi="宋体" w:eastAsia="宋体" w:cs="宋体"/>
          <w:b w:val="0"/>
          <w:bCs/>
          <w:color w:val="auto"/>
          <w:sz w:val="21"/>
          <w:szCs w:val="21"/>
          <w:highlight w:val="none"/>
          <w:lang w:val="en-US" w:eastAsia="zh-CN"/>
        </w:rPr>
        <w:t>分，满分</w:t>
      </w:r>
      <w:r>
        <w:rPr>
          <w:rFonts w:hint="eastAsia" w:ascii="宋体" w:hAnsi="宋体" w:cs="宋体"/>
          <w:b w:val="0"/>
          <w:bCs/>
          <w:color w:val="auto"/>
          <w:sz w:val="21"/>
          <w:szCs w:val="21"/>
          <w:highlight w:val="none"/>
          <w:lang w:val="en-US" w:eastAsia="zh-CN"/>
        </w:rPr>
        <w:t>14</w:t>
      </w:r>
      <w:r>
        <w:rPr>
          <w:rFonts w:hint="default" w:ascii="宋体" w:hAnsi="宋体" w:eastAsia="宋体" w:cs="宋体"/>
          <w:b w:val="0"/>
          <w:bCs/>
          <w:color w:val="auto"/>
          <w:sz w:val="21"/>
          <w:szCs w:val="21"/>
          <w:highlight w:val="none"/>
          <w:lang w:val="en-US" w:eastAsia="zh-CN"/>
        </w:rPr>
        <w:t>分</w:t>
      </w:r>
    </w:p>
    <w:p>
      <w:pPr>
        <w:pStyle w:val="13"/>
        <w:keepNext w:val="0"/>
        <w:keepLines w:val="0"/>
        <w:pageBreakBefore w:val="0"/>
        <w:widowControl/>
        <w:kinsoku/>
        <w:wordWrap/>
        <w:overflowPunct/>
        <w:topLinePunct w:val="0"/>
        <w:autoSpaceDE/>
        <w:autoSpaceDN/>
        <w:bidi w:val="0"/>
        <w:snapToGrid/>
        <w:spacing w:line="36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样品分</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分</w:t>
      </w:r>
      <w:r>
        <w:rPr>
          <w:rFonts w:hint="eastAsia" w:ascii="宋体" w:hAnsi="宋体" w:cs="宋体"/>
          <w:b/>
          <w:color w:val="auto"/>
          <w:sz w:val="21"/>
          <w:szCs w:val="21"/>
          <w:highlight w:val="none"/>
          <w:lang w:eastAsia="zh-CN"/>
        </w:rPr>
        <w:t>）</w:t>
      </w:r>
    </w:p>
    <w:p>
      <w:pPr>
        <w:pStyle w:val="13"/>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由评委根据各投标人提供样品的材质优劣（强度、颜色、杂物、配件、手感等方面）、加工工艺水平（样式、平整、缝纫等方面）进行综合评定，确定各投标人所属的等级后，在等级内由各评委独立打分</w:t>
      </w:r>
      <w:r>
        <w:rPr>
          <w:rFonts w:hint="eastAsia" w:ascii="宋体" w:hAnsi="宋体" w:cs="宋体"/>
          <w:b/>
          <w:bCs/>
          <w:color w:val="auto"/>
          <w:sz w:val="21"/>
          <w:szCs w:val="21"/>
          <w:highlight w:val="none"/>
          <w:lang w:eastAsia="zh-CN"/>
        </w:rPr>
        <w:t>（未提供不得分）</w:t>
      </w:r>
    </w:p>
    <w:p>
      <w:pPr>
        <w:pStyle w:val="13"/>
        <w:keepNext w:val="0"/>
        <w:keepLines w:val="0"/>
        <w:pageBreakBefore w:val="0"/>
        <w:widowControl/>
        <w:numPr>
          <w:ilvl w:val="0"/>
          <w:numId w:val="0"/>
        </w:numPr>
        <w:kinsoku/>
        <w:wordWrap/>
        <w:overflowPunct/>
        <w:topLinePunct w:val="0"/>
        <w:autoSpaceDE/>
        <w:autoSpaceDN/>
        <w:bidi w:val="0"/>
        <w:snapToGrid/>
        <w:spacing w:line="360" w:lineRule="exact"/>
        <w:ind w:right="72" w:rightChars="3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优（</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分）样品材质、加工工艺相对优质；良（</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分）样品材质、加工工艺相对良好；差（0.1～</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分）样品材质、加工工艺相对一般</w:t>
      </w:r>
      <w:r>
        <w:rPr>
          <w:rFonts w:hint="eastAsia" w:ascii="宋体" w:hAnsi="宋体" w:eastAsia="宋体" w:cs="宋体"/>
          <w:color w:val="auto"/>
          <w:sz w:val="21"/>
          <w:szCs w:val="21"/>
          <w:highlight w:val="none"/>
          <w:lang w:val="en-US" w:eastAsia="zh-CN"/>
        </w:rPr>
        <w:t xml:space="preserve">     </w:t>
      </w:r>
    </w:p>
    <w:p>
      <w:pPr>
        <w:pStyle w:val="13"/>
        <w:keepNext w:val="0"/>
        <w:keepLines w:val="0"/>
        <w:pageBreakBefore w:val="0"/>
        <w:widowControl/>
        <w:kinsoku/>
        <w:wordWrap/>
        <w:overflowPunct/>
        <w:topLinePunct w:val="0"/>
        <w:autoSpaceDE/>
        <w:autoSpaceDN/>
        <w:bidi w:val="0"/>
        <w:snapToGrid/>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3.售后服务分………………………………………………………………………………</w:t>
      </w:r>
      <w:r>
        <w:rPr>
          <w:rFonts w:hint="eastAsia" w:ascii="宋体" w:hAnsi="宋体" w:cs="宋体"/>
          <w:b/>
          <w:color w:val="auto"/>
          <w:sz w:val="21"/>
          <w:szCs w:val="21"/>
          <w:highlight w:val="none"/>
          <w:lang w:val="en-US" w:eastAsia="zh-CN"/>
        </w:rPr>
        <w:t>28</w:t>
      </w:r>
      <w:r>
        <w:rPr>
          <w:rFonts w:hint="eastAsia" w:ascii="宋体" w:hAnsi="宋体" w:eastAsia="宋体" w:cs="宋体"/>
          <w:b/>
          <w:color w:val="auto"/>
          <w:sz w:val="21"/>
          <w:szCs w:val="21"/>
          <w:highlight w:val="none"/>
        </w:rPr>
        <w:t>分</w:t>
      </w:r>
    </w:p>
    <w:p>
      <w:pPr>
        <w:pStyle w:val="13"/>
        <w:keepNext w:val="0"/>
        <w:keepLines w:val="0"/>
        <w:pageBreakBefore w:val="0"/>
        <w:widowControl/>
        <w:kinsoku/>
        <w:wordWrap/>
        <w:overflowPunct/>
        <w:topLinePunct w:val="0"/>
        <w:autoSpaceDE/>
        <w:autoSpaceDN/>
        <w:bidi w:val="0"/>
        <w:snapToGrid/>
        <w:spacing w:line="360" w:lineRule="exact"/>
        <w:ind w:firstLine="422" w:firstLineChars="200"/>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售后服务</w:t>
      </w:r>
      <w:r>
        <w:rPr>
          <w:rFonts w:hint="eastAsia" w:ascii="宋体" w:hAnsi="宋体" w:cs="宋体"/>
          <w:b/>
          <w:bCs/>
          <w:color w:val="auto"/>
          <w:sz w:val="21"/>
          <w:szCs w:val="21"/>
          <w:highlight w:val="none"/>
          <w:lang w:eastAsia="zh-CN"/>
        </w:rPr>
        <w:t>方案分（满分</w:t>
      </w:r>
      <w:r>
        <w:rPr>
          <w:rFonts w:hint="eastAsia" w:ascii="宋体" w:hAnsi="宋体" w:cs="宋体"/>
          <w:b/>
          <w:bCs/>
          <w:color w:val="auto"/>
          <w:sz w:val="21"/>
          <w:szCs w:val="21"/>
          <w:highlight w:val="none"/>
          <w:lang w:val="en-US" w:eastAsia="zh-CN"/>
        </w:rPr>
        <w:t>15分</w:t>
      </w:r>
      <w:r>
        <w:rPr>
          <w:rFonts w:hint="eastAsia" w:ascii="宋体" w:hAnsi="宋体" w:cs="宋体"/>
          <w:b/>
          <w:bCs/>
          <w:color w:val="auto"/>
          <w:sz w:val="21"/>
          <w:szCs w:val="21"/>
          <w:highlight w:val="none"/>
          <w:lang w:eastAsia="zh-CN"/>
        </w:rPr>
        <w:t>）</w:t>
      </w:r>
    </w:p>
    <w:p>
      <w:pPr>
        <w:pStyle w:val="13"/>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由评委根据招标文件售后服务要求并结合投标人的售后服务承诺书的完整性、可行性、响应时间、出现问题解决方案、技术培训方案、免费保修期外维修方案、其他优惠措施等由评委集体讨论确定各投标人所属档次，由评委在相应档次内独立打分。</w:t>
      </w:r>
    </w:p>
    <w:p>
      <w:pPr>
        <w:pStyle w:val="13"/>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分）售后服务方案基本合理、可行，保障响应措施、服务经验一般，方案一般的，进入一档。</w:t>
      </w:r>
    </w:p>
    <w:p>
      <w:pPr>
        <w:pStyle w:val="13"/>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分）在满足一档基础上，售后服务方案比较细致、合理、可行，人员配置较好，保障响应措施较有力，服务经验较丰富，满足以上相关要求的，进入二档。</w:t>
      </w:r>
    </w:p>
    <w:p>
      <w:pPr>
        <w:pStyle w:val="13"/>
        <w:keepNext w:val="0"/>
        <w:keepLines w:val="0"/>
        <w:pageBreakBefore w:val="0"/>
        <w:widowControl/>
        <w:kinsoku/>
        <w:wordWrap/>
        <w:overflowPunct/>
        <w:topLinePunct w:val="0"/>
        <w:autoSpaceDE/>
        <w:autoSpaceDN/>
        <w:bidi w:val="0"/>
        <w:snapToGrid/>
        <w:spacing w:line="360" w:lineRule="exact"/>
        <w:ind w:firstLine="420" w:firstLineChars="200"/>
        <w:jc w:val="both"/>
        <w:rPr>
          <w:rFonts w:hint="eastAsia" w:ascii="宋体" w:hAnsi="宋体" w:eastAsia="宋体" w:cs="宋体"/>
          <w:color w:val="auto"/>
          <w:sz w:val="21"/>
          <w:szCs w:val="21"/>
          <w:highlight w:val="none"/>
          <w:lang w:eastAsia="zh-CN"/>
        </w:rPr>
      </w:pPr>
      <w:bookmarkStart w:id="27" w:name="_Toc27402"/>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分）在满足二档基础上，售后服务方案论述准确，售后保障措施清晰、完整、严谨、合理、先进、具体、有效；响应及达到现场时间优于采购要求，提供一站式、全面、专业的本地化售后服务，方案优秀</w:t>
      </w:r>
      <w:r>
        <w:rPr>
          <w:rFonts w:hint="eastAsia" w:ascii="宋体" w:hAnsi="宋体" w:cs="宋体"/>
          <w:color w:val="auto"/>
          <w:sz w:val="21"/>
          <w:szCs w:val="21"/>
          <w:highlight w:val="none"/>
          <w:lang w:eastAsia="zh-CN"/>
        </w:rPr>
        <w:t>且</w:t>
      </w:r>
      <w:r>
        <w:rPr>
          <w:rFonts w:hint="eastAsia" w:ascii="宋体" w:hAnsi="宋体" w:cs="宋体"/>
          <w:bCs w:val="0"/>
          <w:color w:val="auto"/>
          <w:sz w:val="21"/>
          <w:szCs w:val="21"/>
          <w:highlight w:val="none"/>
        </w:rPr>
        <w:t>在投标文件中</w:t>
      </w:r>
      <w:r>
        <w:rPr>
          <w:rFonts w:hint="eastAsia" w:ascii="宋体" w:hAnsi="宋体" w:cs="宋体"/>
          <w:b w:val="0"/>
          <w:bCs w:val="0"/>
          <w:color w:val="auto"/>
          <w:sz w:val="21"/>
          <w:szCs w:val="21"/>
          <w:highlight w:val="none"/>
          <w:lang w:val="en-US" w:eastAsia="zh-CN"/>
        </w:rPr>
        <w:t>提供</w:t>
      </w:r>
      <w:r>
        <w:rPr>
          <w:rFonts w:hint="eastAsia" w:ascii="宋体" w:hAnsi="宋体" w:cs="宋体"/>
          <w:color w:val="auto"/>
          <w:sz w:val="21"/>
          <w:szCs w:val="21"/>
          <w:highlight w:val="none"/>
          <w:lang w:eastAsia="zh-CN"/>
        </w:rPr>
        <w:t>投标人或</w:t>
      </w:r>
      <w:r>
        <w:rPr>
          <w:rFonts w:hint="eastAsia" w:ascii="宋体" w:hAnsi="宋体" w:cs="宋体"/>
          <w:color w:val="auto"/>
          <w:sz w:val="21"/>
          <w:szCs w:val="21"/>
          <w:highlight w:val="none"/>
          <w:lang w:val="en-US" w:eastAsia="zh-CN"/>
        </w:rPr>
        <w:t>所投产品生产厂家</w:t>
      </w:r>
      <w:r>
        <w:rPr>
          <w:rFonts w:hint="eastAsia" w:ascii="宋体" w:hAnsi="宋体" w:eastAsia="宋体" w:cs="宋体"/>
          <w:kern w:val="2"/>
          <w:sz w:val="21"/>
          <w:szCs w:val="24"/>
          <w:lang w:val="en-US" w:eastAsia="zh-CN" w:bidi="ar-SA"/>
        </w:rPr>
        <w:t>通过依据《GB/T27922/2011》国家标准认定的五星级《售后服务认证证书》</w:t>
      </w:r>
      <w:r>
        <w:rPr>
          <w:rFonts w:hint="eastAsia" w:ascii="宋体" w:hAnsi="宋体" w:cs="宋体"/>
          <w:kern w:val="2"/>
          <w:sz w:val="21"/>
          <w:szCs w:val="24"/>
          <w:lang w:val="en-US" w:eastAsia="zh-CN" w:bidi="ar-SA"/>
        </w:rPr>
        <w:t>复印件</w:t>
      </w:r>
      <w:r>
        <w:rPr>
          <w:rFonts w:hint="eastAsia" w:ascii="宋体" w:hAnsi="宋体" w:eastAsia="宋体" w:cs="宋体"/>
          <w:color w:val="auto"/>
          <w:sz w:val="21"/>
          <w:szCs w:val="21"/>
          <w:highlight w:val="none"/>
          <w:lang w:eastAsia="zh-CN"/>
        </w:rPr>
        <w:t>，进入三档。</w:t>
      </w:r>
      <w:bookmarkEnd w:id="27"/>
    </w:p>
    <w:p>
      <w:pPr>
        <w:pStyle w:val="13"/>
        <w:keepNext w:val="0"/>
        <w:keepLines w:val="0"/>
        <w:pageBreakBefore w:val="0"/>
        <w:widowControl/>
        <w:kinsoku/>
        <w:wordWrap/>
        <w:overflowPunct/>
        <w:topLinePunct w:val="0"/>
        <w:autoSpaceDE/>
        <w:autoSpaceDN/>
        <w:bidi w:val="0"/>
        <w:snapToGrid/>
        <w:spacing w:line="360" w:lineRule="exact"/>
        <w:ind w:firstLine="422" w:firstLineChars="200"/>
        <w:jc w:val="both"/>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人员分（满分10分）</w:t>
      </w:r>
    </w:p>
    <w:p>
      <w:pPr>
        <w:pStyle w:val="13"/>
        <w:keepNext w:val="0"/>
        <w:keepLines w:val="0"/>
        <w:pageBreakBefore w:val="0"/>
        <w:widowControl/>
        <w:kinsoku/>
        <w:wordWrap/>
        <w:overflowPunct/>
        <w:topLinePunct w:val="0"/>
        <w:autoSpaceDE/>
        <w:autoSpaceDN/>
        <w:bidi w:val="0"/>
        <w:snapToGrid/>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文件中提供供应商或所</w:t>
      </w:r>
      <w:r>
        <w:rPr>
          <w:rFonts w:hint="eastAsia" w:ascii="宋体" w:hAnsi="宋体" w:cs="宋体"/>
          <w:color w:val="auto"/>
          <w:sz w:val="21"/>
          <w:szCs w:val="21"/>
          <w:highlight w:val="none"/>
          <w:lang w:val="en-US" w:eastAsia="zh-CN"/>
        </w:rPr>
        <w:t>投</w:t>
      </w:r>
      <w:r>
        <w:rPr>
          <w:rFonts w:hint="eastAsia" w:ascii="宋体" w:hAnsi="宋体" w:eastAsia="宋体" w:cs="宋体"/>
          <w:color w:val="auto"/>
          <w:sz w:val="21"/>
          <w:szCs w:val="21"/>
          <w:highlight w:val="none"/>
          <w:lang w:val="en-US" w:eastAsia="zh-CN"/>
        </w:rPr>
        <w:t>产品生产厂家人员通过《GB/T27922/2011》售后服务管理师资格培训且获得培训证书的（必须提供培训证书复印件及</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或所</w:t>
      </w:r>
      <w:r>
        <w:rPr>
          <w:rFonts w:hint="eastAsia" w:ascii="宋体" w:hAnsi="宋体" w:cs="宋体"/>
          <w:color w:val="auto"/>
          <w:sz w:val="21"/>
          <w:szCs w:val="21"/>
          <w:highlight w:val="none"/>
          <w:lang w:val="en-US" w:eastAsia="zh-CN"/>
        </w:rPr>
        <w:t>投</w:t>
      </w:r>
      <w:r>
        <w:rPr>
          <w:rFonts w:hint="eastAsia" w:ascii="宋体" w:hAnsi="宋体" w:eastAsia="宋体" w:cs="宋体"/>
          <w:color w:val="auto"/>
          <w:sz w:val="21"/>
          <w:szCs w:val="21"/>
          <w:highlight w:val="none"/>
          <w:lang w:val="en-US" w:eastAsia="zh-CN"/>
        </w:rPr>
        <w:t>产品生产厂家为相关人员</w:t>
      </w:r>
      <w:r>
        <w:rPr>
          <w:rFonts w:hint="eastAsia" w:ascii="宋体" w:hAnsi="宋体" w:eastAsia="宋体" w:cs="宋体"/>
          <w:color w:val="auto"/>
          <w:sz w:val="21"/>
          <w:szCs w:val="21"/>
          <w:highlight w:val="none"/>
        </w:rPr>
        <w:t>所交纳的</w:t>
      </w:r>
      <w:r>
        <w:rPr>
          <w:rFonts w:hint="eastAsia" w:ascii="宋体" w:hAnsi="宋体" w:cs="宋体"/>
          <w:color w:val="auto"/>
          <w:sz w:val="21"/>
          <w:szCs w:val="21"/>
          <w:highlight w:val="none"/>
          <w:lang w:eastAsia="zh-CN"/>
        </w:rPr>
        <w:t>开标截止日期前半年内</w:t>
      </w:r>
      <w:r>
        <w:rPr>
          <w:rFonts w:hint="eastAsia" w:ascii="宋体" w:hAnsi="宋体" w:eastAsia="宋体" w:cs="宋体"/>
          <w:color w:val="auto"/>
          <w:sz w:val="21"/>
          <w:szCs w:val="21"/>
          <w:highlight w:val="none"/>
        </w:rPr>
        <w:t>任意三个月社保证明复印件</w:t>
      </w:r>
      <w:r>
        <w:rPr>
          <w:rFonts w:hint="eastAsia" w:ascii="宋体" w:hAnsi="宋体" w:eastAsia="宋体" w:cs="宋体"/>
          <w:color w:val="auto"/>
          <w:sz w:val="21"/>
          <w:szCs w:val="21"/>
          <w:highlight w:val="none"/>
          <w:lang w:val="en-US" w:eastAsia="zh-CN"/>
        </w:rPr>
        <w:t>），每个加2分</w:t>
      </w:r>
    </w:p>
    <w:p>
      <w:pPr>
        <w:pStyle w:val="13"/>
        <w:keepNext w:val="0"/>
        <w:keepLines w:val="0"/>
        <w:pageBreakBefore w:val="0"/>
        <w:widowControl/>
        <w:kinsoku/>
        <w:wordWrap/>
        <w:overflowPunct/>
        <w:topLinePunct w:val="0"/>
        <w:autoSpaceDE/>
        <w:autoSpaceDN/>
        <w:bidi w:val="0"/>
        <w:snapToGrid/>
        <w:spacing w:line="360" w:lineRule="exact"/>
        <w:ind w:firstLine="420" w:firstLineChars="200"/>
        <w:jc w:val="both"/>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w:t>
      </w:r>
      <w:r>
        <w:rPr>
          <w:rFonts w:hint="eastAsia" w:ascii="宋体" w:hAnsi="宋体" w:cs="宋体"/>
          <w:bCs w:val="0"/>
          <w:color w:val="auto"/>
          <w:sz w:val="21"/>
          <w:szCs w:val="21"/>
          <w:highlight w:val="none"/>
        </w:rPr>
        <w:t>在投标文件中</w:t>
      </w:r>
      <w:r>
        <w:rPr>
          <w:rFonts w:hint="eastAsia" w:ascii="宋体" w:hAnsi="宋体" w:cs="宋体"/>
          <w:color w:val="auto"/>
          <w:sz w:val="21"/>
          <w:szCs w:val="21"/>
          <w:highlight w:val="none"/>
          <w:lang w:val="en-US" w:eastAsia="zh-CN"/>
        </w:rPr>
        <w:t>提供</w:t>
      </w:r>
      <w:r>
        <w:rPr>
          <w:rFonts w:hint="eastAsia" w:ascii="宋体" w:hAnsi="宋体" w:eastAsia="宋体" w:cs="宋体"/>
          <w:b w:val="0"/>
          <w:bCs w:val="0"/>
          <w:color w:val="auto"/>
          <w:sz w:val="21"/>
          <w:szCs w:val="21"/>
          <w:highlight w:val="none"/>
          <w:lang w:val="en-US" w:eastAsia="zh-CN"/>
        </w:rPr>
        <w:t>所</w:t>
      </w:r>
      <w:r>
        <w:rPr>
          <w:rFonts w:hint="eastAsia" w:ascii="宋体" w:hAnsi="宋体" w:cs="宋体"/>
          <w:b w:val="0"/>
          <w:bCs w:val="0"/>
          <w:color w:val="auto"/>
          <w:sz w:val="21"/>
          <w:szCs w:val="21"/>
          <w:highlight w:val="none"/>
          <w:lang w:val="en-US" w:eastAsia="zh-CN"/>
        </w:rPr>
        <w:t>投</w:t>
      </w:r>
      <w:r>
        <w:rPr>
          <w:rFonts w:hint="eastAsia" w:ascii="宋体" w:hAnsi="宋体" w:eastAsia="宋体" w:cs="宋体"/>
          <w:b w:val="0"/>
          <w:bCs w:val="0"/>
          <w:color w:val="auto"/>
          <w:sz w:val="21"/>
          <w:szCs w:val="21"/>
          <w:highlight w:val="none"/>
          <w:lang w:val="en-US" w:eastAsia="zh-CN"/>
        </w:rPr>
        <w:t>产品</w:t>
      </w:r>
      <w:r>
        <w:rPr>
          <w:rFonts w:hint="eastAsia" w:ascii="宋体" w:hAnsi="宋体" w:cs="宋体"/>
          <w:b w:val="0"/>
          <w:bCs w:val="0"/>
          <w:color w:val="auto"/>
          <w:sz w:val="21"/>
          <w:szCs w:val="21"/>
          <w:highlight w:val="none"/>
          <w:lang w:val="en-US" w:eastAsia="zh-CN"/>
        </w:rPr>
        <w:t>第11、12分项</w:t>
      </w:r>
      <w:r>
        <w:rPr>
          <w:rFonts w:hint="eastAsia" w:ascii="宋体" w:hAnsi="宋体" w:eastAsia="宋体" w:cs="宋体"/>
          <w:b w:val="0"/>
          <w:bCs w:val="0"/>
          <w:color w:val="auto"/>
          <w:sz w:val="21"/>
          <w:szCs w:val="21"/>
          <w:highlight w:val="none"/>
          <w:lang w:val="en-US" w:eastAsia="zh-CN"/>
        </w:rPr>
        <w:t>生产厂家针对本项目的授权委托书、售后服务承诺书原件</w:t>
      </w:r>
      <w:r>
        <w:rPr>
          <w:rFonts w:hint="eastAsia" w:ascii="宋体" w:hAnsi="宋体" w:cs="宋体"/>
          <w:b w:val="0"/>
          <w:bCs w:val="0"/>
          <w:color w:val="auto"/>
          <w:sz w:val="21"/>
          <w:szCs w:val="21"/>
          <w:highlight w:val="none"/>
          <w:lang w:val="en-US" w:eastAsia="zh-CN"/>
        </w:rPr>
        <w:t xml:space="preserve">的，得3分 </w:t>
      </w:r>
      <w:r>
        <w:rPr>
          <w:rFonts w:hint="eastAsia" w:ascii="宋体" w:hAnsi="宋体" w:cs="宋体"/>
          <w:color w:val="auto"/>
          <w:sz w:val="21"/>
          <w:szCs w:val="21"/>
          <w:highlight w:val="none"/>
          <w:lang w:val="en-US" w:eastAsia="zh-CN"/>
        </w:rPr>
        <w:t>（满分3分）</w:t>
      </w:r>
    </w:p>
    <w:p>
      <w:pPr>
        <w:pStyle w:val="13"/>
        <w:keepNext w:val="0"/>
        <w:keepLines w:val="0"/>
        <w:pageBreakBefore w:val="0"/>
        <w:widowControl/>
        <w:kinsoku/>
        <w:wordWrap/>
        <w:overflowPunct/>
        <w:topLinePunct w:val="0"/>
        <w:autoSpaceDE/>
        <w:autoSpaceDN/>
        <w:bidi w:val="0"/>
        <w:snapToGrid/>
        <w:spacing w:line="360" w:lineRule="exact"/>
        <w:jc w:val="left"/>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政策功能分（节能、环保、广西区内产品等）</w:t>
      </w:r>
      <w:r>
        <w:rPr>
          <w:rFonts w:hint="eastAsia" w:ascii="宋体" w:hAnsi="宋体" w:eastAsia="宋体" w:cs="宋体"/>
          <w:b/>
          <w:color w:val="auto"/>
          <w:sz w:val="21"/>
          <w:szCs w:val="21"/>
          <w:highlight w:val="none"/>
        </w:rPr>
        <w:t>…………………………………………</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分</w:t>
      </w:r>
    </w:p>
    <w:p>
      <w:pPr>
        <w:pStyle w:val="13"/>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属于财政部《节能产品政府采购品目清单》内优先采购（清单内未标注“★”的品目）的产品[投标文件中提供国家确定的认证机构出具的、处于有效期之内的认证证书复印件及品目清单（标注出投标产品在品目清单中所属的品目），并加盖投标人公章]，根据其所占项目金额比例得0-0.5分。</w:t>
      </w:r>
    </w:p>
    <w:p>
      <w:pPr>
        <w:pStyle w:val="13"/>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属于财政部《环境标志产品政府采购品目清单》内的产品[投标文件中提供国家确定的认证机构出具的、处于有效期之内的认证证书复印件及品目清单（标注出投标产品在品目清单中所属的品目），并加盖投标人公章]，根据其所占项目金额比例得0-0.5分。</w:t>
      </w:r>
    </w:p>
    <w:p>
      <w:pPr>
        <w:pStyle w:val="13"/>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认定为使用广西工业产品80%以上的，得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pStyle w:val="13"/>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80%）。</w:t>
      </w:r>
    </w:p>
    <w:p>
      <w:pPr>
        <w:pStyle w:val="13"/>
        <w:keepNext w:val="0"/>
        <w:keepLines w:val="0"/>
        <w:pageBreakBefore w:val="0"/>
        <w:widowControl/>
        <w:numPr>
          <w:ilvl w:val="0"/>
          <w:numId w:val="8"/>
        </w:numPr>
        <w:kinsoku/>
        <w:wordWrap/>
        <w:overflowPunct/>
        <w:topLinePunct w:val="0"/>
        <w:autoSpaceDE/>
        <w:autoSpaceDN/>
        <w:bidi w:val="0"/>
        <w:snapToGrid/>
        <w:spacing w:line="360" w:lineRule="exact"/>
        <w:ind w:right="72" w:rightChars="3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综合得分＝1+2+3+4</w:t>
      </w:r>
    </w:p>
    <w:p>
      <w:pPr>
        <w:pStyle w:val="13"/>
        <w:keepNext w:val="0"/>
        <w:keepLines w:val="0"/>
        <w:pageBreakBefore w:val="0"/>
        <w:widowControl/>
        <w:kinsoku/>
        <w:wordWrap/>
        <w:overflowPunct/>
        <w:topLinePunct w:val="0"/>
        <w:autoSpaceDE/>
        <w:autoSpaceDN/>
        <w:bidi w:val="0"/>
        <w:snapToGri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将根据得分由高到低排列次序（若得分相同时，按投标报价由低到高顺序排列；得分相同且投标报价相同的，按技术分由高到低顺序排列）并推荐三名中标候选供应商。招标采购单位应当确定评审委员会推荐排名第一的中标候选人为中标人。</w:t>
      </w:r>
    </w:p>
    <w:p>
      <w:pPr>
        <w:pStyle w:val="13"/>
        <w:keepNext w:val="0"/>
        <w:keepLines w:val="0"/>
        <w:pageBreakBefore w:val="0"/>
        <w:widowControl/>
        <w:kinsoku/>
        <w:wordWrap/>
        <w:overflowPunct/>
        <w:topLinePunct w:val="0"/>
        <w:autoSpaceDE/>
        <w:autoSpaceDN/>
        <w:bidi w:val="0"/>
        <w:snapToGrid/>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排名第一的中标候选人放弃中标、因不可抗力提出不能履行合同，或信用信息记录不符合相关规定的，或者招标文件规定应当提交履约保证金而在规定的期限内未能提交的，招标采购单位可以确定排名第二的中标候选人为中标人或重新组织采购。排名第二的中标候选人因前款规定的同样原因不能签订合同的，招标采购单位可以确定排名第三的中标候选人为中标人或重新组织采购。</w:t>
      </w:r>
    </w:p>
    <w:p>
      <w:pPr>
        <w:keepNext w:val="0"/>
        <w:keepLines w:val="0"/>
        <w:pageBreakBefore w:val="0"/>
        <w:widowControl/>
        <w:kinsoku/>
        <w:wordWrap/>
        <w:overflowPunct/>
        <w:topLinePunct w:val="0"/>
        <w:autoSpaceDE/>
        <w:autoSpaceDN/>
        <w:bidi w:val="0"/>
        <w:snapToGrid/>
        <w:spacing w:line="360" w:lineRule="exact"/>
        <w:rPr>
          <w:rFonts w:hint="eastAsi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bCs/>
          <w:color w:val="auto"/>
          <w:sz w:val="21"/>
          <w:szCs w:val="21"/>
          <w:highlight w:val="none"/>
        </w:rPr>
        <w:t>。</w:t>
      </w:r>
    </w:p>
    <w:p>
      <w:pPr>
        <w:pStyle w:val="13"/>
        <w:keepNext w:val="0"/>
        <w:keepLines w:val="0"/>
        <w:pageBreakBefore w:val="0"/>
        <w:widowControl/>
        <w:numPr>
          <w:ilvl w:val="0"/>
          <w:numId w:val="0"/>
        </w:numPr>
        <w:kinsoku/>
        <w:wordWrap/>
        <w:overflowPunct/>
        <w:topLinePunct w:val="0"/>
        <w:autoSpaceDE/>
        <w:autoSpaceDN/>
        <w:bidi w:val="0"/>
        <w:adjustRightInd w:val="0"/>
        <w:snapToGrid/>
        <w:spacing w:after="60" w:line="320" w:lineRule="exact"/>
        <w:ind w:right="72" w:rightChars="30"/>
        <w:jc w:val="left"/>
        <w:textAlignment w:val="baseline"/>
        <w:rPr>
          <w:rFonts w:hint="eastAsia" w:ascii="宋体" w:hAnsi="宋体" w:eastAsia="宋体" w:cs="宋体"/>
          <w:b/>
          <w:bCs/>
          <w:color w:val="auto"/>
          <w:sz w:val="21"/>
          <w:szCs w:val="21"/>
          <w:highlight w:val="none"/>
        </w:rPr>
      </w:pPr>
    </w:p>
    <w:p>
      <w:pPr>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keepNext w:val="0"/>
        <w:keepLines w:val="0"/>
        <w:pageBreakBefore w:val="0"/>
        <w:widowControl/>
        <w:numPr>
          <w:ilvl w:val="0"/>
          <w:numId w:val="9"/>
        </w:numPr>
        <w:kinsoku/>
        <w:wordWrap/>
        <w:overflowPunct/>
        <w:topLinePunct w:val="0"/>
        <w:autoSpaceDE/>
        <w:autoSpaceDN/>
        <w:bidi w:val="0"/>
        <w:adjustRightInd/>
        <w:spacing w:line="360" w:lineRule="exact"/>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采购合同</w:t>
      </w:r>
      <w:r>
        <w:rPr>
          <w:rFonts w:hint="eastAsia" w:ascii="宋体" w:hAnsi="宋体" w:eastAsia="宋体" w:cs="宋体"/>
          <w:b/>
          <w:color w:val="auto"/>
          <w:sz w:val="32"/>
          <w:szCs w:val="32"/>
          <w:highlight w:val="none"/>
          <w:lang w:eastAsia="zh-CN"/>
        </w:rPr>
        <w:t>（合同格式）</w:t>
      </w:r>
    </w:p>
    <w:p>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w:t>
      </w:r>
    </w:p>
    <w:p>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（中标供应商）</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根据《中华人民共和国政府采购法》、《中华人民共和国政府采购法实施条例》、《中华人民共和国合同法》等法律、法规规定，按照招、投标文件规定条款和中标供应商承诺、甲乙双方签订本采购合同。</w:t>
      </w:r>
    </w:p>
    <w:p>
      <w:pPr>
        <w:keepNext w:val="0"/>
        <w:keepLines w:val="0"/>
        <w:pageBreakBefore w:val="0"/>
        <w:widowControl/>
        <w:numPr>
          <w:ilvl w:val="0"/>
          <w:numId w:val="10"/>
        </w:numPr>
        <w:kinsoku/>
        <w:wordWrap/>
        <w:overflowPunct/>
        <w:topLinePunct w:val="0"/>
        <w:autoSpaceDE/>
        <w:autoSpaceDN/>
        <w:bidi w:val="0"/>
        <w:adjustRightInd/>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合同标的及合同金额</w:t>
      </w:r>
    </w:p>
    <w:tbl>
      <w:tblPr>
        <w:tblStyle w:val="24"/>
        <w:tblW w:w="97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601"/>
        <w:gridCol w:w="1759"/>
        <w:gridCol w:w="1118"/>
        <w:gridCol w:w="717"/>
        <w:gridCol w:w="815"/>
        <w:gridCol w:w="1444"/>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47"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1601"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759"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生产厂家及品牌</w:t>
            </w:r>
          </w:p>
        </w:tc>
        <w:tc>
          <w:tcPr>
            <w:tcW w:w="1118"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17"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p>
        </w:tc>
        <w:tc>
          <w:tcPr>
            <w:tcW w:w="815"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444"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w:t>
            </w:r>
          </w:p>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p>
        </w:tc>
        <w:tc>
          <w:tcPr>
            <w:tcW w:w="1575"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单项合计金额</w:t>
            </w:r>
            <w:r>
              <w:rPr>
                <w:rFonts w:hint="eastAsia" w:ascii="宋体" w:hAnsi="宋体" w:eastAsia="宋体" w:cs="宋体"/>
                <w:color w:val="auto"/>
                <w:sz w:val="21"/>
                <w:szCs w:val="21"/>
                <w:highlight w:val="none"/>
              </w:rPr>
              <w:t>（元）</w:t>
            </w:r>
          </w:p>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7"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1601"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p>
        </w:tc>
        <w:tc>
          <w:tcPr>
            <w:tcW w:w="1759"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1118"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717"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815"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1444" w:type="dxa"/>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p>
        </w:tc>
        <w:tc>
          <w:tcPr>
            <w:tcW w:w="1575" w:type="dxa"/>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7"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01"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p>
        </w:tc>
        <w:tc>
          <w:tcPr>
            <w:tcW w:w="1759"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p>
        </w:tc>
        <w:tc>
          <w:tcPr>
            <w:tcW w:w="1118"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717"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815"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1444" w:type="dxa"/>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p>
        </w:tc>
        <w:tc>
          <w:tcPr>
            <w:tcW w:w="1575" w:type="dxa"/>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7"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01"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p>
        </w:tc>
        <w:tc>
          <w:tcPr>
            <w:tcW w:w="1759"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1118"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717"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815"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1444" w:type="dxa"/>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p>
        </w:tc>
        <w:tc>
          <w:tcPr>
            <w:tcW w:w="1575" w:type="dxa"/>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7"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601"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p>
        </w:tc>
        <w:tc>
          <w:tcPr>
            <w:tcW w:w="1759"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1118"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717"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815"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1444" w:type="dxa"/>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p>
        </w:tc>
        <w:tc>
          <w:tcPr>
            <w:tcW w:w="1575" w:type="dxa"/>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7"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both"/>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601"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p>
        </w:tc>
        <w:tc>
          <w:tcPr>
            <w:tcW w:w="1759"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1118"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717"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815" w:type="dxa"/>
            <w:shd w:val="clear" w:color="000000" w:fill="FFFFFF"/>
            <w:vAlign w:val="center"/>
          </w:tcPr>
          <w:p>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color w:val="auto"/>
                <w:sz w:val="21"/>
                <w:szCs w:val="21"/>
                <w:highlight w:val="none"/>
              </w:rPr>
            </w:pPr>
          </w:p>
        </w:tc>
        <w:tc>
          <w:tcPr>
            <w:tcW w:w="1444" w:type="dxa"/>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p>
        </w:tc>
        <w:tc>
          <w:tcPr>
            <w:tcW w:w="1575" w:type="dxa"/>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201" w:type="dxa"/>
            <w:gridSpan w:val="7"/>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合     计</w:t>
            </w:r>
          </w:p>
        </w:tc>
        <w:tc>
          <w:tcPr>
            <w:tcW w:w="1575" w:type="dxa"/>
            <w:vAlign w:val="center"/>
          </w:tcPr>
          <w:p>
            <w:pPr>
              <w:keepNext w:val="0"/>
              <w:keepLines w:val="0"/>
              <w:pageBreakBefore w:val="0"/>
              <w:widowControl/>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rPr>
            </w:pPr>
          </w:p>
        </w:tc>
      </w:tr>
    </w:tbl>
    <w:p>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根据《中标通知书》的中标内容，合同的总金额为：（大写）</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元）人民币。</w:t>
      </w:r>
    </w:p>
    <w:p>
      <w:pPr>
        <w:keepNext w:val="0"/>
        <w:keepLines w:val="0"/>
        <w:pageBreakBefore w:val="0"/>
        <w:widowControl/>
        <w:kinsoku/>
        <w:wordWrap/>
        <w:overflowPunct/>
        <w:topLinePunct w:val="0"/>
        <w:autoSpaceDE/>
        <w:autoSpaceDN/>
        <w:bidi w:val="0"/>
        <w:adjustRightInd/>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  质量保证</w:t>
      </w:r>
    </w:p>
    <w:p>
      <w:pPr>
        <w:keepNext w:val="0"/>
        <w:keepLines w:val="0"/>
        <w:pageBreakBefore w:val="0"/>
        <w:widowControl/>
        <w:kinsoku/>
        <w:wordWrap/>
        <w:overflowPunct/>
        <w:topLinePunct w:val="0"/>
        <w:autoSpaceDE/>
        <w:autoSpaceDN/>
        <w:bidi w:val="0"/>
        <w:adjustRightInd/>
        <w:spacing w:line="36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keepNext w:val="0"/>
        <w:keepLines w:val="0"/>
        <w:pageBreakBefore w:val="0"/>
        <w:widowControl/>
        <w:kinsoku/>
        <w:wordWrap/>
        <w:overflowPunct/>
        <w:topLinePunct w:val="0"/>
        <w:autoSpaceDE/>
        <w:autoSpaceDN/>
        <w:bidi w:val="0"/>
        <w:adjustRightInd/>
        <w:spacing w:line="36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货物的质量保证期为自交货物验收合格之日起至十二个月内止（厂家规定质保期超过一年的，按厂家规定，“货物采购需求”有规定的，按规定执行）。在质保期内因货物本身的质量问题发生故障，乙方应负责免费修理和更换零部件。对达不到技术要求者，根据实际情况，经双方协商，可按以下办法处理：</w:t>
      </w:r>
    </w:p>
    <w:p>
      <w:pPr>
        <w:keepNext w:val="0"/>
        <w:keepLines w:val="0"/>
        <w:pageBreakBefore w:val="0"/>
        <w:widowControl/>
        <w:kinsoku/>
        <w:wordWrap/>
        <w:overflowPunct/>
        <w:topLinePunct w:val="0"/>
        <w:autoSpaceDE/>
        <w:autoSpaceDN/>
        <w:bidi w:val="0"/>
        <w:adjustRightInd/>
        <w:spacing w:line="36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（1）更换：由乙方承担所有发生的全部费用。</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（2）贬值处理：由甲乙双方合议定价。</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（3）退货处理：乙方应退还甲方支付的合同款，同时应承担该货物的直接费用（运输、保险、检验、贷款利息及银行手续费等）。</w:t>
      </w:r>
    </w:p>
    <w:p>
      <w:pPr>
        <w:keepNext w:val="0"/>
        <w:keepLines w:val="0"/>
        <w:pageBreakBefore w:val="0"/>
        <w:widowControl/>
        <w:kinsoku/>
        <w:wordWrap/>
        <w:overflowPunct/>
        <w:topLinePunct w:val="0"/>
        <w:autoSpaceDE/>
        <w:autoSpaceDN/>
        <w:bidi w:val="0"/>
        <w:adjustRightInd/>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  权力保证</w:t>
      </w:r>
    </w:p>
    <w:p>
      <w:pPr>
        <w:keepNext w:val="0"/>
        <w:keepLines w:val="0"/>
        <w:pageBreakBefore w:val="0"/>
        <w:widowControl/>
        <w:kinsoku/>
        <w:wordWrap/>
        <w:overflowPunct/>
        <w:topLinePunct w:val="0"/>
        <w:autoSpaceDE/>
        <w:autoSpaceDN/>
        <w:bidi w:val="0"/>
        <w:adjustRightInd/>
        <w:spacing w:line="36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1.乙方应保证所提供货物在使用时不会侵犯任何第三方的专利权、商标权、工业设计权或其他权利。</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2.乙方应按招标文件规定的时间向甲方提供使用货物的有关技术资料。</w:t>
      </w:r>
    </w:p>
    <w:p>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3.乙方保证所交付的货物的所有权完全属于乙方且无任何抵押、质押、查封等产权瑕疵。</w:t>
      </w:r>
    </w:p>
    <w:p>
      <w:pPr>
        <w:keepNext w:val="0"/>
        <w:keepLines w:val="0"/>
        <w:pageBreakBefore w:val="0"/>
        <w:widowControl/>
        <w:kinsoku/>
        <w:wordWrap/>
        <w:overflowPunct/>
        <w:topLinePunct w:val="0"/>
        <w:autoSpaceDE/>
        <w:autoSpaceDN/>
        <w:bidi w:val="0"/>
        <w:adjustRightInd/>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货物包装、运输</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1.乙方应在货物发运前对其进行满足运输距离、防潮、防震、防锈和防破损装卸等要求包装，以保证货物安全运达甲方指定地点。</w:t>
      </w:r>
    </w:p>
    <w:p>
      <w:pPr>
        <w:keepNext w:val="0"/>
        <w:keepLines w:val="0"/>
        <w:pageBreakBefore w:val="0"/>
        <w:widowControl/>
        <w:kinsoku/>
        <w:wordWrap/>
        <w:overflowPunct/>
        <w:topLinePunct w:val="0"/>
        <w:autoSpaceDE/>
        <w:autoSpaceDN/>
        <w:bidi w:val="0"/>
        <w:adjustRightInd/>
        <w:spacing w:line="36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2.使用中文说明书（货物属于进口产品的，供货时应同时附上中文使用说明书）、质量检验证明书、</w:t>
      </w:r>
    </w:p>
    <w:p>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随配附件和工具以及清单一并附于货物内。</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3.乙方在货物发运手续办理完毕后二十四小时内或货到甲方四十八小时前通知甲方，以准备接货。</w:t>
      </w:r>
    </w:p>
    <w:p>
      <w:pPr>
        <w:keepNext w:val="0"/>
        <w:keepLines w:val="0"/>
        <w:pageBreakBefore w:val="0"/>
        <w:widowControl/>
        <w:kinsoku/>
        <w:wordWrap/>
        <w:overflowPunct/>
        <w:topLinePunct w:val="0"/>
        <w:autoSpaceDE/>
        <w:autoSpaceDN/>
        <w:bidi w:val="0"/>
        <w:adjustRightInd/>
        <w:spacing w:line="36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4.货物在交付甲方前发生的风险均由乙方负责。</w:t>
      </w:r>
    </w:p>
    <w:p>
      <w:pPr>
        <w:keepNext w:val="0"/>
        <w:keepLines w:val="0"/>
        <w:pageBreakBefore w:val="0"/>
        <w:widowControl/>
        <w:kinsoku/>
        <w:wordWrap/>
        <w:overflowPunct/>
        <w:topLinePunct w:val="0"/>
        <w:autoSpaceDE/>
        <w:autoSpaceDN/>
        <w:bidi w:val="0"/>
        <w:adjustRightInd/>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交付</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b w:val="0"/>
          <w:bCs/>
          <w:color w:val="auto"/>
          <w:sz w:val="21"/>
          <w:szCs w:val="21"/>
          <w:highlight w:val="none"/>
          <w:vertAlign w:val="baseline"/>
          <w:lang w:val="en-US" w:eastAsia="zh-CN"/>
        </w:rPr>
        <w:t>交付使用时间:</w:t>
      </w:r>
      <w:r>
        <w:rPr>
          <w:rFonts w:hint="eastAsia" w:ascii="宋体" w:hAnsi="宋体" w:cs="宋体"/>
          <w:bCs/>
          <w:sz w:val="21"/>
          <w:szCs w:val="21"/>
        </w:rPr>
        <w:t>自签订合同之日起</w:t>
      </w:r>
      <w:r>
        <w:rPr>
          <w:rFonts w:hint="eastAsia" w:ascii="宋体" w:hAnsi="宋体" w:cs="宋体"/>
          <w:bCs/>
          <w:sz w:val="21"/>
          <w:szCs w:val="21"/>
          <w:lang w:val="en-US" w:eastAsia="zh-CN"/>
        </w:rPr>
        <w:t>5</w:t>
      </w:r>
      <w:r>
        <w:rPr>
          <w:rFonts w:hint="eastAsia" w:ascii="宋体" w:hAnsi="宋体" w:cs="宋体"/>
          <w:bCs/>
          <w:sz w:val="21"/>
          <w:szCs w:val="21"/>
        </w:rPr>
        <w:t>个工作日内</w:t>
      </w:r>
      <w:r>
        <w:rPr>
          <w:rFonts w:hint="eastAsia" w:ascii="宋体" w:hAnsi="宋体" w:cs="宋体"/>
          <w:bCs/>
          <w:sz w:val="21"/>
          <w:szCs w:val="21"/>
          <w:lang w:eastAsia="zh-CN"/>
        </w:rPr>
        <w:t>全部交货并验收合格</w:t>
      </w:r>
      <w:r>
        <w:rPr>
          <w:rFonts w:hint="eastAsia" w:ascii="宋体" w:hAnsi="宋体" w:cs="宋体"/>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2.交付地点：采购人指定地点。</w:t>
      </w:r>
    </w:p>
    <w:p>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3</w:t>
      </w:r>
      <w:r>
        <w:rPr>
          <w:rFonts w:hint="eastAsia" w:ascii="宋体" w:hAnsi="宋体" w:eastAsia="宋体" w:cs="宋体"/>
          <w:color w:val="auto"/>
          <w:sz w:val="21"/>
          <w:szCs w:val="21"/>
          <w:highlight w:val="none"/>
        </w:rPr>
        <w:t>.乙方提供不符合招投标文件和本合同规定的货物，甲方有权拒绝接受。</w:t>
      </w:r>
    </w:p>
    <w:p>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.乙方应将所有提供货物的装箱清单、用户手册、原厂保修卡、随机资料、工具和备用、备件等交付给甲方，货物属于进口产品的，供货时应同时附上中文使用说明书，如有缺失应及时补齐，否则视为逾期交货。</w:t>
      </w:r>
    </w:p>
    <w:p>
      <w:pPr>
        <w:keepNext w:val="0"/>
        <w:keepLines w:val="0"/>
        <w:pageBreakBefore w:val="0"/>
        <w:widowControl/>
        <w:kinsoku/>
        <w:wordWrap/>
        <w:overflowPunct/>
        <w:topLinePunct w:val="0"/>
        <w:autoSpaceDE/>
        <w:autoSpaceDN/>
        <w:bidi w:val="0"/>
        <w:adjustRightInd/>
        <w:spacing w:line="360" w:lineRule="exact"/>
        <w:ind w:left="41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  调试和验收</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1.乙方交货前应对产品做出全面的检查和对验收文件进行整理，并列出清单，作为甲方验收和使用的技术条件依据，验收的结果应随货物交甲方。</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验收合格后由甲乙双方签署货物验收单并加盖公章，甲乙双方各执一份。 </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3.甲方对乙方提供的货物在使用前进行调试时，乙方需负责安装并培训甲方的使用操作人员，并协助甲方一起调试，直到符合技术要求，甲方才做最终验收。</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4.对技术复杂的货物，甲方应请国家认可的专业检测机构参与初步验收及最终验收，并由其出具质量检测报告。</w:t>
      </w:r>
    </w:p>
    <w:p>
      <w:pPr>
        <w:keepNext w:val="0"/>
        <w:keepLines w:val="0"/>
        <w:pageBreakBefore w:val="0"/>
        <w:widowControl/>
        <w:kinsoku/>
        <w:wordWrap/>
        <w:overflowPunct/>
        <w:topLinePunct w:val="0"/>
        <w:autoSpaceDE/>
        <w:autoSpaceDN/>
        <w:bidi w:val="0"/>
        <w:adjustRightInd/>
        <w:spacing w:line="36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5.验收时乙方必须在现场，验收完毕后作出验收结果报告，验收费用由乙方负责。</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6.甲方对验收有异议的，在验收后五个工作日内以书面形式向乙方提出，乙方应自收到甲方书面异议后五个工作日内及时予以解决。</w:t>
      </w:r>
    </w:p>
    <w:p>
      <w:pPr>
        <w:keepNext w:val="0"/>
        <w:keepLines w:val="0"/>
        <w:pageBreakBefore w:val="0"/>
        <w:widowControl/>
        <w:kinsoku/>
        <w:wordWrap/>
        <w:overflowPunct/>
        <w:topLinePunct w:val="0"/>
        <w:autoSpaceDE/>
        <w:autoSpaceDN/>
        <w:bidi w:val="0"/>
        <w:adjustRightInd/>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  安装和培训</w:t>
      </w:r>
    </w:p>
    <w:p>
      <w:pPr>
        <w:keepNext w:val="0"/>
        <w:keepLines w:val="0"/>
        <w:pageBreakBefore w:val="0"/>
        <w:widowControl/>
        <w:kinsoku/>
        <w:wordWrap/>
        <w:overflowPunct/>
        <w:topLinePunct w:val="0"/>
        <w:autoSpaceDE/>
        <w:autoSpaceDN/>
        <w:bidi w:val="0"/>
        <w:adjustRightInd/>
        <w:spacing w:line="36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1.甲方应提供必要安装条件（如场地、电源、水源等）。</w:t>
      </w:r>
    </w:p>
    <w:p>
      <w:pPr>
        <w:keepNext w:val="0"/>
        <w:keepLines w:val="0"/>
        <w:pageBreakBefore w:val="0"/>
        <w:widowControl/>
        <w:kinsoku/>
        <w:wordWrap/>
        <w:overflowPunct/>
        <w:topLinePunct w:val="0"/>
        <w:autoSpaceDE/>
        <w:autoSpaceDN/>
        <w:bidi w:val="0"/>
        <w:adjustRightInd/>
        <w:spacing w:line="36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2.乙方负责甲方有关人员的培训。培训时间：不少于两个工作日，地点：</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  售后服务、保修期</w:t>
      </w:r>
    </w:p>
    <w:p>
      <w:pPr>
        <w:keepNext w:val="0"/>
        <w:keepLines w:val="0"/>
        <w:pageBreakBefore w:val="0"/>
        <w:widowControl/>
        <w:tabs>
          <w:tab w:val="left" w:pos="0"/>
        </w:tabs>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1.乙方应按照国家有关法律规定和“三包”规定以及招投标文件和本合同所附《服务承诺》，为甲方提供售后服务。</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2.如在使用过程中发生质量问题，乙方在接到甲方通知后在</w:t>
      </w:r>
      <w:r>
        <w:rPr>
          <w:rFonts w:hint="eastAsia" w:ascii="宋体" w:hAnsi="宋体" w:eastAsia="宋体" w:cs="宋体"/>
          <w:color w:val="auto"/>
          <w:sz w:val="21"/>
          <w:szCs w:val="21"/>
          <w:highlight w:val="none"/>
          <w:u w:val="single"/>
        </w:rPr>
        <w:t>投标文件承诺的时间</w:t>
      </w:r>
      <w:r>
        <w:rPr>
          <w:rFonts w:hint="eastAsia" w:ascii="宋体" w:hAnsi="宋体" w:eastAsia="宋体" w:cs="宋体"/>
          <w:color w:val="auto"/>
          <w:sz w:val="21"/>
          <w:szCs w:val="21"/>
          <w:highlight w:val="none"/>
        </w:rPr>
        <w:t>内到达甲方现场处理。</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3.在质保期内，乙方应对货物出现的质量及安全问题负责处理解决并承担一切费用。</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4.货物免费保修期为</w:t>
      </w:r>
      <w:r>
        <w:rPr>
          <w:rFonts w:hint="eastAsia" w:ascii="宋体" w:hAnsi="宋体" w:eastAsia="宋体" w:cs="宋体"/>
          <w:color w:val="auto"/>
          <w:sz w:val="21"/>
          <w:szCs w:val="21"/>
          <w:highlight w:val="none"/>
          <w:u w:val="single"/>
        </w:rPr>
        <w:t>按乙方投标文件中承诺且不低于采购要求的时间</w:t>
      </w:r>
      <w:r>
        <w:rPr>
          <w:rFonts w:hint="eastAsia" w:ascii="宋体" w:hAnsi="宋体" w:eastAsia="宋体" w:cs="宋体"/>
          <w:color w:val="auto"/>
          <w:sz w:val="21"/>
          <w:szCs w:val="21"/>
          <w:highlight w:val="none"/>
        </w:rPr>
        <w:t>，因人为因素出现的故障不在免费保修范围内。超过保修期的货物，终生维修，维修时只收部件成本费。</w:t>
      </w:r>
    </w:p>
    <w:p>
      <w:pPr>
        <w:keepNext w:val="0"/>
        <w:keepLines w:val="0"/>
        <w:pageBreakBefore w:val="0"/>
        <w:widowControl/>
        <w:kinsoku/>
        <w:wordWrap/>
        <w:overflowPunct/>
        <w:topLinePunct w:val="0"/>
        <w:autoSpaceDE/>
        <w:autoSpaceDN/>
        <w:bidi w:val="0"/>
        <w:adjustRightInd/>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  税费</w:t>
      </w:r>
    </w:p>
    <w:p>
      <w:pPr>
        <w:keepNext w:val="0"/>
        <w:keepLines w:val="0"/>
        <w:pageBreakBefore w:val="0"/>
        <w:widowControl/>
        <w:kinsoku/>
        <w:wordWrap/>
        <w:overflowPunct/>
        <w:topLinePunct w:val="0"/>
        <w:autoSpaceDE/>
        <w:autoSpaceDN/>
        <w:bidi w:val="0"/>
        <w:adjustRightInd/>
        <w:spacing w:line="36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pPr>
        <w:keepNext w:val="0"/>
        <w:keepLines w:val="0"/>
        <w:pageBreakBefore w:val="0"/>
        <w:widowControl/>
        <w:kinsoku/>
        <w:wordWrap/>
        <w:overflowPunct/>
        <w:topLinePunct w:val="0"/>
        <w:autoSpaceDE/>
        <w:autoSpaceDN/>
        <w:bidi w:val="0"/>
        <w:adjustRightInd/>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付款方式</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cs="宋体"/>
          <w:b w:val="0"/>
          <w:bCs/>
          <w:color w:val="auto"/>
          <w:sz w:val="21"/>
          <w:szCs w:val="21"/>
          <w:highlight w:val="none"/>
          <w:vertAlign w:val="baseline"/>
          <w:lang w:val="en-US" w:eastAsia="zh-CN"/>
        </w:rPr>
        <w:t>验收合格后5个工作日一次性付清。</w:t>
      </w:r>
    </w:p>
    <w:p>
      <w:pPr>
        <w:keepNext w:val="0"/>
        <w:keepLines w:val="0"/>
        <w:pageBreakBefore w:val="0"/>
        <w:widowControl/>
        <w:kinsoku/>
        <w:wordWrap/>
        <w:overflowPunct/>
        <w:topLinePunct w:val="0"/>
        <w:autoSpaceDE/>
        <w:autoSpaceDN/>
        <w:bidi w:val="0"/>
        <w:adjustRightInd/>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第十一条  违约责任</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乙方所提供的货物规格、技术标准、材料等质量不合格的，应及时更换，更换不及时的按逾期交货处罚，乙方应向甲方支付</w:t>
      </w:r>
      <w:bookmarkStart w:id="28" w:name="_Hlk515492260"/>
      <w:r>
        <w:rPr>
          <w:rFonts w:hint="eastAsia" w:ascii="宋体" w:hAnsi="宋体" w:eastAsia="宋体" w:cs="宋体"/>
          <w:color w:val="auto"/>
          <w:sz w:val="21"/>
          <w:szCs w:val="21"/>
          <w:highlight w:val="none"/>
        </w:rPr>
        <w:t>合同金额</w:t>
      </w:r>
      <w:bookmarkEnd w:id="28"/>
      <w:r>
        <w:rPr>
          <w:rFonts w:hint="eastAsia" w:ascii="宋体" w:hAnsi="宋体" w:eastAsia="宋体" w:cs="宋体"/>
          <w:color w:val="auto"/>
          <w:sz w:val="21"/>
          <w:szCs w:val="21"/>
          <w:highlight w:val="none"/>
          <w:u w:val="single"/>
        </w:rPr>
        <w:t>　5　</w:t>
      </w:r>
      <w:r>
        <w:rPr>
          <w:rFonts w:hint="eastAsia" w:ascii="宋体" w:hAnsi="宋体" w:eastAsia="宋体" w:cs="宋体"/>
          <w:color w:val="auto"/>
          <w:sz w:val="21"/>
          <w:szCs w:val="21"/>
          <w:highlight w:val="none"/>
        </w:rPr>
        <w:t>%违约金并赔偿甲方经济损失。</w:t>
      </w:r>
    </w:p>
    <w:p>
      <w:pPr>
        <w:keepNext w:val="0"/>
        <w:keepLines w:val="0"/>
        <w:pageBreakBefore w:val="0"/>
        <w:widowControl/>
        <w:kinsoku/>
        <w:wordWrap/>
        <w:overflowPunct/>
        <w:topLinePunct w:val="0"/>
        <w:autoSpaceDE/>
        <w:autoSpaceDN/>
        <w:bidi w:val="0"/>
        <w:adjustRightInd/>
        <w:spacing w:line="36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乙方提供的货物如果侵犯了第三方合法权益而引发的任何纠纷或诉讼，均由乙方负责交涉并承担全部责任。</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因包装、运输引起的货物损坏，由乙方负责索赔并换货。</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甲方无故延期接收货物、乙方无故逾期交货的，每天向对方偿付违约货款额</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违约金，但违约金累计不得超过违约货款额</w:t>
      </w:r>
      <w:r>
        <w:rPr>
          <w:rFonts w:hint="eastAsia" w:ascii="宋体" w:hAnsi="宋体" w:eastAsia="宋体" w:cs="宋体"/>
          <w:color w:val="auto"/>
          <w:sz w:val="21"/>
          <w:szCs w:val="21"/>
          <w:highlight w:val="none"/>
          <w:u w:val="single"/>
        </w:rPr>
        <w:t>5 %</w:t>
      </w:r>
      <w:r>
        <w:rPr>
          <w:rFonts w:hint="eastAsia" w:ascii="宋体" w:hAnsi="宋体" w:eastAsia="宋体" w:cs="宋体"/>
          <w:color w:val="auto"/>
          <w:sz w:val="21"/>
          <w:szCs w:val="21"/>
          <w:highlight w:val="none"/>
        </w:rPr>
        <w:t>，超过</w:t>
      </w:r>
      <w:r>
        <w:rPr>
          <w:rFonts w:hint="eastAsia" w:ascii="宋体" w:hAnsi="宋体" w:eastAsia="宋体" w:cs="宋体"/>
          <w:color w:val="auto"/>
          <w:sz w:val="21"/>
          <w:szCs w:val="21"/>
          <w:highlight w:val="none"/>
          <w:u w:val="single"/>
        </w:rPr>
        <w:t xml:space="preserve"> 5  天</w:t>
      </w:r>
      <w:r>
        <w:rPr>
          <w:rFonts w:hint="eastAsia" w:ascii="宋体" w:hAnsi="宋体" w:eastAsia="宋体" w:cs="宋体"/>
          <w:color w:val="auto"/>
          <w:sz w:val="21"/>
          <w:szCs w:val="21"/>
          <w:highlight w:val="none"/>
        </w:rPr>
        <w:t>对方有权解除合同，违约方承担因此给对方造成经济损失；甲方延期付货款的，每天向乙方偿付延期货款额3‰滞纳金，但滞纳金累计不得超过延期货款额合同金额</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乙方未按本合同和</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文件中规定的服务承诺提供售后服务的，乙方应按本合同合同金额</w:t>
      </w:r>
      <w:r>
        <w:rPr>
          <w:rFonts w:hint="eastAsia" w:ascii="宋体" w:hAnsi="宋体" w:eastAsia="宋体" w:cs="宋体"/>
          <w:color w:val="auto"/>
          <w:sz w:val="21"/>
          <w:szCs w:val="21"/>
          <w:highlight w:val="none"/>
          <w:u w:val="single"/>
        </w:rPr>
        <w:t>　5</w:t>
      </w:r>
      <w:r>
        <w:rPr>
          <w:rFonts w:hint="eastAsia" w:ascii="宋体" w:hAnsi="宋体" w:eastAsia="宋体" w:cs="宋体"/>
          <w:color w:val="auto"/>
          <w:sz w:val="21"/>
          <w:szCs w:val="21"/>
          <w:highlight w:val="none"/>
        </w:rPr>
        <w:t>%向甲方支付违约金。</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乙方提供的货物在质保期内，因设计、工艺或材料的缺陷和其他质量原因造成的问题，由乙方负责。</w:t>
      </w:r>
    </w:p>
    <w:p>
      <w:pPr>
        <w:keepNext w:val="0"/>
        <w:keepLines w:val="0"/>
        <w:pageBreakBefore w:val="0"/>
        <w:widowControl/>
        <w:kinsoku/>
        <w:wordWrap/>
        <w:overflowPunct/>
        <w:topLinePunct w:val="0"/>
        <w:autoSpaceDE/>
        <w:autoSpaceDN/>
        <w:bidi w:val="0"/>
        <w:adjustRightInd/>
        <w:spacing w:line="36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其他违约行为违约方按违约货款额</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%向对方支付违约金并赔偿经济损失。</w:t>
      </w:r>
    </w:p>
    <w:p>
      <w:pPr>
        <w:keepNext w:val="0"/>
        <w:keepLines w:val="0"/>
        <w:pageBreakBefore w:val="0"/>
        <w:widowControl/>
        <w:kinsoku/>
        <w:wordWrap/>
        <w:overflowPunct/>
        <w:topLinePunct w:val="0"/>
        <w:autoSpaceDE/>
        <w:autoSpaceDN/>
        <w:bidi w:val="0"/>
        <w:adjustRightInd/>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第十二条  不可抗力事件处理</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1.在合同有效期内，乙方因不可抗力事件导致不能履行合同，则合同履行期可延长，其延长期与不可抗力影响期相同。</w:t>
      </w:r>
    </w:p>
    <w:p>
      <w:pPr>
        <w:keepNext w:val="0"/>
        <w:keepLines w:val="0"/>
        <w:pageBreakBefore w:val="0"/>
        <w:widowControl/>
        <w:kinsoku/>
        <w:wordWrap/>
        <w:overflowPunct/>
        <w:topLinePunct w:val="0"/>
        <w:autoSpaceDE/>
        <w:autoSpaceDN/>
        <w:bidi w:val="0"/>
        <w:adjustRightInd/>
        <w:spacing w:line="36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pPr>
        <w:keepNext w:val="0"/>
        <w:keepLines w:val="0"/>
        <w:pageBreakBefore w:val="0"/>
        <w:widowControl/>
        <w:kinsoku/>
        <w:wordWrap/>
        <w:overflowPunct/>
        <w:topLinePunct w:val="0"/>
        <w:autoSpaceDE/>
        <w:autoSpaceDN/>
        <w:bidi w:val="0"/>
        <w:adjustRightInd/>
        <w:spacing w:line="36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3.不可抗力事件延续一百二十天以上，双方应通过友好协商，确定是否继续履行合同。</w:t>
      </w:r>
    </w:p>
    <w:p>
      <w:pPr>
        <w:keepNext w:val="0"/>
        <w:keepLines w:val="0"/>
        <w:pageBreakBefore w:val="0"/>
        <w:widowControl/>
        <w:kinsoku/>
        <w:wordWrap/>
        <w:overflowPunct/>
        <w:topLinePunct w:val="0"/>
        <w:autoSpaceDE/>
        <w:autoSpaceDN/>
        <w:bidi w:val="0"/>
        <w:adjustRightInd/>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第十三条  合同争议解决</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1.因货物质量问题发生争议的，应邀请国家认可的质量检测机构对货物质量进行鉴定。货物符合标准的，鉴定费由甲方承担；货物不符合标准的，鉴定费由乙方承担。</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2.因履行本合同引起的或与本合同有关的争议，甲乙双方应首先通过友好协商解决，如果协商不能解决，可向项目所在地辖区人民法院提起诉讼。</w:t>
      </w:r>
    </w:p>
    <w:p>
      <w:pPr>
        <w:keepNext w:val="0"/>
        <w:keepLines w:val="0"/>
        <w:pageBreakBefore w:val="0"/>
        <w:widowControl/>
        <w:kinsoku/>
        <w:wordWrap/>
        <w:overflowPunct/>
        <w:topLinePunct w:val="0"/>
        <w:autoSpaceDE/>
        <w:autoSpaceDN/>
        <w:bidi w:val="0"/>
        <w:adjustRightInd/>
        <w:spacing w:line="360" w:lineRule="exact"/>
        <w:ind w:left="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3.诉讼期间，本合同继续履行。</w:t>
      </w:r>
    </w:p>
    <w:p>
      <w:pPr>
        <w:keepNext w:val="0"/>
        <w:keepLines w:val="0"/>
        <w:pageBreakBefore w:val="0"/>
        <w:widowControl/>
        <w:kinsoku/>
        <w:wordWrap/>
        <w:overflowPunct/>
        <w:topLinePunct w:val="0"/>
        <w:autoSpaceDE/>
        <w:autoSpaceDN/>
        <w:bidi w:val="0"/>
        <w:adjustRightInd/>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第十四条  合同生效及其它</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1.合同经甲乙双方法定代表人、负责人、自然人或相应的授权代表签字并加盖投标人公章后生效。</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2.合同执行中涉及采购资金和采购内容修改或补充的，需经桂林市财政部门审批，并签订书面补充协议报</w:t>
      </w:r>
      <w:r>
        <w:rPr>
          <w:rFonts w:hint="eastAsia" w:ascii="宋体" w:hAnsi="宋体" w:eastAsia="宋体" w:cs="宋体"/>
          <w:sz w:val="21"/>
          <w:szCs w:val="21"/>
        </w:rPr>
        <w:t>荔浦市政府采购管理办公室</w:t>
      </w:r>
      <w:r>
        <w:rPr>
          <w:rFonts w:hint="eastAsia" w:ascii="宋体" w:hAnsi="宋体" w:eastAsia="宋体" w:cs="宋体"/>
          <w:color w:val="auto"/>
          <w:sz w:val="21"/>
          <w:szCs w:val="21"/>
          <w:highlight w:val="none"/>
        </w:rPr>
        <w:t>备案，方可作为主合同不可分割的一部分。</w:t>
      </w:r>
    </w:p>
    <w:p>
      <w:pPr>
        <w:keepNext w:val="0"/>
        <w:keepLines w:val="0"/>
        <w:pageBreakBefore w:val="0"/>
        <w:widowControl/>
        <w:kinsoku/>
        <w:wordWrap/>
        <w:overflowPunct/>
        <w:topLinePunct w:val="0"/>
        <w:autoSpaceDE/>
        <w:autoSpaceDN/>
        <w:bidi w:val="0"/>
        <w:adjustRightInd/>
        <w:spacing w:line="360" w:lineRule="exact"/>
        <w:ind w:left="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3.本合同未尽事宜，遵照《合同法》有关条文执行。</w:t>
      </w:r>
    </w:p>
    <w:p>
      <w:pPr>
        <w:keepNext w:val="0"/>
        <w:keepLines w:val="0"/>
        <w:pageBreakBefore w:val="0"/>
        <w:widowControl/>
        <w:kinsoku/>
        <w:wordWrap/>
        <w:overflowPunct/>
        <w:topLinePunct w:val="0"/>
        <w:autoSpaceDE/>
        <w:autoSpaceDN/>
        <w:bidi w:val="0"/>
        <w:adjustRightInd/>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第十五条  合同的变更、终止与转让</w:t>
      </w:r>
    </w:p>
    <w:p>
      <w:pPr>
        <w:keepNext w:val="0"/>
        <w:keepLines w:val="0"/>
        <w:pageBreakBefore w:val="0"/>
        <w:widowControl/>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1.除《中华人民共和国政府采购法》第五十条规定的情形外，本合同一经签订，甲乙双方不得擅自变更，中止或终止。</w:t>
      </w:r>
    </w:p>
    <w:p>
      <w:pPr>
        <w:keepNext w:val="0"/>
        <w:keepLines w:val="0"/>
        <w:pageBreakBefore w:val="0"/>
        <w:widowControl/>
        <w:kinsoku/>
        <w:wordWrap/>
        <w:overflowPunct/>
        <w:topLinePunct w:val="0"/>
        <w:autoSpaceDE/>
        <w:autoSpaceDN/>
        <w:bidi w:val="0"/>
        <w:adjustRightInd/>
        <w:spacing w:line="36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2.乙方不得擅自转让（无进口资格的供应商委托进口货物除外）其应履行的合同义务。</w:t>
      </w:r>
    </w:p>
    <w:p>
      <w:pPr>
        <w:keepNext w:val="0"/>
        <w:keepLines w:val="0"/>
        <w:pageBreakBefore w:val="0"/>
        <w:widowControl/>
        <w:kinsoku/>
        <w:wordWrap/>
        <w:overflowPunct/>
        <w:topLinePunct w:val="0"/>
        <w:autoSpaceDE/>
        <w:autoSpaceDN/>
        <w:bidi w:val="0"/>
        <w:adjustRightInd/>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第十六条  签订本合同依据：</w:t>
      </w:r>
    </w:p>
    <w:p>
      <w:pPr>
        <w:keepNext w:val="0"/>
        <w:keepLines w:val="0"/>
        <w:pageBreakBefore w:val="0"/>
        <w:widowControl/>
        <w:kinsoku/>
        <w:wordWrap/>
        <w:overflowPunct/>
        <w:topLinePunct w:val="0"/>
        <w:autoSpaceDE/>
        <w:autoSpaceDN/>
        <w:bidi w:val="0"/>
        <w:adjustRightInd/>
        <w:spacing w:line="36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1.招标文件；</w:t>
      </w:r>
    </w:p>
    <w:p>
      <w:pPr>
        <w:keepNext w:val="0"/>
        <w:keepLines w:val="0"/>
        <w:pageBreakBefore w:val="0"/>
        <w:widowControl/>
        <w:kinsoku/>
        <w:wordWrap/>
        <w:overflowPunct/>
        <w:topLinePunct w:val="0"/>
        <w:autoSpaceDE/>
        <w:autoSpaceDN/>
        <w:bidi w:val="0"/>
        <w:adjustRightInd/>
        <w:spacing w:line="36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2.乙方提供的投标（或应答）文件；</w:t>
      </w:r>
    </w:p>
    <w:p>
      <w:pPr>
        <w:keepNext w:val="0"/>
        <w:keepLines w:val="0"/>
        <w:pageBreakBefore w:val="0"/>
        <w:widowControl/>
        <w:kinsoku/>
        <w:wordWrap/>
        <w:overflowPunct/>
        <w:topLinePunct w:val="0"/>
        <w:autoSpaceDE/>
        <w:autoSpaceDN/>
        <w:bidi w:val="0"/>
        <w:adjustRightInd/>
        <w:spacing w:line="36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3.售后服务承诺书；</w:t>
      </w:r>
    </w:p>
    <w:p>
      <w:pPr>
        <w:keepNext w:val="0"/>
        <w:keepLines w:val="0"/>
        <w:pageBreakBefore w:val="0"/>
        <w:widowControl/>
        <w:kinsoku/>
        <w:wordWrap/>
        <w:overflowPunct/>
        <w:topLinePunct w:val="0"/>
        <w:autoSpaceDE/>
        <w:autoSpaceDN/>
        <w:bidi w:val="0"/>
        <w:adjustRightInd/>
        <w:spacing w:line="36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4.中标通知书。</w:t>
      </w:r>
    </w:p>
    <w:p>
      <w:pPr>
        <w:keepNext w:val="0"/>
        <w:keepLines w:val="0"/>
        <w:pageBreakBefore w:val="0"/>
        <w:widowControl/>
        <w:kinsoku/>
        <w:wordWrap/>
        <w:overflowPunct/>
        <w:topLinePunct w:val="0"/>
        <w:autoSpaceDE/>
        <w:autoSpaceDN/>
        <w:bidi w:val="0"/>
        <w:adjustRightInd/>
        <w:spacing w:line="360" w:lineRule="exact"/>
        <w:ind w:left="209" w:leftChars="87"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本合同甲乙双方签字盖章后生效，一式四份，具有同等法律效力，甲、乙双方各一份。政府采购合同双方自签订之日起1个工作日内将合同原件</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份交采购代理机构。采购代理机构将政府采购合同在省级以上人民政府财政部门指定媒体上公告</w:t>
      </w:r>
      <w:r>
        <w:rPr>
          <w:rFonts w:hint="eastAsia" w:ascii="宋体" w:hAnsi="宋体" w:cs="宋体"/>
          <w:color w:val="auto"/>
          <w:sz w:val="21"/>
          <w:szCs w:val="21"/>
          <w:highlight w:val="none"/>
          <w:lang w:eastAsia="zh-CN"/>
        </w:rPr>
        <w:t>，中标供应商自</w:t>
      </w:r>
      <w:r>
        <w:rPr>
          <w:rFonts w:hint="eastAsia" w:ascii="宋体" w:hAnsi="宋体" w:eastAsia="宋体" w:cs="宋体"/>
          <w:color w:val="auto"/>
          <w:sz w:val="21"/>
          <w:szCs w:val="21"/>
          <w:highlight w:val="none"/>
        </w:rPr>
        <w:t>合同签订之日起</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个工作日内将一份合同原件送</w:t>
      </w:r>
      <w:r>
        <w:rPr>
          <w:rFonts w:hint="eastAsia" w:ascii="宋体" w:hAnsi="宋体" w:cs="宋体"/>
          <w:color w:val="auto"/>
          <w:sz w:val="21"/>
          <w:szCs w:val="21"/>
          <w:highlight w:val="none"/>
          <w:lang w:eastAsia="zh-CN"/>
        </w:rPr>
        <w:t>荔浦市政府采购管理办公室</w:t>
      </w:r>
      <w:r>
        <w:rPr>
          <w:rFonts w:hint="eastAsia" w:ascii="宋体" w:hAnsi="宋体" w:eastAsia="宋体" w:cs="宋体"/>
          <w:color w:val="auto"/>
          <w:sz w:val="21"/>
          <w:szCs w:val="21"/>
          <w:highlight w:val="none"/>
        </w:rPr>
        <w:t>备案</w:t>
      </w:r>
      <w:r>
        <w:rPr>
          <w:rFonts w:hint="eastAsia" w:ascii="宋体" w:hAnsi="宋体" w:eastAsia="宋体" w:cs="宋体"/>
          <w:color w:val="auto"/>
          <w:sz w:val="21"/>
          <w:szCs w:val="21"/>
          <w:highlight w:val="none"/>
          <w:lang w:val="en-US" w:eastAsia="zh-CN"/>
        </w:rPr>
        <w:t>。</w:t>
      </w:r>
    </w:p>
    <w:p>
      <w:pPr>
        <w:keepNext w:val="0"/>
        <w:keepLines w:val="0"/>
        <w:pageBreakBefore w:val="0"/>
        <w:widowControl/>
        <w:tabs>
          <w:tab w:val="left" w:pos="4320"/>
          <w:tab w:val="left" w:pos="4500"/>
        </w:tabs>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甲方名称（公章）：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乙方名称（公章）：</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tabs>
          <w:tab w:val="left" w:pos="4680"/>
        </w:tabs>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pPr>
        <w:keepNext w:val="0"/>
        <w:keepLines w:val="0"/>
        <w:pageBreakBefore w:val="0"/>
        <w:widowControl/>
        <w:tabs>
          <w:tab w:val="left" w:pos="5040"/>
        </w:tabs>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 </w:t>
      </w:r>
      <w:r>
        <w:rPr>
          <w:rFonts w:hint="eastAsia" w:ascii="宋体" w:hAnsi="宋体" w:eastAsia="宋体" w:cs="宋体"/>
          <w:color w:val="auto"/>
          <w:sz w:val="21"/>
          <w:szCs w:val="21"/>
          <w:highlight w:val="none"/>
          <w:u w:val="single"/>
        </w:rPr>
        <w:t xml:space="preserve">                                  </w:t>
      </w:r>
    </w:p>
    <w:p>
      <w:pPr>
        <w:keepNext w:val="0"/>
        <w:keepLines w:val="0"/>
        <w:pageBreakBefore w:val="0"/>
        <w:widowControl/>
        <w:tabs>
          <w:tab w:val="left" w:pos="5040"/>
        </w:tabs>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tabs>
          <w:tab w:val="left" w:pos="5040"/>
        </w:tabs>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tabs>
          <w:tab w:val="left" w:pos="5040"/>
        </w:tabs>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银行账号：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tabs>
          <w:tab w:val="left" w:pos="5040"/>
        </w:tabs>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tabs>
          <w:tab w:val="left" w:pos="5040"/>
        </w:tabs>
        <w:kinsoku/>
        <w:wordWrap/>
        <w:overflowPunct/>
        <w:topLinePunct w:val="0"/>
        <w:autoSpaceDE/>
        <w:autoSpaceDN/>
        <w:bidi w:val="0"/>
        <w:adjustRightInd/>
        <w:spacing w:line="360" w:lineRule="exac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合同签订地：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合同签订地：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 xml:space="preserve">                </w:t>
      </w:r>
    </w:p>
    <w:p>
      <w:pPr>
        <w:tabs>
          <w:tab w:val="left" w:pos="5040"/>
        </w:tabs>
        <w:spacing w:line="400" w:lineRule="exact"/>
        <w:rPr>
          <w:rFonts w:hint="eastAsia" w:ascii="宋体" w:hAnsi="宋体" w:eastAsia="宋体" w:cs="宋体"/>
          <w:color w:val="auto"/>
          <w:szCs w:val="21"/>
          <w:highlight w:val="none"/>
        </w:rPr>
      </w:pPr>
    </w:p>
    <w:p>
      <w:pPr>
        <w:spacing w:line="440" w:lineRule="atLeast"/>
        <w:jc w:val="center"/>
        <w:outlineLvl w:val="0"/>
        <w:rPr>
          <w:rFonts w:hint="eastAsia" w:ascii="宋体" w:hAnsi="宋体" w:eastAsia="宋体" w:cs="宋体"/>
          <w:b/>
          <w:color w:val="auto"/>
          <w:sz w:val="32"/>
          <w:szCs w:val="32"/>
          <w:highlight w:val="none"/>
        </w:rPr>
      </w:pPr>
    </w:p>
    <w:p>
      <w:pPr>
        <w:spacing w:line="440" w:lineRule="atLeast"/>
        <w:jc w:val="center"/>
        <w:outlineLvl w:val="0"/>
        <w:rPr>
          <w:rFonts w:hint="eastAsia" w:ascii="宋体" w:hAnsi="宋体" w:eastAsia="宋体" w:cs="宋体"/>
          <w:b/>
          <w:color w:val="auto"/>
          <w:sz w:val="32"/>
          <w:szCs w:val="32"/>
          <w:highlight w:val="none"/>
        </w:rPr>
      </w:pPr>
    </w:p>
    <w:p>
      <w:pPr>
        <w:pStyle w:val="23"/>
        <w:rPr>
          <w:rFonts w:hint="eastAsia" w:ascii="宋体" w:hAnsi="宋体" w:eastAsia="宋体" w:cs="宋体"/>
          <w:b/>
          <w:color w:val="auto"/>
          <w:sz w:val="32"/>
          <w:szCs w:val="32"/>
          <w:highlight w:val="none"/>
        </w:rPr>
      </w:pPr>
    </w:p>
    <w:p>
      <w:pPr>
        <w:pStyle w:val="23"/>
        <w:rPr>
          <w:rFonts w:hint="eastAsia" w:ascii="宋体" w:hAnsi="宋体" w:eastAsia="宋体" w:cs="宋体"/>
          <w:b/>
          <w:color w:val="auto"/>
          <w:sz w:val="32"/>
          <w:szCs w:val="32"/>
          <w:highlight w:val="none"/>
        </w:rPr>
      </w:pPr>
    </w:p>
    <w:p>
      <w:pPr>
        <w:spacing w:line="440" w:lineRule="atLeast"/>
        <w:jc w:val="center"/>
        <w:outlineLvl w:val="0"/>
        <w:rPr>
          <w:rFonts w:hint="eastAsia" w:ascii="宋体" w:hAnsi="宋体" w:eastAsia="宋体" w:cs="宋体"/>
          <w:b/>
          <w:color w:val="auto"/>
          <w:sz w:val="32"/>
          <w:szCs w:val="32"/>
          <w:highlight w:val="none"/>
        </w:rPr>
      </w:pPr>
    </w:p>
    <w:p>
      <w:pPr>
        <w:pStyle w:val="23"/>
        <w:rPr>
          <w:rFonts w:hint="eastAsia" w:ascii="宋体" w:hAnsi="宋体" w:eastAsia="宋体" w:cs="宋体"/>
          <w:b/>
          <w:color w:val="auto"/>
          <w:sz w:val="32"/>
          <w:szCs w:val="32"/>
          <w:highlight w:val="none"/>
        </w:rPr>
      </w:pPr>
    </w:p>
    <w:p>
      <w:pPr>
        <w:pStyle w:val="23"/>
        <w:rPr>
          <w:rFonts w:hint="eastAsia" w:ascii="宋体" w:hAnsi="宋体" w:eastAsia="宋体" w:cs="宋体"/>
          <w:b/>
          <w:color w:val="auto"/>
          <w:sz w:val="32"/>
          <w:szCs w:val="32"/>
          <w:highlight w:val="none"/>
        </w:rPr>
      </w:pPr>
    </w:p>
    <w:p>
      <w:pPr>
        <w:spacing w:line="440" w:lineRule="atLeas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w:t>
      </w:r>
    </w:p>
    <w:p>
      <w:pPr>
        <w:rPr>
          <w:rFonts w:hint="eastAsia" w:ascii="宋体" w:hAnsi="宋体" w:eastAsia="宋体" w:cs="宋体"/>
          <w:color w:val="auto"/>
          <w:szCs w:val="21"/>
          <w:highlight w:val="none"/>
        </w:rPr>
      </w:pPr>
    </w:p>
    <w:p>
      <w:pPr>
        <w:tabs>
          <w:tab w:val="left" w:pos="1305"/>
        </w:tabs>
        <w:spacing w:line="520" w:lineRule="exact"/>
        <w:outlineLvl w:val="0"/>
        <w:rPr>
          <w:rFonts w:hint="eastAsia" w:ascii="宋体" w:hAnsi="宋体" w:eastAsia="宋体" w:cs="宋体"/>
          <w:color w:val="auto"/>
          <w:highlight w:val="none"/>
        </w:rPr>
      </w:pPr>
      <w:r>
        <w:rPr>
          <w:rFonts w:hint="eastAsia" w:ascii="宋体" w:hAnsi="宋体" w:eastAsia="宋体" w:cs="宋体"/>
          <w:b/>
          <w:color w:val="auto"/>
          <w:sz w:val="32"/>
          <w:szCs w:val="32"/>
          <w:highlight w:val="none"/>
          <w:lang w:eastAsia="zh-CN"/>
        </w:rPr>
        <w:t>一</w:t>
      </w:r>
      <w:r>
        <w:rPr>
          <w:rFonts w:hint="eastAsia" w:ascii="宋体" w:hAnsi="宋体" w:eastAsia="宋体" w:cs="宋体"/>
          <w:b/>
          <w:color w:val="auto"/>
          <w:sz w:val="32"/>
          <w:szCs w:val="32"/>
          <w:highlight w:val="none"/>
        </w:rPr>
        <w:t>、资格性响应证明材料（格式）</w:t>
      </w:r>
    </w:p>
    <w:p>
      <w:pPr>
        <w:pStyle w:val="16"/>
        <w:spacing w:line="400" w:lineRule="exact"/>
        <w:ind w:left="960" w:leftChars="400"/>
        <w:rPr>
          <w:rFonts w:hint="eastAsia" w:ascii="宋体" w:hAnsi="宋体" w:eastAsia="宋体" w:cs="宋体"/>
          <w:bCs/>
          <w:color w:val="auto"/>
          <w:szCs w:val="21"/>
          <w:highlight w:val="none"/>
        </w:rPr>
      </w:pPr>
    </w:p>
    <w:p>
      <w:pPr>
        <w:tabs>
          <w:tab w:val="left" w:pos="1305"/>
        </w:tabs>
        <w:spacing w:line="400" w:lineRule="exact"/>
        <w:rPr>
          <w:rFonts w:hint="eastAsia" w:ascii="宋体" w:hAnsi="宋体" w:eastAsia="宋体" w:cs="宋体"/>
          <w:color w:val="auto"/>
          <w:szCs w:val="21"/>
          <w:highlight w:val="none"/>
        </w:rPr>
      </w:pPr>
      <w:r>
        <w:rPr>
          <w:rFonts w:hint="eastAsia" w:ascii="宋体" w:hAnsi="宋体" w:eastAsia="宋体" w:cs="宋体"/>
          <w:b/>
          <w:color w:val="auto"/>
          <w:sz w:val="32"/>
          <w:szCs w:val="32"/>
          <w:highlight w:val="none"/>
        </w:rPr>
        <w:t>1.</w:t>
      </w:r>
      <w:r>
        <w:rPr>
          <w:rFonts w:hint="eastAsia" w:ascii="宋体" w:hAnsi="宋体" w:cs="宋体"/>
          <w:b/>
          <w:sz w:val="32"/>
          <w:szCs w:val="32"/>
        </w:rPr>
        <w:t>投标人相应的法定代表人、负责人、自然人身份证正反面复印件</w:t>
      </w:r>
      <w:r>
        <w:rPr>
          <w:rFonts w:hint="eastAsia" w:ascii="宋体" w:hAnsi="宋体" w:eastAsia="宋体" w:cs="宋体"/>
          <w:b/>
          <w:color w:val="auto"/>
          <w:sz w:val="32"/>
          <w:szCs w:val="32"/>
          <w:highlight w:val="none"/>
        </w:rPr>
        <w:t>（必须提供）</w:t>
      </w:r>
    </w:p>
    <w:p>
      <w:pPr>
        <w:tabs>
          <w:tab w:val="left" w:pos="1305"/>
        </w:tabs>
        <w:spacing w:line="400" w:lineRule="exact"/>
        <w:ind w:firstLine="643" w:firstLineChars="200"/>
        <w:rPr>
          <w:rFonts w:hint="eastAsia" w:ascii="宋体" w:hAnsi="宋体" w:eastAsia="宋体" w:cs="宋体"/>
          <w:b/>
          <w:color w:val="auto"/>
          <w:sz w:val="32"/>
          <w:szCs w:val="32"/>
          <w:highlight w:val="none"/>
        </w:rPr>
      </w:pPr>
    </w:p>
    <w:p>
      <w:pPr>
        <w:tabs>
          <w:tab w:val="left" w:pos="1305"/>
        </w:tabs>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32"/>
          <w:szCs w:val="32"/>
          <w:highlight w:val="none"/>
        </w:rPr>
        <w:t>投标人的授权委托书原件、委托代理人身份证正反面复印件以及由县级以上（含县级）社会养老保险经办机构出具的投标人为委托代理人交纳的</w:t>
      </w:r>
      <w:r>
        <w:rPr>
          <w:rFonts w:hint="eastAsia" w:ascii="宋体" w:hAnsi="宋体" w:eastAsia="宋体" w:cs="宋体"/>
          <w:b/>
          <w:color w:val="auto"/>
          <w:sz w:val="32"/>
          <w:szCs w:val="32"/>
          <w:highlight w:val="none"/>
          <w:lang w:eastAsia="zh-CN"/>
        </w:rPr>
        <w:t>开标截止日期前半年内</w:t>
      </w:r>
      <w:r>
        <w:rPr>
          <w:rFonts w:hint="eastAsia" w:ascii="宋体" w:hAnsi="宋体" w:eastAsia="宋体" w:cs="宋体"/>
          <w:b/>
          <w:color w:val="auto"/>
          <w:sz w:val="32"/>
          <w:szCs w:val="32"/>
          <w:highlight w:val="none"/>
        </w:rPr>
        <w:t>任意三个月社保证明复印件；新成立的公司则提供与授权委托人签订的劳动合同复印件【自然人投标的应提供由县级以上（含县级）社会养老保险经办机构出具的自然人本人及委托代理人所交纳的</w:t>
      </w:r>
      <w:r>
        <w:rPr>
          <w:rFonts w:hint="eastAsia" w:ascii="宋体" w:hAnsi="宋体" w:eastAsia="宋体" w:cs="宋体"/>
          <w:b/>
          <w:color w:val="auto"/>
          <w:sz w:val="32"/>
          <w:szCs w:val="32"/>
          <w:highlight w:val="none"/>
          <w:lang w:eastAsia="zh-CN"/>
        </w:rPr>
        <w:t>开标截止日期前半年内</w:t>
      </w:r>
      <w:r>
        <w:rPr>
          <w:rFonts w:hint="eastAsia" w:ascii="宋体" w:hAnsi="宋体" w:eastAsia="宋体" w:cs="宋体"/>
          <w:b/>
          <w:color w:val="auto"/>
          <w:sz w:val="32"/>
          <w:szCs w:val="32"/>
          <w:highlight w:val="none"/>
        </w:rPr>
        <w:t>任意三个月社保证明复印件】（委托代理时必须提供）；</w:t>
      </w:r>
    </w:p>
    <w:p>
      <w:pPr>
        <w:pStyle w:val="16"/>
        <w:spacing w:line="400" w:lineRule="exact"/>
        <w:ind w:left="480" w:leftChars="200" w:firstLine="157" w:firstLineChars="49"/>
        <w:rPr>
          <w:rFonts w:hint="eastAsia" w:ascii="宋体" w:hAnsi="宋体" w:eastAsia="宋体" w:cs="宋体"/>
          <w:b/>
          <w:color w:val="auto"/>
          <w:sz w:val="32"/>
          <w:szCs w:val="32"/>
          <w:highlight w:val="none"/>
        </w:rPr>
      </w:pPr>
    </w:p>
    <w:p>
      <w:pPr>
        <w:pStyle w:val="16"/>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授权委托书（格式</w:t>
      </w:r>
      <w:r>
        <w:rPr>
          <w:rFonts w:hint="eastAsia" w:hAnsi="宋体" w:cs="宋体"/>
          <w:b/>
          <w:color w:val="auto"/>
          <w:sz w:val="32"/>
          <w:highlight w:val="none"/>
          <w:lang w:eastAsia="zh-CN"/>
        </w:rPr>
        <w:t>一</w:t>
      </w:r>
      <w:r>
        <w:rPr>
          <w:rFonts w:hint="eastAsia" w:ascii="宋体" w:hAnsi="宋体" w:eastAsia="宋体" w:cs="宋体"/>
          <w:b/>
          <w:color w:val="auto"/>
          <w:sz w:val="32"/>
          <w:highlight w:val="none"/>
        </w:rPr>
        <w:t>）</w:t>
      </w:r>
    </w:p>
    <w:p>
      <w:pPr>
        <w:keepNext w:val="0"/>
        <w:keepLines w:val="0"/>
        <w:pageBreakBefore w:val="0"/>
        <w:widowControl/>
        <w:kinsoku/>
        <w:wordWrap/>
        <w:overflowPunct/>
        <w:topLinePunct w:val="0"/>
        <w:autoSpaceDE/>
        <w:autoSpaceDN/>
        <w:bidi w:val="0"/>
        <w:adjustRightInd/>
        <w:spacing w:line="3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广西联云项目管理有限公司</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highlight w:val="none"/>
          <w:u w:val="single"/>
        </w:rPr>
      </w:pPr>
    </w:p>
    <w:p>
      <w:pPr>
        <w:pStyle w:val="16"/>
        <w:keepNext w:val="0"/>
        <w:keepLines w:val="0"/>
        <w:pageBreakBefore w:val="0"/>
        <w:widowControl/>
        <w:kinsoku/>
        <w:wordWrap/>
        <w:overflowPunct/>
        <w:topLinePunct w:val="0"/>
        <w:autoSpaceDE/>
        <w:autoSpaceDN/>
        <w:bidi w:val="0"/>
        <w:adjustRightInd/>
        <w:spacing w:line="30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（投标人名称）的法定代表人（负责人），现授权委托本单位在职职工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（姓名）以我公司名义参加</w:t>
      </w:r>
      <w:r>
        <w:rPr>
          <w:rFonts w:hint="eastAsia" w:ascii="宋体" w:hAnsi="宋体" w:eastAsia="宋体" w:cs="宋体"/>
          <w:color w:val="auto"/>
          <w:sz w:val="21"/>
          <w:szCs w:val="21"/>
          <w:highlight w:val="none"/>
          <w:u w:val="single"/>
        </w:rPr>
        <w:t xml:space="preserve">      （项目名称及项目编号）        </w:t>
      </w:r>
      <w:r>
        <w:rPr>
          <w:rFonts w:hint="eastAsia" w:ascii="宋体" w:hAnsi="宋体" w:eastAsia="宋体" w:cs="宋体"/>
          <w:color w:val="auto"/>
          <w:sz w:val="21"/>
          <w:szCs w:val="21"/>
          <w:highlight w:val="none"/>
        </w:rPr>
        <w:t>项目的投标活动，并代表我方全权办理针对上述项目的投标、开标、评标、签约等具体事务和签署相关文件。</w:t>
      </w:r>
    </w:p>
    <w:p>
      <w:pPr>
        <w:pStyle w:val="16"/>
        <w:keepNext w:val="0"/>
        <w:keepLines w:val="0"/>
        <w:pageBreakBefore w:val="0"/>
        <w:widowControl/>
        <w:kinsoku/>
        <w:wordWrap/>
        <w:overflowPunct/>
        <w:topLinePunct w:val="0"/>
        <w:autoSpaceDE/>
        <w:autoSpaceDN/>
        <w:bidi w:val="0"/>
        <w:adjustRightIn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我方对被授权人的签字事项负全部责任。</w:t>
      </w:r>
    </w:p>
    <w:p>
      <w:pPr>
        <w:pStyle w:val="16"/>
        <w:keepNext w:val="0"/>
        <w:keepLines w:val="0"/>
        <w:pageBreakBefore w:val="0"/>
        <w:widowControl/>
        <w:kinsoku/>
        <w:wordWrap/>
        <w:overflowPunct/>
        <w:topLinePunct w:val="0"/>
        <w:autoSpaceDE/>
        <w:autoSpaceDN/>
        <w:bidi w:val="0"/>
        <w:adjustRightInd/>
        <w:spacing w:line="3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授权委托代理期限：自即日起至该项目政府采购活动结束。</w:t>
      </w:r>
    </w:p>
    <w:p>
      <w:pPr>
        <w:pStyle w:val="16"/>
        <w:keepNext w:val="0"/>
        <w:keepLines w:val="0"/>
        <w:pageBreakBefore w:val="0"/>
        <w:widowControl/>
        <w:kinsoku/>
        <w:wordWrap/>
        <w:overflowPunct/>
        <w:topLinePunct w:val="0"/>
        <w:autoSpaceDE/>
        <w:autoSpaceDN/>
        <w:bidi w:val="0"/>
        <w:adjustRightInd/>
        <w:spacing w:line="3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代理人无转委托权,特此委托。 </w:t>
      </w:r>
    </w:p>
    <w:p>
      <w:pPr>
        <w:keepNext w:val="0"/>
        <w:keepLines w:val="0"/>
        <w:pageBreakBefore w:val="0"/>
        <w:widowControl/>
        <w:kinsoku/>
        <w:wordWrap/>
        <w:overflowPunct/>
        <w:topLinePunct w:val="0"/>
        <w:autoSpaceDE/>
        <w:autoSpaceDN/>
        <w:bidi w:val="0"/>
        <w:adjustRightInd/>
        <w:snapToGrid w:val="0"/>
        <w:spacing w:line="300" w:lineRule="exact"/>
        <w:ind w:firstLine="525"/>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val="0"/>
        <w:spacing w:line="300" w:lineRule="exact"/>
        <w:ind w:firstLine="420"/>
        <w:textAlignment w:val="auto"/>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我已在下面签字，以资证明。</w:t>
      </w:r>
    </w:p>
    <w:p>
      <w:pPr>
        <w:keepNext w:val="0"/>
        <w:keepLines w:val="0"/>
        <w:pageBreakBefore w:val="0"/>
        <w:widowControl/>
        <w:kinsoku/>
        <w:wordWrap/>
        <w:overflowPunct/>
        <w:topLinePunct w:val="0"/>
        <w:autoSpaceDE/>
        <w:autoSpaceDN/>
        <w:bidi w:val="0"/>
        <w:adjustRightInd/>
        <w:snapToGrid w:val="0"/>
        <w:spacing w:line="300" w:lineRule="exact"/>
        <w:ind w:firstLine="420"/>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val="0"/>
        <w:spacing w:line="300" w:lineRule="exact"/>
        <w:ind w:firstLine="420"/>
        <w:textAlignment w:val="auto"/>
        <w:outlineLvl w:val="4"/>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投标人名称（盖公章）：</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00" w:lineRule="exact"/>
        <w:ind w:firstLine="420"/>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val="0"/>
        <w:spacing w:line="300" w:lineRule="exact"/>
        <w:ind w:firstLine="420"/>
        <w:textAlignment w:val="auto"/>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val="0"/>
        <w:spacing w:line="300" w:lineRule="exact"/>
        <w:ind w:firstLine="420"/>
        <w:textAlignment w:val="auto"/>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16"/>
        <w:spacing w:line="400" w:lineRule="exact"/>
        <w:ind w:firstLine="527" w:firstLineChars="2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附：委托代理人身份证正反面复印件以及由县级以上（含县级）社会养老保险经办机构出具的投标人为委托代理人交纳的</w:t>
      </w:r>
      <w:r>
        <w:rPr>
          <w:rFonts w:hint="eastAsia" w:ascii="宋体" w:hAnsi="宋体" w:eastAsia="宋体" w:cs="宋体"/>
          <w:b/>
          <w:color w:val="auto"/>
          <w:sz w:val="21"/>
          <w:szCs w:val="21"/>
          <w:highlight w:val="none"/>
          <w:lang w:eastAsia="zh-CN"/>
        </w:rPr>
        <w:t>开标截止日期前半年内</w:t>
      </w:r>
      <w:r>
        <w:rPr>
          <w:rFonts w:hint="eastAsia" w:ascii="宋体" w:hAnsi="宋体" w:eastAsia="宋体" w:cs="宋体"/>
          <w:b/>
          <w:color w:val="auto"/>
          <w:sz w:val="21"/>
          <w:szCs w:val="21"/>
          <w:highlight w:val="none"/>
        </w:rPr>
        <w:t>任意三个月社保证明复印件；新成立的公司则提供与授权委托人签订的劳动合同复印件（委托代理时必须提供）。</w:t>
      </w:r>
    </w:p>
    <w:p>
      <w:pPr>
        <w:pStyle w:val="10"/>
        <w:rPr>
          <w:rFonts w:hint="eastAsia" w:ascii="宋体" w:hAnsi="宋体" w:eastAsia="宋体" w:cs="宋体"/>
          <w:b/>
          <w:color w:val="auto"/>
          <w:sz w:val="21"/>
          <w:szCs w:val="21"/>
          <w:highlight w:val="none"/>
        </w:rPr>
      </w:pPr>
    </w:p>
    <w:p>
      <w:pPr>
        <w:pStyle w:val="16"/>
        <w:spacing w:line="400" w:lineRule="exact"/>
        <w:jc w:val="center"/>
        <w:rPr>
          <w:rFonts w:hint="eastAsia" w:hAnsi="宋体" w:cs="宋体"/>
          <w:b/>
          <w:sz w:val="32"/>
        </w:rPr>
      </w:pPr>
      <w:r>
        <w:rPr>
          <w:rFonts w:hint="eastAsia" w:hAnsi="宋体" w:cs="宋体"/>
          <w:b/>
          <w:sz w:val="32"/>
        </w:rPr>
        <w:t>授权委托书（格式二）</w:t>
      </w:r>
    </w:p>
    <w:p>
      <w:pPr>
        <w:snapToGrid w:val="0"/>
        <w:spacing w:line="600" w:lineRule="exact"/>
        <w:outlineLvl w:val="4"/>
        <w:rPr>
          <w:rFonts w:hint="eastAsia" w:ascii="宋体" w:hAnsi="宋体" w:eastAsia="宋体" w:cs="宋体"/>
          <w:sz w:val="21"/>
          <w:szCs w:val="21"/>
          <w:u w:val="single"/>
        </w:rPr>
      </w:pPr>
      <w:r>
        <w:rPr>
          <w:rFonts w:hint="eastAsia" w:ascii="宋体" w:hAnsi="宋体" w:eastAsia="宋体" w:cs="宋体"/>
          <w:b/>
          <w:sz w:val="21"/>
          <w:szCs w:val="21"/>
        </w:rPr>
        <w:t>致</w:t>
      </w:r>
      <w:r>
        <w:rPr>
          <w:rFonts w:hint="eastAsia" w:ascii="宋体" w:hAnsi="宋体" w:eastAsia="宋体" w:cs="宋体"/>
          <w:sz w:val="21"/>
          <w:szCs w:val="21"/>
        </w:rPr>
        <w:t>：</w:t>
      </w:r>
      <w:r>
        <w:rPr>
          <w:rFonts w:hint="eastAsia" w:ascii="宋体" w:hAnsi="宋体" w:eastAsia="宋体" w:cs="宋体"/>
          <w:sz w:val="21"/>
          <w:szCs w:val="21"/>
          <w:u w:val="single"/>
        </w:rPr>
        <w:t>广西联云项目管理有限公司</w:t>
      </w:r>
    </w:p>
    <w:p>
      <w:pPr>
        <w:pStyle w:val="16"/>
        <w:spacing w:line="600" w:lineRule="exact"/>
        <w:ind w:firstLine="420" w:firstLineChars="200"/>
        <w:rPr>
          <w:rFonts w:hint="eastAsia" w:ascii="宋体" w:hAnsi="宋体" w:eastAsia="宋体" w:cs="宋体"/>
          <w:sz w:val="21"/>
          <w:szCs w:val="21"/>
        </w:rPr>
      </w:pPr>
      <w:r>
        <w:rPr>
          <w:rFonts w:hint="eastAsia" w:ascii="宋体" w:hAnsi="宋体" w:eastAsia="宋体" w:cs="宋体"/>
          <w:kern w:val="0"/>
          <w:sz w:val="21"/>
          <w:szCs w:val="21"/>
        </w:rPr>
        <w:t>我</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（姓名）系自然人，现授权委托</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（姓 名）以本人名义参加</w:t>
      </w:r>
      <w:r>
        <w:rPr>
          <w:rFonts w:hint="eastAsia" w:ascii="宋体" w:hAnsi="宋体" w:eastAsia="宋体" w:cs="宋体"/>
          <w:kern w:val="0"/>
          <w:sz w:val="21"/>
          <w:szCs w:val="21"/>
          <w:u w:val="single"/>
        </w:rPr>
        <w:t xml:space="preserve">      </w:t>
      </w:r>
      <w:r>
        <w:rPr>
          <w:rFonts w:hint="eastAsia" w:ascii="宋体" w:hAnsi="宋体" w:eastAsia="宋体" w:cs="宋体"/>
          <w:sz w:val="21"/>
          <w:szCs w:val="21"/>
          <w:u w:val="single"/>
        </w:rPr>
        <w:t xml:space="preserve">（项目名称及项目编号）        </w:t>
      </w:r>
      <w:r>
        <w:rPr>
          <w:rFonts w:hint="eastAsia" w:ascii="宋体" w:hAnsi="宋体" w:eastAsia="宋体" w:cs="宋体"/>
          <w:sz w:val="21"/>
          <w:szCs w:val="21"/>
        </w:rPr>
        <w:t>项目的投标活动，并代表本人全权办理针对上述项目的投标、开标、评标、签约等具体事务和签署相关文件。</w:t>
      </w:r>
    </w:p>
    <w:p>
      <w:pPr>
        <w:pStyle w:val="16"/>
        <w:spacing w:line="6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本人对被授权人的签字事项负全部责任。</w:t>
      </w:r>
    </w:p>
    <w:p>
      <w:pPr>
        <w:pStyle w:val="16"/>
        <w:spacing w:line="6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授权委托代理期限：从</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月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日起至</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月 </w:t>
      </w:r>
      <w:r>
        <w:rPr>
          <w:rFonts w:hint="eastAsia" w:ascii="宋体" w:hAnsi="宋体" w:eastAsia="宋体" w:cs="宋体"/>
          <w:sz w:val="21"/>
          <w:szCs w:val="21"/>
          <w:u w:val="single"/>
        </w:rPr>
        <w:t xml:space="preserve">     </w:t>
      </w:r>
      <w:r>
        <w:rPr>
          <w:rFonts w:hint="eastAsia" w:ascii="宋体" w:hAnsi="宋体" w:eastAsia="宋体" w:cs="宋体"/>
          <w:sz w:val="21"/>
          <w:szCs w:val="21"/>
        </w:rPr>
        <w:t>日止。</w:t>
      </w:r>
    </w:p>
    <w:p>
      <w:pPr>
        <w:pStyle w:val="16"/>
        <w:spacing w:line="340" w:lineRule="exact"/>
        <w:rPr>
          <w:rFonts w:hint="eastAsia" w:ascii="宋体" w:hAnsi="宋体" w:eastAsia="宋体" w:cs="宋体"/>
          <w:sz w:val="21"/>
          <w:szCs w:val="21"/>
          <w:u w:val="single"/>
        </w:rPr>
      </w:pPr>
      <w:r>
        <w:rPr>
          <w:rFonts w:hint="eastAsia" w:ascii="宋体" w:hAnsi="宋体" w:eastAsia="宋体" w:cs="宋体"/>
          <w:sz w:val="21"/>
          <w:szCs w:val="21"/>
        </w:rPr>
        <w:t xml:space="preserve">                                                                                             </w:t>
      </w:r>
    </w:p>
    <w:p>
      <w:pPr>
        <w:spacing w:line="34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代理人无转委托权,特此委托。 </w:t>
      </w:r>
    </w:p>
    <w:p>
      <w:pPr>
        <w:snapToGrid w:val="0"/>
        <w:spacing w:line="340" w:lineRule="exact"/>
        <w:ind w:firstLine="525"/>
        <w:outlineLvl w:val="4"/>
        <w:rPr>
          <w:rFonts w:hint="eastAsia" w:ascii="宋体" w:hAnsi="宋体" w:eastAsia="宋体" w:cs="宋体"/>
          <w:sz w:val="21"/>
          <w:szCs w:val="21"/>
        </w:rPr>
      </w:pPr>
    </w:p>
    <w:p>
      <w:pPr>
        <w:snapToGrid w:val="0"/>
        <w:spacing w:line="340" w:lineRule="exact"/>
        <w:ind w:firstLine="420"/>
        <w:outlineLvl w:val="4"/>
        <w:rPr>
          <w:rFonts w:hint="eastAsia" w:ascii="宋体" w:hAnsi="宋体" w:eastAsia="宋体" w:cs="宋体"/>
          <w:sz w:val="21"/>
          <w:szCs w:val="21"/>
        </w:rPr>
      </w:pPr>
      <w:r>
        <w:rPr>
          <w:rFonts w:hint="eastAsia" w:ascii="宋体" w:hAnsi="宋体" w:eastAsia="宋体" w:cs="宋体"/>
          <w:sz w:val="21"/>
          <w:szCs w:val="21"/>
        </w:rPr>
        <w:t>我已在下面签字，以资证明。</w:t>
      </w:r>
    </w:p>
    <w:p>
      <w:pPr>
        <w:snapToGrid w:val="0"/>
        <w:spacing w:line="340" w:lineRule="exact"/>
        <w:ind w:firstLine="420"/>
        <w:outlineLvl w:val="4"/>
        <w:rPr>
          <w:rFonts w:hint="eastAsia" w:ascii="宋体" w:hAnsi="宋体" w:eastAsia="宋体" w:cs="宋体"/>
          <w:sz w:val="21"/>
          <w:szCs w:val="21"/>
        </w:rPr>
      </w:pPr>
    </w:p>
    <w:p>
      <w:pPr>
        <w:snapToGrid w:val="0"/>
        <w:spacing w:line="340" w:lineRule="exact"/>
        <w:ind w:firstLine="420"/>
        <w:outlineLvl w:val="4"/>
        <w:rPr>
          <w:rFonts w:hint="eastAsia" w:ascii="宋体" w:hAnsi="宋体" w:eastAsia="宋体" w:cs="宋体"/>
          <w:sz w:val="21"/>
          <w:szCs w:val="21"/>
        </w:rPr>
      </w:pPr>
      <w:r>
        <w:rPr>
          <w:rFonts w:hint="eastAsia" w:ascii="宋体" w:hAnsi="宋体" w:eastAsia="宋体" w:cs="宋体"/>
          <w:sz w:val="21"/>
          <w:szCs w:val="21"/>
        </w:rPr>
        <w:t>自然人签字并在签名处加盖食指指印：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snapToGrid w:val="0"/>
        <w:spacing w:line="340" w:lineRule="exact"/>
        <w:ind w:firstLine="420"/>
        <w:outlineLvl w:val="4"/>
        <w:rPr>
          <w:rFonts w:hint="eastAsia" w:ascii="宋体" w:hAnsi="宋体" w:cs="宋体"/>
          <w:szCs w:val="21"/>
        </w:rPr>
      </w:pPr>
    </w:p>
    <w:p>
      <w:pPr>
        <w:pStyle w:val="16"/>
        <w:spacing w:line="400" w:lineRule="exact"/>
        <w:ind w:firstLine="602" w:firstLineChars="250"/>
        <w:rPr>
          <w:rFonts w:hint="eastAsia" w:hAnsi="宋体" w:cs="宋体"/>
          <w:b/>
          <w:sz w:val="24"/>
          <w:szCs w:val="24"/>
        </w:rPr>
      </w:pPr>
      <w:r>
        <w:rPr>
          <w:rFonts w:hint="eastAsia" w:hAnsi="宋体" w:cs="宋体"/>
          <w:b/>
          <w:sz w:val="24"/>
          <w:szCs w:val="24"/>
        </w:rPr>
        <w:t>附：委托代理人身份证正反面复印件以及由县级以上（含县级）社会养老保险经办机构出具的自然人本人及委托代理人所交纳</w:t>
      </w:r>
      <w:r>
        <w:rPr>
          <w:rFonts w:hint="eastAsia" w:hAnsi="宋体" w:cs="宋体"/>
          <w:b/>
          <w:sz w:val="24"/>
          <w:szCs w:val="24"/>
          <w:lang w:eastAsia="zh-CN"/>
        </w:rPr>
        <w:t>开标截止日期前半年内</w:t>
      </w:r>
      <w:r>
        <w:rPr>
          <w:rFonts w:hint="eastAsia" w:hAnsi="宋体" w:cs="宋体"/>
          <w:b/>
          <w:sz w:val="24"/>
          <w:szCs w:val="24"/>
        </w:rPr>
        <w:t>任意三个月社保证明复印件（委托代理时必须提供）。</w:t>
      </w:r>
    </w:p>
    <w:p>
      <w:pPr>
        <w:rPr>
          <w:rFonts w:hint="eastAsia" w:ascii="宋体" w:hAnsi="宋体" w:eastAsia="宋体" w:cs="宋体"/>
          <w:color w:val="auto"/>
          <w:highlight w:val="none"/>
        </w:rPr>
      </w:pPr>
    </w:p>
    <w:p>
      <w:pPr>
        <w:pStyle w:val="16"/>
        <w:spacing w:line="400" w:lineRule="exact"/>
        <w:rPr>
          <w:rFonts w:hint="eastAsia" w:ascii="宋体" w:hAnsi="宋体" w:eastAsia="宋体" w:cs="宋体"/>
          <w:b/>
          <w:color w:val="auto"/>
          <w:sz w:val="32"/>
          <w:szCs w:val="32"/>
          <w:highlight w:val="none"/>
        </w:rPr>
      </w:pPr>
    </w:p>
    <w:p>
      <w:pPr>
        <w:pStyle w:val="16"/>
        <w:spacing w:line="400" w:lineRule="exact"/>
        <w:rPr>
          <w:rFonts w:hint="eastAsia" w:ascii="宋体" w:hAnsi="宋体" w:eastAsia="宋体" w:cs="宋体"/>
          <w:b/>
          <w:color w:val="auto"/>
          <w:sz w:val="32"/>
          <w:szCs w:val="32"/>
          <w:highlight w:val="none"/>
        </w:rPr>
      </w:pPr>
    </w:p>
    <w:p>
      <w:pPr>
        <w:pStyle w:val="16"/>
        <w:spacing w:line="400" w:lineRule="exact"/>
        <w:rPr>
          <w:rFonts w:hint="eastAsia" w:ascii="宋体" w:hAnsi="宋体" w:eastAsia="宋体" w:cs="宋体"/>
          <w:b/>
          <w:color w:val="auto"/>
          <w:sz w:val="32"/>
          <w:szCs w:val="32"/>
          <w:highlight w:val="none"/>
        </w:rPr>
      </w:pPr>
    </w:p>
    <w:p>
      <w:pPr>
        <w:pStyle w:val="16"/>
        <w:spacing w:line="400" w:lineRule="exact"/>
        <w:rPr>
          <w:rFonts w:hint="eastAsia" w:ascii="宋体" w:hAnsi="宋体" w:eastAsia="宋体" w:cs="宋体"/>
          <w:b/>
          <w:color w:val="auto"/>
          <w:sz w:val="32"/>
          <w:szCs w:val="32"/>
          <w:highlight w:val="none"/>
        </w:rPr>
      </w:pPr>
    </w:p>
    <w:p>
      <w:pPr>
        <w:pStyle w:val="16"/>
        <w:spacing w:line="400" w:lineRule="exact"/>
        <w:rPr>
          <w:rFonts w:hint="eastAsia" w:ascii="宋体" w:hAnsi="宋体" w:eastAsia="宋体" w:cs="宋体"/>
          <w:b/>
          <w:color w:val="auto"/>
          <w:sz w:val="32"/>
          <w:szCs w:val="32"/>
          <w:highlight w:val="none"/>
        </w:rPr>
      </w:pPr>
    </w:p>
    <w:p>
      <w:pPr>
        <w:pStyle w:val="16"/>
        <w:spacing w:line="400" w:lineRule="exact"/>
        <w:rPr>
          <w:rFonts w:hint="eastAsia" w:ascii="宋体" w:hAnsi="宋体" w:eastAsia="宋体" w:cs="宋体"/>
          <w:b/>
          <w:color w:val="auto"/>
          <w:sz w:val="32"/>
          <w:szCs w:val="32"/>
          <w:highlight w:val="none"/>
        </w:rPr>
      </w:pPr>
    </w:p>
    <w:p>
      <w:pPr>
        <w:pStyle w:val="16"/>
        <w:spacing w:line="400" w:lineRule="exact"/>
        <w:rPr>
          <w:rFonts w:hint="eastAsia" w:ascii="宋体" w:hAnsi="宋体" w:eastAsia="宋体" w:cs="宋体"/>
          <w:b/>
          <w:color w:val="auto"/>
          <w:sz w:val="32"/>
          <w:szCs w:val="32"/>
          <w:highlight w:val="none"/>
        </w:rPr>
      </w:pPr>
    </w:p>
    <w:p>
      <w:pPr>
        <w:pStyle w:val="16"/>
        <w:spacing w:line="400" w:lineRule="exact"/>
        <w:rPr>
          <w:rFonts w:hint="eastAsia" w:ascii="宋体" w:hAnsi="宋体" w:eastAsia="宋体" w:cs="宋体"/>
          <w:b/>
          <w:color w:val="auto"/>
          <w:sz w:val="32"/>
          <w:szCs w:val="32"/>
          <w:highlight w:val="none"/>
        </w:rPr>
      </w:pPr>
    </w:p>
    <w:p>
      <w:pPr>
        <w:pStyle w:val="16"/>
        <w:spacing w:line="400" w:lineRule="exact"/>
        <w:rPr>
          <w:rFonts w:hint="eastAsia" w:ascii="宋体" w:hAnsi="宋体" w:eastAsia="宋体" w:cs="宋体"/>
          <w:b/>
          <w:color w:val="auto"/>
          <w:sz w:val="32"/>
          <w:szCs w:val="32"/>
          <w:highlight w:val="none"/>
        </w:rPr>
      </w:pPr>
    </w:p>
    <w:p>
      <w:pPr>
        <w:pStyle w:val="10"/>
        <w:rPr>
          <w:rFonts w:hint="eastAsia"/>
        </w:rPr>
      </w:pPr>
    </w:p>
    <w:p>
      <w:pPr>
        <w:pStyle w:val="16"/>
        <w:spacing w:line="400" w:lineRule="exact"/>
        <w:rPr>
          <w:rFonts w:hint="eastAsia" w:ascii="宋体" w:hAnsi="宋体" w:eastAsia="宋体" w:cs="宋体"/>
          <w:b/>
          <w:color w:val="auto"/>
          <w:sz w:val="32"/>
          <w:szCs w:val="32"/>
          <w:highlight w:val="none"/>
        </w:rPr>
      </w:pPr>
    </w:p>
    <w:p>
      <w:pPr>
        <w:pStyle w:val="16"/>
        <w:spacing w:line="400" w:lineRule="exact"/>
        <w:rPr>
          <w:rFonts w:hint="eastAsia" w:ascii="宋体" w:hAnsi="宋体" w:eastAsia="宋体" w:cs="宋体"/>
          <w:b/>
          <w:color w:val="auto"/>
          <w:sz w:val="32"/>
          <w:szCs w:val="32"/>
          <w:highlight w:val="none"/>
        </w:rPr>
      </w:pPr>
    </w:p>
    <w:p>
      <w:pPr>
        <w:pStyle w:val="16"/>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3.</w:t>
      </w:r>
      <w:r>
        <w:rPr>
          <w:rFonts w:hint="eastAsia" w:ascii="宋体" w:hAnsi="宋体" w:eastAsia="宋体" w:cs="宋体"/>
          <w:b/>
          <w:color w:val="auto"/>
          <w:sz w:val="32"/>
          <w:szCs w:val="32"/>
          <w:highlight w:val="none"/>
          <w:lang w:eastAsia="zh-CN"/>
        </w:rPr>
        <w:t>投标人的法人或者其他组织营业执照复印件等证明文件</w:t>
      </w:r>
      <w:r>
        <w:rPr>
          <w:rFonts w:hint="eastAsia" w:ascii="宋体" w:hAnsi="宋体" w:eastAsia="宋体" w:cs="宋体"/>
          <w:b/>
          <w:color w:val="auto"/>
          <w:sz w:val="32"/>
          <w:szCs w:val="32"/>
          <w:highlight w:val="none"/>
        </w:rPr>
        <w:t>（必须提供</w:t>
      </w:r>
      <w:r>
        <w:rPr>
          <w:rFonts w:hint="eastAsia" w:hAnsi="宋体" w:cs="宋体"/>
          <w:b/>
          <w:sz w:val="32"/>
          <w:szCs w:val="32"/>
        </w:rPr>
        <w:t>，自然人除外</w:t>
      </w:r>
      <w:r>
        <w:rPr>
          <w:rFonts w:hint="eastAsia" w:ascii="宋体" w:hAnsi="宋体" w:eastAsia="宋体" w:cs="宋体"/>
          <w:b/>
          <w:color w:val="auto"/>
          <w:sz w:val="32"/>
          <w:szCs w:val="32"/>
          <w:highlight w:val="none"/>
        </w:rPr>
        <w:t>）</w:t>
      </w:r>
    </w:p>
    <w:p>
      <w:pPr>
        <w:tabs>
          <w:tab w:val="left" w:pos="1305"/>
        </w:tabs>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pPr>
        <w:pStyle w:val="16"/>
        <w:spacing w:line="400" w:lineRule="exact"/>
        <w:ind w:left="480" w:leftChars="200" w:firstLine="157" w:firstLineChars="49"/>
        <w:rPr>
          <w:rFonts w:hint="eastAsia" w:ascii="宋体" w:hAnsi="宋体" w:eastAsia="宋体" w:cs="宋体"/>
          <w:b/>
          <w:color w:val="auto"/>
          <w:sz w:val="32"/>
          <w:szCs w:val="32"/>
          <w:highlight w:val="none"/>
        </w:rPr>
      </w:pPr>
    </w:p>
    <w:p>
      <w:pPr>
        <w:pStyle w:val="16"/>
        <w:spacing w:line="400" w:lineRule="exact"/>
        <w:ind w:left="480" w:leftChars="200" w:firstLine="157" w:firstLineChars="49"/>
        <w:rPr>
          <w:rFonts w:hint="eastAsia" w:ascii="宋体" w:hAnsi="宋体" w:eastAsia="宋体" w:cs="宋体"/>
          <w:b/>
          <w:color w:val="auto"/>
          <w:sz w:val="32"/>
          <w:szCs w:val="32"/>
          <w:highlight w:val="none"/>
        </w:rPr>
      </w:pPr>
    </w:p>
    <w:p>
      <w:pPr>
        <w:pStyle w:val="16"/>
        <w:spacing w:line="400" w:lineRule="exact"/>
        <w:ind w:left="480" w:leftChars="200" w:firstLine="157" w:firstLineChars="49"/>
        <w:rPr>
          <w:rFonts w:hint="eastAsia" w:ascii="宋体" w:hAnsi="宋体" w:eastAsia="宋体" w:cs="宋体"/>
          <w:b/>
          <w:color w:val="auto"/>
          <w:sz w:val="32"/>
          <w:szCs w:val="32"/>
          <w:highlight w:val="none"/>
        </w:rPr>
      </w:pPr>
    </w:p>
    <w:p>
      <w:pPr>
        <w:pStyle w:val="16"/>
        <w:spacing w:line="400" w:lineRule="exact"/>
        <w:ind w:left="480" w:leftChars="200" w:firstLine="157" w:firstLineChars="49"/>
        <w:rPr>
          <w:rFonts w:hint="eastAsia" w:ascii="宋体" w:hAnsi="宋体" w:eastAsia="宋体" w:cs="宋体"/>
          <w:b/>
          <w:color w:val="auto"/>
          <w:sz w:val="32"/>
          <w:szCs w:val="32"/>
          <w:highlight w:val="none"/>
        </w:rPr>
      </w:pPr>
    </w:p>
    <w:p>
      <w:pPr>
        <w:pStyle w:val="16"/>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4.投标人参加政府采购活动前3年内在经营活动中没有重大违法记录及有关信用信息的书面声明（必须提供）</w:t>
      </w:r>
    </w:p>
    <w:p>
      <w:pPr>
        <w:pStyle w:val="16"/>
        <w:spacing w:line="400" w:lineRule="exact"/>
        <w:ind w:left="480" w:leftChars="200" w:firstLine="157"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pPr>
        <w:pStyle w:val="16"/>
        <w:spacing w:line="400" w:lineRule="exact"/>
        <w:jc w:val="center"/>
        <w:rPr>
          <w:rFonts w:hint="eastAsia" w:ascii="宋体" w:hAnsi="宋体" w:eastAsia="宋体" w:cs="宋体"/>
          <w:b/>
          <w:color w:val="auto"/>
          <w:sz w:val="32"/>
          <w:szCs w:val="32"/>
          <w:highlight w:val="none"/>
        </w:rPr>
      </w:pPr>
    </w:p>
    <w:p>
      <w:pPr>
        <w:pStyle w:val="16"/>
        <w:spacing w:line="400" w:lineRule="exact"/>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声   明</w:t>
      </w:r>
    </w:p>
    <w:p>
      <w:pPr>
        <w:snapToGrid w:val="0"/>
        <w:spacing w:line="400" w:lineRule="exact"/>
        <w:outlineLvl w:val="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广西联云项目管理有限公司</w:t>
      </w:r>
      <w:r>
        <w:rPr>
          <w:rFonts w:hint="eastAsia" w:ascii="宋体" w:hAnsi="宋体" w:eastAsia="宋体" w:cs="宋体"/>
          <w:color w:val="auto"/>
          <w:sz w:val="21"/>
          <w:szCs w:val="21"/>
          <w:highlight w:val="none"/>
        </w:rPr>
        <w:t>：</w:t>
      </w:r>
    </w:p>
    <w:p>
      <w:pPr>
        <w:snapToGrid w:val="0"/>
        <w:spacing w:line="400" w:lineRule="exact"/>
        <w:rPr>
          <w:rFonts w:hint="eastAsia" w:ascii="宋体" w:hAnsi="宋体" w:eastAsia="宋体" w:cs="宋体"/>
          <w:color w:val="auto"/>
          <w:sz w:val="21"/>
          <w:szCs w:val="21"/>
          <w:highlight w:val="none"/>
          <w:u w:val="single"/>
        </w:rPr>
      </w:pPr>
    </w:p>
    <w:p>
      <w:pPr>
        <w:pStyle w:val="16"/>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hint="eastAsia" w:ascii="宋体" w:hAnsi="宋体" w:eastAsia="宋体" w:cs="宋体"/>
          <w:color w:val="auto"/>
          <w:sz w:val="21"/>
          <w:szCs w:val="21"/>
          <w:highlight w:val="none"/>
        </w:rPr>
      </w:pPr>
    </w:p>
    <w:p>
      <w:pPr>
        <w:spacing w:line="340" w:lineRule="exact"/>
        <w:ind w:firstLine="1890" w:firstLineChars="9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投标人（公章，自然人除外）：</w:t>
      </w:r>
      <w:r>
        <w:rPr>
          <w:rFonts w:hint="eastAsia" w:ascii="宋体" w:hAnsi="宋体" w:eastAsia="宋体" w:cs="宋体"/>
          <w:color w:val="auto"/>
          <w:sz w:val="21"/>
          <w:szCs w:val="21"/>
          <w:highlight w:val="none"/>
          <w:u w:val="single"/>
        </w:rPr>
        <w:t xml:space="preserve">                                         </w:t>
      </w:r>
    </w:p>
    <w:p>
      <w:pPr>
        <w:spacing w:line="340" w:lineRule="exact"/>
        <w:ind w:firstLine="1890" w:firstLineChars="900"/>
        <w:rPr>
          <w:rFonts w:hint="eastAsia" w:ascii="宋体" w:hAnsi="宋体" w:eastAsia="宋体" w:cs="宋体"/>
          <w:color w:val="auto"/>
          <w:sz w:val="21"/>
          <w:szCs w:val="21"/>
          <w:highlight w:val="none"/>
          <w:u w:val="single"/>
        </w:rPr>
      </w:pPr>
    </w:p>
    <w:p>
      <w:pPr>
        <w:spacing w:line="340" w:lineRule="exact"/>
        <w:ind w:firstLine="1890" w:firstLineChars="9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法定代表人、负责人、自然人或相应的委托代理人签字（或盖章）</w:t>
      </w:r>
    </w:p>
    <w:p>
      <w:pPr>
        <w:spacing w:line="340" w:lineRule="exact"/>
        <w:ind w:firstLine="1890" w:firstLineChars="9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（属自然人的应在签名处加盖食指指印）</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p>
    <w:p>
      <w:pPr>
        <w:spacing w:line="340" w:lineRule="exact"/>
        <w:ind w:firstLine="1680" w:firstLineChars="800"/>
        <w:rPr>
          <w:rFonts w:hint="eastAsia" w:ascii="宋体" w:hAnsi="宋体" w:eastAsia="宋体" w:cs="宋体"/>
          <w:color w:val="auto"/>
          <w:sz w:val="21"/>
          <w:szCs w:val="21"/>
          <w:highlight w:val="none"/>
        </w:rPr>
      </w:pPr>
    </w:p>
    <w:p>
      <w:pPr>
        <w:spacing w:line="340" w:lineRule="exact"/>
        <w:ind w:firstLine="1890" w:firstLineChars="9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u w:val="single"/>
        </w:rPr>
        <w:t xml:space="preserve">                                                   </w:t>
      </w:r>
    </w:p>
    <w:p>
      <w:pPr>
        <w:spacing w:line="400" w:lineRule="exact"/>
        <w:rPr>
          <w:rFonts w:hint="eastAsia" w:ascii="宋体" w:hAnsi="宋体" w:eastAsia="宋体" w:cs="宋体"/>
          <w:b/>
          <w:color w:val="auto"/>
          <w:sz w:val="32"/>
          <w:szCs w:val="32"/>
          <w:highlight w:val="none"/>
        </w:rPr>
      </w:pPr>
    </w:p>
    <w:p>
      <w:pPr>
        <w:pStyle w:val="11"/>
        <w:numPr>
          <w:ilvl w:val="0"/>
          <w:numId w:val="0"/>
        </w:numPr>
        <w:rPr>
          <w:rFonts w:hint="eastAsia" w:ascii="宋体" w:hAnsi="宋体" w:eastAsia="宋体" w:cs="宋体"/>
          <w:color w:val="auto"/>
          <w:highlight w:val="none"/>
          <w:lang w:eastAsia="zh-CN"/>
        </w:rPr>
      </w:pPr>
    </w:p>
    <w:p>
      <w:pPr>
        <w:pStyle w:val="11"/>
        <w:numPr>
          <w:ilvl w:val="0"/>
          <w:numId w:val="0"/>
        </w:numPr>
        <w:rPr>
          <w:rFonts w:hint="eastAsia" w:ascii="宋体" w:hAnsi="宋体" w:eastAsia="宋体" w:cs="宋体"/>
          <w:color w:val="auto"/>
          <w:highlight w:val="none"/>
          <w:lang w:eastAsia="zh-CN"/>
        </w:rPr>
      </w:pPr>
    </w:p>
    <w:p>
      <w:pPr>
        <w:pStyle w:val="11"/>
        <w:numPr>
          <w:ilvl w:val="0"/>
          <w:numId w:val="0"/>
        </w:numPr>
        <w:rPr>
          <w:rFonts w:hint="eastAsia" w:ascii="宋体" w:hAnsi="宋体" w:eastAsia="宋体" w:cs="宋体"/>
          <w:color w:val="auto"/>
          <w:highlight w:val="none"/>
          <w:lang w:eastAsia="zh-CN"/>
        </w:rPr>
      </w:pPr>
    </w:p>
    <w:p>
      <w:pPr>
        <w:pStyle w:val="11"/>
        <w:numPr>
          <w:ilvl w:val="0"/>
          <w:numId w:val="0"/>
        </w:numPr>
        <w:rPr>
          <w:rFonts w:hint="eastAsia" w:ascii="宋体" w:hAnsi="宋体" w:eastAsia="宋体" w:cs="宋体"/>
          <w:color w:val="auto"/>
          <w:highlight w:val="none"/>
          <w:lang w:eastAsia="zh-CN"/>
        </w:rPr>
      </w:pPr>
    </w:p>
    <w:p>
      <w:pPr>
        <w:pStyle w:val="11"/>
        <w:numPr>
          <w:ilvl w:val="0"/>
          <w:numId w:val="0"/>
        </w:numPr>
        <w:rPr>
          <w:rFonts w:hint="eastAsia" w:ascii="宋体" w:hAnsi="宋体" w:eastAsia="宋体" w:cs="宋体"/>
          <w:color w:val="auto"/>
          <w:highlight w:val="none"/>
          <w:lang w:eastAsia="zh-CN"/>
        </w:rPr>
      </w:pPr>
    </w:p>
    <w:p>
      <w:pPr>
        <w:pStyle w:val="11"/>
        <w:numPr>
          <w:ilvl w:val="0"/>
          <w:numId w:val="0"/>
        </w:numPr>
        <w:rPr>
          <w:rFonts w:hint="eastAsia" w:ascii="宋体" w:hAnsi="宋体" w:eastAsia="宋体" w:cs="宋体"/>
          <w:color w:val="auto"/>
          <w:highlight w:val="none"/>
          <w:lang w:eastAsia="zh-CN"/>
        </w:rPr>
      </w:pPr>
    </w:p>
    <w:p>
      <w:pPr>
        <w:pStyle w:val="11"/>
        <w:numPr>
          <w:ilvl w:val="0"/>
          <w:numId w:val="0"/>
        </w:numPr>
        <w:rPr>
          <w:rFonts w:hint="eastAsia" w:ascii="宋体" w:hAnsi="宋体" w:eastAsia="宋体" w:cs="宋体"/>
          <w:color w:val="auto"/>
          <w:highlight w:val="none"/>
          <w:lang w:eastAsia="zh-CN"/>
        </w:rPr>
      </w:pPr>
    </w:p>
    <w:p>
      <w:pPr>
        <w:spacing w:line="400" w:lineRule="exact"/>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二</w:t>
      </w:r>
      <w:r>
        <w:rPr>
          <w:rFonts w:hint="eastAsia" w:ascii="宋体" w:hAnsi="宋体" w:eastAsia="宋体" w:cs="宋体"/>
          <w:b/>
          <w:color w:val="auto"/>
          <w:sz w:val="32"/>
          <w:szCs w:val="32"/>
          <w:highlight w:val="none"/>
        </w:rPr>
        <w:t>、商务、技术性响应及其他有效证明材料（格式）</w:t>
      </w:r>
    </w:p>
    <w:p>
      <w:pPr>
        <w:snapToGrid w:val="0"/>
        <w:spacing w:line="400" w:lineRule="exact"/>
        <w:outlineLvl w:val="4"/>
        <w:rPr>
          <w:rFonts w:hint="eastAsia" w:ascii="宋体" w:hAnsi="宋体" w:eastAsia="宋体" w:cs="宋体"/>
          <w:b/>
          <w:bCs/>
          <w:color w:val="auto"/>
          <w:sz w:val="32"/>
          <w:szCs w:val="20"/>
          <w:highlight w:val="none"/>
        </w:rPr>
      </w:pPr>
    </w:p>
    <w:p>
      <w:pPr>
        <w:spacing w:line="400" w:lineRule="exact"/>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1.</w:t>
      </w:r>
      <w:r>
        <w:rPr>
          <w:rFonts w:hint="eastAsia" w:ascii="宋体" w:hAnsi="宋体" w:eastAsia="宋体" w:cs="宋体"/>
          <w:b/>
          <w:color w:val="auto"/>
          <w:sz w:val="32"/>
          <w:szCs w:val="32"/>
          <w:highlight w:val="none"/>
        </w:rPr>
        <w:t>投标报价表</w:t>
      </w:r>
    </w:p>
    <w:p>
      <w:pPr>
        <w:spacing w:line="440" w:lineRule="atLeast"/>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投标报价表（格式）</w:t>
      </w:r>
    </w:p>
    <w:p>
      <w:pPr>
        <w:pStyle w:val="16"/>
        <w:spacing w:line="400" w:lineRule="exact"/>
        <w:rPr>
          <w:rFonts w:hint="eastAsia" w:ascii="宋体" w:hAnsi="宋体" w:eastAsia="宋体" w:cs="宋体"/>
          <w:b/>
          <w:bCs/>
          <w:color w:val="auto"/>
          <w:highlight w:val="none"/>
        </w:rPr>
      </w:pPr>
    </w:p>
    <w:p>
      <w:pPr>
        <w:spacing w:line="42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广西联云项目管理有限公司</w:t>
      </w:r>
    </w:p>
    <w:p>
      <w:pPr>
        <w:spacing w:line="400" w:lineRule="exact"/>
        <w:rPr>
          <w:rFonts w:hint="eastAsia" w:ascii="宋体" w:hAnsi="宋体" w:eastAsia="宋体" w:cs="宋体"/>
          <w:color w:val="auto"/>
          <w:sz w:val="21"/>
          <w:szCs w:val="21"/>
          <w:highlight w:val="none"/>
        </w:rPr>
      </w:pPr>
    </w:p>
    <w:p>
      <w:pPr>
        <w:pStyle w:val="16"/>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项目招标文件，项目编号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（姓名）经正式授权并代表投标人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投标单位名称），提交投标文件正本一份，副本</w:t>
      </w:r>
      <w:r>
        <w:rPr>
          <w:rFonts w:hint="eastAsia" w:ascii="宋体" w:hAnsi="宋体" w:eastAsia="宋体" w:cs="宋体"/>
          <w:color w:val="auto"/>
          <w:sz w:val="21"/>
          <w:szCs w:val="21"/>
          <w:highlight w:val="none"/>
          <w:u w:val="single"/>
        </w:rPr>
        <w:t xml:space="preserve">  四 </w:t>
      </w:r>
      <w:r>
        <w:rPr>
          <w:rFonts w:hint="eastAsia" w:ascii="宋体" w:hAnsi="宋体" w:eastAsia="宋体" w:cs="宋体"/>
          <w:color w:val="auto"/>
          <w:sz w:val="21"/>
          <w:szCs w:val="21"/>
          <w:highlight w:val="none"/>
        </w:rPr>
        <w:t xml:space="preserve"> 份，并做出如下报价：</w:t>
      </w:r>
    </w:p>
    <w:tbl>
      <w:tblPr>
        <w:tblStyle w:val="24"/>
        <w:tblW w:w="915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9"/>
        <w:gridCol w:w="1256"/>
        <w:gridCol w:w="1375"/>
        <w:gridCol w:w="914"/>
        <w:gridCol w:w="1435"/>
        <w:gridCol w:w="782"/>
        <w:gridCol w:w="521"/>
        <w:gridCol w:w="934"/>
        <w:gridCol w:w="14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2" w:hRule="atLeast"/>
        </w:trPr>
        <w:tc>
          <w:tcPr>
            <w:tcW w:w="49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12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生产厂家</w:t>
            </w:r>
          </w:p>
        </w:tc>
        <w:tc>
          <w:tcPr>
            <w:tcW w:w="9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4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p>
        </w:tc>
        <w:tc>
          <w:tcPr>
            <w:tcW w:w="5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9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w:t>
            </w:r>
          </w:p>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p>
        </w:tc>
        <w:tc>
          <w:tcPr>
            <w:tcW w:w="1439" w:type="dxa"/>
            <w:tcBorders>
              <w:top w:val="single" w:color="auto" w:sz="4" w:space="0"/>
              <w:left w:val="single" w:color="auto" w:sz="4" w:space="0"/>
              <w:bottom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单项合计=数量×单价</w:t>
            </w:r>
          </w:p>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49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5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bCs/>
                <w:color w:val="auto"/>
                <w:sz w:val="21"/>
                <w:szCs w:val="21"/>
                <w:highlight w:val="none"/>
              </w:rPr>
            </w:pPr>
          </w:p>
        </w:tc>
        <w:tc>
          <w:tcPr>
            <w:tcW w:w="1439" w:type="dxa"/>
            <w:tcBorders>
              <w:top w:val="single" w:color="auto" w:sz="4" w:space="0"/>
              <w:left w:val="single" w:color="auto" w:sz="4" w:space="0"/>
              <w:bottom w:val="single" w:color="auto" w:sz="4" w:space="0"/>
            </w:tcBorders>
            <w:vAlign w:val="center"/>
          </w:tcPr>
          <w:p>
            <w:pPr>
              <w:spacing w:line="44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499" w:type="dxa"/>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5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bCs/>
                <w:color w:val="auto"/>
                <w:sz w:val="21"/>
                <w:szCs w:val="21"/>
                <w:highlight w:val="none"/>
              </w:rPr>
            </w:pPr>
          </w:p>
        </w:tc>
        <w:tc>
          <w:tcPr>
            <w:tcW w:w="1439" w:type="dxa"/>
            <w:tcBorders>
              <w:top w:val="single" w:color="auto" w:sz="4" w:space="0"/>
              <w:left w:val="single" w:color="auto" w:sz="4" w:space="0"/>
              <w:bottom w:val="single" w:color="auto" w:sz="4" w:space="0"/>
            </w:tcBorders>
            <w:vAlign w:val="center"/>
          </w:tcPr>
          <w:p>
            <w:pPr>
              <w:spacing w:line="44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499" w:type="dxa"/>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5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bCs/>
                <w:color w:val="auto"/>
                <w:sz w:val="21"/>
                <w:szCs w:val="21"/>
                <w:highlight w:val="none"/>
              </w:rPr>
            </w:pPr>
          </w:p>
        </w:tc>
        <w:tc>
          <w:tcPr>
            <w:tcW w:w="1439" w:type="dxa"/>
            <w:tcBorders>
              <w:top w:val="single" w:color="auto" w:sz="4" w:space="0"/>
              <w:left w:val="single" w:color="auto" w:sz="4" w:space="0"/>
              <w:bottom w:val="single" w:color="auto" w:sz="4" w:space="0"/>
            </w:tcBorders>
            <w:vAlign w:val="center"/>
          </w:tcPr>
          <w:p>
            <w:pPr>
              <w:spacing w:line="44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8" w:hRule="atLeast"/>
        </w:trPr>
        <w:tc>
          <w:tcPr>
            <w:tcW w:w="9155" w:type="dxa"/>
            <w:gridSpan w:val="9"/>
            <w:tcBorders>
              <w:top w:val="single" w:color="auto" w:sz="4" w:space="0"/>
              <w:left w:val="single" w:color="auto" w:sz="4" w:space="0"/>
              <w:bottom w:val="single" w:color="auto" w:sz="4" w:space="0"/>
            </w:tcBorders>
            <w:vAlign w:val="center"/>
          </w:tcPr>
          <w:p>
            <w:pPr>
              <w:spacing w:line="440" w:lineRule="exact"/>
              <w:rPr>
                <w:rFonts w:hint="eastAsia" w:ascii="宋体" w:hAnsi="宋体" w:eastAsia="宋体" w:cs="宋体"/>
                <w:b/>
                <w:bCs/>
                <w:color w:val="auto"/>
                <w:sz w:val="21"/>
                <w:szCs w:val="21"/>
                <w:highlight w:val="none"/>
              </w:rPr>
            </w:pPr>
            <w:r>
              <w:rPr>
                <w:rFonts w:hint="eastAsia" w:ascii="宋体" w:hAnsi="宋体" w:eastAsia="宋体" w:cs="宋体"/>
                <w:color w:val="auto"/>
                <w:spacing w:val="-6"/>
                <w:sz w:val="21"/>
                <w:szCs w:val="21"/>
                <w:highlight w:val="none"/>
              </w:rPr>
              <w:t>投标总报价（大写）：                                            元（￥                      ）人民币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9155" w:type="dxa"/>
            <w:gridSpan w:val="9"/>
            <w:tcBorders>
              <w:top w:val="single" w:color="auto" w:sz="4" w:space="0"/>
              <w:left w:val="single" w:color="auto" w:sz="4" w:space="0"/>
              <w:bottom w:val="single" w:color="auto" w:sz="4" w:space="0"/>
            </w:tcBorders>
            <w:vAlign w:val="center"/>
          </w:tcPr>
          <w:p>
            <w:pPr>
              <w:spacing w:line="44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本项目投标有效期为投标截止时间之日起90天。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155" w:type="dxa"/>
            <w:gridSpan w:val="9"/>
            <w:tcBorders>
              <w:top w:val="single" w:color="auto" w:sz="4" w:space="0"/>
              <w:left w:val="single" w:color="auto" w:sz="4" w:space="0"/>
              <w:bottom w:val="single" w:color="auto" w:sz="4" w:space="0"/>
            </w:tcBorders>
            <w:vAlign w:val="center"/>
          </w:tcPr>
          <w:p>
            <w:pPr>
              <w:spacing w:line="44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免费保修期:</w:t>
            </w:r>
          </w:p>
        </w:tc>
      </w:tr>
    </w:tbl>
    <w:p>
      <w:pPr>
        <w:pStyle w:val="16"/>
        <w:spacing w:line="300" w:lineRule="exact"/>
        <w:ind w:left="420"/>
        <w:rPr>
          <w:rFonts w:hint="eastAsia" w:ascii="宋体" w:hAnsi="宋体" w:eastAsia="宋体" w:cs="宋体"/>
          <w:b/>
          <w:color w:val="auto"/>
          <w:sz w:val="21"/>
          <w:szCs w:val="21"/>
          <w:highlight w:val="none"/>
        </w:rPr>
      </w:pPr>
    </w:p>
    <w:p>
      <w:pPr>
        <w:pStyle w:val="16"/>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与本投标有关的正式通讯地址为：</w:t>
      </w:r>
    </w:p>
    <w:p>
      <w:pPr>
        <w:pStyle w:val="16"/>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电话、传真：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pStyle w:val="16"/>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pPr>
        <w:pStyle w:val="16"/>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pPr>
        <w:pStyle w:val="16"/>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p>
    <w:p>
      <w:pPr>
        <w:pStyle w:val="16"/>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投标人名称（盖公章，自然人除外）：</w:t>
      </w:r>
      <w:r>
        <w:rPr>
          <w:rFonts w:hint="eastAsia" w:ascii="宋体" w:hAnsi="宋体" w:eastAsia="宋体" w:cs="宋体"/>
          <w:color w:val="auto"/>
          <w:sz w:val="21"/>
          <w:szCs w:val="21"/>
          <w:highlight w:val="none"/>
          <w:u w:val="single"/>
        </w:rPr>
        <w:t xml:space="preserve">                                            </w:t>
      </w:r>
    </w:p>
    <w:p>
      <w:pPr>
        <w:pStyle w:val="16"/>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自然人或相应的委托代理人签字（或盖章）：</w:t>
      </w:r>
      <w:r>
        <w:rPr>
          <w:rFonts w:hint="eastAsia" w:ascii="宋体" w:hAnsi="宋体" w:eastAsia="宋体" w:cs="宋体"/>
          <w:color w:val="auto"/>
          <w:sz w:val="21"/>
          <w:szCs w:val="21"/>
          <w:highlight w:val="none"/>
          <w:u w:val="single"/>
        </w:rPr>
        <w:t xml:space="preserve">                    </w:t>
      </w:r>
    </w:p>
    <w:p>
      <w:pPr>
        <w:pStyle w:val="16"/>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（属自然人的应在签名处加盖大拇指指印）：   </w:t>
      </w:r>
    </w:p>
    <w:p>
      <w:pPr>
        <w:pStyle w:val="16"/>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投标日期：</w:t>
      </w:r>
      <w:r>
        <w:rPr>
          <w:rFonts w:hint="eastAsia" w:ascii="宋体" w:hAnsi="宋体" w:eastAsia="宋体" w:cs="宋体"/>
          <w:color w:val="auto"/>
          <w:sz w:val="21"/>
          <w:szCs w:val="21"/>
          <w:highlight w:val="none"/>
          <w:u w:val="single"/>
        </w:rPr>
        <w:t xml:space="preserve">                               </w:t>
      </w:r>
    </w:p>
    <w:p>
      <w:pPr>
        <w:tabs>
          <w:tab w:val="left" w:pos="845"/>
        </w:tabs>
        <w:adjustRightInd w:val="0"/>
        <w:snapToGrid w:val="0"/>
        <w:spacing w:line="2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w:t>
      </w:r>
      <w:r>
        <w:rPr>
          <w:rFonts w:hint="eastAsia" w:ascii="宋体" w:hAnsi="宋体" w:eastAsia="宋体" w:cs="宋体"/>
          <w:b/>
          <w:color w:val="auto"/>
          <w:sz w:val="21"/>
          <w:szCs w:val="21"/>
          <w:highlight w:val="none"/>
          <w:lang w:eastAsia="zh-CN"/>
        </w:rPr>
        <w:t>的投标报价</w:t>
      </w:r>
      <w:r>
        <w:rPr>
          <w:rFonts w:hint="eastAsia" w:ascii="宋体" w:hAnsi="宋体" w:eastAsia="宋体" w:cs="宋体"/>
          <w:b/>
          <w:color w:val="auto"/>
          <w:sz w:val="21"/>
          <w:szCs w:val="21"/>
          <w:highlight w:val="none"/>
        </w:rPr>
        <w:t>只允许一个统一的报价，</w:t>
      </w:r>
      <w:r>
        <w:rPr>
          <w:rFonts w:hint="eastAsia" w:ascii="宋体" w:hAnsi="宋体" w:eastAsia="宋体" w:cs="宋体"/>
          <w:b/>
          <w:color w:val="auto"/>
          <w:sz w:val="21"/>
          <w:szCs w:val="21"/>
          <w:highlight w:val="none"/>
          <w:lang w:eastAsia="zh-CN"/>
        </w:rPr>
        <w:t>不</w:t>
      </w:r>
      <w:r>
        <w:rPr>
          <w:rFonts w:hint="eastAsia" w:ascii="宋体" w:hAnsi="宋体" w:eastAsia="宋体" w:cs="宋体"/>
          <w:b/>
          <w:color w:val="auto"/>
          <w:sz w:val="21"/>
          <w:szCs w:val="21"/>
          <w:highlight w:val="none"/>
        </w:rPr>
        <w:t>接受有选择的报价，否则其投标将不被接受。</w:t>
      </w:r>
    </w:p>
    <w:p>
      <w:pPr>
        <w:pStyle w:val="11"/>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color w:val="auto"/>
          <w:sz w:val="21"/>
          <w:szCs w:val="21"/>
          <w:highlight w:val="none"/>
        </w:rPr>
        <w:t>当本表由多页构成时，需逐页加盖投标人公章（属自然人的须逐页签字）。</w:t>
      </w: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numPr>
          <w:ilvl w:val="0"/>
          <w:numId w:val="0"/>
        </w:numPr>
        <w:snapToGrid w:val="0"/>
        <w:spacing w:line="400" w:lineRule="exact"/>
        <w:outlineLvl w:val="4"/>
        <w:rPr>
          <w:rFonts w:hint="eastAsia" w:ascii="宋体" w:hAnsi="宋体" w:eastAsia="宋体" w:cs="宋体"/>
          <w:b/>
          <w:bCs/>
          <w:color w:val="auto"/>
          <w:sz w:val="32"/>
          <w:szCs w:val="20"/>
          <w:highlight w:val="none"/>
          <w:lang w:eastAsia="zh-CN"/>
        </w:rPr>
      </w:pPr>
      <w:r>
        <w:rPr>
          <w:rFonts w:hint="eastAsia" w:ascii="宋体" w:hAnsi="宋体" w:cs="宋体"/>
          <w:b/>
          <w:bCs/>
          <w:color w:val="auto"/>
          <w:sz w:val="32"/>
          <w:szCs w:val="20"/>
          <w:highlight w:val="none"/>
          <w:lang w:val="en-US" w:eastAsia="zh-CN"/>
        </w:rPr>
        <w:t>2.</w:t>
      </w:r>
      <w:r>
        <w:rPr>
          <w:rFonts w:hint="eastAsia" w:ascii="宋体" w:hAnsi="宋体" w:eastAsia="宋体" w:cs="宋体"/>
          <w:b/>
          <w:bCs/>
          <w:color w:val="auto"/>
          <w:sz w:val="32"/>
          <w:szCs w:val="20"/>
          <w:highlight w:val="none"/>
        </w:rPr>
        <w:t>技术规格偏离表（必须提供）</w:t>
      </w:r>
      <w:r>
        <w:rPr>
          <w:rFonts w:hint="eastAsia" w:ascii="宋体" w:hAnsi="宋体" w:eastAsia="宋体" w:cs="宋体"/>
          <w:b/>
          <w:bCs/>
          <w:color w:val="auto"/>
          <w:sz w:val="32"/>
          <w:szCs w:val="20"/>
          <w:highlight w:val="none"/>
          <w:lang w:eastAsia="zh-CN"/>
        </w:rPr>
        <w:t>；</w:t>
      </w:r>
    </w:p>
    <w:p>
      <w:pPr>
        <w:pStyle w:val="16"/>
        <w:spacing w:after="160" w:line="320" w:lineRule="exact"/>
        <w:ind w:firstLine="354"/>
        <w:rPr>
          <w:rFonts w:hint="eastAsia" w:ascii="宋体" w:hAnsi="宋体" w:eastAsia="宋体" w:cs="宋体"/>
          <w:b/>
          <w:color w:val="000000"/>
          <w:sz w:val="24"/>
          <w:szCs w:val="24"/>
        </w:rPr>
      </w:pPr>
      <w:r>
        <w:rPr>
          <w:rFonts w:hint="eastAsia" w:ascii="宋体" w:hAnsi="宋体" w:eastAsia="宋体" w:cs="宋体"/>
          <w:b/>
          <w:color w:val="000000"/>
          <w:sz w:val="24"/>
          <w:szCs w:val="24"/>
        </w:rPr>
        <w:t>附件：</w:t>
      </w:r>
    </w:p>
    <w:p>
      <w:pPr>
        <w:pStyle w:val="16"/>
        <w:ind w:firstLine="472" w:firstLineChars="147"/>
        <w:jc w:val="center"/>
        <w:rPr>
          <w:rFonts w:hint="eastAsia" w:ascii="宋体" w:hAnsi="宋体" w:eastAsia="宋体" w:cs="宋体"/>
          <w:b/>
          <w:bCs/>
          <w:color w:val="auto"/>
          <w:sz w:val="32"/>
          <w:highlight w:val="none"/>
        </w:rPr>
      </w:pPr>
      <w:r>
        <w:rPr>
          <w:rFonts w:hint="eastAsia" w:ascii="宋体" w:hAnsi="宋体" w:eastAsia="宋体" w:cs="宋体"/>
          <w:b/>
          <w:color w:val="auto"/>
          <w:sz w:val="32"/>
          <w:szCs w:val="32"/>
          <w:highlight w:val="none"/>
        </w:rPr>
        <w:t>技术规格偏离表</w:t>
      </w:r>
      <w:r>
        <w:rPr>
          <w:rFonts w:hint="eastAsia" w:ascii="宋体" w:hAnsi="宋体" w:eastAsia="宋体" w:cs="宋体"/>
          <w:b/>
          <w:bCs/>
          <w:color w:val="auto"/>
          <w:sz w:val="32"/>
          <w:highlight w:val="none"/>
        </w:rPr>
        <w:t>（格式）</w:t>
      </w:r>
    </w:p>
    <w:tbl>
      <w:tblPr>
        <w:tblStyle w:val="24"/>
        <w:tblpPr w:leftFromText="180" w:rightFromText="180" w:vertAnchor="text" w:horzAnchor="page" w:tblpXSpec="center" w:tblpY="290"/>
        <w:tblOverlap w:val="never"/>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433"/>
        <w:gridCol w:w="2160"/>
        <w:gridCol w:w="2187"/>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4" w:type="dxa"/>
            <w:vAlign w:val="center"/>
          </w:tcPr>
          <w:p>
            <w:pPr>
              <w:pStyle w:val="16"/>
              <w:spacing w:line="40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433" w:type="dxa"/>
            <w:vAlign w:val="center"/>
          </w:tcPr>
          <w:p>
            <w:pPr>
              <w:pStyle w:val="16"/>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货物名称</w:t>
            </w:r>
          </w:p>
        </w:tc>
        <w:tc>
          <w:tcPr>
            <w:tcW w:w="2160" w:type="dxa"/>
            <w:vAlign w:val="center"/>
          </w:tcPr>
          <w:p>
            <w:pPr>
              <w:pStyle w:val="16"/>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项目要求及技术需求</w:t>
            </w:r>
          </w:p>
        </w:tc>
        <w:tc>
          <w:tcPr>
            <w:tcW w:w="2187" w:type="dxa"/>
            <w:vAlign w:val="center"/>
          </w:tcPr>
          <w:p>
            <w:pPr>
              <w:pStyle w:val="16"/>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投标文件的响应情况</w:t>
            </w:r>
          </w:p>
        </w:tc>
        <w:tc>
          <w:tcPr>
            <w:tcW w:w="2343" w:type="dxa"/>
            <w:vAlign w:val="center"/>
          </w:tcPr>
          <w:p>
            <w:pPr>
              <w:pStyle w:val="16"/>
              <w:spacing w:line="400" w:lineRule="exact"/>
              <w:jc w:val="center"/>
              <w:rPr>
                <w:rFonts w:hint="eastAsia" w:ascii="宋体" w:hAnsi="宋体" w:eastAsia="宋体" w:cs="宋体"/>
                <w:color w:val="auto"/>
                <w:highlight w:val="none"/>
              </w:rPr>
            </w:pPr>
            <w:bookmarkStart w:id="29" w:name="_Toc254970560"/>
            <w:bookmarkStart w:id="30" w:name="_Toc254970701"/>
            <w:r>
              <w:rPr>
                <w:rFonts w:hint="eastAsia" w:ascii="宋体" w:hAnsi="宋体" w:eastAsia="宋体" w:cs="宋体"/>
                <w:color w:val="auto"/>
                <w:highlight w:val="none"/>
              </w:rPr>
              <w:t>偏离情况</w:t>
            </w:r>
            <w:bookmarkEnd w:id="29"/>
            <w:bookmarkEnd w:id="30"/>
            <w:r>
              <w:rPr>
                <w:rFonts w:hint="eastAsia" w:ascii="宋体" w:hAnsi="宋体" w:eastAsia="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7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33" w:type="dxa"/>
            <w:vAlign w:val="center"/>
          </w:tcPr>
          <w:p>
            <w:pPr>
              <w:jc w:val="center"/>
              <w:rPr>
                <w:rFonts w:hint="eastAsia" w:ascii="宋体" w:hAnsi="宋体" w:eastAsia="宋体" w:cs="宋体"/>
                <w:color w:val="auto"/>
                <w:szCs w:val="21"/>
                <w:highlight w:val="none"/>
              </w:rPr>
            </w:pPr>
          </w:p>
        </w:tc>
        <w:tc>
          <w:tcPr>
            <w:tcW w:w="2160" w:type="dxa"/>
            <w:vAlign w:val="center"/>
          </w:tcPr>
          <w:p>
            <w:pPr>
              <w:pStyle w:val="16"/>
              <w:spacing w:line="600" w:lineRule="exact"/>
              <w:jc w:val="center"/>
              <w:rPr>
                <w:rFonts w:hint="eastAsia" w:ascii="宋体" w:hAnsi="宋体" w:eastAsia="宋体" w:cs="宋体"/>
                <w:color w:val="auto"/>
                <w:highlight w:val="none"/>
              </w:rPr>
            </w:pPr>
          </w:p>
        </w:tc>
        <w:tc>
          <w:tcPr>
            <w:tcW w:w="2187" w:type="dxa"/>
            <w:vAlign w:val="top"/>
          </w:tcPr>
          <w:p>
            <w:pPr>
              <w:pStyle w:val="16"/>
              <w:spacing w:line="600" w:lineRule="exact"/>
              <w:jc w:val="center"/>
              <w:rPr>
                <w:rFonts w:hint="eastAsia" w:ascii="宋体" w:hAnsi="宋体" w:eastAsia="宋体" w:cs="宋体"/>
                <w:color w:val="auto"/>
                <w:highlight w:val="none"/>
              </w:rPr>
            </w:pPr>
          </w:p>
        </w:tc>
        <w:tc>
          <w:tcPr>
            <w:tcW w:w="2343" w:type="dxa"/>
            <w:vAlign w:val="center"/>
          </w:tcPr>
          <w:p>
            <w:pPr>
              <w:pStyle w:val="16"/>
              <w:spacing w:line="6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7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433" w:type="dxa"/>
            <w:vAlign w:val="center"/>
          </w:tcPr>
          <w:p>
            <w:pPr>
              <w:jc w:val="center"/>
              <w:rPr>
                <w:rFonts w:hint="eastAsia" w:ascii="宋体" w:hAnsi="宋体" w:eastAsia="宋体" w:cs="宋体"/>
                <w:color w:val="auto"/>
                <w:szCs w:val="21"/>
                <w:highlight w:val="none"/>
              </w:rPr>
            </w:pPr>
          </w:p>
        </w:tc>
        <w:tc>
          <w:tcPr>
            <w:tcW w:w="2160" w:type="dxa"/>
            <w:vAlign w:val="top"/>
          </w:tcPr>
          <w:p>
            <w:pPr>
              <w:pStyle w:val="16"/>
              <w:spacing w:line="600" w:lineRule="exact"/>
              <w:rPr>
                <w:rFonts w:hint="eastAsia" w:ascii="宋体" w:hAnsi="宋体" w:eastAsia="宋体" w:cs="宋体"/>
                <w:color w:val="auto"/>
                <w:highlight w:val="none"/>
              </w:rPr>
            </w:pPr>
          </w:p>
        </w:tc>
        <w:tc>
          <w:tcPr>
            <w:tcW w:w="2187" w:type="dxa"/>
            <w:vAlign w:val="top"/>
          </w:tcPr>
          <w:p>
            <w:pPr>
              <w:pStyle w:val="16"/>
              <w:spacing w:line="600" w:lineRule="exact"/>
              <w:rPr>
                <w:rFonts w:hint="eastAsia" w:ascii="宋体" w:hAnsi="宋体" w:eastAsia="宋体" w:cs="宋体"/>
                <w:color w:val="auto"/>
                <w:highlight w:val="none"/>
              </w:rPr>
            </w:pPr>
          </w:p>
        </w:tc>
        <w:tc>
          <w:tcPr>
            <w:tcW w:w="2343" w:type="dxa"/>
            <w:vAlign w:val="top"/>
          </w:tcPr>
          <w:p>
            <w:pPr>
              <w:pStyle w:val="16"/>
              <w:spacing w:line="60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7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33" w:type="dxa"/>
            <w:vAlign w:val="center"/>
          </w:tcPr>
          <w:p>
            <w:pPr>
              <w:jc w:val="center"/>
              <w:rPr>
                <w:rFonts w:hint="eastAsia" w:ascii="宋体" w:hAnsi="宋体" w:eastAsia="宋体" w:cs="宋体"/>
                <w:color w:val="auto"/>
                <w:szCs w:val="21"/>
                <w:highlight w:val="none"/>
              </w:rPr>
            </w:pPr>
          </w:p>
        </w:tc>
        <w:tc>
          <w:tcPr>
            <w:tcW w:w="2160" w:type="dxa"/>
            <w:vAlign w:val="top"/>
          </w:tcPr>
          <w:p>
            <w:pPr>
              <w:pStyle w:val="16"/>
              <w:spacing w:line="600" w:lineRule="exact"/>
              <w:rPr>
                <w:rFonts w:hint="eastAsia" w:ascii="宋体" w:hAnsi="宋体" w:eastAsia="宋体" w:cs="宋体"/>
                <w:color w:val="auto"/>
                <w:highlight w:val="none"/>
              </w:rPr>
            </w:pPr>
          </w:p>
        </w:tc>
        <w:tc>
          <w:tcPr>
            <w:tcW w:w="2187" w:type="dxa"/>
            <w:vAlign w:val="top"/>
          </w:tcPr>
          <w:p>
            <w:pPr>
              <w:pStyle w:val="16"/>
              <w:spacing w:line="600" w:lineRule="exact"/>
              <w:rPr>
                <w:rFonts w:hint="eastAsia" w:ascii="宋体" w:hAnsi="宋体" w:eastAsia="宋体" w:cs="宋体"/>
                <w:color w:val="auto"/>
                <w:highlight w:val="none"/>
              </w:rPr>
            </w:pPr>
          </w:p>
        </w:tc>
        <w:tc>
          <w:tcPr>
            <w:tcW w:w="2343" w:type="dxa"/>
            <w:vAlign w:val="top"/>
          </w:tcPr>
          <w:p>
            <w:pPr>
              <w:pStyle w:val="16"/>
              <w:spacing w:line="60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7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N</w:t>
            </w:r>
          </w:p>
        </w:tc>
        <w:tc>
          <w:tcPr>
            <w:tcW w:w="1433" w:type="dxa"/>
            <w:vAlign w:val="center"/>
          </w:tcPr>
          <w:p>
            <w:pPr>
              <w:jc w:val="center"/>
              <w:rPr>
                <w:rFonts w:hint="eastAsia" w:ascii="宋体" w:hAnsi="宋体" w:eastAsia="宋体" w:cs="宋体"/>
                <w:color w:val="auto"/>
                <w:szCs w:val="21"/>
                <w:highlight w:val="none"/>
              </w:rPr>
            </w:pPr>
          </w:p>
        </w:tc>
        <w:tc>
          <w:tcPr>
            <w:tcW w:w="2160" w:type="dxa"/>
            <w:vAlign w:val="top"/>
          </w:tcPr>
          <w:p>
            <w:pPr>
              <w:pStyle w:val="16"/>
              <w:spacing w:line="600" w:lineRule="exact"/>
              <w:rPr>
                <w:rFonts w:hint="eastAsia" w:ascii="宋体" w:hAnsi="宋体" w:eastAsia="宋体" w:cs="宋体"/>
                <w:color w:val="auto"/>
                <w:highlight w:val="none"/>
              </w:rPr>
            </w:pPr>
          </w:p>
        </w:tc>
        <w:tc>
          <w:tcPr>
            <w:tcW w:w="2187" w:type="dxa"/>
            <w:vAlign w:val="top"/>
          </w:tcPr>
          <w:p>
            <w:pPr>
              <w:pStyle w:val="16"/>
              <w:spacing w:line="600" w:lineRule="exact"/>
              <w:rPr>
                <w:rFonts w:hint="eastAsia" w:ascii="宋体" w:hAnsi="宋体" w:eastAsia="宋体" w:cs="宋体"/>
                <w:color w:val="auto"/>
                <w:highlight w:val="none"/>
              </w:rPr>
            </w:pPr>
          </w:p>
        </w:tc>
        <w:tc>
          <w:tcPr>
            <w:tcW w:w="2343" w:type="dxa"/>
            <w:vAlign w:val="top"/>
          </w:tcPr>
          <w:p>
            <w:pPr>
              <w:pStyle w:val="16"/>
              <w:spacing w:line="60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7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1433" w:type="dxa"/>
            <w:vAlign w:val="center"/>
          </w:tcPr>
          <w:p>
            <w:pPr>
              <w:jc w:val="center"/>
              <w:rPr>
                <w:rFonts w:hint="eastAsia" w:ascii="宋体" w:hAnsi="宋体" w:eastAsia="宋体" w:cs="宋体"/>
                <w:color w:val="auto"/>
                <w:szCs w:val="21"/>
                <w:highlight w:val="none"/>
              </w:rPr>
            </w:pPr>
          </w:p>
        </w:tc>
        <w:tc>
          <w:tcPr>
            <w:tcW w:w="2160" w:type="dxa"/>
            <w:vAlign w:val="top"/>
          </w:tcPr>
          <w:p>
            <w:pPr>
              <w:pStyle w:val="16"/>
              <w:spacing w:line="600" w:lineRule="exact"/>
              <w:rPr>
                <w:rFonts w:hint="eastAsia" w:ascii="宋体" w:hAnsi="宋体" w:eastAsia="宋体" w:cs="宋体"/>
                <w:color w:val="auto"/>
                <w:highlight w:val="none"/>
              </w:rPr>
            </w:pPr>
          </w:p>
        </w:tc>
        <w:tc>
          <w:tcPr>
            <w:tcW w:w="2187" w:type="dxa"/>
            <w:vAlign w:val="top"/>
          </w:tcPr>
          <w:p>
            <w:pPr>
              <w:pStyle w:val="16"/>
              <w:spacing w:line="600" w:lineRule="exact"/>
              <w:rPr>
                <w:rFonts w:hint="eastAsia" w:ascii="宋体" w:hAnsi="宋体" w:eastAsia="宋体" w:cs="宋体"/>
                <w:color w:val="auto"/>
                <w:highlight w:val="none"/>
              </w:rPr>
            </w:pPr>
          </w:p>
        </w:tc>
        <w:tc>
          <w:tcPr>
            <w:tcW w:w="2343" w:type="dxa"/>
            <w:vAlign w:val="top"/>
          </w:tcPr>
          <w:p>
            <w:pPr>
              <w:pStyle w:val="16"/>
              <w:spacing w:line="600" w:lineRule="exact"/>
              <w:rPr>
                <w:rFonts w:hint="eastAsia" w:ascii="宋体" w:hAnsi="宋体" w:eastAsia="宋体" w:cs="宋体"/>
                <w:color w:val="auto"/>
                <w:highlight w:val="none"/>
              </w:rPr>
            </w:pPr>
          </w:p>
        </w:tc>
      </w:tr>
    </w:tbl>
    <w:p>
      <w:pPr>
        <w:snapToGrid w:val="0"/>
        <w:spacing w:line="400" w:lineRule="exact"/>
        <w:ind w:firstLine="2160" w:firstLineChars="900"/>
        <w:outlineLvl w:val="4"/>
        <w:rPr>
          <w:rFonts w:hint="eastAsia" w:ascii="宋体" w:hAnsi="宋体" w:eastAsia="宋体" w:cs="宋体"/>
          <w:color w:val="auto"/>
          <w:szCs w:val="21"/>
          <w:highlight w:val="none"/>
          <w:lang w:eastAsia="zh-CN"/>
        </w:rPr>
      </w:pPr>
    </w:p>
    <w:p>
      <w:pPr>
        <w:pStyle w:val="11"/>
        <w:rPr>
          <w:rFonts w:hint="eastAsia"/>
          <w:lang w:eastAsia="zh-CN"/>
        </w:rPr>
      </w:pPr>
    </w:p>
    <w:p>
      <w:pPr>
        <w:spacing w:line="340" w:lineRule="exact"/>
        <w:ind w:firstLine="1890" w:firstLineChars="9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投标人（公章，自然人除外）：</w:t>
      </w:r>
      <w:r>
        <w:rPr>
          <w:rFonts w:hint="eastAsia" w:ascii="宋体" w:hAnsi="宋体" w:eastAsia="宋体" w:cs="宋体"/>
          <w:color w:val="auto"/>
          <w:sz w:val="21"/>
          <w:szCs w:val="21"/>
          <w:highlight w:val="none"/>
          <w:u w:val="single"/>
        </w:rPr>
        <w:t xml:space="preserve">                                         </w:t>
      </w:r>
    </w:p>
    <w:p>
      <w:pPr>
        <w:spacing w:line="340" w:lineRule="exact"/>
        <w:ind w:firstLine="1890" w:firstLineChars="900"/>
        <w:rPr>
          <w:rFonts w:hint="eastAsia" w:ascii="宋体" w:hAnsi="宋体" w:eastAsia="宋体" w:cs="宋体"/>
          <w:color w:val="auto"/>
          <w:sz w:val="21"/>
          <w:szCs w:val="21"/>
          <w:highlight w:val="none"/>
          <w:u w:val="single"/>
        </w:rPr>
      </w:pPr>
    </w:p>
    <w:p>
      <w:pPr>
        <w:spacing w:line="340" w:lineRule="exact"/>
        <w:ind w:firstLine="1890" w:firstLineChars="9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法定代表人、负责人、自然人或相应的委托代理人签字（或盖章）</w:t>
      </w:r>
    </w:p>
    <w:p>
      <w:pPr>
        <w:pStyle w:val="16"/>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u w:val="none"/>
        </w:rPr>
        <w:t>（属自然人的应在签名处加盖食指指印）</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 xml:space="preserve">                             </w:t>
      </w:r>
    </w:p>
    <w:p>
      <w:pPr>
        <w:pStyle w:val="16"/>
        <w:ind w:firstLine="2160" w:firstLineChars="900"/>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 xml:space="preserve"> </w:t>
      </w:r>
    </w:p>
    <w:p>
      <w:pPr>
        <w:pStyle w:val="16"/>
        <w:ind w:firstLine="1890" w:firstLineChars="9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日          期：</w:t>
      </w:r>
    </w:p>
    <w:p>
      <w:pPr>
        <w:pStyle w:val="16"/>
        <w:spacing w:line="360" w:lineRule="exact"/>
        <w:rPr>
          <w:rFonts w:hint="eastAsia" w:ascii="宋体" w:hAnsi="宋体" w:eastAsia="宋体" w:cs="宋体"/>
          <w:b w:val="0"/>
          <w:bCs/>
          <w:color w:val="000000"/>
          <w:sz w:val="18"/>
          <w:szCs w:val="18"/>
        </w:rPr>
      </w:pPr>
    </w:p>
    <w:p>
      <w:pPr>
        <w:pStyle w:val="16"/>
        <w:spacing w:line="360" w:lineRule="exact"/>
        <w:rPr>
          <w:rFonts w:hint="eastAsia" w:ascii="宋体" w:hAnsi="宋体" w:eastAsia="宋体" w:cs="宋体"/>
          <w:b w:val="0"/>
          <w:bCs/>
          <w:color w:val="000000"/>
          <w:sz w:val="18"/>
          <w:szCs w:val="18"/>
        </w:rPr>
      </w:pPr>
    </w:p>
    <w:p>
      <w:pPr>
        <w:pStyle w:val="16"/>
        <w:spacing w:line="360" w:lineRule="exact"/>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rPr>
        <w:t>注：1.</w:t>
      </w:r>
      <w:r>
        <w:rPr>
          <w:rFonts w:hint="eastAsia" w:ascii="宋体" w:hAnsi="宋体" w:eastAsia="宋体" w:cs="宋体"/>
          <w:b w:val="0"/>
          <w:bCs/>
          <w:color w:val="000000"/>
          <w:sz w:val="18"/>
          <w:szCs w:val="18"/>
          <w:lang w:eastAsia="zh-CN"/>
        </w:rPr>
        <w:t>供应商</w:t>
      </w:r>
      <w:r>
        <w:rPr>
          <w:rFonts w:hint="eastAsia" w:ascii="宋体" w:hAnsi="宋体" w:eastAsia="宋体" w:cs="宋体"/>
          <w:b w:val="0"/>
          <w:bCs/>
          <w:color w:val="000000"/>
          <w:sz w:val="18"/>
          <w:szCs w:val="18"/>
        </w:rPr>
        <w:t>应对照“货物采购需求”注明</w:t>
      </w:r>
      <w:r>
        <w:rPr>
          <w:rFonts w:hint="eastAsia" w:ascii="宋体" w:hAnsi="宋体" w:eastAsia="宋体" w:cs="宋体"/>
          <w:b w:val="0"/>
          <w:bCs/>
          <w:color w:val="000000"/>
          <w:sz w:val="18"/>
          <w:szCs w:val="18"/>
          <w:lang w:eastAsia="zh-CN"/>
        </w:rPr>
        <w:t>所竞</w:t>
      </w:r>
      <w:r>
        <w:rPr>
          <w:rFonts w:hint="eastAsia" w:ascii="宋体" w:hAnsi="宋体" w:eastAsia="宋体" w:cs="宋体"/>
          <w:b w:val="0"/>
          <w:bCs/>
          <w:color w:val="000000"/>
          <w:sz w:val="18"/>
          <w:szCs w:val="18"/>
        </w:rPr>
        <w:t>产品技术参数的响应情况及偏离情况（无偏离、正偏离、负偏离），当出现“正偏离”或“负偏离”情况时应对应填写偏离情况说明及提供相应有效的证明材料。</w:t>
      </w:r>
    </w:p>
    <w:p>
      <w:pPr>
        <w:pStyle w:val="16"/>
        <w:spacing w:after="160" w:line="320" w:lineRule="exact"/>
        <w:ind w:firstLine="354"/>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rPr>
        <w:t>2.技术规格偏离表须由法定代表人、负责人、自然人或相应的委托代理人签字或盖章（属自然人的应在签名处加盖食指指印）并加盖</w:t>
      </w:r>
      <w:r>
        <w:rPr>
          <w:rFonts w:hint="eastAsia" w:ascii="宋体" w:hAnsi="宋体" w:eastAsia="宋体" w:cs="宋体"/>
          <w:b w:val="0"/>
          <w:bCs/>
          <w:color w:val="000000"/>
          <w:sz w:val="18"/>
          <w:szCs w:val="18"/>
          <w:lang w:eastAsia="zh-CN"/>
        </w:rPr>
        <w:t>供应商</w:t>
      </w:r>
      <w:r>
        <w:rPr>
          <w:rFonts w:hint="eastAsia" w:ascii="宋体" w:hAnsi="宋体" w:eastAsia="宋体" w:cs="宋体"/>
          <w:b w:val="0"/>
          <w:bCs/>
          <w:color w:val="000000"/>
          <w:sz w:val="18"/>
          <w:szCs w:val="18"/>
        </w:rPr>
        <w:t>公章（自然人除外）。当本表由多页构成时，需逐页加盖</w:t>
      </w:r>
      <w:r>
        <w:rPr>
          <w:rFonts w:hint="eastAsia" w:ascii="宋体" w:hAnsi="宋体" w:eastAsia="宋体" w:cs="宋体"/>
          <w:b w:val="0"/>
          <w:bCs/>
          <w:color w:val="000000"/>
          <w:sz w:val="18"/>
          <w:szCs w:val="18"/>
          <w:lang w:eastAsia="zh-CN"/>
        </w:rPr>
        <w:t>供应商</w:t>
      </w:r>
      <w:r>
        <w:rPr>
          <w:rFonts w:hint="eastAsia" w:ascii="宋体" w:hAnsi="宋体" w:eastAsia="宋体" w:cs="宋体"/>
          <w:b w:val="0"/>
          <w:bCs/>
          <w:color w:val="000000"/>
          <w:sz w:val="18"/>
          <w:szCs w:val="18"/>
        </w:rPr>
        <w:t>公章（属自然人的须逐页签字）。</w:t>
      </w:r>
    </w:p>
    <w:p>
      <w:pPr>
        <w:pStyle w:val="16"/>
        <w:spacing w:after="160" w:line="320" w:lineRule="exact"/>
        <w:ind w:firstLine="354"/>
        <w:rPr>
          <w:rFonts w:hint="eastAsia" w:ascii="宋体" w:hAnsi="宋体" w:eastAsia="宋体" w:cs="宋体"/>
          <w:b/>
          <w:color w:val="000000"/>
          <w:sz w:val="24"/>
          <w:szCs w:val="24"/>
        </w:rPr>
      </w:pPr>
    </w:p>
    <w:p>
      <w:pPr>
        <w:pStyle w:val="3"/>
        <w:rPr>
          <w:rFonts w:hint="eastAsia" w:ascii="宋体" w:hAnsi="宋体" w:eastAsia="宋体" w:cs="宋体"/>
          <w:b/>
          <w:color w:val="000000"/>
          <w:sz w:val="24"/>
          <w:szCs w:val="24"/>
        </w:rPr>
      </w:pPr>
    </w:p>
    <w:p>
      <w:pPr>
        <w:rPr>
          <w:rFonts w:hint="eastAsia" w:ascii="宋体" w:hAnsi="宋体" w:eastAsia="宋体" w:cs="宋体"/>
          <w:b/>
          <w:color w:val="000000"/>
          <w:sz w:val="24"/>
          <w:szCs w:val="24"/>
        </w:rPr>
      </w:pPr>
    </w:p>
    <w:p>
      <w:pPr>
        <w:pStyle w:val="11"/>
        <w:rPr>
          <w:rFonts w:hint="eastAsia" w:ascii="宋体" w:hAnsi="宋体" w:eastAsia="宋体" w:cs="宋体"/>
          <w:b/>
          <w:color w:val="000000"/>
          <w:sz w:val="24"/>
          <w:szCs w:val="24"/>
        </w:rPr>
      </w:pPr>
    </w:p>
    <w:p>
      <w:pPr>
        <w:pStyle w:val="11"/>
        <w:rPr>
          <w:rFonts w:hint="eastAsia" w:ascii="宋体" w:hAnsi="宋体" w:eastAsia="宋体" w:cs="宋体"/>
          <w:b/>
          <w:color w:val="000000"/>
          <w:sz w:val="24"/>
          <w:szCs w:val="24"/>
        </w:rPr>
      </w:pPr>
    </w:p>
    <w:p>
      <w:pPr>
        <w:pStyle w:val="11"/>
        <w:rPr>
          <w:rFonts w:hint="eastAsia" w:ascii="宋体" w:hAnsi="宋体" w:eastAsia="宋体" w:cs="宋体"/>
          <w:b/>
          <w:color w:val="000000"/>
          <w:sz w:val="24"/>
          <w:szCs w:val="24"/>
        </w:rPr>
      </w:pPr>
    </w:p>
    <w:p>
      <w:pPr>
        <w:pStyle w:val="16"/>
        <w:spacing w:after="160" w:line="320" w:lineRule="exact"/>
        <w:ind w:firstLine="354"/>
        <w:rPr>
          <w:rFonts w:hint="eastAsia" w:ascii="宋体" w:hAnsi="宋体" w:eastAsia="宋体" w:cs="宋体"/>
          <w:b/>
          <w:color w:val="000000"/>
          <w:sz w:val="24"/>
          <w:szCs w:val="24"/>
        </w:rPr>
      </w:pPr>
    </w:p>
    <w:p>
      <w:pPr>
        <w:pStyle w:val="16"/>
        <w:spacing w:after="160" w:line="320" w:lineRule="exact"/>
        <w:ind w:firstLine="354"/>
        <w:rPr>
          <w:rFonts w:hint="eastAsia" w:ascii="宋体" w:hAnsi="宋体" w:eastAsia="宋体" w:cs="宋体"/>
          <w:b/>
          <w:color w:val="000000"/>
          <w:sz w:val="24"/>
          <w:szCs w:val="24"/>
        </w:rPr>
      </w:pPr>
      <w:r>
        <w:rPr>
          <w:rFonts w:hint="eastAsia" w:ascii="宋体" w:hAnsi="宋体" w:eastAsia="宋体" w:cs="宋体"/>
          <w:b/>
          <w:color w:val="000000"/>
          <w:sz w:val="24"/>
          <w:szCs w:val="24"/>
        </w:rPr>
        <w:t>附件：</w:t>
      </w:r>
    </w:p>
    <w:p>
      <w:pPr>
        <w:pStyle w:val="16"/>
        <w:spacing w:after="160" w:line="320" w:lineRule="exact"/>
        <w:ind w:firstLine="354"/>
        <w:jc w:val="center"/>
        <w:rPr>
          <w:rFonts w:hint="eastAsia" w:ascii="宋体" w:hAnsi="宋体" w:eastAsia="宋体" w:cs="宋体"/>
          <w:b/>
          <w:color w:val="000000"/>
          <w:sz w:val="24"/>
          <w:szCs w:val="24"/>
        </w:rPr>
      </w:pPr>
      <w:r>
        <w:rPr>
          <w:rFonts w:hint="eastAsia" w:ascii="宋体" w:hAnsi="宋体" w:eastAsia="宋体" w:cs="宋体"/>
          <w:b/>
          <w:color w:val="000000"/>
          <w:sz w:val="32"/>
          <w:szCs w:val="32"/>
        </w:rPr>
        <w:t>商务条款偏离表（格式）</w:t>
      </w:r>
    </w:p>
    <w:tbl>
      <w:tblPr>
        <w:tblStyle w:val="24"/>
        <w:tblW w:w="9023" w:type="dxa"/>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1"/>
        <w:gridCol w:w="2157"/>
        <w:gridCol w:w="2181"/>
        <w:gridCol w:w="1327"/>
        <w:gridCol w:w="1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2331" w:type="dxa"/>
            <w:noWrap w:val="0"/>
            <w:vAlign w:val="center"/>
          </w:tcPr>
          <w:p>
            <w:pPr>
              <w:pStyle w:val="16"/>
              <w:spacing w:after="160"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序号/条款</w:t>
            </w:r>
          </w:p>
        </w:tc>
        <w:tc>
          <w:tcPr>
            <w:tcW w:w="2157" w:type="dxa"/>
            <w:noWrap w:val="0"/>
            <w:vAlign w:val="center"/>
          </w:tcPr>
          <w:p>
            <w:pPr>
              <w:pStyle w:val="16"/>
              <w:spacing w:after="160"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采购要求</w:t>
            </w:r>
          </w:p>
        </w:tc>
        <w:tc>
          <w:tcPr>
            <w:tcW w:w="2181" w:type="dxa"/>
            <w:noWrap w:val="0"/>
            <w:vAlign w:val="center"/>
          </w:tcPr>
          <w:p>
            <w:pPr>
              <w:pStyle w:val="16"/>
              <w:spacing w:after="160"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响应情况</w:t>
            </w:r>
          </w:p>
        </w:tc>
        <w:tc>
          <w:tcPr>
            <w:tcW w:w="1327" w:type="dxa"/>
            <w:noWrap w:val="0"/>
            <w:vAlign w:val="center"/>
          </w:tcPr>
          <w:p>
            <w:pPr>
              <w:pStyle w:val="16"/>
              <w:spacing w:after="160"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偏离情况说明</w:t>
            </w:r>
          </w:p>
        </w:tc>
        <w:tc>
          <w:tcPr>
            <w:tcW w:w="1027" w:type="dxa"/>
            <w:noWrap w:val="0"/>
            <w:vAlign w:val="center"/>
          </w:tcPr>
          <w:p>
            <w:pPr>
              <w:pStyle w:val="16"/>
              <w:spacing w:after="160"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2331" w:type="dxa"/>
            <w:noWrap w:val="0"/>
            <w:vAlign w:val="center"/>
          </w:tcPr>
          <w:p>
            <w:pPr>
              <w:spacing w:after="160" w:line="320" w:lineRule="exact"/>
              <w:jc w:val="center"/>
              <w:rPr>
                <w:rFonts w:hint="eastAsia" w:ascii="宋体" w:hAnsi="宋体" w:eastAsia="宋体" w:cs="宋体"/>
                <w:color w:val="000000"/>
              </w:rPr>
            </w:pPr>
            <w:r>
              <w:rPr>
                <w:rFonts w:hint="eastAsia" w:ascii="宋体" w:hAnsi="宋体" w:eastAsia="宋体" w:cs="宋体"/>
                <w:bCs/>
                <w:color w:val="000000"/>
                <w:szCs w:val="21"/>
              </w:rPr>
              <w:t>售后服务要求及质保期</w:t>
            </w:r>
          </w:p>
        </w:tc>
        <w:tc>
          <w:tcPr>
            <w:tcW w:w="2157" w:type="dxa"/>
            <w:noWrap w:val="0"/>
            <w:vAlign w:val="center"/>
          </w:tcPr>
          <w:p>
            <w:pPr>
              <w:spacing w:after="160" w:line="320" w:lineRule="exact"/>
              <w:jc w:val="center"/>
              <w:rPr>
                <w:rFonts w:hint="eastAsia" w:ascii="宋体" w:hAnsi="宋体" w:eastAsia="宋体" w:cs="宋体"/>
                <w:color w:val="000000"/>
              </w:rPr>
            </w:pPr>
          </w:p>
        </w:tc>
        <w:tc>
          <w:tcPr>
            <w:tcW w:w="2181" w:type="dxa"/>
            <w:noWrap w:val="0"/>
            <w:vAlign w:val="center"/>
          </w:tcPr>
          <w:p>
            <w:pPr>
              <w:spacing w:after="160" w:line="320" w:lineRule="exact"/>
              <w:jc w:val="center"/>
              <w:rPr>
                <w:rFonts w:hint="eastAsia" w:ascii="宋体" w:hAnsi="宋体" w:eastAsia="宋体" w:cs="宋体"/>
                <w:color w:val="000000"/>
              </w:rPr>
            </w:pPr>
          </w:p>
        </w:tc>
        <w:tc>
          <w:tcPr>
            <w:tcW w:w="1327" w:type="dxa"/>
            <w:noWrap w:val="0"/>
            <w:vAlign w:val="center"/>
          </w:tcPr>
          <w:p>
            <w:pPr>
              <w:spacing w:after="160" w:line="320" w:lineRule="exact"/>
              <w:jc w:val="center"/>
              <w:rPr>
                <w:rFonts w:hint="eastAsia" w:ascii="宋体" w:hAnsi="宋体" w:eastAsia="宋体" w:cs="宋体"/>
                <w:color w:val="000000"/>
              </w:rPr>
            </w:pPr>
          </w:p>
        </w:tc>
        <w:tc>
          <w:tcPr>
            <w:tcW w:w="1027" w:type="dxa"/>
            <w:noWrap w:val="0"/>
            <w:vAlign w:val="center"/>
          </w:tcPr>
          <w:p>
            <w:pPr>
              <w:spacing w:after="160" w:line="320" w:lineRule="exact"/>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2331" w:type="dxa"/>
            <w:noWrap w:val="0"/>
            <w:vAlign w:val="center"/>
          </w:tcPr>
          <w:p>
            <w:pPr>
              <w:spacing w:after="160" w:line="320" w:lineRule="exact"/>
              <w:jc w:val="center"/>
              <w:rPr>
                <w:rFonts w:hint="eastAsia" w:ascii="宋体" w:hAnsi="宋体" w:eastAsia="宋体" w:cs="宋体"/>
                <w:color w:val="000000"/>
              </w:rPr>
            </w:pPr>
            <w:r>
              <w:rPr>
                <w:rFonts w:hint="eastAsia" w:ascii="宋体" w:hAnsi="宋体" w:eastAsia="宋体" w:cs="宋体"/>
                <w:color w:val="000000"/>
              </w:rPr>
              <w:t>交货期及地点</w:t>
            </w:r>
          </w:p>
        </w:tc>
        <w:tc>
          <w:tcPr>
            <w:tcW w:w="2157" w:type="dxa"/>
            <w:noWrap w:val="0"/>
            <w:vAlign w:val="center"/>
          </w:tcPr>
          <w:p>
            <w:pPr>
              <w:spacing w:after="160" w:line="320" w:lineRule="exact"/>
              <w:jc w:val="center"/>
              <w:rPr>
                <w:rFonts w:hint="eastAsia" w:ascii="宋体" w:hAnsi="宋体" w:eastAsia="宋体" w:cs="宋体"/>
                <w:color w:val="000000"/>
              </w:rPr>
            </w:pPr>
          </w:p>
        </w:tc>
        <w:tc>
          <w:tcPr>
            <w:tcW w:w="2181" w:type="dxa"/>
            <w:noWrap w:val="0"/>
            <w:vAlign w:val="center"/>
          </w:tcPr>
          <w:p>
            <w:pPr>
              <w:spacing w:after="160" w:line="320" w:lineRule="exact"/>
              <w:jc w:val="center"/>
              <w:rPr>
                <w:rFonts w:hint="eastAsia" w:ascii="宋体" w:hAnsi="宋体" w:eastAsia="宋体" w:cs="宋体"/>
                <w:color w:val="000000"/>
              </w:rPr>
            </w:pPr>
          </w:p>
        </w:tc>
        <w:tc>
          <w:tcPr>
            <w:tcW w:w="1327" w:type="dxa"/>
            <w:noWrap w:val="0"/>
            <w:vAlign w:val="center"/>
          </w:tcPr>
          <w:p>
            <w:pPr>
              <w:spacing w:after="160" w:line="320" w:lineRule="exact"/>
              <w:jc w:val="center"/>
              <w:rPr>
                <w:rFonts w:hint="eastAsia" w:ascii="宋体" w:hAnsi="宋体" w:eastAsia="宋体" w:cs="宋体"/>
                <w:color w:val="000000"/>
              </w:rPr>
            </w:pPr>
          </w:p>
        </w:tc>
        <w:tc>
          <w:tcPr>
            <w:tcW w:w="1027" w:type="dxa"/>
            <w:noWrap w:val="0"/>
            <w:vAlign w:val="center"/>
          </w:tcPr>
          <w:p>
            <w:pPr>
              <w:spacing w:after="160" w:line="320" w:lineRule="exact"/>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2331" w:type="dxa"/>
            <w:noWrap w:val="0"/>
            <w:vAlign w:val="center"/>
          </w:tcPr>
          <w:p>
            <w:pPr>
              <w:spacing w:after="160" w:line="320" w:lineRule="exact"/>
              <w:jc w:val="center"/>
              <w:rPr>
                <w:rFonts w:hint="eastAsia" w:ascii="宋体" w:hAnsi="宋体" w:eastAsia="宋体" w:cs="宋体"/>
                <w:color w:val="000000"/>
              </w:rPr>
            </w:pPr>
            <w:r>
              <w:rPr>
                <w:rFonts w:hint="eastAsia" w:ascii="宋体" w:hAnsi="宋体" w:eastAsia="宋体" w:cs="宋体"/>
                <w:color w:val="000000"/>
              </w:rPr>
              <w:t>付款方式</w:t>
            </w:r>
          </w:p>
        </w:tc>
        <w:tc>
          <w:tcPr>
            <w:tcW w:w="2157" w:type="dxa"/>
            <w:noWrap w:val="0"/>
            <w:vAlign w:val="center"/>
          </w:tcPr>
          <w:p>
            <w:pPr>
              <w:spacing w:after="160" w:line="320" w:lineRule="exact"/>
              <w:jc w:val="center"/>
              <w:rPr>
                <w:rFonts w:hint="eastAsia" w:ascii="宋体" w:hAnsi="宋体" w:eastAsia="宋体" w:cs="宋体"/>
                <w:color w:val="000000"/>
              </w:rPr>
            </w:pPr>
          </w:p>
        </w:tc>
        <w:tc>
          <w:tcPr>
            <w:tcW w:w="2181" w:type="dxa"/>
            <w:noWrap w:val="0"/>
            <w:vAlign w:val="center"/>
          </w:tcPr>
          <w:p>
            <w:pPr>
              <w:spacing w:after="160" w:line="320" w:lineRule="exact"/>
              <w:jc w:val="center"/>
              <w:rPr>
                <w:rFonts w:hint="eastAsia" w:ascii="宋体" w:hAnsi="宋体" w:eastAsia="宋体" w:cs="宋体"/>
                <w:color w:val="000000"/>
              </w:rPr>
            </w:pPr>
          </w:p>
        </w:tc>
        <w:tc>
          <w:tcPr>
            <w:tcW w:w="1327" w:type="dxa"/>
            <w:noWrap w:val="0"/>
            <w:vAlign w:val="center"/>
          </w:tcPr>
          <w:p>
            <w:pPr>
              <w:spacing w:after="160" w:line="320" w:lineRule="exact"/>
              <w:jc w:val="center"/>
              <w:rPr>
                <w:rFonts w:hint="eastAsia" w:ascii="宋体" w:hAnsi="宋体" w:eastAsia="宋体" w:cs="宋体"/>
                <w:color w:val="000000"/>
              </w:rPr>
            </w:pPr>
          </w:p>
        </w:tc>
        <w:tc>
          <w:tcPr>
            <w:tcW w:w="1027" w:type="dxa"/>
            <w:noWrap w:val="0"/>
            <w:vAlign w:val="center"/>
          </w:tcPr>
          <w:p>
            <w:pPr>
              <w:spacing w:after="160" w:line="320" w:lineRule="exact"/>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2331" w:type="dxa"/>
            <w:noWrap w:val="0"/>
            <w:vAlign w:val="center"/>
          </w:tcPr>
          <w:p>
            <w:pPr>
              <w:spacing w:after="160" w:line="320" w:lineRule="exact"/>
              <w:jc w:val="center"/>
              <w:rPr>
                <w:rFonts w:hint="eastAsia" w:ascii="宋体" w:hAnsi="宋体" w:eastAsia="宋体" w:cs="宋体"/>
                <w:color w:val="000000"/>
              </w:rPr>
            </w:pPr>
            <w:r>
              <w:rPr>
                <w:rFonts w:hint="eastAsia" w:ascii="宋体" w:hAnsi="宋体" w:eastAsia="宋体" w:cs="宋体"/>
                <w:color w:val="000000"/>
                <w:kern w:val="0"/>
                <w:szCs w:val="21"/>
              </w:rPr>
              <w:t>验收标准</w:t>
            </w:r>
          </w:p>
        </w:tc>
        <w:tc>
          <w:tcPr>
            <w:tcW w:w="2157" w:type="dxa"/>
            <w:noWrap w:val="0"/>
            <w:vAlign w:val="center"/>
          </w:tcPr>
          <w:p>
            <w:pPr>
              <w:spacing w:after="160" w:line="320" w:lineRule="exact"/>
              <w:jc w:val="center"/>
              <w:rPr>
                <w:rFonts w:hint="eastAsia" w:ascii="宋体" w:hAnsi="宋体" w:eastAsia="宋体" w:cs="宋体"/>
                <w:color w:val="000000"/>
              </w:rPr>
            </w:pPr>
          </w:p>
        </w:tc>
        <w:tc>
          <w:tcPr>
            <w:tcW w:w="2181" w:type="dxa"/>
            <w:noWrap w:val="0"/>
            <w:vAlign w:val="center"/>
          </w:tcPr>
          <w:p>
            <w:pPr>
              <w:spacing w:after="160" w:line="320" w:lineRule="exact"/>
              <w:jc w:val="center"/>
              <w:rPr>
                <w:rFonts w:hint="eastAsia" w:ascii="宋体" w:hAnsi="宋体" w:eastAsia="宋体" w:cs="宋体"/>
                <w:color w:val="000000"/>
              </w:rPr>
            </w:pPr>
          </w:p>
        </w:tc>
        <w:tc>
          <w:tcPr>
            <w:tcW w:w="1327" w:type="dxa"/>
            <w:noWrap w:val="0"/>
            <w:vAlign w:val="center"/>
          </w:tcPr>
          <w:p>
            <w:pPr>
              <w:spacing w:after="160" w:line="320" w:lineRule="exact"/>
              <w:jc w:val="center"/>
              <w:rPr>
                <w:rFonts w:hint="eastAsia" w:ascii="宋体" w:hAnsi="宋体" w:eastAsia="宋体" w:cs="宋体"/>
                <w:color w:val="000000"/>
              </w:rPr>
            </w:pPr>
          </w:p>
        </w:tc>
        <w:tc>
          <w:tcPr>
            <w:tcW w:w="1027" w:type="dxa"/>
            <w:noWrap w:val="0"/>
            <w:vAlign w:val="center"/>
          </w:tcPr>
          <w:p>
            <w:pPr>
              <w:spacing w:after="160" w:line="320" w:lineRule="exact"/>
              <w:jc w:val="center"/>
              <w:rPr>
                <w:rFonts w:hint="eastAsia" w:ascii="宋体" w:hAnsi="宋体" w:eastAsia="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2331" w:type="dxa"/>
            <w:noWrap w:val="0"/>
            <w:vAlign w:val="center"/>
          </w:tcPr>
          <w:p>
            <w:pPr>
              <w:spacing w:after="160" w:line="320" w:lineRule="exact"/>
              <w:jc w:val="center"/>
              <w:rPr>
                <w:rFonts w:hint="eastAsia" w:ascii="宋体" w:hAnsi="宋体" w:eastAsia="宋体" w:cs="宋体"/>
                <w:color w:val="000000"/>
              </w:rPr>
            </w:pPr>
            <w:r>
              <w:rPr>
                <w:rFonts w:hint="eastAsia" w:ascii="宋体" w:hAnsi="宋体" w:eastAsia="宋体" w:cs="宋体"/>
                <w:color w:val="000000"/>
              </w:rPr>
              <w:t>其他要求</w:t>
            </w:r>
          </w:p>
        </w:tc>
        <w:tc>
          <w:tcPr>
            <w:tcW w:w="2157" w:type="dxa"/>
            <w:noWrap w:val="0"/>
            <w:vAlign w:val="center"/>
          </w:tcPr>
          <w:p>
            <w:pPr>
              <w:spacing w:after="160" w:line="320" w:lineRule="exact"/>
              <w:jc w:val="center"/>
              <w:rPr>
                <w:rFonts w:hint="eastAsia" w:ascii="宋体" w:hAnsi="宋体" w:eastAsia="宋体" w:cs="宋体"/>
                <w:color w:val="000000"/>
              </w:rPr>
            </w:pPr>
          </w:p>
        </w:tc>
        <w:tc>
          <w:tcPr>
            <w:tcW w:w="2181" w:type="dxa"/>
            <w:noWrap w:val="0"/>
            <w:vAlign w:val="center"/>
          </w:tcPr>
          <w:p>
            <w:pPr>
              <w:spacing w:after="160" w:line="320" w:lineRule="exact"/>
              <w:jc w:val="center"/>
              <w:rPr>
                <w:rFonts w:hint="eastAsia" w:ascii="宋体" w:hAnsi="宋体" w:eastAsia="宋体" w:cs="宋体"/>
                <w:color w:val="000000"/>
              </w:rPr>
            </w:pPr>
          </w:p>
        </w:tc>
        <w:tc>
          <w:tcPr>
            <w:tcW w:w="1327" w:type="dxa"/>
            <w:noWrap w:val="0"/>
            <w:vAlign w:val="center"/>
          </w:tcPr>
          <w:p>
            <w:pPr>
              <w:spacing w:after="160" w:line="320" w:lineRule="exact"/>
              <w:jc w:val="center"/>
              <w:rPr>
                <w:rFonts w:hint="eastAsia" w:ascii="宋体" w:hAnsi="宋体" w:eastAsia="宋体" w:cs="宋体"/>
                <w:color w:val="000000"/>
              </w:rPr>
            </w:pPr>
          </w:p>
        </w:tc>
        <w:tc>
          <w:tcPr>
            <w:tcW w:w="1027" w:type="dxa"/>
            <w:noWrap w:val="0"/>
            <w:vAlign w:val="center"/>
          </w:tcPr>
          <w:p>
            <w:pPr>
              <w:spacing w:after="160" w:line="320" w:lineRule="exact"/>
              <w:jc w:val="center"/>
              <w:rPr>
                <w:rFonts w:hint="eastAsia" w:ascii="宋体" w:hAnsi="宋体" w:eastAsia="宋体" w:cs="宋体"/>
                <w:color w:val="000000"/>
              </w:rPr>
            </w:pPr>
          </w:p>
        </w:tc>
      </w:tr>
    </w:tbl>
    <w:p>
      <w:pPr>
        <w:snapToGrid w:val="0"/>
        <w:spacing w:line="400" w:lineRule="exact"/>
        <w:ind w:firstLine="4320" w:firstLineChars="1800"/>
        <w:outlineLvl w:val="4"/>
        <w:rPr>
          <w:rFonts w:hint="eastAsia" w:ascii="宋体" w:hAnsi="宋体" w:eastAsia="宋体" w:cs="宋体"/>
          <w:color w:val="auto"/>
          <w:szCs w:val="20"/>
          <w:highlight w:val="none"/>
          <w:u w:val="single"/>
        </w:rPr>
      </w:pPr>
    </w:p>
    <w:p>
      <w:pPr>
        <w:spacing w:line="340" w:lineRule="exact"/>
        <w:ind w:firstLine="1890" w:firstLineChars="9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投标人（公章，自然人除外）：</w:t>
      </w:r>
      <w:r>
        <w:rPr>
          <w:rFonts w:hint="eastAsia" w:ascii="宋体" w:hAnsi="宋体" w:eastAsia="宋体" w:cs="宋体"/>
          <w:color w:val="auto"/>
          <w:sz w:val="21"/>
          <w:szCs w:val="21"/>
          <w:highlight w:val="none"/>
          <w:u w:val="single"/>
        </w:rPr>
        <w:t xml:space="preserve">                                         </w:t>
      </w:r>
    </w:p>
    <w:p>
      <w:pPr>
        <w:spacing w:line="340" w:lineRule="exact"/>
        <w:ind w:firstLine="1890" w:firstLineChars="900"/>
        <w:rPr>
          <w:rFonts w:hint="eastAsia" w:ascii="宋体" w:hAnsi="宋体" w:eastAsia="宋体" w:cs="宋体"/>
          <w:color w:val="auto"/>
          <w:sz w:val="21"/>
          <w:szCs w:val="21"/>
          <w:highlight w:val="none"/>
          <w:u w:val="single"/>
        </w:rPr>
      </w:pPr>
    </w:p>
    <w:p>
      <w:pPr>
        <w:spacing w:line="340" w:lineRule="exact"/>
        <w:ind w:firstLine="1890" w:firstLineChars="9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法定代表人、负责人、自然人或相应的委托代理人签字（或盖章）</w:t>
      </w:r>
    </w:p>
    <w:p>
      <w:pPr>
        <w:pStyle w:val="16"/>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u w:val="none"/>
        </w:rPr>
        <w:t>（属自然人的应在签名处加盖食指指印）</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 xml:space="preserve">                             </w:t>
      </w:r>
    </w:p>
    <w:p>
      <w:pPr>
        <w:pStyle w:val="16"/>
        <w:ind w:firstLine="2160" w:firstLineChars="900"/>
        <w:rPr>
          <w:rFonts w:hint="eastAsia" w:ascii="宋体" w:hAnsi="宋体" w:eastAsia="宋体" w:cs="宋体"/>
          <w:color w:val="auto"/>
          <w:highlight w:val="none"/>
        </w:rPr>
      </w:pPr>
    </w:p>
    <w:p>
      <w:pPr>
        <w:pStyle w:val="23"/>
        <w:ind w:firstLine="2100" w:firstLineChars="1000"/>
        <w:rPr>
          <w:rFonts w:hint="eastAsia"/>
        </w:rPr>
      </w:pPr>
      <w:r>
        <w:rPr>
          <w:rFonts w:hint="eastAsia" w:ascii="宋体" w:hAnsi="宋体" w:eastAsia="宋体" w:cs="宋体"/>
          <w:color w:val="auto"/>
          <w:highlight w:val="none"/>
        </w:rPr>
        <w:t>日          期：</w:t>
      </w:r>
    </w:p>
    <w:p>
      <w:pPr>
        <w:snapToGrid w:val="0"/>
        <w:spacing w:line="400" w:lineRule="exact"/>
        <w:ind w:firstLine="2160" w:firstLineChars="900"/>
        <w:outlineLvl w:val="4"/>
        <w:rPr>
          <w:rFonts w:hint="eastAsia" w:ascii="宋体" w:hAnsi="宋体" w:eastAsia="宋体" w:cs="宋体"/>
          <w:color w:val="auto"/>
          <w:szCs w:val="21"/>
          <w:highlight w:val="none"/>
        </w:rPr>
      </w:pPr>
    </w:p>
    <w:p>
      <w:pPr>
        <w:pStyle w:val="16"/>
        <w:spacing w:line="360" w:lineRule="exact"/>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rPr>
        <w:t>注：1.</w:t>
      </w:r>
      <w:r>
        <w:rPr>
          <w:rFonts w:hint="eastAsia" w:ascii="宋体" w:hAnsi="宋体" w:eastAsia="宋体" w:cs="宋体"/>
          <w:b w:val="0"/>
          <w:bCs/>
          <w:color w:val="000000"/>
          <w:sz w:val="18"/>
          <w:szCs w:val="18"/>
          <w:lang w:eastAsia="zh-CN"/>
        </w:rPr>
        <w:t>供应商</w:t>
      </w:r>
      <w:r>
        <w:rPr>
          <w:rFonts w:hint="eastAsia" w:ascii="宋体" w:hAnsi="宋体" w:eastAsia="宋体" w:cs="宋体"/>
          <w:b w:val="0"/>
          <w:bCs/>
          <w:color w:val="000000"/>
          <w:sz w:val="18"/>
          <w:szCs w:val="18"/>
        </w:rPr>
        <w:t>应对照“货物采购需求”注明</w:t>
      </w:r>
      <w:r>
        <w:rPr>
          <w:rFonts w:hint="eastAsia" w:ascii="宋体" w:hAnsi="宋体" w:eastAsia="宋体" w:cs="宋体"/>
          <w:b w:val="0"/>
          <w:bCs/>
          <w:color w:val="000000"/>
          <w:sz w:val="18"/>
          <w:szCs w:val="18"/>
          <w:lang w:eastAsia="zh-CN"/>
        </w:rPr>
        <w:t>所竞</w:t>
      </w:r>
      <w:r>
        <w:rPr>
          <w:rFonts w:hint="eastAsia" w:ascii="宋体" w:hAnsi="宋体" w:eastAsia="宋体" w:cs="宋体"/>
          <w:b w:val="0"/>
          <w:bCs/>
          <w:color w:val="000000"/>
          <w:sz w:val="18"/>
          <w:szCs w:val="18"/>
        </w:rPr>
        <w:t>产品技术参数的响应情况及偏离情况（无偏离、正偏离、负偏离），当出现“正偏离”或“负偏离”情况时应对应填写偏离情况说明及提供相应有效的证明材料。</w:t>
      </w:r>
    </w:p>
    <w:p>
      <w:pPr>
        <w:pStyle w:val="16"/>
        <w:spacing w:after="160" w:line="320" w:lineRule="exact"/>
        <w:ind w:firstLine="354"/>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rPr>
        <w:t>2.技术规格偏离表须由法定代表人、负责人、自然人或相应的委托代理人签字或盖章（属自然人的应在签名处加盖食指指印）并加盖</w:t>
      </w:r>
      <w:r>
        <w:rPr>
          <w:rFonts w:hint="eastAsia" w:ascii="宋体" w:hAnsi="宋体" w:eastAsia="宋体" w:cs="宋体"/>
          <w:b w:val="0"/>
          <w:bCs/>
          <w:color w:val="000000"/>
          <w:sz w:val="18"/>
          <w:szCs w:val="18"/>
          <w:lang w:eastAsia="zh-CN"/>
        </w:rPr>
        <w:t>供应商</w:t>
      </w:r>
      <w:r>
        <w:rPr>
          <w:rFonts w:hint="eastAsia" w:ascii="宋体" w:hAnsi="宋体" w:eastAsia="宋体" w:cs="宋体"/>
          <w:b w:val="0"/>
          <w:bCs/>
          <w:color w:val="000000"/>
          <w:sz w:val="18"/>
          <w:szCs w:val="18"/>
        </w:rPr>
        <w:t>公章（自然人除外）。当本表由多页构成时，需逐页加盖</w:t>
      </w:r>
      <w:r>
        <w:rPr>
          <w:rFonts w:hint="eastAsia" w:ascii="宋体" w:hAnsi="宋体" w:eastAsia="宋体" w:cs="宋体"/>
          <w:b w:val="0"/>
          <w:bCs/>
          <w:color w:val="000000"/>
          <w:sz w:val="18"/>
          <w:szCs w:val="18"/>
          <w:lang w:eastAsia="zh-CN"/>
        </w:rPr>
        <w:t>供应商</w:t>
      </w:r>
      <w:r>
        <w:rPr>
          <w:rFonts w:hint="eastAsia" w:ascii="宋体" w:hAnsi="宋体" w:eastAsia="宋体" w:cs="宋体"/>
          <w:b w:val="0"/>
          <w:bCs/>
          <w:color w:val="000000"/>
          <w:sz w:val="18"/>
          <w:szCs w:val="18"/>
        </w:rPr>
        <w:t>公章（属自然人的须逐页签字）。</w:t>
      </w:r>
    </w:p>
    <w:p>
      <w:pPr>
        <w:snapToGrid w:val="0"/>
        <w:spacing w:line="400" w:lineRule="exact"/>
        <w:outlineLvl w:val="4"/>
        <w:rPr>
          <w:rFonts w:hint="eastAsia" w:ascii="宋体" w:hAnsi="宋体" w:eastAsia="宋体" w:cs="宋体"/>
          <w:b/>
          <w:color w:val="auto"/>
          <w:sz w:val="24"/>
          <w:szCs w:val="24"/>
          <w:highlight w:val="none"/>
        </w:rPr>
      </w:pPr>
    </w:p>
    <w:p>
      <w:pPr>
        <w:pStyle w:val="11"/>
        <w:rPr>
          <w:rFonts w:hint="eastAsia" w:ascii="宋体" w:hAnsi="宋体" w:eastAsia="宋体" w:cs="宋体"/>
          <w:b/>
          <w:color w:val="auto"/>
          <w:sz w:val="24"/>
          <w:szCs w:val="24"/>
          <w:highlight w:val="none"/>
        </w:rPr>
      </w:pPr>
    </w:p>
    <w:p>
      <w:pPr>
        <w:pStyle w:val="11"/>
        <w:rPr>
          <w:rFonts w:hint="eastAsia" w:ascii="宋体" w:hAnsi="宋体" w:eastAsia="宋体" w:cs="宋体"/>
          <w:b/>
          <w:color w:val="auto"/>
          <w:sz w:val="24"/>
          <w:szCs w:val="24"/>
          <w:highlight w:val="none"/>
        </w:rPr>
      </w:pPr>
    </w:p>
    <w:p>
      <w:pPr>
        <w:pStyle w:val="11"/>
        <w:rPr>
          <w:rFonts w:hint="eastAsia" w:ascii="宋体" w:hAnsi="宋体" w:eastAsia="宋体" w:cs="宋体"/>
          <w:b/>
          <w:color w:val="auto"/>
          <w:sz w:val="24"/>
          <w:szCs w:val="24"/>
          <w:highlight w:val="none"/>
        </w:rPr>
      </w:pPr>
    </w:p>
    <w:p>
      <w:pPr>
        <w:pStyle w:val="11"/>
        <w:rPr>
          <w:rFonts w:hint="eastAsia" w:ascii="宋体" w:hAnsi="宋体" w:eastAsia="宋体" w:cs="宋体"/>
          <w:b/>
          <w:color w:val="auto"/>
          <w:sz w:val="24"/>
          <w:szCs w:val="24"/>
          <w:highlight w:val="none"/>
        </w:rPr>
      </w:pPr>
    </w:p>
    <w:p>
      <w:pPr>
        <w:pStyle w:val="11"/>
        <w:rPr>
          <w:rFonts w:hint="eastAsia" w:ascii="宋体" w:hAnsi="宋体" w:eastAsia="宋体" w:cs="宋体"/>
          <w:b/>
          <w:color w:val="auto"/>
          <w:sz w:val="24"/>
          <w:szCs w:val="24"/>
          <w:highlight w:val="none"/>
        </w:rPr>
      </w:pPr>
    </w:p>
    <w:p>
      <w:pPr>
        <w:pStyle w:val="11"/>
        <w:rPr>
          <w:rFonts w:hint="eastAsia" w:ascii="宋体" w:hAnsi="宋体" w:eastAsia="宋体" w:cs="宋体"/>
          <w:b/>
          <w:color w:val="auto"/>
          <w:sz w:val="24"/>
          <w:szCs w:val="24"/>
          <w:highlight w:val="none"/>
        </w:rPr>
      </w:pPr>
    </w:p>
    <w:p>
      <w:pPr>
        <w:pStyle w:val="11"/>
        <w:rPr>
          <w:rFonts w:hint="eastAsia" w:ascii="宋体" w:hAnsi="宋体" w:eastAsia="宋体" w:cs="宋体"/>
          <w:b/>
          <w:color w:val="auto"/>
          <w:sz w:val="24"/>
          <w:szCs w:val="24"/>
          <w:highlight w:val="none"/>
        </w:rPr>
      </w:pPr>
    </w:p>
    <w:p>
      <w:pPr>
        <w:pStyle w:val="11"/>
        <w:rPr>
          <w:rFonts w:hint="eastAsia" w:ascii="宋体" w:hAnsi="宋体" w:eastAsia="宋体" w:cs="宋体"/>
          <w:b/>
          <w:color w:val="auto"/>
          <w:sz w:val="24"/>
          <w:szCs w:val="24"/>
          <w:highlight w:val="none"/>
        </w:rPr>
      </w:pPr>
    </w:p>
    <w:p>
      <w:pPr>
        <w:pStyle w:val="11"/>
        <w:rPr>
          <w:rFonts w:hint="eastAsia" w:ascii="宋体" w:hAnsi="宋体" w:eastAsia="宋体" w:cs="宋体"/>
          <w:b/>
          <w:color w:val="auto"/>
          <w:sz w:val="24"/>
          <w:szCs w:val="24"/>
          <w:highlight w:val="none"/>
        </w:rPr>
      </w:pPr>
    </w:p>
    <w:p>
      <w:pPr>
        <w:pStyle w:val="11"/>
        <w:rPr>
          <w:rFonts w:hint="eastAsia" w:ascii="宋体" w:hAnsi="宋体" w:eastAsia="宋体" w:cs="宋体"/>
          <w:b/>
          <w:color w:val="auto"/>
          <w:sz w:val="24"/>
          <w:szCs w:val="24"/>
          <w:highlight w:val="none"/>
        </w:rPr>
      </w:pPr>
    </w:p>
    <w:p>
      <w:pPr>
        <w:pStyle w:val="11"/>
        <w:rPr>
          <w:rFonts w:hint="eastAsia" w:ascii="宋体" w:hAnsi="宋体" w:eastAsia="宋体" w:cs="宋体"/>
          <w:b/>
          <w:color w:val="auto"/>
          <w:sz w:val="24"/>
          <w:szCs w:val="24"/>
          <w:highlight w:val="none"/>
        </w:rPr>
      </w:pPr>
    </w:p>
    <w:p>
      <w:pPr>
        <w:pStyle w:val="11"/>
        <w:rPr>
          <w:rFonts w:hint="eastAsia" w:ascii="宋体" w:hAnsi="宋体" w:eastAsia="宋体" w:cs="宋体"/>
          <w:b/>
          <w:color w:val="auto"/>
          <w:sz w:val="24"/>
          <w:szCs w:val="24"/>
          <w:highlight w:val="none"/>
        </w:rPr>
      </w:pPr>
    </w:p>
    <w:p>
      <w:pPr>
        <w:snapToGrid w:val="0"/>
        <w:spacing w:line="400" w:lineRule="exact"/>
        <w:outlineLvl w:val="4"/>
        <w:rPr>
          <w:rFonts w:hint="eastAsia" w:ascii="宋体" w:hAnsi="宋体" w:eastAsia="宋体" w:cs="宋体"/>
          <w:b/>
          <w:bCs/>
          <w:color w:val="auto"/>
          <w:sz w:val="32"/>
          <w:szCs w:val="20"/>
          <w:highlight w:val="none"/>
        </w:rPr>
      </w:pPr>
      <w:r>
        <w:rPr>
          <w:rFonts w:hint="eastAsia" w:ascii="宋体" w:hAnsi="宋体" w:eastAsia="宋体" w:cs="宋体"/>
          <w:b/>
          <w:bCs/>
          <w:color w:val="auto"/>
          <w:sz w:val="32"/>
          <w:szCs w:val="20"/>
          <w:highlight w:val="none"/>
          <w:lang w:val="en-US" w:eastAsia="zh-CN"/>
        </w:rPr>
        <w:t>3.</w:t>
      </w:r>
      <w:r>
        <w:rPr>
          <w:rFonts w:hint="eastAsia" w:ascii="宋体" w:hAnsi="宋体" w:eastAsia="宋体" w:cs="宋体"/>
          <w:b/>
          <w:bCs/>
          <w:color w:val="auto"/>
          <w:sz w:val="32"/>
          <w:szCs w:val="20"/>
          <w:highlight w:val="none"/>
        </w:rPr>
        <w:t>投标人的</w:t>
      </w:r>
      <w:r>
        <w:rPr>
          <w:rFonts w:hint="eastAsia" w:ascii="宋体" w:hAnsi="宋体" w:eastAsia="宋体" w:cs="宋体"/>
          <w:b/>
          <w:bCs/>
          <w:color w:val="auto"/>
          <w:sz w:val="32"/>
          <w:szCs w:val="32"/>
          <w:highlight w:val="none"/>
        </w:rPr>
        <w:t>售后</w:t>
      </w:r>
      <w:r>
        <w:rPr>
          <w:rFonts w:hint="eastAsia" w:ascii="宋体" w:hAnsi="宋体" w:eastAsia="宋体" w:cs="宋体"/>
          <w:b/>
          <w:bCs/>
          <w:color w:val="auto"/>
          <w:sz w:val="32"/>
          <w:szCs w:val="20"/>
          <w:highlight w:val="none"/>
        </w:rPr>
        <w:t>服务承诺</w:t>
      </w:r>
      <w:r>
        <w:rPr>
          <w:rFonts w:hint="eastAsia" w:ascii="宋体" w:hAnsi="宋体" w:eastAsia="宋体" w:cs="宋体"/>
          <w:b/>
          <w:bCs/>
          <w:color w:val="auto"/>
          <w:sz w:val="32"/>
          <w:szCs w:val="20"/>
          <w:highlight w:val="none"/>
          <w:lang w:eastAsia="zh-CN"/>
        </w:rPr>
        <w:t>书</w:t>
      </w:r>
      <w:r>
        <w:rPr>
          <w:rFonts w:hint="eastAsia" w:ascii="宋体" w:hAnsi="宋体" w:eastAsia="宋体" w:cs="宋体"/>
          <w:b/>
          <w:bCs/>
          <w:color w:val="auto"/>
          <w:sz w:val="32"/>
          <w:szCs w:val="20"/>
          <w:highlight w:val="none"/>
        </w:rPr>
        <w:t>（必须提供）；</w:t>
      </w:r>
    </w:p>
    <w:p>
      <w:pPr>
        <w:snapToGrid w:val="0"/>
        <w:spacing w:line="400" w:lineRule="exact"/>
        <w:outlineLvl w:val="4"/>
        <w:rPr>
          <w:rFonts w:hint="eastAsia" w:ascii="宋体" w:hAnsi="宋体" w:eastAsia="宋体" w:cs="宋体"/>
          <w:b/>
          <w:bCs/>
          <w:color w:val="auto"/>
          <w:sz w:val="32"/>
          <w:szCs w:val="20"/>
          <w:highlight w:val="none"/>
          <w:lang w:val="en-US" w:eastAsia="zh-CN"/>
        </w:rPr>
      </w:pPr>
    </w:p>
    <w:p>
      <w:pPr>
        <w:pStyle w:val="16"/>
        <w:ind w:firstLine="472" w:firstLineChars="147"/>
        <w:jc w:val="center"/>
        <w:rPr>
          <w:rFonts w:hint="eastAsia" w:ascii="宋体" w:hAnsi="宋体" w:eastAsia="宋体" w:cs="宋体"/>
          <w:b/>
          <w:bCs/>
          <w:color w:val="auto"/>
          <w:sz w:val="32"/>
          <w:highlight w:val="none"/>
        </w:rPr>
      </w:pPr>
      <w:r>
        <w:rPr>
          <w:rFonts w:hint="eastAsia" w:ascii="宋体" w:hAnsi="宋体" w:eastAsia="宋体" w:cs="宋体"/>
          <w:b/>
          <w:bCs/>
          <w:color w:val="auto"/>
          <w:sz w:val="32"/>
          <w:szCs w:val="32"/>
          <w:highlight w:val="none"/>
        </w:rPr>
        <w:t>售后服务承诺</w:t>
      </w:r>
      <w:r>
        <w:rPr>
          <w:rFonts w:hint="eastAsia" w:ascii="宋体" w:hAnsi="宋体" w:eastAsia="宋体" w:cs="宋体"/>
          <w:b/>
          <w:bCs/>
          <w:color w:val="auto"/>
          <w:sz w:val="32"/>
          <w:szCs w:val="32"/>
          <w:highlight w:val="none"/>
          <w:lang w:eastAsia="zh-CN"/>
        </w:rPr>
        <w:t>书</w:t>
      </w:r>
      <w:r>
        <w:rPr>
          <w:rFonts w:hint="eastAsia" w:ascii="宋体" w:hAnsi="宋体" w:eastAsia="宋体" w:cs="宋体"/>
          <w:b/>
          <w:bCs/>
          <w:color w:val="auto"/>
          <w:sz w:val="32"/>
          <w:highlight w:val="none"/>
        </w:rPr>
        <w:t>（格式）</w:t>
      </w:r>
    </w:p>
    <w:p>
      <w:pPr>
        <w:pStyle w:val="16"/>
        <w:spacing w:line="400" w:lineRule="exact"/>
        <w:ind w:firstLine="3520" w:firstLineChars="1100"/>
        <w:rPr>
          <w:rFonts w:hint="eastAsia" w:ascii="宋体" w:hAnsi="宋体" w:eastAsia="宋体" w:cs="宋体"/>
          <w:color w:val="auto"/>
          <w:sz w:val="32"/>
          <w:szCs w:val="32"/>
          <w:highlight w:val="none"/>
        </w:rPr>
      </w:pPr>
    </w:p>
    <w:p>
      <w:pPr>
        <w:pStyle w:val="16"/>
        <w:spacing w:line="400" w:lineRule="exact"/>
        <w:rPr>
          <w:rFonts w:hint="eastAsia" w:ascii="宋体" w:hAnsi="宋体" w:eastAsia="宋体" w:cs="宋体"/>
          <w:color w:val="auto"/>
          <w:sz w:val="32"/>
          <w:szCs w:val="32"/>
          <w:highlight w:val="none"/>
        </w:rPr>
      </w:pPr>
    </w:p>
    <w:p>
      <w:pPr>
        <w:pStyle w:val="16"/>
        <w:spacing w:line="400" w:lineRule="exact"/>
        <w:rPr>
          <w:rFonts w:hint="eastAsia" w:ascii="宋体" w:hAnsi="宋体" w:eastAsia="宋体" w:cs="宋体"/>
          <w:color w:val="auto"/>
          <w:sz w:val="32"/>
          <w:szCs w:val="32"/>
          <w:highlight w:val="none"/>
        </w:rPr>
      </w:pPr>
    </w:p>
    <w:p>
      <w:pPr>
        <w:spacing w:line="340" w:lineRule="exact"/>
        <w:ind w:firstLine="1890" w:firstLineChars="9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投标人（公章，自然人除外）：</w:t>
      </w:r>
      <w:r>
        <w:rPr>
          <w:rFonts w:hint="eastAsia" w:ascii="宋体" w:hAnsi="宋体" w:eastAsia="宋体" w:cs="宋体"/>
          <w:color w:val="auto"/>
          <w:sz w:val="21"/>
          <w:szCs w:val="21"/>
          <w:highlight w:val="none"/>
          <w:u w:val="single"/>
        </w:rPr>
        <w:t xml:space="preserve">                                         </w:t>
      </w:r>
    </w:p>
    <w:p>
      <w:pPr>
        <w:spacing w:line="340" w:lineRule="exact"/>
        <w:ind w:firstLine="1890" w:firstLineChars="900"/>
        <w:rPr>
          <w:rFonts w:hint="eastAsia" w:ascii="宋体" w:hAnsi="宋体" w:eastAsia="宋体" w:cs="宋体"/>
          <w:color w:val="auto"/>
          <w:sz w:val="21"/>
          <w:szCs w:val="21"/>
          <w:highlight w:val="none"/>
          <w:u w:val="single"/>
        </w:rPr>
      </w:pPr>
    </w:p>
    <w:p>
      <w:pPr>
        <w:spacing w:line="340" w:lineRule="exact"/>
        <w:ind w:firstLine="1890" w:firstLineChars="9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法定代表人、负责人、自然人或相应的委托代理人签字（或盖章）</w:t>
      </w:r>
    </w:p>
    <w:p>
      <w:pPr>
        <w:pStyle w:val="16"/>
        <w:spacing w:line="400" w:lineRule="exact"/>
        <w:ind w:firstLine="1680" w:firstLineChars="800"/>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u w:val="none"/>
        </w:rPr>
        <w:t>（属自然人的应在签名处加盖食指指印）</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 xml:space="preserve">                             </w:t>
      </w:r>
    </w:p>
    <w:p>
      <w:pPr>
        <w:pStyle w:val="16"/>
        <w:spacing w:line="400" w:lineRule="exact"/>
        <w:ind w:left="4080" w:leftChars="1700"/>
        <w:rPr>
          <w:rFonts w:hint="eastAsia" w:ascii="宋体" w:hAnsi="宋体" w:eastAsia="宋体" w:cs="宋体"/>
          <w:color w:val="auto"/>
          <w:highlight w:val="none"/>
          <w:u w:val="single"/>
        </w:rPr>
      </w:pPr>
    </w:p>
    <w:p>
      <w:pPr>
        <w:snapToGrid w:val="0"/>
        <w:spacing w:line="400" w:lineRule="exact"/>
        <w:ind w:firstLine="1920" w:firstLineChars="800"/>
        <w:outlineLvl w:val="4"/>
        <w:rPr>
          <w:rFonts w:hint="eastAsia" w:ascii="宋体" w:hAnsi="宋体" w:eastAsia="宋体" w:cs="宋体"/>
          <w:b/>
          <w:bCs/>
          <w:color w:val="auto"/>
          <w:sz w:val="32"/>
          <w:szCs w:val="20"/>
          <w:highlight w:val="none"/>
          <w:lang w:val="en-US" w:eastAsia="zh-CN"/>
        </w:rPr>
      </w:pPr>
      <w:r>
        <w:rPr>
          <w:rFonts w:hint="eastAsia" w:ascii="宋体" w:hAnsi="宋体" w:eastAsia="宋体" w:cs="宋体"/>
          <w:color w:val="auto"/>
          <w:highlight w:val="none"/>
        </w:rPr>
        <w:t>日          期：</w:t>
      </w:r>
    </w:p>
    <w:p>
      <w:pPr>
        <w:snapToGrid w:val="0"/>
        <w:spacing w:line="400" w:lineRule="exact"/>
        <w:outlineLvl w:val="4"/>
        <w:rPr>
          <w:rFonts w:hint="eastAsia" w:ascii="宋体" w:hAnsi="宋体" w:eastAsia="宋体" w:cs="宋体"/>
          <w:b/>
          <w:bCs/>
          <w:color w:val="auto"/>
          <w:sz w:val="32"/>
          <w:szCs w:val="20"/>
          <w:highlight w:val="none"/>
          <w:lang w:val="en-US" w:eastAsia="zh-CN"/>
        </w:rPr>
      </w:pPr>
    </w:p>
    <w:p>
      <w:pPr>
        <w:tabs>
          <w:tab w:val="left" w:pos="1305"/>
        </w:tabs>
        <w:spacing w:line="400" w:lineRule="exact"/>
        <w:rPr>
          <w:rFonts w:hint="eastAsia" w:ascii="宋体" w:hAnsi="宋体" w:eastAsia="宋体" w:cs="宋体"/>
          <w:b/>
          <w:bCs/>
          <w:color w:val="auto"/>
          <w:sz w:val="32"/>
          <w:szCs w:val="20"/>
          <w:highlight w:val="none"/>
          <w:lang w:val="en-US" w:eastAsia="zh-CN"/>
        </w:rPr>
      </w:pPr>
    </w:p>
    <w:p>
      <w:pPr>
        <w:tabs>
          <w:tab w:val="left" w:pos="1305"/>
        </w:tabs>
        <w:spacing w:line="400" w:lineRule="exact"/>
        <w:rPr>
          <w:rFonts w:hint="eastAsia" w:ascii="宋体" w:hAnsi="宋体" w:eastAsia="宋体" w:cs="宋体"/>
          <w:b/>
          <w:bCs/>
          <w:color w:val="auto"/>
          <w:sz w:val="32"/>
          <w:szCs w:val="20"/>
          <w:highlight w:val="none"/>
          <w:lang w:val="en-US" w:eastAsia="zh-CN"/>
        </w:rPr>
      </w:pPr>
    </w:p>
    <w:p>
      <w:pPr>
        <w:tabs>
          <w:tab w:val="left" w:pos="1305"/>
        </w:tabs>
        <w:spacing w:line="400" w:lineRule="exact"/>
        <w:rPr>
          <w:rFonts w:hint="eastAsia" w:ascii="宋体" w:hAnsi="宋体" w:eastAsia="宋体" w:cs="宋体"/>
          <w:b/>
          <w:bCs/>
          <w:color w:val="auto"/>
          <w:sz w:val="32"/>
          <w:szCs w:val="20"/>
          <w:highlight w:val="none"/>
        </w:rPr>
      </w:pPr>
      <w:r>
        <w:rPr>
          <w:rFonts w:hint="eastAsia" w:ascii="宋体" w:hAnsi="宋体" w:cs="宋体"/>
          <w:b/>
          <w:bCs/>
          <w:color w:val="auto"/>
          <w:sz w:val="32"/>
          <w:szCs w:val="20"/>
          <w:highlight w:val="none"/>
          <w:lang w:val="en-US" w:eastAsia="zh-CN"/>
        </w:rPr>
        <w:t>4</w:t>
      </w:r>
      <w:r>
        <w:rPr>
          <w:rFonts w:hint="eastAsia" w:ascii="宋体" w:hAnsi="宋体" w:eastAsia="宋体" w:cs="宋体"/>
          <w:b/>
          <w:bCs/>
          <w:color w:val="auto"/>
          <w:sz w:val="32"/>
          <w:szCs w:val="20"/>
          <w:highlight w:val="none"/>
          <w:lang w:val="en-US" w:eastAsia="zh-CN"/>
        </w:rPr>
        <w:t>.</w:t>
      </w:r>
      <w:r>
        <w:rPr>
          <w:rFonts w:hint="eastAsia" w:ascii="宋体" w:hAnsi="宋体" w:eastAsia="宋体" w:cs="宋体"/>
          <w:b/>
          <w:bCs/>
          <w:color w:val="auto"/>
          <w:sz w:val="32"/>
          <w:szCs w:val="20"/>
          <w:highlight w:val="none"/>
        </w:rPr>
        <w:t>项目实施人员一览表（如有，请提供）；</w:t>
      </w:r>
    </w:p>
    <w:p>
      <w:pPr>
        <w:tabs>
          <w:tab w:val="left" w:pos="1305"/>
        </w:tabs>
        <w:spacing w:line="400" w:lineRule="exact"/>
        <w:ind w:firstLine="643" w:firstLineChars="200"/>
        <w:rPr>
          <w:rFonts w:hint="eastAsia" w:ascii="宋体" w:hAnsi="宋体" w:eastAsia="宋体" w:cs="宋体"/>
          <w:b/>
          <w:bCs/>
          <w:color w:val="auto"/>
          <w:sz w:val="32"/>
          <w:szCs w:val="20"/>
          <w:highlight w:val="none"/>
        </w:rPr>
      </w:pPr>
    </w:p>
    <w:p>
      <w:pPr>
        <w:ind w:firstLine="826" w:firstLineChars="34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附件                           </w:t>
      </w:r>
    </w:p>
    <w:p>
      <w:pPr>
        <w:ind w:firstLine="826" w:firstLineChars="34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p>
    <w:p>
      <w:pPr>
        <w:ind w:firstLine="826" w:firstLineChars="34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项目实施人员一览表</w:t>
      </w:r>
    </w:p>
    <w:p>
      <w:pPr>
        <w:ind w:firstLine="72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bl>
      <w:tblPr>
        <w:tblStyle w:val="24"/>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806"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537"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专业技术资格</w:t>
            </w:r>
          </w:p>
        </w:tc>
        <w:tc>
          <w:tcPr>
            <w:tcW w:w="1371"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证书编号</w:t>
            </w:r>
          </w:p>
        </w:tc>
        <w:tc>
          <w:tcPr>
            <w:tcW w:w="2163"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参加本单位</w:t>
            </w:r>
          </w:p>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工作时间</w:t>
            </w:r>
          </w:p>
        </w:tc>
        <w:tc>
          <w:tcPr>
            <w:tcW w:w="2000"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top"/>
          </w:tcPr>
          <w:p>
            <w:pPr>
              <w:spacing w:line="400" w:lineRule="exact"/>
              <w:rPr>
                <w:rFonts w:hint="eastAsia" w:ascii="宋体" w:hAnsi="宋体" w:eastAsia="宋体" w:cs="宋体"/>
                <w:color w:val="auto"/>
                <w:szCs w:val="21"/>
                <w:highlight w:val="none"/>
              </w:rPr>
            </w:pPr>
          </w:p>
        </w:tc>
        <w:tc>
          <w:tcPr>
            <w:tcW w:w="806" w:type="dxa"/>
            <w:vAlign w:val="top"/>
          </w:tcPr>
          <w:p>
            <w:pPr>
              <w:spacing w:line="400" w:lineRule="exact"/>
              <w:rPr>
                <w:rFonts w:hint="eastAsia" w:ascii="宋体" w:hAnsi="宋体" w:eastAsia="宋体" w:cs="宋体"/>
                <w:color w:val="auto"/>
                <w:szCs w:val="21"/>
                <w:highlight w:val="none"/>
              </w:rPr>
            </w:pPr>
          </w:p>
        </w:tc>
        <w:tc>
          <w:tcPr>
            <w:tcW w:w="1537" w:type="dxa"/>
            <w:vAlign w:val="top"/>
          </w:tcPr>
          <w:p>
            <w:pPr>
              <w:spacing w:line="400" w:lineRule="exact"/>
              <w:rPr>
                <w:rFonts w:hint="eastAsia" w:ascii="宋体" w:hAnsi="宋体" w:eastAsia="宋体" w:cs="宋体"/>
                <w:color w:val="auto"/>
                <w:szCs w:val="21"/>
                <w:highlight w:val="none"/>
              </w:rPr>
            </w:pPr>
          </w:p>
        </w:tc>
        <w:tc>
          <w:tcPr>
            <w:tcW w:w="1371" w:type="dxa"/>
            <w:vAlign w:val="top"/>
          </w:tcPr>
          <w:p>
            <w:pPr>
              <w:spacing w:line="400" w:lineRule="exact"/>
              <w:rPr>
                <w:rFonts w:hint="eastAsia" w:ascii="宋体" w:hAnsi="宋体" w:eastAsia="宋体" w:cs="宋体"/>
                <w:color w:val="auto"/>
                <w:szCs w:val="21"/>
                <w:highlight w:val="none"/>
              </w:rPr>
            </w:pPr>
          </w:p>
        </w:tc>
        <w:tc>
          <w:tcPr>
            <w:tcW w:w="2163" w:type="dxa"/>
            <w:vAlign w:val="top"/>
          </w:tcPr>
          <w:p>
            <w:pPr>
              <w:spacing w:line="400" w:lineRule="exact"/>
              <w:rPr>
                <w:rFonts w:hint="eastAsia" w:ascii="宋体" w:hAnsi="宋体" w:eastAsia="宋体" w:cs="宋体"/>
                <w:color w:val="auto"/>
                <w:szCs w:val="21"/>
                <w:highlight w:val="none"/>
              </w:rPr>
            </w:pPr>
          </w:p>
        </w:tc>
        <w:tc>
          <w:tcPr>
            <w:tcW w:w="2000" w:type="dxa"/>
            <w:vAlign w:val="top"/>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top"/>
          </w:tcPr>
          <w:p>
            <w:pPr>
              <w:spacing w:line="400" w:lineRule="exact"/>
              <w:rPr>
                <w:rFonts w:hint="eastAsia" w:ascii="宋体" w:hAnsi="宋体" w:eastAsia="宋体" w:cs="宋体"/>
                <w:color w:val="auto"/>
                <w:szCs w:val="21"/>
                <w:highlight w:val="none"/>
              </w:rPr>
            </w:pPr>
          </w:p>
        </w:tc>
        <w:tc>
          <w:tcPr>
            <w:tcW w:w="806" w:type="dxa"/>
            <w:vAlign w:val="top"/>
          </w:tcPr>
          <w:p>
            <w:pPr>
              <w:spacing w:line="400" w:lineRule="exact"/>
              <w:rPr>
                <w:rFonts w:hint="eastAsia" w:ascii="宋体" w:hAnsi="宋体" w:eastAsia="宋体" w:cs="宋体"/>
                <w:color w:val="auto"/>
                <w:szCs w:val="21"/>
                <w:highlight w:val="none"/>
              </w:rPr>
            </w:pPr>
          </w:p>
        </w:tc>
        <w:tc>
          <w:tcPr>
            <w:tcW w:w="1537" w:type="dxa"/>
            <w:vAlign w:val="top"/>
          </w:tcPr>
          <w:p>
            <w:pPr>
              <w:spacing w:line="400" w:lineRule="exact"/>
              <w:rPr>
                <w:rFonts w:hint="eastAsia" w:ascii="宋体" w:hAnsi="宋体" w:eastAsia="宋体" w:cs="宋体"/>
                <w:color w:val="auto"/>
                <w:szCs w:val="21"/>
                <w:highlight w:val="none"/>
              </w:rPr>
            </w:pPr>
          </w:p>
        </w:tc>
        <w:tc>
          <w:tcPr>
            <w:tcW w:w="1371" w:type="dxa"/>
            <w:vAlign w:val="top"/>
          </w:tcPr>
          <w:p>
            <w:pPr>
              <w:spacing w:line="400" w:lineRule="exact"/>
              <w:rPr>
                <w:rFonts w:hint="eastAsia" w:ascii="宋体" w:hAnsi="宋体" w:eastAsia="宋体" w:cs="宋体"/>
                <w:color w:val="auto"/>
                <w:szCs w:val="21"/>
                <w:highlight w:val="none"/>
              </w:rPr>
            </w:pPr>
          </w:p>
        </w:tc>
        <w:tc>
          <w:tcPr>
            <w:tcW w:w="2163" w:type="dxa"/>
            <w:vAlign w:val="top"/>
          </w:tcPr>
          <w:p>
            <w:pPr>
              <w:spacing w:line="400" w:lineRule="exact"/>
              <w:rPr>
                <w:rFonts w:hint="eastAsia" w:ascii="宋体" w:hAnsi="宋体" w:eastAsia="宋体" w:cs="宋体"/>
                <w:color w:val="auto"/>
                <w:szCs w:val="21"/>
                <w:highlight w:val="none"/>
              </w:rPr>
            </w:pPr>
          </w:p>
        </w:tc>
        <w:tc>
          <w:tcPr>
            <w:tcW w:w="2000" w:type="dxa"/>
            <w:vAlign w:val="top"/>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top"/>
          </w:tcPr>
          <w:p>
            <w:pPr>
              <w:spacing w:line="400" w:lineRule="exact"/>
              <w:rPr>
                <w:rFonts w:hint="eastAsia" w:ascii="宋体" w:hAnsi="宋体" w:eastAsia="宋体" w:cs="宋体"/>
                <w:color w:val="auto"/>
                <w:szCs w:val="21"/>
                <w:highlight w:val="none"/>
              </w:rPr>
            </w:pPr>
          </w:p>
        </w:tc>
        <w:tc>
          <w:tcPr>
            <w:tcW w:w="806" w:type="dxa"/>
            <w:vAlign w:val="top"/>
          </w:tcPr>
          <w:p>
            <w:pPr>
              <w:spacing w:line="400" w:lineRule="exact"/>
              <w:rPr>
                <w:rFonts w:hint="eastAsia" w:ascii="宋体" w:hAnsi="宋体" w:eastAsia="宋体" w:cs="宋体"/>
                <w:color w:val="auto"/>
                <w:szCs w:val="21"/>
                <w:highlight w:val="none"/>
              </w:rPr>
            </w:pPr>
          </w:p>
        </w:tc>
        <w:tc>
          <w:tcPr>
            <w:tcW w:w="1537" w:type="dxa"/>
            <w:vAlign w:val="top"/>
          </w:tcPr>
          <w:p>
            <w:pPr>
              <w:spacing w:line="400" w:lineRule="exact"/>
              <w:rPr>
                <w:rFonts w:hint="eastAsia" w:ascii="宋体" w:hAnsi="宋体" w:eastAsia="宋体" w:cs="宋体"/>
                <w:color w:val="auto"/>
                <w:szCs w:val="21"/>
                <w:highlight w:val="none"/>
              </w:rPr>
            </w:pPr>
          </w:p>
        </w:tc>
        <w:tc>
          <w:tcPr>
            <w:tcW w:w="1371" w:type="dxa"/>
            <w:vAlign w:val="top"/>
          </w:tcPr>
          <w:p>
            <w:pPr>
              <w:spacing w:line="400" w:lineRule="exact"/>
              <w:rPr>
                <w:rFonts w:hint="eastAsia" w:ascii="宋体" w:hAnsi="宋体" w:eastAsia="宋体" w:cs="宋体"/>
                <w:color w:val="auto"/>
                <w:szCs w:val="21"/>
                <w:highlight w:val="none"/>
              </w:rPr>
            </w:pPr>
          </w:p>
        </w:tc>
        <w:tc>
          <w:tcPr>
            <w:tcW w:w="2163" w:type="dxa"/>
            <w:vAlign w:val="top"/>
          </w:tcPr>
          <w:p>
            <w:pPr>
              <w:spacing w:line="400" w:lineRule="exact"/>
              <w:rPr>
                <w:rFonts w:hint="eastAsia" w:ascii="宋体" w:hAnsi="宋体" w:eastAsia="宋体" w:cs="宋体"/>
                <w:color w:val="auto"/>
                <w:szCs w:val="21"/>
                <w:highlight w:val="none"/>
              </w:rPr>
            </w:pPr>
          </w:p>
        </w:tc>
        <w:tc>
          <w:tcPr>
            <w:tcW w:w="2000" w:type="dxa"/>
            <w:vAlign w:val="top"/>
          </w:tcPr>
          <w:p>
            <w:pPr>
              <w:spacing w:line="400" w:lineRule="exact"/>
              <w:rPr>
                <w:rFonts w:hint="eastAsia" w:ascii="宋体" w:hAnsi="宋体" w:eastAsia="宋体" w:cs="宋体"/>
                <w:color w:val="auto"/>
                <w:szCs w:val="21"/>
                <w:highlight w:val="none"/>
              </w:rPr>
            </w:pPr>
          </w:p>
        </w:tc>
      </w:tr>
    </w:tbl>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注：1.在填写时，如本表格不适合投标单位的实际情况，可根据本表格式自行制表填写。</w:t>
      </w:r>
    </w:p>
    <w:p>
      <w:pPr>
        <w:tabs>
          <w:tab w:val="left" w:pos="1305"/>
        </w:tabs>
        <w:spacing w:line="400" w:lineRule="exact"/>
        <w:rPr>
          <w:rFonts w:hint="eastAsia" w:ascii="宋体" w:hAnsi="宋体" w:eastAsia="宋体" w:cs="宋体"/>
          <w:b/>
          <w:bCs/>
          <w:color w:val="auto"/>
          <w:sz w:val="32"/>
          <w:szCs w:val="20"/>
          <w:highlight w:val="none"/>
        </w:rPr>
      </w:pPr>
    </w:p>
    <w:p>
      <w:pPr>
        <w:spacing w:line="340" w:lineRule="exact"/>
        <w:ind w:firstLine="1890" w:firstLineChars="9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投标人（公章，自然人除外）：</w:t>
      </w:r>
      <w:r>
        <w:rPr>
          <w:rFonts w:hint="eastAsia" w:ascii="宋体" w:hAnsi="宋体" w:eastAsia="宋体" w:cs="宋体"/>
          <w:color w:val="auto"/>
          <w:sz w:val="21"/>
          <w:szCs w:val="21"/>
          <w:highlight w:val="none"/>
          <w:u w:val="single"/>
        </w:rPr>
        <w:t xml:space="preserve">                                         </w:t>
      </w:r>
    </w:p>
    <w:p>
      <w:pPr>
        <w:spacing w:line="340" w:lineRule="exact"/>
        <w:ind w:firstLine="1890" w:firstLineChars="900"/>
        <w:rPr>
          <w:rFonts w:hint="eastAsia" w:ascii="宋体" w:hAnsi="宋体" w:eastAsia="宋体" w:cs="宋体"/>
          <w:color w:val="auto"/>
          <w:sz w:val="21"/>
          <w:szCs w:val="21"/>
          <w:highlight w:val="none"/>
          <w:u w:val="single"/>
        </w:rPr>
      </w:pPr>
    </w:p>
    <w:p>
      <w:pPr>
        <w:spacing w:line="340" w:lineRule="exact"/>
        <w:ind w:firstLine="1890" w:firstLineChars="9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法定代表人、负责人、自然人或相应的委托代理人签字（或盖章）</w:t>
      </w:r>
    </w:p>
    <w:p>
      <w:pPr>
        <w:pStyle w:val="16"/>
        <w:spacing w:line="400" w:lineRule="exact"/>
        <w:ind w:firstLine="1890" w:firstLineChars="900"/>
        <w:rPr>
          <w:rFonts w:hint="eastAsia" w:ascii="宋体" w:hAnsi="宋体" w:eastAsia="宋体" w:cs="宋体"/>
          <w:bCs/>
          <w:color w:val="auto"/>
          <w:szCs w:val="21"/>
          <w:highlight w:val="none"/>
        </w:rPr>
      </w:pPr>
      <w:r>
        <w:rPr>
          <w:rFonts w:hint="eastAsia" w:ascii="宋体" w:hAnsi="宋体" w:eastAsia="宋体" w:cs="宋体"/>
          <w:color w:val="auto"/>
          <w:sz w:val="21"/>
          <w:szCs w:val="21"/>
          <w:highlight w:val="none"/>
          <w:u w:val="none"/>
        </w:rPr>
        <w:t>（属自然人的应在签名处加盖食指指印）</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pPr>
        <w:pStyle w:val="16"/>
        <w:spacing w:line="400" w:lineRule="exact"/>
        <w:ind w:firstLine="3360" w:firstLineChars="1400"/>
        <w:rPr>
          <w:rFonts w:hint="eastAsia" w:ascii="宋体" w:hAnsi="宋体" w:eastAsia="宋体" w:cs="宋体"/>
          <w:color w:val="auto"/>
          <w:highlight w:val="none"/>
        </w:rPr>
      </w:pPr>
    </w:p>
    <w:p>
      <w:pPr>
        <w:pStyle w:val="16"/>
        <w:spacing w:line="400" w:lineRule="exact"/>
        <w:ind w:firstLine="1890" w:firstLineChars="9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 xml:space="preserve">日          期：                 </w:t>
      </w:r>
    </w:p>
    <w:p>
      <w:pPr>
        <w:tabs>
          <w:tab w:val="left" w:pos="1305"/>
        </w:tabs>
        <w:spacing w:line="380" w:lineRule="exact"/>
        <w:rPr>
          <w:rFonts w:hint="eastAsia" w:ascii="宋体" w:hAnsi="宋体" w:eastAsia="宋体" w:cs="宋体"/>
          <w:b/>
          <w:bCs/>
          <w:color w:val="auto"/>
          <w:sz w:val="32"/>
          <w:szCs w:val="20"/>
          <w:highlight w:val="none"/>
        </w:rPr>
      </w:pPr>
      <w:r>
        <w:rPr>
          <w:rFonts w:hint="eastAsia" w:ascii="宋体" w:hAnsi="宋体" w:cs="宋体"/>
          <w:b/>
          <w:bCs/>
          <w:color w:val="auto"/>
          <w:sz w:val="32"/>
          <w:szCs w:val="20"/>
          <w:highlight w:val="none"/>
          <w:lang w:val="en-US" w:eastAsia="zh-CN"/>
        </w:rPr>
        <w:t>5</w:t>
      </w:r>
      <w:r>
        <w:rPr>
          <w:rFonts w:hint="eastAsia" w:ascii="宋体" w:hAnsi="宋体" w:eastAsia="宋体" w:cs="宋体"/>
          <w:b/>
          <w:bCs/>
          <w:color w:val="auto"/>
          <w:sz w:val="32"/>
          <w:szCs w:val="20"/>
          <w:highlight w:val="none"/>
          <w:lang w:val="en-US" w:eastAsia="zh-CN"/>
        </w:rPr>
        <w:t>.</w:t>
      </w:r>
      <w:r>
        <w:rPr>
          <w:rFonts w:hint="eastAsia" w:ascii="宋体" w:hAnsi="宋体" w:eastAsia="宋体" w:cs="宋体"/>
          <w:b/>
          <w:bCs/>
          <w:color w:val="auto"/>
          <w:sz w:val="32"/>
          <w:szCs w:val="20"/>
          <w:highlight w:val="none"/>
        </w:rPr>
        <w:t>投标人完成同类服务业绩的相关证明材料【无不良记录，以中标（成交）通知书或签订的合同为准】（如有，请提供）；</w:t>
      </w:r>
    </w:p>
    <w:p>
      <w:pPr>
        <w:tabs>
          <w:tab w:val="left" w:pos="1305"/>
        </w:tabs>
        <w:spacing w:line="380" w:lineRule="exact"/>
        <w:ind w:firstLine="643" w:firstLineChars="200"/>
        <w:rPr>
          <w:rFonts w:hint="eastAsia" w:ascii="宋体" w:hAnsi="宋体" w:eastAsia="宋体" w:cs="宋体"/>
          <w:b/>
          <w:bCs/>
          <w:color w:val="auto"/>
          <w:sz w:val="32"/>
          <w:szCs w:val="20"/>
          <w:highlight w:val="none"/>
        </w:rPr>
      </w:pPr>
    </w:p>
    <w:p>
      <w:pPr>
        <w:pStyle w:val="2"/>
        <w:rPr>
          <w:rFonts w:hint="eastAsia" w:ascii="宋体" w:hAnsi="宋体" w:eastAsia="宋体" w:cs="宋体"/>
          <w:b/>
          <w:bCs/>
          <w:color w:val="auto"/>
          <w:sz w:val="32"/>
          <w:szCs w:val="20"/>
          <w:highlight w:val="none"/>
        </w:rPr>
      </w:pPr>
    </w:p>
    <w:p>
      <w:pPr>
        <w:pStyle w:val="2"/>
        <w:rPr>
          <w:rFonts w:hint="eastAsia" w:ascii="宋体" w:hAnsi="宋体" w:eastAsia="宋体" w:cs="宋体"/>
          <w:b/>
          <w:bCs/>
          <w:color w:val="auto"/>
          <w:sz w:val="32"/>
          <w:szCs w:val="20"/>
          <w:highlight w:val="none"/>
        </w:rPr>
      </w:pPr>
    </w:p>
    <w:p>
      <w:pPr>
        <w:tabs>
          <w:tab w:val="left" w:pos="1305"/>
        </w:tabs>
        <w:spacing w:line="380" w:lineRule="exact"/>
        <w:ind w:firstLine="643" w:firstLineChars="200"/>
        <w:rPr>
          <w:rFonts w:hint="eastAsia" w:ascii="宋体" w:hAnsi="宋体" w:eastAsia="宋体" w:cs="宋体"/>
          <w:b/>
          <w:bCs/>
          <w:color w:val="auto"/>
          <w:sz w:val="32"/>
          <w:szCs w:val="20"/>
          <w:highlight w:val="none"/>
        </w:rPr>
      </w:pPr>
    </w:p>
    <w:p>
      <w:pPr>
        <w:tabs>
          <w:tab w:val="left" w:pos="1305"/>
        </w:tabs>
        <w:spacing w:line="380" w:lineRule="exact"/>
        <w:rPr>
          <w:rFonts w:hint="eastAsia" w:ascii="宋体" w:hAnsi="宋体" w:eastAsia="宋体" w:cs="宋体"/>
          <w:b/>
          <w:bCs/>
          <w:color w:val="auto"/>
          <w:sz w:val="32"/>
          <w:szCs w:val="20"/>
          <w:highlight w:val="none"/>
        </w:rPr>
      </w:pPr>
    </w:p>
    <w:p>
      <w:pPr>
        <w:tabs>
          <w:tab w:val="left" w:pos="1305"/>
        </w:tabs>
        <w:spacing w:line="380" w:lineRule="exact"/>
        <w:rPr>
          <w:rFonts w:hint="eastAsia" w:ascii="宋体" w:hAnsi="宋体" w:eastAsia="宋体" w:cs="宋体"/>
          <w:b/>
          <w:bCs/>
          <w:color w:val="auto"/>
          <w:sz w:val="32"/>
          <w:szCs w:val="20"/>
          <w:highlight w:val="none"/>
        </w:rPr>
      </w:pPr>
      <w:r>
        <w:rPr>
          <w:rFonts w:hint="eastAsia" w:ascii="宋体" w:hAnsi="宋体" w:cs="宋体"/>
          <w:b/>
          <w:bCs/>
          <w:color w:val="auto"/>
          <w:sz w:val="32"/>
          <w:szCs w:val="20"/>
          <w:highlight w:val="none"/>
          <w:lang w:val="en-US" w:eastAsia="zh-CN"/>
        </w:rPr>
        <w:t>6</w:t>
      </w:r>
      <w:r>
        <w:rPr>
          <w:rFonts w:hint="eastAsia" w:ascii="宋体" w:hAnsi="宋体" w:eastAsia="宋体" w:cs="宋体"/>
          <w:b/>
          <w:bCs/>
          <w:color w:val="auto"/>
          <w:sz w:val="32"/>
          <w:szCs w:val="20"/>
          <w:highlight w:val="none"/>
          <w:lang w:val="en-US" w:eastAsia="zh-CN"/>
        </w:rPr>
        <w:t>.</w:t>
      </w:r>
      <w:r>
        <w:rPr>
          <w:rFonts w:hint="eastAsia" w:ascii="宋体" w:hAnsi="宋体" w:eastAsia="宋体" w:cs="宋体"/>
          <w:b/>
          <w:bCs/>
          <w:color w:val="auto"/>
          <w:sz w:val="32"/>
          <w:szCs w:val="20"/>
          <w:highlight w:val="none"/>
        </w:rPr>
        <w:t>投标人相关获奖证书、认证证书等复印件（如有，请提供）；</w:t>
      </w:r>
    </w:p>
    <w:p>
      <w:pPr>
        <w:tabs>
          <w:tab w:val="left" w:pos="1305"/>
        </w:tabs>
        <w:spacing w:line="380" w:lineRule="exact"/>
        <w:rPr>
          <w:rFonts w:hint="eastAsia" w:ascii="宋体" w:hAnsi="宋体" w:eastAsia="宋体" w:cs="宋体"/>
          <w:b/>
          <w:bCs/>
          <w:color w:val="auto"/>
          <w:sz w:val="32"/>
          <w:szCs w:val="20"/>
          <w:highlight w:val="none"/>
        </w:rPr>
      </w:pPr>
    </w:p>
    <w:p>
      <w:pPr>
        <w:tabs>
          <w:tab w:val="left" w:pos="1305"/>
        </w:tabs>
        <w:spacing w:line="380" w:lineRule="exact"/>
        <w:rPr>
          <w:rFonts w:hint="eastAsia" w:ascii="宋体" w:hAnsi="宋体" w:eastAsia="宋体" w:cs="宋体"/>
          <w:b/>
          <w:bCs/>
          <w:color w:val="auto"/>
          <w:sz w:val="32"/>
          <w:szCs w:val="20"/>
          <w:highlight w:val="none"/>
        </w:rPr>
      </w:pPr>
    </w:p>
    <w:p>
      <w:pPr>
        <w:pStyle w:val="11"/>
        <w:ind w:left="0" w:leftChars="0" w:firstLine="0" w:firstLineChars="0"/>
        <w:rPr>
          <w:rFonts w:hint="eastAsia" w:ascii="宋体" w:hAnsi="宋体" w:eastAsia="宋体" w:cs="宋体"/>
          <w:b/>
          <w:bCs/>
          <w:color w:val="auto"/>
          <w:sz w:val="32"/>
          <w:szCs w:val="20"/>
          <w:highlight w:val="none"/>
        </w:rPr>
      </w:pPr>
      <w:r>
        <w:rPr>
          <w:rFonts w:hint="eastAsia" w:ascii="宋体" w:hAnsi="宋体" w:cs="宋体"/>
          <w:b/>
          <w:bCs/>
          <w:color w:val="auto"/>
          <w:sz w:val="32"/>
          <w:szCs w:val="20"/>
          <w:highlight w:val="none"/>
          <w:lang w:val="en-US" w:eastAsia="zh-CN"/>
        </w:rPr>
        <w:t>7</w:t>
      </w:r>
      <w:r>
        <w:rPr>
          <w:rFonts w:hint="eastAsia" w:ascii="宋体" w:hAnsi="宋体" w:eastAsia="宋体" w:cs="宋体"/>
          <w:b/>
          <w:bCs/>
          <w:color w:val="auto"/>
          <w:sz w:val="32"/>
          <w:szCs w:val="20"/>
          <w:highlight w:val="none"/>
          <w:lang w:val="en-US" w:eastAsia="zh-CN"/>
        </w:rPr>
        <w:t>.</w:t>
      </w:r>
      <w:r>
        <w:rPr>
          <w:rFonts w:hint="eastAsia" w:ascii="宋体" w:hAnsi="宋体" w:eastAsia="宋体" w:cs="宋体"/>
          <w:b/>
          <w:bCs/>
          <w:color w:val="auto"/>
          <w:sz w:val="32"/>
          <w:szCs w:val="20"/>
          <w:highlight w:val="none"/>
        </w:rPr>
        <w:t>投标人所投产品为广西工业产品的，如实提供《广西工业产品声明函》（如有，请提供）</w:t>
      </w:r>
    </w:p>
    <w:p>
      <w:pPr>
        <w:pStyle w:val="16"/>
        <w:ind w:firstLine="472" w:firstLineChars="147"/>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        广西工业产品声明函</w:t>
      </w:r>
    </w:p>
    <w:p>
      <w:pPr>
        <w:pStyle w:val="16"/>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本公司郑重声明，根据《招标采购促进广西工业产品产销对接实施细则》</w:t>
      </w:r>
    </w:p>
    <w:p>
      <w:pPr>
        <w:pStyle w:val="16"/>
        <w:spacing w:line="4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的规定，本公司在本次投标/竞标中或者工程项目中提供的下述产品为广西工业产品，详情如下：</w:t>
      </w:r>
    </w:p>
    <w:tbl>
      <w:tblPr>
        <w:tblStyle w:val="24"/>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617"/>
        <w:gridCol w:w="903"/>
        <w:gridCol w:w="2160"/>
        <w:gridCol w:w="10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0" w:type="dxa"/>
            <w:vAlign w:val="center"/>
          </w:tcPr>
          <w:p>
            <w:pPr>
              <w:pStyle w:val="16"/>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20" w:type="dxa"/>
            <w:vAlign w:val="center"/>
          </w:tcPr>
          <w:p>
            <w:pPr>
              <w:pStyle w:val="16"/>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产品名称</w:t>
            </w:r>
          </w:p>
        </w:tc>
        <w:tc>
          <w:tcPr>
            <w:tcW w:w="1617" w:type="dxa"/>
            <w:vAlign w:val="center"/>
          </w:tcPr>
          <w:p>
            <w:pPr>
              <w:pStyle w:val="16"/>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型号和规格</w:t>
            </w:r>
          </w:p>
        </w:tc>
        <w:tc>
          <w:tcPr>
            <w:tcW w:w="903" w:type="dxa"/>
            <w:vAlign w:val="center"/>
          </w:tcPr>
          <w:p>
            <w:pPr>
              <w:pStyle w:val="16"/>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160" w:type="dxa"/>
            <w:vAlign w:val="center"/>
          </w:tcPr>
          <w:p>
            <w:pPr>
              <w:pStyle w:val="16"/>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制造厂商及原产地</w:t>
            </w:r>
          </w:p>
        </w:tc>
        <w:tc>
          <w:tcPr>
            <w:tcW w:w="1087" w:type="dxa"/>
            <w:vAlign w:val="center"/>
          </w:tcPr>
          <w:p>
            <w:pPr>
              <w:pStyle w:val="16"/>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投标价</w:t>
            </w:r>
          </w:p>
        </w:tc>
        <w:tc>
          <w:tcPr>
            <w:tcW w:w="1073" w:type="dxa"/>
            <w:vAlign w:val="center"/>
          </w:tcPr>
          <w:p>
            <w:pPr>
              <w:pStyle w:val="16"/>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vAlign w:val="center"/>
          </w:tcPr>
          <w:p>
            <w:pPr>
              <w:pStyle w:val="16"/>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20" w:type="dxa"/>
            <w:vAlign w:val="center"/>
          </w:tcPr>
          <w:p>
            <w:pPr>
              <w:pStyle w:val="16"/>
              <w:spacing w:line="360" w:lineRule="exact"/>
              <w:jc w:val="center"/>
              <w:rPr>
                <w:rFonts w:hint="eastAsia" w:ascii="宋体" w:hAnsi="宋体" w:eastAsia="宋体" w:cs="宋体"/>
                <w:color w:val="auto"/>
                <w:szCs w:val="21"/>
                <w:highlight w:val="none"/>
              </w:rPr>
            </w:pPr>
          </w:p>
        </w:tc>
        <w:tc>
          <w:tcPr>
            <w:tcW w:w="1617" w:type="dxa"/>
            <w:vAlign w:val="center"/>
          </w:tcPr>
          <w:p>
            <w:pPr>
              <w:pStyle w:val="16"/>
              <w:spacing w:line="360" w:lineRule="exact"/>
              <w:jc w:val="center"/>
              <w:rPr>
                <w:rFonts w:hint="eastAsia" w:ascii="宋体" w:hAnsi="宋体" w:eastAsia="宋体" w:cs="宋体"/>
                <w:color w:val="auto"/>
                <w:szCs w:val="21"/>
                <w:highlight w:val="none"/>
              </w:rPr>
            </w:pPr>
          </w:p>
        </w:tc>
        <w:tc>
          <w:tcPr>
            <w:tcW w:w="903" w:type="dxa"/>
            <w:vAlign w:val="center"/>
          </w:tcPr>
          <w:p>
            <w:pPr>
              <w:pStyle w:val="16"/>
              <w:spacing w:line="360" w:lineRule="exact"/>
              <w:jc w:val="center"/>
              <w:rPr>
                <w:rFonts w:hint="eastAsia" w:ascii="宋体" w:hAnsi="宋体" w:eastAsia="宋体" w:cs="宋体"/>
                <w:color w:val="auto"/>
                <w:szCs w:val="21"/>
                <w:highlight w:val="none"/>
              </w:rPr>
            </w:pPr>
          </w:p>
        </w:tc>
        <w:tc>
          <w:tcPr>
            <w:tcW w:w="2160" w:type="dxa"/>
            <w:vAlign w:val="center"/>
          </w:tcPr>
          <w:p>
            <w:pPr>
              <w:pStyle w:val="16"/>
              <w:spacing w:line="360" w:lineRule="exact"/>
              <w:jc w:val="center"/>
              <w:rPr>
                <w:rFonts w:hint="eastAsia" w:ascii="宋体" w:hAnsi="宋体" w:eastAsia="宋体" w:cs="宋体"/>
                <w:color w:val="auto"/>
                <w:szCs w:val="21"/>
                <w:highlight w:val="none"/>
              </w:rPr>
            </w:pPr>
          </w:p>
        </w:tc>
        <w:tc>
          <w:tcPr>
            <w:tcW w:w="1087" w:type="dxa"/>
            <w:vAlign w:val="center"/>
          </w:tcPr>
          <w:p>
            <w:pPr>
              <w:pStyle w:val="16"/>
              <w:spacing w:line="360" w:lineRule="exact"/>
              <w:jc w:val="center"/>
              <w:rPr>
                <w:rFonts w:hint="eastAsia" w:ascii="宋体" w:hAnsi="宋体" w:eastAsia="宋体" w:cs="宋体"/>
                <w:color w:val="auto"/>
                <w:szCs w:val="21"/>
                <w:highlight w:val="none"/>
              </w:rPr>
            </w:pPr>
          </w:p>
        </w:tc>
        <w:tc>
          <w:tcPr>
            <w:tcW w:w="1073" w:type="dxa"/>
            <w:vAlign w:val="center"/>
          </w:tcPr>
          <w:p>
            <w:pPr>
              <w:pStyle w:val="16"/>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vAlign w:val="center"/>
          </w:tcPr>
          <w:p>
            <w:pPr>
              <w:pStyle w:val="16"/>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620" w:type="dxa"/>
            <w:vAlign w:val="center"/>
          </w:tcPr>
          <w:p>
            <w:pPr>
              <w:pStyle w:val="16"/>
              <w:spacing w:line="360" w:lineRule="exact"/>
              <w:jc w:val="center"/>
              <w:rPr>
                <w:rFonts w:hint="eastAsia" w:ascii="宋体" w:hAnsi="宋体" w:eastAsia="宋体" w:cs="宋体"/>
                <w:color w:val="auto"/>
                <w:szCs w:val="21"/>
                <w:highlight w:val="none"/>
              </w:rPr>
            </w:pPr>
          </w:p>
        </w:tc>
        <w:tc>
          <w:tcPr>
            <w:tcW w:w="1617" w:type="dxa"/>
            <w:vAlign w:val="center"/>
          </w:tcPr>
          <w:p>
            <w:pPr>
              <w:pStyle w:val="16"/>
              <w:spacing w:line="360" w:lineRule="exact"/>
              <w:jc w:val="center"/>
              <w:rPr>
                <w:rFonts w:hint="eastAsia" w:ascii="宋体" w:hAnsi="宋体" w:eastAsia="宋体" w:cs="宋体"/>
                <w:color w:val="auto"/>
                <w:szCs w:val="21"/>
                <w:highlight w:val="none"/>
              </w:rPr>
            </w:pPr>
          </w:p>
        </w:tc>
        <w:tc>
          <w:tcPr>
            <w:tcW w:w="903" w:type="dxa"/>
            <w:vAlign w:val="center"/>
          </w:tcPr>
          <w:p>
            <w:pPr>
              <w:pStyle w:val="16"/>
              <w:spacing w:line="360" w:lineRule="exact"/>
              <w:jc w:val="center"/>
              <w:rPr>
                <w:rFonts w:hint="eastAsia" w:ascii="宋体" w:hAnsi="宋体" w:eastAsia="宋体" w:cs="宋体"/>
                <w:color w:val="auto"/>
                <w:szCs w:val="21"/>
                <w:highlight w:val="none"/>
              </w:rPr>
            </w:pPr>
          </w:p>
        </w:tc>
        <w:tc>
          <w:tcPr>
            <w:tcW w:w="2160" w:type="dxa"/>
            <w:vAlign w:val="center"/>
          </w:tcPr>
          <w:p>
            <w:pPr>
              <w:pStyle w:val="16"/>
              <w:spacing w:line="360" w:lineRule="exact"/>
              <w:jc w:val="center"/>
              <w:rPr>
                <w:rFonts w:hint="eastAsia" w:ascii="宋体" w:hAnsi="宋体" w:eastAsia="宋体" w:cs="宋体"/>
                <w:color w:val="auto"/>
                <w:szCs w:val="21"/>
                <w:highlight w:val="none"/>
              </w:rPr>
            </w:pPr>
          </w:p>
        </w:tc>
        <w:tc>
          <w:tcPr>
            <w:tcW w:w="1087" w:type="dxa"/>
            <w:vAlign w:val="center"/>
          </w:tcPr>
          <w:p>
            <w:pPr>
              <w:pStyle w:val="16"/>
              <w:spacing w:line="360" w:lineRule="exact"/>
              <w:jc w:val="center"/>
              <w:rPr>
                <w:rFonts w:hint="eastAsia" w:ascii="宋体" w:hAnsi="宋体" w:eastAsia="宋体" w:cs="宋体"/>
                <w:color w:val="auto"/>
                <w:szCs w:val="21"/>
                <w:highlight w:val="none"/>
              </w:rPr>
            </w:pPr>
          </w:p>
        </w:tc>
        <w:tc>
          <w:tcPr>
            <w:tcW w:w="1073" w:type="dxa"/>
            <w:vAlign w:val="center"/>
          </w:tcPr>
          <w:p>
            <w:pPr>
              <w:pStyle w:val="16"/>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vAlign w:val="center"/>
          </w:tcPr>
          <w:p>
            <w:pPr>
              <w:pStyle w:val="16"/>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20" w:type="dxa"/>
            <w:vAlign w:val="center"/>
          </w:tcPr>
          <w:p>
            <w:pPr>
              <w:pStyle w:val="16"/>
              <w:spacing w:line="360" w:lineRule="exact"/>
              <w:jc w:val="center"/>
              <w:rPr>
                <w:rFonts w:hint="eastAsia" w:ascii="宋体" w:hAnsi="宋体" w:eastAsia="宋体" w:cs="宋体"/>
                <w:color w:val="auto"/>
                <w:szCs w:val="21"/>
                <w:highlight w:val="none"/>
              </w:rPr>
            </w:pPr>
          </w:p>
        </w:tc>
        <w:tc>
          <w:tcPr>
            <w:tcW w:w="1617" w:type="dxa"/>
            <w:vAlign w:val="center"/>
          </w:tcPr>
          <w:p>
            <w:pPr>
              <w:pStyle w:val="16"/>
              <w:spacing w:line="360" w:lineRule="exact"/>
              <w:jc w:val="center"/>
              <w:rPr>
                <w:rFonts w:hint="eastAsia" w:ascii="宋体" w:hAnsi="宋体" w:eastAsia="宋体" w:cs="宋体"/>
                <w:color w:val="auto"/>
                <w:szCs w:val="21"/>
                <w:highlight w:val="none"/>
              </w:rPr>
            </w:pPr>
          </w:p>
        </w:tc>
        <w:tc>
          <w:tcPr>
            <w:tcW w:w="903" w:type="dxa"/>
            <w:vAlign w:val="center"/>
          </w:tcPr>
          <w:p>
            <w:pPr>
              <w:pStyle w:val="16"/>
              <w:spacing w:line="360" w:lineRule="exact"/>
              <w:jc w:val="center"/>
              <w:rPr>
                <w:rFonts w:hint="eastAsia" w:ascii="宋体" w:hAnsi="宋体" w:eastAsia="宋体" w:cs="宋体"/>
                <w:color w:val="auto"/>
                <w:szCs w:val="21"/>
                <w:highlight w:val="none"/>
              </w:rPr>
            </w:pPr>
          </w:p>
        </w:tc>
        <w:tc>
          <w:tcPr>
            <w:tcW w:w="2160" w:type="dxa"/>
            <w:vAlign w:val="center"/>
          </w:tcPr>
          <w:p>
            <w:pPr>
              <w:pStyle w:val="16"/>
              <w:spacing w:line="360" w:lineRule="exact"/>
              <w:jc w:val="center"/>
              <w:rPr>
                <w:rFonts w:hint="eastAsia" w:ascii="宋体" w:hAnsi="宋体" w:eastAsia="宋体" w:cs="宋体"/>
                <w:color w:val="auto"/>
                <w:szCs w:val="21"/>
                <w:highlight w:val="none"/>
              </w:rPr>
            </w:pPr>
          </w:p>
        </w:tc>
        <w:tc>
          <w:tcPr>
            <w:tcW w:w="1087" w:type="dxa"/>
            <w:vAlign w:val="center"/>
          </w:tcPr>
          <w:p>
            <w:pPr>
              <w:pStyle w:val="16"/>
              <w:spacing w:line="360" w:lineRule="exact"/>
              <w:jc w:val="center"/>
              <w:rPr>
                <w:rFonts w:hint="eastAsia" w:ascii="宋体" w:hAnsi="宋体" w:eastAsia="宋体" w:cs="宋体"/>
                <w:color w:val="auto"/>
                <w:szCs w:val="21"/>
                <w:highlight w:val="none"/>
              </w:rPr>
            </w:pPr>
          </w:p>
        </w:tc>
        <w:tc>
          <w:tcPr>
            <w:tcW w:w="1073" w:type="dxa"/>
            <w:vAlign w:val="center"/>
          </w:tcPr>
          <w:p>
            <w:pPr>
              <w:pStyle w:val="16"/>
              <w:spacing w:line="36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0" w:type="dxa"/>
            <w:vAlign w:val="center"/>
          </w:tcPr>
          <w:p>
            <w:pPr>
              <w:pStyle w:val="16"/>
              <w:spacing w:line="360" w:lineRule="exact"/>
              <w:jc w:val="center"/>
              <w:rPr>
                <w:rFonts w:hint="eastAsia" w:ascii="宋体" w:hAnsi="宋体" w:eastAsia="宋体" w:cs="宋体"/>
                <w:color w:val="auto"/>
                <w:szCs w:val="21"/>
                <w:highlight w:val="none"/>
              </w:rPr>
            </w:pPr>
          </w:p>
        </w:tc>
        <w:tc>
          <w:tcPr>
            <w:tcW w:w="1620" w:type="dxa"/>
            <w:vAlign w:val="center"/>
          </w:tcPr>
          <w:p>
            <w:pPr>
              <w:pStyle w:val="16"/>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广西工业产品合计价格</w:t>
            </w:r>
          </w:p>
        </w:tc>
        <w:tc>
          <w:tcPr>
            <w:tcW w:w="2520" w:type="dxa"/>
            <w:gridSpan w:val="2"/>
            <w:vAlign w:val="center"/>
          </w:tcPr>
          <w:p>
            <w:pPr>
              <w:pStyle w:val="16"/>
              <w:spacing w:line="360" w:lineRule="exact"/>
              <w:jc w:val="center"/>
              <w:rPr>
                <w:rFonts w:hint="eastAsia" w:ascii="宋体" w:hAnsi="宋体" w:eastAsia="宋体" w:cs="宋体"/>
                <w:color w:val="auto"/>
                <w:szCs w:val="21"/>
                <w:highlight w:val="none"/>
              </w:rPr>
            </w:pPr>
          </w:p>
        </w:tc>
        <w:tc>
          <w:tcPr>
            <w:tcW w:w="2160" w:type="dxa"/>
            <w:vAlign w:val="center"/>
          </w:tcPr>
          <w:p>
            <w:pPr>
              <w:pStyle w:val="16"/>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占投标总价比例</w:t>
            </w:r>
          </w:p>
        </w:tc>
        <w:tc>
          <w:tcPr>
            <w:tcW w:w="2160" w:type="dxa"/>
            <w:gridSpan w:val="2"/>
            <w:vAlign w:val="center"/>
          </w:tcPr>
          <w:p>
            <w:pPr>
              <w:pStyle w:val="16"/>
              <w:spacing w:line="360" w:lineRule="exact"/>
              <w:jc w:val="center"/>
              <w:rPr>
                <w:rFonts w:hint="eastAsia" w:ascii="宋体" w:hAnsi="宋体" w:eastAsia="宋体" w:cs="宋体"/>
                <w:color w:val="auto"/>
                <w:szCs w:val="21"/>
                <w:highlight w:val="none"/>
              </w:rPr>
            </w:pPr>
          </w:p>
        </w:tc>
      </w:tr>
    </w:tbl>
    <w:p>
      <w:pPr>
        <w:pStyle w:val="16"/>
        <w:spacing w:line="460" w:lineRule="exact"/>
        <w:ind w:left="274" w:leftChars="114"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本公司对上述声明的真实性负责。如有虚假，将依法承担相应责任。</w:t>
      </w:r>
    </w:p>
    <w:p>
      <w:pPr>
        <w:pStyle w:val="16"/>
        <w:spacing w:line="460" w:lineRule="exact"/>
        <w:ind w:left="274" w:leftChars="114" w:firstLine="240" w:firstLineChars="100"/>
        <w:rPr>
          <w:rFonts w:hint="eastAsia" w:ascii="宋体" w:hAnsi="宋体" w:eastAsia="宋体" w:cs="宋体"/>
          <w:color w:val="auto"/>
          <w:sz w:val="24"/>
          <w:szCs w:val="24"/>
          <w:highlight w:val="none"/>
        </w:rPr>
      </w:pPr>
    </w:p>
    <w:p>
      <w:pPr>
        <w:pStyle w:val="16"/>
        <w:spacing w:line="460" w:lineRule="exact"/>
        <w:ind w:firstLine="4560" w:firstLineChars="1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pStyle w:val="11"/>
        <w:ind w:firstLine="4500" w:firstLineChars="1875"/>
        <w:rPr>
          <w:rFonts w:hint="eastAsia" w:ascii="宋体" w:hAnsi="宋体" w:eastAsia="宋体" w:cs="宋体"/>
          <w:b/>
          <w:bCs/>
          <w:color w:val="auto"/>
          <w:sz w:val="32"/>
          <w:szCs w:val="20"/>
          <w:highlight w:val="none"/>
        </w:rPr>
      </w:pPr>
      <w:r>
        <w:rPr>
          <w:rFonts w:hint="eastAsia" w:ascii="宋体" w:hAnsi="宋体" w:eastAsia="宋体" w:cs="宋体"/>
          <w:color w:val="auto"/>
          <w:sz w:val="24"/>
          <w:szCs w:val="24"/>
          <w:highlight w:val="none"/>
        </w:rPr>
        <w:t>日 期：</w:t>
      </w:r>
    </w:p>
    <w:p>
      <w:pPr>
        <w:pStyle w:val="11"/>
        <w:rPr>
          <w:rFonts w:hint="eastAsia" w:ascii="宋体" w:hAnsi="宋体" w:eastAsia="宋体" w:cs="宋体"/>
          <w:b/>
          <w:bCs/>
          <w:color w:val="auto"/>
          <w:sz w:val="32"/>
          <w:szCs w:val="20"/>
          <w:highlight w:val="none"/>
        </w:rPr>
      </w:pPr>
    </w:p>
    <w:p>
      <w:pPr>
        <w:pStyle w:val="11"/>
        <w:rPr>
          <w:rFonts w:hint="eastAsia" w:ascii="宋体" w:hAnsi="宋体" w:eastAsia="宋体" w:cs="宋体"/>
          <w:b/>
          <w:bCs/>
          <w:color w:val="auto"/>
          <w:sz w:val="32"/>
          <w:szCs w:val="20"/>
          <w:highlight w:val="none"/>
        </w:rPr>
      </w:pPr>
    </w:p>
    <w:p>
      <w:pPr>
        <w:tabs>
          <w:tab w:val="left" w:pos="1305"/>
        </w:tabs>
        <w:spacing w:line="380" w:lineRule="exact"/>
        <w:rPr>
          <w:rFonts w:hint="eastAsia" w:ascii="宋体" w:hAnsi="宋体" w:eastAsia="宋体" w:cs="宋体"/>
          <w:b/>
          <w:bCs/>
          <w:color w:val="auto"/>
          <w:sz w:val="32"/>
          <w:szCs w:val="20"/>
          <w:highlight w:val="none"/>
          <w:lang w:eastAsia="zh-CN"/>
        </w:rPr>
      </w:pPr>
      <w:r>
        <w:rPr>
          <w:rFonts w:hint="eastAsia" w:ascii="宋体" w:hAnsi="宋体" w:cs="宋体"/>
          <w:b/>
          <w:bCs/>
          <w:color w:val="auto"/>
          <w:sz w:val="32"/>
          <w:szCs w:val="20"/>
          <w:highlight w:val="none"/>
          <w:lang w:val="en-US" w:eastAsia="zh-CN"/>
        </w:rPr>
        <w:t>8</w:t>
      </w:r>
      <w:r>
        <w:rPr>
          <w:rFonts w:hint="eastAsia" w:ascii="宋体" w:hAnsi="宋体" w:eastAsia="宋体" w:cs="宋体"/>
          <w:b/>
          <w:bCs/>
          <w:color w:val="auto"/>
          <w:sz w:val="32"/>
          <w:szCs w:val="20"/>
          <w:highlight w:val="none"/>
          <w:lang w:val="en-US" w:eastAsia="zh-CN"/>
        </w:rPr>
        <w:t>.</w:t>
      </w:r>
      <w:r>
        <w:rPr>
          <w:rFonts w:hint="eastAsia" w:ascii="宋体" w:hAnsi="宋体" w:eastAsia="宋体" w:cs="宋体"/>
          <w:b/>
          <w:bCs/>
          <w:color w:val="auto"/>
          <w:sz w:val="32"/>
          <w:szCs w:val="20"/>
          <w:highlight w:val="none"/>
        </w:rPr>
        <w:t xml:space="preserve">投标人属于小型、微型企业的，应提供《中小企业声明函》；属于监狱企业的，应当提供由省级以上监狱管理局、戒毒管理局(含新疆生产建设兵团)出具的属于监狱企业的证明文件（如有，请提供） </w:t>
      </w:r>
      <w:r>
        <w:rPr>
          <w:rFonts w:hint="eastAsia" w:ascii="宋体" w:hAnsi="宋体" w:eastAsia="宋体" w:cs="宋体"/>
          <w:b/>
          <w:bCs/>
          <w:color w:val="auto"/>
          <w:sz w:val="32"/>
          <w:szCs w:val="20"/>
          <w:highlight w:val="none"/>
          <w:lang w:eastAsia="zh-CN"/>
        </w:rPr>
        <w:t>；</w:t>
      </w:r>
    </w:p>
    <w:p>
      <w:pPr>
        <w:tabs>
          <w:tab w:val="left" w:pos="1305"/>
        </w:tabs>
        <w:spacing w:line="380" w:lineRule="exact"/>
        <w:rPr>
          <w:rFonts w:hint="eastAsia" w:ascii="宋体" w:hAnsi="宋体" w:eastAsia="宋体" w:cs="宋体"/>
          <w:b/>
          <w:bCs/>
          <w:color w:val="auto"/>
          <w:sz w:val="32"/>
          <w:szCs w:val="20"/>
          <w:highlight w:val="none"/>
        </w:rPr>
      </w:pPr>
    </w:p>
    <w:p>
      <w:pPr>
        <w:tabs>
          <w:tab w:val="left" w:pos="1305"/>
        </w:tabs>
        <w:spacing w:line="380" w:lineRule="exact"/>
        <w:rPr>
          <w:rFonts w:hint="eastAsia" w:ascii="宋体" w:hAnsi="宋体" w:eastAsia="宋体" w:cs="宋体"/>
          <w:b/>
          <w:bCs/>
          <w:color w:val="auto"/>
          <w:sz w:val="32"/>
          <w:szCs w:val="20"/>
          <w:highlight w:val="none"/>
        </w:rPr>
      </w:pPr>
      <w:r>
        <w:rPr>
          <w:rFonts w:hint="eastAsia" w:ascii="宋体" w:hAnsi="宋体" w:eastAsia="宋体" w:cs="宋体"/>
          <w:b/>
          <w:bCs/>
          <w:color w:val="auto"/>
          <w:sz w:val="32"/>
          <w:szCs w:val="20"/>
          <w:highlight w:val="none"/>
        </w:rPr>
        <w:t>附件：</w:t>
      </w:r>
    </w:p>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sz w:val="24"/>
          <w:szCs w:val="24"/>
        </w:rPr>
      </w:pPr>
      <w:r>
        <w:rPr>
          <w:rFonts w:hint="eastAsia" w:ascii="宋体" w:hAnsi="宋体" w:eastAsia="宋体" w:cs="宋体"/>
          <w:b/>
          <w:i w:val="0"/>
          <w:iCs w:val="0"/>
          <w:color w:val="000000"/>
          <w:kern w:val="0"/>
          <w:sz w:val="24"/>
          <w:szCs w:val="24"/>
          <w:lang w:val="en-US" w:eastAsia="zh-CN" w:bidi="ar"/>
        </w:rPr>
        <w:t>中小企业声明函</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本公司郑重声明，根据《政府采购促进中小企业发展管理办法》（财库﹝2020﹞46号）的规定，本公司参加（单位名称）的（项目名称）采购活动，提供的货物全部由符合政策要求的中小企业制造。相关企业的具体情况如下：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1.（标的名称） ，属于（采购文件中明确的所属行业）行业；制造商为（企业名称），从业人员人，营业收入为万元，资产总额为万元，属于（中型企业、小型企业、微型企业）；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2.（标的名称） ，属于（采购文件中明确的所属行业）行业；制造商为（企业名称），从业人员人，营业收入为万元，资产总额为万元，属于（中型企业、小型企业、微型企业）；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480" w:lineRule="auto"/>
        <w:jc w:val="right"/>
        <w:textAlignment w:val="auto"/>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sz w:val="24"/>
          <w:szCs w:val="24"/>
        </w:rPr>
      </w:pPr>
      <w:r>
        <w:rPr>
          <w:rFonts w:hint="eastAsia" w:ascii="宋体" w:hAnsi="宋体" w:cs="宋体"/>
          <w:i w:val="0"/>
          <w:iCs w:val="0"/>
          <w:color w:val="000000"/>
          <w:kern w:val="0"/>
          <w:sz w:val="24"/>
          <w:szCs w:val="24"/>
          <w:lang w:val="en-US" w:eastAsia="zh-CN" w:bidi="ar"/>
        </w:rPr>
        <w:t xml:space="preserve">                                       </w:t>
      </w:r>
      <w:r>
        <w:rPr>
          <w:rFonts w:hint="eastAsia" w:ascii="宋体" w:hAnsi="宋体" w:eastAsia="宋体" w:cs="宋体"/>
          <w:i w:val="0"/>
          <w:iCs w:val="0"/>
          <w:color w:val="000000"/>
          <w:kern w:val="0"/>
          <w:sz w:val="24"/>
          <w:szCs w:val="24"/>
          <w:lang w:val="en-US" w:eastAsia="zh-CN" w:bidi="ar"/>
        </w:rPr>
        <w:t xml:space="preserve">日 期：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从业人员、营业收入、资产总额填报上一年度数据，无上一年度数据的新成立企业可不填报。</w:t>
      </w:r>
    </w:p>
    <w:p>
      <w:pPr>
        <w:tabs>
          <w:tab w:val="left" w:pos="1305"/>
        </w:tabs>
        <w:spacing w:line="380" w:lineRule="exact"/>
        <w:ind w:firstLine="4819" w:firstLineChars="1500"/>
        <w:rPr>
          <w:rFonts w:hint="eastAsia" w:ascii="宋体" w:hAnsi="宋体" w:eastAsia="宋体" w:cs="宋体"/>
          <w:b/>
          <w:bCs/>
          <w:color w:val="auto"/>
          <w:sz w:val="32"/>
          <w:szCs w:val="32"/>
          <w:highlight w:val="none"/>
        </w:rPr>
      </w:pPr>
    </w:p>
    <w:p>
      <w:pPr>
        <w:snapToGrid w:val="0"/>
        <w:spacing w:line="400" w:lineRule="exact"/>
        <w:ind w:firstLine="803" w:firstLineChars="250"/>
        <w:outlineLvl w:val="4"/>
        <w:rPr>
          <w:rFonts w:hint="eastAsia" w:ascii="宋体" w:hAnsi="宋体" w:eastAsia="宋体" w:cs="宋体"/>
          <w:b/>
          <w:bCs/>
          <w:color w:val="auto"/>
          <w:sz w:val="32"/>
          <w:szCs w:val="20"/>
          <w:highlight w:val="none"/>
        </w:rPr>
      </w:pPr>
    </w:p>
    <w:p>
      <w:pPr>
        <w:snapToGrid w:val="0"/>
        <w:spacing w:line="400" w:lineRule="exact"/>
        <w:ind w:firstLine="803" w:firstLineChars="250"/>
        <w:outlineLvl w:val="4"/>
        <w:rPr>
          <w:rFonts w:hint="eastAsia" w:ascii="宋体" w:hAnsi="宋体" w:eastAsia="宋体" w:cs="宋体"/>
          <w:b/>
          <w:bCs/>
          <w:color w:val="auto"/>
          <w:sz w:val="32"/>
          <w:szCs w:val="20"/>
          <w:highlight w:val="none"/>
        </w:rPr>
      </w:pPr>
    </w:p>
    <w:p>
      <w:pPr>
        <w:tabs>
          <w:tab w:val="left" w:pos="1305"/>
        </w:tabs>
        <w:spacing w:line="380" w:lineRule="exact"/>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9</w:t>
      </w:r>
      <w:r>
        <w:rPr>
          <w:rFonts w:hint="eastAsia" w:ascii="宋体" w:hAnsi="宋体" w:eastAsia="宋体" w:cs="宋体"/>
          <w:b/>
          <w:bCs/>
          <w:color w:val="auto"/>
          <w:sz w:val="32"/>
          <w:szCs w:val="32"/>
          <w:highlight w:val="none"/>
          <w:lang w:val="en-US" w:eastAsia="zh-CN"/>
        </w:rPr>
        <w:t>.</w:t>
      </w:r>
      <w:r>
        <w:rPr>
          <w:rFonts w:hint="eastAsia" w:ascii="宋体" w:hAnsi="宋体" w:eastAsia="宋体" w:cs="宋体"/>
          <w:b/>
          <w:bCs/>
          <w:color w:val="auto"/>
          <w:sz w:val="32"/>
          <w:szCs w:val="32"/>
          <w:highlight w:val="none"/>
        </w:rPr>
        <w:t>符合条件的残疾人福利性单位在参加政府采购活动时，应当提供《残疾人福利性单位声明函》（见附件），并对声明的真实性负责（如有，请提供）</w:t>
      </w:r>
    </w:p>
    <w:p>
      <w:pPr>
        <w:spacing w:line="588" w:lineRule="exact"/>
        <w:jc w:val="center"/>
        <w:rPr>
          <w:rFonts w:hint="eastAsia" w:ascii="宋体" w:hAnsi="宋体" w:eastAsia="宋体" w:cs="宋体"/>
          <w:b/>
          <w:color w:val="auto"/>
          <w:spacing w:val="6"/>
          <w:sz w:val="32"/>
          <w:szCs w:val="32"/>
          <w:highlight w:val="none"/>
        </w:rPr>
      </w:pPr>
      <w:bookmarkStart w:id="31" w:name="OLE_LINK13"/>
      <w:bookmarkStart w:id="32" w:name="OLE_LINK14"/>
    </w:p>
    <w:p>
      <w:pPr>
        <w:spacing w:line="588"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bookmarkEnd w:id="31"/>
    <w:bookmarkEnd w:id="32"/>
    <w:p>
      <w:pPr>
        <w:spacing w:line="588" w:lineRule="exact"/>
        <w:rPr>
          <w:rFonts w:hint="eastAsia" w:ascii="宋体" w:hAnsi="宋体" w:eastAsia="宋体" w:cs="宋体"/>
          <w:b/>
          <w:color w:val="auto"/>
          <w:spacing w:val="6"/>
          <w:sz w:val="30"/>
          <w:szCs w:val="30"/>
          <w:highlight w:val="none"/>
        </w:rPr>
      </w:pPr>
    </w:p>
    <w:p>
      <w:pPr>
        <w:spacing w:line="588" w:lineRule="exact"/>
        <w:ind w:firstLine="50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w:t>
      </w:r>
      <w:r>
        <w:rPr>
          <w:rFonts w:hint="eastAsia" w:ascii="宋体" w:hAnsi="宋体" w:eastAsia="宋体" w:cs="宋体"/>
          <w:color w:val="auto"/>
          <w:szCs w:val="21"/>
          <w:highlight w:val="none"/>
        </w:rPr>
        <w:t>〔2017〕141</w:t>
      </w:r>
      <w:r>
        <w:rPr>
          <w:rFonts w:hint="eastAsia" w:ascii="宋体" w:hAnsi="宋体" w:eastAsia="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pPr>
        <w:spacing w:line="588" w:lineRule="exact"/>
        <w:ind w:firstLine="504" w:firstLineChars="200"/>
        <w:rPr>
          <w:rFonts w:hint="eastAsia" w:ascii="宋体" w:hAnsi="宋体" w:eastAsia="宋体" w:cs="宋体"/>
          <w:color w:val="auto"/>
          <w:spacing w:val="6"/>
          <w:szCs w:val="21"/>
          <w:highlight w:val="none"/>
        </w:rPr>
      </w:pPr>
    </w:p>
    <w:p>
      <w:pPr>
        <w:spacing w:line="588" w:lineRule="exact"/>
        <w:ind w:firstLine="504" w:firstLineChars="200"/>
        <w:rPr>
          <w:rFonts w:hint="eastAsia" w:ascii="宋体" w:hAnsi="宋体" w:eastAsia="宋体" w:cs="宋体"/>
          <w:color w:val="auto"/>
          <w:spacing w:val="6"/>
          <w:szCs w:val="21"/>
          <w:highlight w:val="none"/>
        </w:rPr>
      </w:pPr>
    </w:p>
    <w:p>
      <w:pPr>
        <w:tabs>
          <w:tab w:val="left" w:pos="4860"/>
        </w:tabs>
        <w:spacing w:line="588" w:lineRule="exact"/>
        <w:ind w:right="1560" w:firstLine="50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单位名称（盖章）：</w:t>
      </w:r>
    </w:p>
    <w:p>
      <w:pPr>
        <w:tabs>
          <w:tab w:val="left" w:pos="4860"/>
        </w:tabs>
        <w:spacing w:line="588" w:lineRule="exact"/>
        <w:ind w:right="1560" w:firstLine="50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日  期：</w:t>
      </w:r>
    </w:p>
    <w:p>
      <w:pPr>
        <w:spacing w:line="500" w:lineRule="exact"/>
        <w:rPr>
          <w:rFonts w:hint="eastAsia" w:ascii="宋体" w:hAnsi="宋体" w:eastAsia="宋体" w:cs="宋体"/>
          <w:b/>
          <w:bCs/>
          <w:color w:val="auto"/>
          <w:szCs w:val="21"/>
          <w:highlight w:val="none"/>
        </w:rPr>
      </w:pPr>
    </w:p>
    <w:p>
      <w:pPr>
        <w:snapToGrid w:val="0"/>
        <w:spacing w:line="400" w:lineRule="exact"/>
        <w:ind w:firstLine="803" w:firstLineChars="250"/>
        <w:outlineLvl w:val="4"/>
        <w:rPr>
          <w:rFonts w:hint="eastAsia" w:ascii="宋体" w:hAnsi="宋体" w:eastAsia="宋体" w:cs="宋体"/>
          <w:b/>
          <w:bCs/>
          <w:color w:val="auto"/>
          <w:sz w:val="32"/>
          <w:szCs w:val="20"/>
          <w:highlight w:val="none"/>
        </w:rPr>
      </w:pPr>
    </w:p>
    <w:p>
      <w:pPr>
        <w:rPr>
          <w:rFonts w:hint="eastAsia" w:ascii="宋体" w:hAnsi="宋体" w:eastAsia="宋体" w:cs="宋体"/>
          <w:color w:val="auto"/>
          <w:highlight w:val="none"/>
        </w:rPr>
      </w:pPr>
      <w:r>
        <w:rPr>
          <w:rFonts w:hint="eastAsia" w:ascii="宋体" w:hAnsi="宋体" w:eastAsia="宋体" w:cs="宋体"/>
          <w:b/>
          <w:bCs/>
          <w:color w:val="auto"/>
          <w:sz w:val="32"/>
          <w:szCs w:val="20"/>
          <w:highlight w:val="none"/>
          <w:lang w:val="en-US" w:eastAsia="zh-CN"/>
        </w:rPr>
        <w:t>1</w:t>
      </w:r>
      <w:r>
        <w:rPr>
          <w:rFonts w:hint="eastAsia" w:ascii="宋体" w:hAnsi="宋体" w:cs="宋体"/>
          <w:b/>
          <w:bCs/>
          <w:color w:val="auto"/>
          <w:sz w:val="32"/>
          <w:szCs w:val="20"/>
          <w:highlight w:val="none"/>
          <w:lang w:val="en-US" w:eastAsia="zh-CN"/>
        </w:rPr>
        <w:t>0</w:t>
      </w:r>
      <w:r>
        <w:rPr>
          <w:rFonts w:hint="eastAsia" w:ascii="宋体" w:hAnsi="宋体" w:eastAsia="宋体" w:cs="宋体"/>
          <w:b/>
          <w:bCs/>
          <w:color w:val="auto"/>
          <w:sz w:val="32"/>
          <w:szCs w:val="20"/>
          <w:highlight w:val="none"/>
          <w:lang w:val="en-US" w:eastAsia="zh-CN"/>
        </w:rPr>
        <w:t>.</w:t>
      </w:r>
      <w:r>
        <w:rPr>
          <w:rFonts w:hint="eastAsia" w:ascii="宋体" w:hAnsi="宋体" w:eastAsia="宋体" w:cs="宋体"/>
          <w:b/>
          <w:bCs/>
          <w:color w:val="auto"/>
          <w:sz w:val="32"/>
          <w:szCs w:val="20"/>
          <w:highlight w:val="none"/>
        </w:rPr>
        <w:t>投标人可结合本项目的评标办法视自身情况自行提交相关证明</w:t>
      </w:r>
      <w:r>
        <w:rPr>
          <w:rFonts w:hint="eastAsia" w:ascii="宋体" w:hAnsi="宋体" w:eastAsia="宋体" w:cs="宋体"/>
          <w:b/>
          <w:bCs/>
          <w:color w:val="auto"/>
          <w:sz w:val="32"/>
          <w:szCs w:val="32"/>
          <w:highlight w:val="none"/>
        </w:rPr>
        <w:t>（如有，请提供）</w:t>
      </w: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ZYhMo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vZYhMoBAACcAwAADgAAAAAAAAABACAAAAAeAQAAZHJzL2Uyb0Rv&#10;Yy54bWxQSwUGAAAAAAYABgBZAQAAWgU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rPr>
                              <w:rStyle w:val="28"/>
                            </w:rPr>
                          </w:pPr>
                          <w:r>
                            <w:rPr>
                              <w:rStyle w:val="28"/>
                            </w:rPr>
                            <w:fldChar w:fldCharType="begin"/>
                          </w:r>
                          <w:r>
                            <w:rPr>
                              <w:rStyle w:val="28"/>
                            </w:rPr>
                            <w:instrText xml:space="preserve">PAGE  </w:instrText>
                          </w:r>
                          <w:r>
                            <w:rPr>
                              <w:rStyle w:val="28"/>
                            </w:rPr>
                            <w:fldChar w:fldCharType="separate"/>
                          </w:r>
                          <w:r>
                            <w:rPr>
                              <w:rStyle w:val="28"/>
                            </w:rPr>
                            <w:t>31</w:t>
                          </w:r>
                          <w:r>
                            <w:rPr>
                              <w:rStyle w:val="28"/>
                            </w:rPr>
                            <w:fldChar w:fldCharType="end"/>
                          </w:r>
                        </w:p>
                        <w:p>
                          <w:pPr>
                            <w:pStyle w:val="17"/>
                            <w:rPr>
                              <w:rStyle w:val="28"/>
                            </w:rPr>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FlBMsBAACc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ZxZQTLAQAAnAMAAA4AAAAAAAAAAQAgAAAAHgEAAGRycy9lMm9E&#10;b2MueG1sUEsFBgAAAAAGAAYAWQEAAFsFAAAAAA==&#10;">
              <v:fill on="f" focussize="0,0"/>
              <v:stroke on="f"/>
              <v:imagedata o:title=""/>
              <o:lock v:ext="edit" aspectratio="f"/>
              <v:textbox inset="0mm,0mm,0mm,0mm" style="mso-fit-shape-to-text:t;">
                <w:txbxContent>
                  <w:p>
                    <w:pPr>
                      <w:pStyle w:val="17"/>
                      <w:jc w:val="center"/>
                      <w:rPr>
                        <w:rStyle w:val="28"/>
                      </w:rPr>
                    </w:pPr>
                    <w:r>
                      <w:rPr>
                        <w:rStyle w:val="28"/>
                      </w:rPr>
                      <w:fldChar w:fldCharType="begin"/>
                    </w:r>
                    <w:r>
                      <w:rPr>
                        <w:rStyle w:val="28"/>
                      </w:rPr>
                      <w:instrText xml:space="preserve">PAGE  </w:instrText>
                    </w:r>
                    <w:r>
                      <w:rPr>
                        <w:rStyle w:val="28"/>
                      </w:rPr>
                      <w:fldChar w:fldCharType="separate"/>
                    </w:r>
                    <w:r>
                      <w:rPr>
                        <w:rStyle w:val="28"/>
                      </w:rPr>
                      <w:t>31</w:t>
                    </w:r>
                    <w:r>
                      <w:rPr>
                        <w:rStyle w:val="28"/>
                      </w:rPr>
                      <w:fldChar w:fldCharType="end"/>
                    </w:r>
                  </w:p>
                  <w:p>
                    <w:pPr>
                      <w:pStyle w:val="17"/>
                      <w:rPr>
                        <w:rStyle w:val="28"/>
                      </w:rPr>
                    </w:pPr>
                  </w:p>
                </w:txbxContent>
              </v:textbox>
            </v:shape>
          </w:pict>
        </mc:Fallback>
      </mc:AlternateContent>
    </w: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F45CA8"/>
    <w:multiLevelType w:val="singleLevel"/>
    <w:tmpl w:val="90F45CA8"/>
    <w:lvl w:ilvl="0" w:tentative="0">
      <w:start w:val="15"/>
      <w:numFmt w:val="decimal"/>
      <w:suff w:val="space"/>
      <w:lvlText w:val="%1."/>
      <w:lvlJc w:val="left"/>
      <w:rPr>
        <w:rFonts w:cs="Times New Roman"/>
      </w:rPr>
    </w:lvl>
  </w:abstractNum>
  <w:abstractNum w:abstractNumId="1">
    <w:nsid w:val="DC3E6389"/>
    <w:multiLevelType w:val="singleLevel"/>
    <w:tmpl w:val="DC3E6389"/>
    <w:lvl w:ilvl="0" w:tentative="0">
      <w:start w:val="32"/>
      <w:numFmt w:val="decimal"/>
      <w:suff w:val="space"/>
      <w:lvlText w:val="%1."/>
      <w:lvlJc w:val="left"/>
    </w:lvl>
  </w:abstractNum>
  <w:abstractNum w:abstractNumId="2">
    <w:nsid w:val="F5B1FF97"/>
    <w:multiLevelType w:val="singleLevel"/>
    <w:tmpl w:val="F5B1FF97"/>
    <w:lvl w:ilvl="0" w:tentative="0">
      <w:start w:val="1"/>
      <w:numFmt w:val="decimal"/>
      <w:lvlText w:val="(%1)"/>
      <w:lvlJc w:val="left"/>
      <w:pPr>
        <w:ind w:left="454" w:hanging="454"/>
      </w:pPr>
      <w:rPr>
        <w:rFonts w:hint="default" w:cs="Times New Roman"/>
      </w:rPr>
    </w:lvl>
  </w:abstractNum>
  <w:abstractNum w:abstractNumId="3">
    <w:nsid w:val="095C6DCD"/>
    <w:multiLevelType w:val="singleLevel"/>
    <w:tmpl w:val="095C6DCD"/>
    <w:lvl w:ilvl="0" w:tentative="0">
      <w:start w:val="1"/>
      <w:numFmt w:val="decimal"/>
      <w:lvlText w:val="(%1)"/>
      <w:lvlJc w:val="left"/>
      <w:pPr>
        <w:ind w:left="425" w:hanging="425"/>
      </w:pPr>
      <w:rPr>
        <w:rFonts w:hint="default" w:cs="Times New Roman"/>
      </w:rPr>
    </w:lvl>
  </w:abstractNum>
  <w:abstractNum w:abstractNumId="4">
    <w:nsid w:val="33CA9C82"/>
    <w:multiLevelType w:val="singleLevel"/>
    <w:tmpl w:val="33CA9C82"/>
    <w:lvl w:ilvl="0" w:tentative="0">
      <w:start w:val="4"/>
      <w:numFmt w:val="decimal"/>
      <w:suff w:val="nothing"/>
      <w:lvlText w:val="（%1）"/>
      <w:lvlJc w:val="left"/>
    </w:lvl>
  </w:abstractNum>
  <w:abstractNum w:abstractNumId="5">
    <w:nsid w:val="3C7339B6"/>
    <w:multiLevelType w:val="multilevel"/>
    <w:tmpl w:val="3C7339B6"/>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6">
    <w:nsid w:val="46E79AAE"/>
    <w:multiLevelType w:val="singleLevel"/>
    <w:tmpl w:val="46E79AAE"/>
    <w:lvl w:ilvl="0" w:tentative="0">
      <w:start w:val="5"/>
      <w:numFmt w:val="decimal"/>
      <w:lvlText w:val="%1."/>
      <w:lvlJc w:val="left"/>
      <w:pPr>
        <w:tabs>
          <w:tab w:val="left" w:pos="312"/>
        </w:tabs>
      </w:pPr>
    </w:lvl>
  </w:abstractNum>
  <w:abstractNum w:abstractNumId="7">
    <w:nsid w:val="661C7FDE"/>
    <w:multiLevelType w:val="multilevel"/>
    <w:tmpl w:val="661C7FDE"/>
    <w:lvl w:ilvl="0" w:tentative="0">
      <w:start w:val="2"/>
      <w:numFmt w:val="decimal"/>
      <w:pStyle w:val="60"/>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8">
    <w:nsid w:val="7A2CA95C"/>
    <w:multiLevelType w:val="singleLevel"/>
    <w:tmpl w:val="7A2CA95C"/>
    <w:lvl w:ilvl="0" w:tentative="0">
      <w:start w:val="1"/>
      <w:numFmt w:val="decimal"/>
      <w:lvlText w:val="(%1)"/>
      <w:lvlJc w:val="left"/>
      <w:pPr>
        <w:ind w:left="425" w:hanging="425"/>
      </w:pPr>
      <w:rPr>
        <w:rFonts w:hint="default" w:cs="Times New Roman"/>
      </w:rPr>
    </w:lvl>
  </w:abstractNum>
  <w:abstractNum w:abstractNumId="9">
    <w:nsid w:val="7DF6D3FB"/>
    <w:multiLevelType w:val="singleLevel"/>
    <w:tmpl w:val="7DF6D3FB"/>
    <w:lvl w:ilvl="0" w:tentative="0">
      <w:start w:val="5"/>
      <w:numFmt w:val="chineseCounting"/>
      <w:suff w:val="space"/>
      <w:lvlText w:val="第%1章"/>
      <w:lvlJc w:val="left"/>
      <w:rPr>
        <w:rFonts w:hint="eastAsia" w:cs="Times New Roman"/>
      </w:rPr>
    </w:lvl>
  </w:abstractNum>
  <w:num w:numId="1">
    <w:abstractNumId w:val="7"/>
  </w:num>
  <w:num w:numId="2">
    <w:abstractNumId w:val="4"/>
  </w:num>
  <w:num w:numId="3">
    <w:abstractNumId w:val="0"/>
  </w:num>
  <w:num w:numId="4">
    <w:abstractNumId w:val="3"/>
  </w:num>
  <w:num w:numId="5">
    <w:abstractNumId w:val="8"/>
  </w:num>
  <w:num w:numId="6">
    <w:abstractNumId w:val="1"/>
  </w:num>
  <w:num w:numId="7">
    <w:abstractNumId w:val="2"/>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105"/>
  <w:drawingGridHorizontalSpacing w:val="240"/>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5CF"/>
    <w:rsid w:val="00097D33"/>
    <w:rsid w:val="000A09BC"/>
    <w:rsid w:val="000F746E"/>
    <w:rsid w:val="00272EB3"/>
    <w:rsid w:val="00442231"/>
    <w:rsid w:val="005D565C"/>
    <w:rsid w:val="007A2EF3"/>
    <w:rsid w:val="008221BC"/>
    <w:rsid w:val="00830DC2"/>
    <w:rsid w:val="008C65DA"/>
    <w:rsid w:val="00975F1A"/>
    <w:rsid w:val="00A51FF6"/>
    <w:rsid w:val="00A71BCE"/>
    <w:rsid w:val="00AD5060"/>
    <w:rsid w:val="00CB12C8"/>
    <w:rsid w:val="00D5770B"/>
    <w:rsid w:val="00DB73C0"/>
    <w:rsid w:val="00E605CF"/>
    <w:rsid w:val="00FE1672"/>
    <w:rsid w:val="01711FFD"/>
    <w:rsid w:val="019362C1"/>
    <w:rsid w:val="01CB7BEF"/>
    <w:rsid w:val="01E77041"/>
    <w:rsid w:val="01FE3F02"/>
    <w:rsid w:val="02221A00"/>
    <w:rsid w:val="0226389D"/>
    <w:rsid w:val="02775840"/>
    <w:rsid w:val="02DB0AE3"/>
    <w:rsid w:val="030A7B7A"/>
    <w:rsid w:val="03135DA7"/>
    <w:rsid w:val="039450AE"/>
    <w:rsid w:val="03B13732"/>
    <w:rsid w:val="03C12D62"/>
    <w:rsid w:val="045A5080"/>
    <w:rsid w:val="04D553B4"/>
    <w:rsid w:val="060A67E8"/>
    <w:rsid w:val="06411E48"/>
    <w:rsid w:val="06754F4B"/>
    <w:rsid w:val="06BA7C61"/>
    <w:rsid w:val="07877BE0"/>
    <w:rsid w:val="07E965E8"/>
    <w:rsid w:val="08334EF5"/>
    <w:rsid w:val="08A06EE9"/>
    <w:rsid w:val="08A4131F"/>
    <w:rsid w:val="08D51E56"/>
    <w:rsid w:val="0A7C645E"/>
    <w:rsid w:val="0AAA46E2"/>
    <w:rsid w:val="0AEB5791"/>
    <w:rsid w:val="0AEE51C7"/>
    <w:rsid w:val="0B131179"/>
    <w:rsid w:val="0B902B8C"/>
    <w:rsid w:val="0B95472D"/>
    <w:rsid w:val="0BCD7A74"/>
    <w:rsid w:val="0C4E751A"/>
    <w:rsid w:val="0C5E796A"/>
    <w:rsid w:val="0C6029CB"/>
    <w:rsid w:val="0DA90664"/>
    <w:rsid w:val="0E171F70"/>
    <w:rsid w:val="0EFB5161"/>
    <w:rsid w:val="0F431BD5"/>
    <w:rsid w:val="100A5937"/>
    <w:rsid w:val="101E51CE"/>
    <w:rsid w:val="106348FA"/>
    <w:rsid w:val="116D1BEC"/>
    <w:rsid w:val="11F80042"/>
    <w:rsid w:val="12423A2B"/>
    <w:rsid w:val="12B80170"/>
    <w:rsid w:val="13657CF7"/>
    <w:rsid w:val="13B532F1"/>
    <w:rsid w:val="13BB5669"/>
    <w:rsid w:val="1406481D"/>
    <w:rsid w:val="151E056B"/>
    <w:rsid w:val="152D243C"/>
    <w:rsid w:val="15DA0A70"/>
    <w:rsid w:val="161C27CE"/>
    <w:rsid w:val="16F00410"/>
    <w:rsid w:val="16FF0811"/>
    <w:rsid w:val="178D04C2"/>
    <w:rsid w:val="179A6B74"/>
    <w:rsid w:val="1896470A"/>
    <w:rsid w:val="18966844"/>
    <w:rsid w:val="19180930"/>
    <w:rsid w:val="19FB3761"/>
    <w:rsid w:val="1AC94F22"/>
    <w:rsid w:val="1BCA5CC8"/>
    <w:rsid w:val="1C5665C5"/>
    <w:rsid w:val="1EAF26EB"/>
    <w:rsid w:val="1F5D0CFC"/>
    <w:rsid w:val="1FB10D04"/>
    <w:rsid w:val="222E0092"/>
    <w:rsid w:val="2289031C"/>
    <w:rsid w:val="23D5466C"/>
    <w:rsid w:val="2469448F"/>
    <w:rsid w:val="26AE6E99"/>
    <w:rsid w:val="276953E4"/>
    <w:rsid w:val="27BF56EA"/>
    <w:rsid w:val="27F423BD"/>
    <w:rsid w:val="291436BD"/>
    <w:rsid w:val="29FE0727"/>
    <w:rsid w:val="2A4A13C0"/>
    <w:rsid w:val="2A88350F"/>
    <w:rsid w:val="2C196533"/>
    <w:rsid w:val="2C921231"/>
    <w:rsid w:val="2D4C2401"/>
    <w:rsid w:val="2D905FDD"/>
    <w:rsid w:val="2DF01D67"/>
    <w:rsid w:val="2E1E1C14"/>
    <w:rsid w:val="2E961587"/>
    <w:rsid w:val="2F664B20"/>
    <w:rsid w:val="2FCC6103"/>
    <w:rsid w:val="2FF9197A"/>
    <w:rsid w:val="30B61184"/>
    <w:rsid w:val="30E96F73"/>
    <w:rsid w:val="31310DDE"/>
    <w:rsid w:val="31F86D45"/>
    <w:rsid w:val="32456801"/>
    <w:rsid w:val="324F181E"/>
    <w:rsid w:val="32A2400F"/>
    <w:rsid w:val="32B26CE6"/>
    <w:rsid w:val="32D90F03"/>
    <w:rsid w:val="333447F6"/>
    <w:rsid w:val="333E2E13"/>
    <w:rsid w:val="33441C59"/>
    <w:rsid w:val="343A294B"/>
    <w:rsid w:val="345B386B"/>
    <w:rsid w:val="34765EC1"/>
    <w:rsid w:val="34B642AB"/>
    <w:rsid w:val="350955C2"/>
    <w:rsid w:val="35195CA1"/>
    <w:rsid w:val="35833408"/>
    <w:rsid w:val="367518F8"/>
    <w:rsid w:val="36C557A6"/>
    <w:rsid w:val="36FE0E70"/>
    <w:rsid w:val="37034C4B"/>
    <w:rsid w:val="384744DD"/>
    <w:rsid w:val="38532AC3"/>
    <w:rsid w:val="38D86708"/>
    <w:rsid w:val="38F410FB"/>
    <w:rsid w:val="395B28CE"/>
    <w:rsid w:val="3A29061B"/>
    <w:rsid w:val="3A534995"/>
    <w:rsid w:val="3A8C3597"/>
    <w:rsid w:val="3AD55CCC"/>
    <w:rsid w:val="3B6F3898"/>
    <w:rsid w:val="3BAF14D4"/>
    <w:rsid w:val="3BF522CB"/>
    <w:rsid w:val="3D3F2499"/>
    <w:rsid w:val="3E9645E8"/>
    <w:rsid w:val="3E9F7122"/>
    <w:rsid w:val="3EF20CCE"/>
    <w:rsid w:val="3F362893"/>
    <w:rsid w:val="3F586E0B"/>
    <w:rsid w:val="3F5E42E4"/>
    <w:rsid w:val="40891120"/>
    <w:rsid w:val="41B051BB"/>
    <w:rsid w:val="41D601B7"/>
    <w:rsid w:val="41DA757B"/>
    <w:rsid w:val="41F621B9"/>
    <w:rsid w:val="42071644"/>
    <w:rsid w:val="426B385A"/>
    <w:rsid w:val="42D5722A"/>
    <w:rsid w:val="42FD30CD"/>
    <w:rsid w:val="43B97078"/>
    <w:rsid w:val="43D55766"/>
    <w:rsid w:val="43E9574C"/>
    <w:rsid w:val="444307CF"/>
    <w:rsid w:val="44DE55E3"/>
    <w:rsid w:val="450A45BB"/>
    <w:rsid w:val="453F4B74"/>
    <w:rsid w:val="45A1362D"/>
    <w:rsid w:val="45EA0E5A"/>
    <w:rsid w:val="45FD559F"/>
    <w:rsid w:val="46014997"/>
    <w:rsid w:val="460764C7"/>
    <w:rsid w:val="467405F3"/>
    <w:rsid w:val="46DD452C"/>
    <w:rsid w:val="475C0704"/>
    <w:rsid w:val="47646D0C"/>
    <w:rsid w:val="48165EEB"/>
    <w:rsid w:val="48344930"/>
    <w:rsid w:val="491C7094"/>
    <w:rsid w:val="49736508"/>
    <w:rsid w:val="4A9D4C26"/>
    <w:rsid w:val="4AF60AF8"/>
    <w:rsid w:val="4CA914B5"/>
    <w:rsid w:val="4D0170D8"/>
    <w:rsid w:val="4D2F3DFE"/>
    <w:rsid w:val="4D5C2142"/>
    <w:rsid w:val="4DD83F77"/>
    <w:rsid w:val="4ED43BA2"/>
    <w:rsid w:val="4F7821D0"/>
    <w:rsid w:val="4FC95FF3"/>
    <w:rsid w:val="50924648"/>
    <w:rsid w:val="50993097"/>
    <w:rsid w:val="51540954"/>
    <w:rsid w:val="522F5797"/>
    <w:rsid w:val="525F6FC7"/>
    <w:rsid w:val="54242216"/>
    <w:rsid w:val="54522F23"/>
    <w:rsid w:val="54A90AC4"/>
    <w:rsid w:val="54EC1904"/>
    <w:rsid w:val="54FA3B28"/>
    <w:rsid w:val="553034F9"/>
    <w:rsid w:val="557236ED"/>
    <w:rsid w:val="563A5445"/>
    <w:rsid w:val="56582E44"/>
    <w:rsid w:val="57657544"/>
    <w:rsid w:val="57B17D72"/>
    <w:rsid w:val="57FF0E2C"/>
    <w:rsid w:val="58327537"/>
    <w:rsid w:val="599254C0"/>
    <w:rsid w:val="599666DD"/>
    <w:rsid w:val="59F91665"/>
    <w:rsid w:val="5A276AB1"/>
    <w:rsid w:val="5B1A4A6D"/>
    <w:rsid w:val="5BB10B03"/>
    <w:rsid w:val="5BC83CA2"/>
    <w:rsid w:val="5D810E05"/>
    <w:rsid w:val="5E095F3F"/>
    <w:rsid w:val="5E2C1B36"/>
    <w:rsid w:val="5F13421C"/>
    <w:rsid w:val="5F1823FF"/>
    <w:rsid w:val="5F5F6863"/>
    <w:rsid w:val="5FAF2BB8"/>
    <w:rsid w:val="60466B3B"/>
    <w:rsid w:val="60AE50F0"/>
    <w:rsid w:val="610C7D23"/>
    <w:rsid w:val="62815D48"/>
    <w:rsid w:val="628A182A"/>
    <w:rsid w:val="62AC6A0B"/>
    <w:rsid w:val="62E22629"/>
    <w:rsid w:val="643236A0"/>
    <w:rsid w:val="64617027"/>
    <w:rsid w:val="65576B07"/>
    <w:rsid w:val="6636333A"/>
    <w:rsid w:val="66A77C51"/>
    <w:rsid w:val="67417255"/>
    <w:rsid w:val="68194B2F"/>
    <w:rsid w:val="68266DC9"/>
    <w:rsid w:val="6A140CCD"/>
    <w:rsid w:val="6A3D4CAC"/>
    <w:rsid w:val="6A770851"/>
    <w:rsid w:val="6AA74D48"/>
    <w:rsid w:val="6AC35127"/>
    <w:rsid w:val="6AE677AD"/>
    <w:rsid w:val="6B260C25"/>
    <w:rsid w:val="6B3F638B"/>
    <w:rsid w:val="6C78629D"/>
    <w:rsid w:val="6D785742"/>
    <w:rsid w:val="6E44083F"/>
    <w:rsid w:val="6F7B1BF3"/>
    <w:rsid w:val="6F931231"/>
    <w:rsid w:val="703E7927"/>
    <w:rsid w:val="70BC68BE"/>
    <w:rsid w:val="71361279"/>
    <w:rsid w:val="71573360"/>
    <w:rsid w:val="726C1D39"/>
    <w:rsid w:val="72A479BF"/>
    <w:rsid w:val="73E25875"/>
    <w:rsid w:val="75B3655D"/>
    <w:rsid w:val="765A6370"/>
    <w:rsid w:val="76A8515D"/>
    <w:rsid w:val="77D15DAC"/>
    <w:rsid w:val="77E95719"/>
    <w:rsid w:val="78370BD4"/>
    <w:rsid w:val="787D49E2"/>
    <w:rsid w:val="78BE70E1"/>
    <w:rsid w:val="79190E96"/>
    <w:rsid w:val="79304594"/>
    <w:rsid w:val="796832D5"/>
    <w:rsid w:val="79C44CCA"/>
    <w:rsid w:val="7AE9249B"/>
    <w:rsid w:val="7AFA680F"/>
    <w:rsid w:val="7B2B596F"/>
    <w:rsid w:val="7C041FE2"/>
    <w:rsid w:val="7C042AB5"/>
    <w:rsid w:val="7C376AD4"/>
    <w:rsid w:val="7C695DDE"/>
    <w:rsid w:val="7C703FB6"/>
    <w:rsid w:val="7C9C486E"/>
    <w:rsid w:val="7CB9252B"/>
    <w:rsid w:val="7EC84DFC"/>
    <w:rsid w:val="7F89500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1" w:semiHidden="0" w:name="heading 6"/>
    <w:lsdException w:qFormat="1" w:uiPriority="0" w:name="heading 7"/>
    <w:lsdException w:qFormat="1" w:unhideWhenUsed="0" w:uiPriority="1" w:semiHidden="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99" w:semiHidden="0" w:name="index 8"/>
    <w:lsdException w:uiPriority="99" w:name="index 9" w:locked="1"/>
    <w:lsdException w:qFormat="1" w:unhideWhenUsed="0" w:uiPriority="1" w:semiHidden="0" w:name="toc 1"/>
    <w:lsdException w:qFormat="1" w:unhideWhenUsed="0" w:uiPriority="3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qFormat="1" w:unhideWhenUsed="0" w:uiPriority="0" w:semiHidden="0"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0" w:semiHidden="0"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nhideWhenUsed="0" w:uiPriority="99" w:semiHidden="0" w:name="HTML Code"/>
    <w:lsdException w:qFormat="1" w:uiPriority="99" w:name="HTML Definition" w:locked="1"/>
    <w:lsdException w:qFormat="1" w:unhideWhenUsed="0" w:uiPriority="99" w:semiHidden="0" w:name="HTML Keyboard"/>
    <w:lsdException w:uiPriority="99" w:name="HTML Preformatted" w:locked="1"/>
    <w:lsdException w:qFormat="1" w:unhideWhenUsed="0" w:uiPriority="99" w:semiHidden="0" w:name="HTML Sample"/>
    <w:lsdException w:qFormat="1"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0"/>
      <w:sz w:val="24"/>
      <w:szCs w:val="24"/>
      <w:lang w:val="en-US" w:eastAsia="zh-CN" w:bidi="ar-SA"/>
    </w:rPr>
  </w:style>
  <w:style w:type="paragraph" w:styleId="3">
    <w:name w:val="heading 1"/>
    <w:basedOn w:val="1"/>
    <w:next w:val="1"/>
    <w:qFormat/>
    <w:uiPriority w:val="0"/>
    <w:pPr>
      <w:keepNext/>
      <w:keepLines/>
      <w:tabs>
        <w:tab w:val="left" w:pos="425"/>
      </w:tabs>
      <w:spacing w:beforeLines="200" w:line="360" w:lineRule="auto"/>
      <w:ind w:left="425" w:hanging="425"/>
      <w:jc w:val="left"/>
      <w:outlineLvl w:val="0"/>
    </w:pPr>
    <w:rPr>
      <w:rFonts w:ascii="Arial" w:hAnsi="Arial"/>
      <w:bCs/>
      <w:color w:val="000000"/>
      <w:kern w:val="44"/>
      <w:sz w:val="32"/>
      <w:szCs w:val="32"/>
      <w:lang w:val="pt-BR"/>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42"/>
    <w:qFormat/>
    <w:uiPriority w:val="99"/>
    <w:pPr>
      <w:keepNext/>
      <w:keepLines/>
      <w:spacing w:line="413" w:lineRule="auto"/>
      <w:outlineLvl w:val="2"/>
    </w:pPr>
    <w:rPr>
      <w:b/>
      <w:sz w:val="32"/>
    </w:rPr>
  </w:style>
  <w:style w:type="paragraph" w:styleId="6">
    <w:name w:val="heading 4"/>
    <w:basedOn w:val="1"/>
    <w:next w:val="1"/>
    <w:link w:val="43"/>
    <w:qFormat/>
    <w:uiPriority w:val="99"/>
    <w:pPr>
      <w:keepNext/>
      <w:keepLines/>
      <w:spacing w:line="372" w:lineRule="auto"/>
      <w:outlineLvl w:val="3"/>
    </w:pPr>
    <w:rPr>
      <w:rFonts w:ascii="Arial" w:hAnsi="Arial" w:eastAsia="黑体"/>
      <w:b/>
      <w:sz w:val="28"/>
    </w:rPr>
  </w:style>
  <w:style w:type="paragraph" w:styleId="7">
    <w:name w:val="heading 5"/>
    <w:basedOn w:val="1"/>
    <w:next w:val="1"/>
    <w:link w:val="44"/>
    <w:qFormat/>
    <w:uiPriority w:val="99"/>
    <w:pPr>
      <w:keepNext/>
      <w:keepLines/>
      <w:spacing w:line="372" w:lineRule="auto"/>
      <w:outlineLvl w:val="4"/>
    </w:pPr>
    <w:rPr>
      <w:b/>
      <w:sz w:val="28"/>
    </w:rPr>
  </w:style>
  <w:style w:type="paragraph" w:styleId="8">
    <w:name w:val="heading 6"/>
    <w:basedOn w:val="1"/>
    <w:next w:val="1"/>
    <w:qFormat/>
    <w:uiPriority w:val="1"/>
    <w:pPr>
      <w:ind w:left="472" w:hanging="242"/>
      <w:outlineLvl w:val="6"/>
    </w:pPr>
    <w:rPr>
      <w:rFonts w:ascii="宋体" w:hAnsi="宋体" w:eastAsia="宋体" w:cs="宋体"/>
      <w:sz w:val="24"/>
      <w:szCs w:val="24"/>
      <w:lang w:val="zh-CN" w:eastAsia="zh-CN" w:bidi="zh-CN"/>
    </w:rPr>
  </w:style>
  <w:style w:type="paragraph" w:styleId="9">
    <w:name w:val="heading 8"/>
    <w:basedOn w:val="1"/>
    <w:next w:val="1"/>
    <w:qFormat/>
    <w:uiPriority w:val="1"/>
    <w:pPr>
      <w:ind w:left="895"/>
      <w:outlineLvl w:val="8"/>
    </w:pPr>
    <w:rPr>
      <w:rFonts w:ascii="微软雅黑" w:hAnsi="微软雅黑" w:eastAsia="微软雅黑" w:cs="微软雅黑"/>
      <w:b/>
      <w:bCs/>
      <w:sz w:val="21"/>
      <w:szCs w:val="21"/>
      <w:lang w:val="zh-CN" w:eastAsia="zh-CN" w:bidi="zh-CN"/>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0">
    <w:name w:val="index 8"/>
    <w:basedOn w:val="1"/>
    <w:next w:val="1"/>
    <w:qFormat/>
    <w:uiPriority w:val="99"/>
    <w:pPr>
      <w:ind w:left="1400" w:leftChars="1400"/>
    </w:pPr>
  </w:style>
  <w:style w:type="paragraph" w:styleId="11">
    <w:name w:val="Normal Indent"/>
    <w:basedOn w:val="1"/>
    <w:qFormat/>
    <w:locked/>
    <w:uiPriority w:val="0"/>
    <w:pPr>
      <w:ind w:firstLine="420"/>
    </w:pPr>
    <w:rPr>
      <w:szCs w:val="20"/>
    </w:rPr>
  </w:style>
  <w:style w:type="paragraph" w:styleId="12">
    <w:name w:val="annotation text"/>
    <w:basedOn w:val="1"/>
    <w:link w:val="45"/>
    <w:semiHidden/>
    <w:qFormat/>
    <w:uiPriority w:val="99"/>
  </w:style>
  <w:style w:type="paragraph" w:styleId="13">
    <w:name w:val="Body Text"/>
    <w:basedOn w:val="1"/>
    <w:next w:val="1"/>
    <w:link w:val="46"/>
    <w:qFormat/>
    <w:uiPriority w:val="99"/>
    <w:pPr>
      <w:adjustRightInd w:val="0"/>
      <w:spacing w:after="60" w:line="360" w:lineRule="atLeast"/>
      <w:ind w:left="72" w:leftChars="30" w:right="30" w:rightChars="30"/>
      <w:jc w:val="center"/>
      <w:textAlignment w:val="baseline"/>
    </w:pPr>
    <w:rPr>
      <w:rFonts w:ascii="Times New Roman" w:hAnsi="Times New Roman"/>
      <w:szCs w:val="22"/>
    </w:rPr>
  </w:style>
  <w:style w:type="paragraph" w:styleId="14">
    <w:name w:val="Body Text Indent"/>
    <w:basedOn w:val="1"/>
    <w:qFormat/>
    <w:locked/>
    <w:uiPriority w:val="0"/>
    <w:pPr>
      <w:spacing w:after="120"/>
      <w:ind w:left="420" w:leftChars="200"/>
    </w:pPr>
  </w:style>
  <w:style w:type="paragraph" w:styleId="15">
    <w:name w:val="toc 3"/>
    <w:basedOn w:val="1"/>
    <w:next w:val="1"/>
    <w:qFormat/>
    <w:uiPriority w:val="99"/>
    <w:pPr>
      <w:ind w:left="840" w:leftChars="400"/>
    </w:pPr>
  </w:style>
  <w:style w:type="paragraph" w:styleId="16">
    <w:name w:val="Plain Text"/>
    <w:basedOn w:val="1"/>
    <w:next w:val="10"/>
    <w:link w:val="47"/>
    <w:qFormat/>
    <w:uiPriority w:val="99"/>
    <w:rPr>
      <w:rFonts w:ascii="宋体" w:hAnsi="Courier New"/>
      <w:szCs w:val="20"/>
    </w:rPr>
  </w:style>
  <w:style w:type="paragraph" w:styleId="17">
    <w:name w:val="footer"/>
    <w:basedOn w:val="1"/>
    <w:link w:val="48"/>
    <w:qFormat/>
    <w:uiPriority w:val="99"/>
    <w:pPr>
      <w:tabs>
        <w:tab w:val="center" w:pos="4153"/>
        <w:tab w:val="right" w:pos="8306"/>
      </w:tabs>
      <w:snapToGrid w:val="0"/>
    </w:pPr>
    <w:rPr>
      <w:sz w:val="18"/>
      <w:szCs w:val="18"/>
    </w:rPr>
  </w:style>
  <w:style w:type="paragraph" w:styleId="18">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1"/>
    <w:pPr>
      <w:spacing w:before="253"/>
      <w:ind w:left="1207"/>
    </w:pPr>
    <w:rPr>
      <w:rFonts w:ascii="宋体" w:hAnsi="宋体" w:eastAsia="宋体" w:cs="宋体"/>
      <w:sz w:val="32"/>
      <w:szCs w:val="32"/>
      <w:lang w:val="zh-CN" w:eastAsia="zh-CN" w:bidi="zh-CN"/>
    </w:rPr>
  </w:style>
  <w:style w:type="paragraph" w:styleId="20">
    <w:name w:val="footnote text"/>
    <w:basedOn w:val="1"/>
    <w:qFormat/>
    <w:locked/>
    <w:uiPriority w:val="0"/>
    <w:pPr>
      <w:snapToGrid w:val="0"/>
      <w:jc w:val="left"/>
    </w:pPr>
    <w:rPr>
      <w:sz w:val="18"/>
      <w:szCs w:val="18"/>
    </w:rPr>
  </w:style>
  <w:style w:type="paragraph" w:styleId="21">
    <w:name w:val="toc 2"/>
    <w:basedOn w:val="1"/>
    <w:next w:val="1"/>
    <w:qFormat/>
    <w:uiPriority w:val="39"/>
    <w:pPr>
      <w:ind w:left="420" w:leftChars="200"/>
    </w:pPr>
    <w:rPr>
      <w:rFonts w:ascii="Times New Roman" w:hAnsi="Times New Roman" w:eastAsia="宋体" w:cs="Times New Roman"/>
      <w:szCs w:val="20"/>
    </w:rPr>
  </w:style>
  <w:style w:type="paragraph" w:styleId="22">
    <w:name w:val="Normal (Web)"/>
    <w:basedOn w:val="1"/>
    <w:qFormat/>
    <w:uiPriority w:val="99"/>
    <w:pPr>
      <w:spacing w:beforeAutospacing="1" w:afterAutospacing="1"/>
    </w:pPr>
  </w:style>
  <w:style w:type="paragraph" w:styleId="23">
    <w:name w:val="Body Text First Indent"/>
    <w:basedOn w:val="13"/>
    <w:link w:val="49"/>
    <w:qFormat/>
    <w:uiPriority w:val="99"/>
    <w:pPr>
      <w:adjustRightInd/>
      <w:spacing w:line="240" w:lineRule="auto"/>
      <w:ind w:firstLine="420" w:firstLineChars="100"/>
      <w:jc w:val="both"/>
      <w:textAlignment w:val="auto"/>
    </w:pPr>
    <w:rPr>
      <w:kern w:val="2"/>
      <w:sz w:val="21"/>
    </w:rPr>
  </w:style>
  <w:style w:type="table" w:styleId="25">
    <w:name w:val="Table Grid"/>
    <w:basedOn w:val="2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rFonts w:cs="Times New Roman"/>
      <w:b/>
    </w:rPr>
  </w:style>
  <w:style w:type="character" w:styleId="28">
    <w:name w:val="page number"/>
    <w:basedOn w:val="26"/>
    <w:qFormat/>
    <w:uiPriority w:val="99"/>
    <w:rPr>
      <w:rFonts w:cs="Times New Roman"/>
    </w:rPr>
  </w:style>
  <w:style w:type="character" w:styleId="29">
    <w:name w:val="FollowedHyperlink"/>
    <w:basedOn w:val="26"/>
    <w:qFormat/>
    <w:uiPriority w:val="99"/>
    <w:rPr>
      <w:rFonts w:cs="Times New Roman"/>
      <w:color w:val="333333"/>
      <w:u w:val="none"/>
    </w:rPr>
  </w:style>
  <w:style w:type="character" w:styleId="30">
    <w:name w:val="Emphasis"/>
    <w:basedOn w:val="26"/>
    <w:qFormat/>
    <w:uiPriority w:val="99"/>
    <w:rPr>
      <w:rFonts w:cs="Times New Roman"/>
      <w:i/>
    </w:rPr>
  </w:style>
  <w:style w:type="character" w:styleId="31">
    <w:name w:val="HTML Definition"/>
    <w:basedOn w:val="26"/>
    <w:semiHidden/>
    <w:unhideWhenUsed/>
    <w:qFormat/>
    <w:locked/>
    <w:uiPriority w:val="99"/>
  </w:style>
  <w:style w:type="character" w:styleId="32">
    <w:name w:val="HTML Typewriter"/>
    <w:basedOn w:val="26"/>
    <w:semiHidden/>
    <w:unhideWhenUsed/>
    <w:qFormat/>
    <w:locked/>
    <w:uiPriority w:val="99"/>
    <w:rPr>
      <w:rFonts w:ascii="monospace" w:hAnsi="monospace" w:eastAsia="monospace" w:cs="monospace"/>
      <w:sz w:val="20"/>
    </w:rPr>
  </w:style>
  <w:style w:type="character" w:styleId="33">
    <w:name w:val="HTML Acronym"/>
    <w:basedOn w:val="26"/>
    <w:semiHidden/>
    <w:unhideWhenUsed/>
    <w:qFormat/>
    <w:locked/>
    <w:uiPriority w:val="99"/>
  </w:style>
  <w:style w:type="character" w:styleId="34">
    <w:name w:val="HTML Variable"/>
    <w:basedOn w:val="26"/>
    <w:semiHidden/>
    <w:unhideWhenUsed/>
    <w:qFormat/>
    <w:locked/>
    <w:uiPriority w:val="99"/>
  </w:style>
  <w:style w:type="character" w:styleId="35">
    <w:name w:val="Hyperlink"/>
    <w:basedOn w:val="26"/>
    <w:qFormat/>
    <w:uiPriority w:val="99"/>
    <w:rPr>
      <w:rFonts w:cs="Times New Roman"/>
      <w:color w:val="0000FF"/>
      <w:u w:val="single"/>
    </w:rPr>
  </w:style>
  <w:style w:type="character" w:styleId="36">
    <w:name w:val="HTML Code"/>
    <w:basedOn w:val="26"/>
    <w:qFormat/>
    <w:uiPriority w:val="99"/>
    <w:rPr>
      <w:rFonts w:ascii="monospace" w:hAnsi="monospace" w:cs="monospace"/>
      <w:sz w:val="21"/>
      <w:szCs w:val="21"/>
    </w:rPr>
  </w:style>
  <w:style w:type="character" w:styleId="37">
    <w:name w:val="HTML Cite"/>
    <w:basedOn w:val="26"/>
    <w:semiHidden/>
    <w:unhideWhenUsed/>
    <w:qFormat/>
    <w:locked/>
    <w:uiPriority w:val="99"/>
  </w:style>
  <w:style w:type="character" w:styleId="38">
    <w:name w:val="footnote reference"/>
    <w:qFormat/>
    <w:locked/>
    <w:uiPriority w:val="0"/>
    <w:rPr>
      <w:vertAlign w:val="superscript"/>
    </w:rPr>
  </w:style>
  <w:style w:type="character" w:styleId="39">
    <w:name w:val="HTML Keyboard"/>
    <w:basedOn w:val="26"/>
    <w:qFormat/>
    <w:uiPriority w:val="99"/>
    <w:rPr>
      <w:rFonts w:ascii="monospace" w:hAnsi="monospace" w:cs="monospace"/>
      <w:sz w:val="21"/>
      <w:szCs w:val="21"/>
    </w:rPr>
  </w:style>
  <w:style w:type="character" w:styleId="40">
    <w:name w:val="HTML Sample"/>
    <w:basedOn w:val="26"/>
    <w:qFormat/>
    <w:uiPriority w:val="99"/>
    <w:rPr>
      <w:rFonts w:ascii="monospace" w:hAnsi="monospace" w:cs="monospace"/>
      <w:color w:val="999999"/>
      <w:sz w:val="21"/>
      <w:szCs w:val="21"/>
    </w:rPr>
  </w:style>
  <w:style w:type="paragraph" w:customStyle="1" w:styleId="4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42">
    <w:name w:val="Heading 3 Char"/>
    <w:basedOn w:val="26"/>
    <w:link w:val="5"/>
    <w:semiHidden/>
    <w:qFormat/>
    <w:locked/>
    <w:uiPriority w:val="99"/>
    <w:rPr>
      <w:rFonts w:cs="Times New Roman"/>
      <w:b/>
      <w:bCs/>
      <w:kern w:val="0"/>
      <w:sz w:val="32"/>
      <w:szCs w:val="32"/>
    </w:rPr>
  </w:style>
  <w:style w:type="character" w:customStyle="1" w:styleId="43">
    <w:name w:val="Heading 4 Char"/>
    <w:basedOn w:val="26"/>
    <w:link w:val="6"/>
    <w:semiHidden/>
    <w:qFormat/>
    <w:locked/>
    <w:uiPriority w:val="99"/>
    <w:rPr>
      <w:rFonts w:ascii="Cambria" w:hAnsi="Cambria" w:eastAsia="宋体" w:cs="Times New Roman"/>
      <w:b/>
      <w:bCs/>
      <w:kern w:val="0"/>
      <w:sz w:val="28"/>
      <w:szCs w:val="28"/>
    </w:rPr>
  </w:style>
  <w:style w:type="character" w:customStyle="1" w:styleId="44">
    <w:name w:val="Heading 5 Char"/>
    <w:basedOn w:val="26"/>
    <w:link w:val="7"/>
    <w:semiHidden/>
    <w:qFormat/>
    <w:locked/>
    <w:uiPriority w:val="99"/>
    <w:rPr>
      <w:rFonts w:cs="Times New Roman"/>
      <w:b/>
      <w:bCs/>
      <w:kern w:val="0"/>
      <w:sz w:val="28"/>
      <w:szCs w:val="28"/>
    </w:rPr>
  </w:style>
  <w:style w:type="character" w:customStyle="1" w:styleId="45">
    <w:name w:val="Comment Text Char"/>
    <w:basedOn w:val="26"/>
    <w:link w:val="12"/>
    <w:semiHidden/>
    <w:qFormat/>
    <w:locked/>
    <w:uiPriority w:val="99"/>
    <w:rPr>
      <w:rFonts w:cs="Times New Roman"/>
      <w:kern w:val="0"/>
      <w:sz w:val="24"/>
      <w:szCs w:val="24"/>
    </w:rPr>
  </w:style>
  <w:style w:type="character" w:customStyle="1" w:styleId="46">
    <w:name w:val="Body Text Char"/>
    <w:basedOn w:val="26"/>
    <w:link w:val="13"/>
    <w:semiHidden/>
    <w:qFormat/>
    <w:locked/>
    <w:uiPriority w:val="99"/>
    <w:rPr>
      <w:rFonts w:cs="Times New Roman"/>
      <w:kern w:val="0"/>
      <w:sz w:val="24"/>
      <w:szCs w:val="24"/>
    </w:rPr>
  </w:style>
  <w:style w:type="character" w:customStyle="1" w:styleId="47">
    <w:name w:val="Plain Text Char"/>
    <w:basedOn w:val="26"/>
    <w:link w:val="16"/>
    <w:semiHidden/>
    <w:qFormat/>
    <w:locked/>
    <w:uiPriority w:val="99"/>
    <w:rPr>
      <w:rFonts w:ascii="宋体" w:hAnsi="Courier New" w:cs="Courier New"/>
      <w:kern w:val="0"/>
      <w:sz w:val="21"/>
      <w:szCs w:val="21"/>
    </w:rPr>
  </w:style>
  <w:style w:type="character" w:customStyle="1" w:styleId="48">
    <w:name w:val="Footer Char"/>
    <w:basedOn w:val="26"/>
    <w:link w:val="17"/>
    <w:semiHidden/>
    <w:qFormat/>
    <w:locked/>
    <w:uiPriority w:val="99"/>
    <w:rPr>
      <w:rFonts w:cs="Times New Roman"/>
      <w:kern w:val="0"/>
      <w:sz w:val="18"/>
      <w:szCs w:val="18"/>
    </w:rPr>
  </w:style>
  <w:style w:type="character" w:customStyle="1" w:styleId="49">
    <w:name w:val="Body Text First Indent Char"/>
    <w:basedOn w:val="46"/>
    <w:link w:val="23"/>
    <w:semiHidden/>
    <w:qFormat/>
    <w:locked/>
    <w:uiPriority w:val="99"/>
  </w:style>
  <w:style w:type="character" w:customStyle="1" w:styleId="50">
    <w:name w:val="font11"/>
    <w:basedOn w:val="26"/>
    <w:qFormat/>
    <w:uiPriority w:val="99"/>
    <w:rPr>
      <w:rFonts w:ascii="MingLiU" w:hAnsi="MingLiU" w:eastAsia="MingLiU" w:cs="MingLiU"/>
      <w:color w:val="000000"/>
      <w:sz w:val="18"/>
      <w:szCs w:val="18"/>
      <w:u w:val="none"/>
    </w:rPr>
  </w:style>
  <w:style w:type="character" w:customStyle="1" w:styleId="51">
    <w:name w:val="font01"/>
    <w:basedOn w:val="26"/>
    <w:qFormat/>
    <w:uiPriority w:val="99"/>
    <w:rPr>
      <w:rFonts w:ascii="Times New Roman" w:hAnsi="Times New Roman" w:cs="Times New Roman"/>
      <w:color w:val="000000"/>
      <w:sz w:val="18"/>
      <w:szCs w:val="18"/>
      <w:u w:val="none"/>
    </w:rPr>
  </w:style>
  <w:style w:type="paragraph" w:customStyle="1" w:styleId="52">
    <w:name w:val="1"/>
    <w:basedOn w:val="1"/>
    <w:next w:val="16"/>
    <w:qFormat/>
    <w:uiPriority w:val="99"/>
    <w:rPr>
      <w:rFonts w:ascii="宋体" w:hAnsi="Courier New"/>
      <w:szCs w:val="20"/>
    </w:rPr>
  </w:style>
  <w:style w:type="character" w:customStyle="1" w:styleId="53">
    <w:name w:val="hover"/>
    <w:basedOn w:val="26"/>
    <w:qFormat/>
    <w:uiPriority w:val="99"/>
    <w:rPr>
      <w:rFonts w:cs="Times New Roman"/>
    </w:rPr>
  </w:style>
  <w:style w:type="character" w:customStyle="1" w:styleId="54">
    <w:name w:val="Header Char"/>
    <w:basedOn w:val="26"/>
    <w:link w:val="18"/>
    <w:qFormat/>
    <w:locked/>
    <w:uiPriority w:val="99"/>
    <w:rPr>
      <w:rFonts w:ascii="Calibri" w:hAnsi="Calibri" w:eastAsia="宋体" w:cs="Times New Roman"/>
      <w:sz w:val="18"/>
      <w:szCs w:val="18"/>
    </w:rPr>
  </w:style>
  <w:style w:type="paragraph" w:customStyle="1" w:styleId="55">
    <w:name w:val="Table Paragraph"/>
    <w:basedOn w:val="1"/>
    <w:qFormat/>
    <w:uiPriority w:val="1"/>
    <w:rPr>
      <w:rFonts w:ascii="宋体" w:hAnsi="宋体" w:eastAsia="宋体" w:cs="宋体"/>
      <w:lang w:val="zh-CN" w:eastAsia="zh-CN" w:bidi="zh-CN"/>
    </w:rPr>
  </w:style>
  <w:style w:type="paragraph" w:styleId="56">
    <w:name w:val="List Paragraph"/>
    <w:basedOn w:val="1"/>
    <w:qFormat/>
    <w:uiPriority w:val="1"/>
    <w:pPr>
      <w:ind w:left="472" w:firstLine="422"/>
    </w:pPr>
    <w:rPr>
      <w:rFonts w:ascii="宋体" w:hAnsi="宋体" w:eastAsia="宋体" w:cs="宋体"/>
      <w:lang w:val="zh-CN" w:eastAsia="zh-CN" w:bidi="zh-CN"/>
    </w:rPr>
  </w:style>
  <w:style w:type="paragraph" w:customStyle="1" w:styleId="57">
    <w:name w:val="二级条标题"/>
    <w:basedOn w:val="58"/>
    <w:next w:val="1"/>
    <w:qFormat/>
    <w:uiPriority w:val="0"/>
    <w:pPr>
      <w:spacing w:line="360" w:lineRule="auto"/>
      <w:outlineLvl w:val="3"/>
    </w:pPr>
    <w:rPr>
      <w:rFonts w:eastAsia="宋体"/>
      <w:szCs w:val="21"/>
    </w:rPr>
  </w:style>
  <w:style w:type="paragraph" w:customStyle="1" w:styleId="58">
    <w:name w:val="一级条标题"/>
    <w:basedOn w:val="59"/>
    <w:next w:val="1"/>
    <w:qFormat/>
    <w:uiPriority w:val="0"/>
    <w:pPr>
      <w:spacing w:before="0" w:beforeLines="0" w:after="0" w:afterLines="0"/>
      <w:outlineLvl w:val="2"/>
    </w:pPr>
  </w:style>
  <w:style w:type="paragraph" w:customStyle="1" w:styleId="59">
    <w:name w:val="章标题"/>
    <w:next w:val="1"/>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0">
    <w:name w:val="图表脚注说明"/>
    <w:basedOn w:val="1"/>
    <w:qFormat/>
    <w:uiPriority w:val="0"/>
    <w:pPr>
      <w:numPr>
        <w:ilvl w:val="0"/>
        <w:numId w:val="1"/>
      </w:numPr>
    </w:pPr>
    <w:rPr>
      <w:rFonts w:ascii="宋体"/>
      <w:sz w:val="18"/>
      <w:szCs w:val="18"/>
    </w:rPr>
  </w:style>
  <w:style w:type="paragraph" w:customStyle="1" w:styleId="61">
    <w:name w:val="首行缩进"/>
    <w:basedOn w:val="1"/>
    <w:qFormat/>
    <w:uiPriority w:val="0"/>
    <w:pPr>
      <w:ind w:firstLine="48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31</Pages>
  <Words>3347</Words>
  <Characters>19080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2020-07-29T01:28:00Z</dcterms:created>
  <dc:creator>Vampires1393820523</dc:creator>
  <cp:lastModifiedBy>王者老千</cp:lastModifiedBy>
  <cp:lastPrinted>2020-12-29T07:11:00Z</cp:lastPrinted>
  <dcterms:modified xsi:type="dcterms:W3CDTF">2021-01-05T12:29:25Z</dcterms:modified>
  <dc:title>高新七星区项目土地指标报批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