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eastAsia="宋体" w:cs="宋体"/>
          <w:b/>
          <w:bCs/>
          <w:sz w:val="72"/>
          <w:szCs w:val="72"/>
        </w:rPr>
      </w:pPr>
      <w:r>
        <w:rPr>
          <w:rFonts w:hint="eastAsia" w:ascii="宋体" w:hAnsi="宋体" w:eastAsia="宋体" w:cs="宋体"/>
          <w:b/>
          <w:bCs/>
          <w:sz w:val="72"/>
          <w:szCs w:val="72"/>
        </w:rPr>
        <w:t>广西建设工程项目管理</w:t>
      </w:r>
    </w:p>
    <w:p>
      <w:pPr>
        <w:spacing w:before="120" w:beforeLines="50"/>
        <w:jc w:val="center"/>
        <w:rPr>
          <w:rFonts w:hint="eastAsia" w:ascii="宋体" w:hAnsi="宋体" w:eastAsia="宋体" w:cs="宋体"/>
          <w:b/>
          <w:bCs/>
          <w:sz w:val="72"/>
          <w:szCs w:val="72"/>
        </w:rPr>
      </w:pPr>
      <w:r>
        <w:rPr>
          <w:rFonts w:hint="eastAsia" w:ascii="宋体" w:hAnsi="宋体" w:eastAsia="宋体" w:cs="宋体"/>
          <w:b/>
          <w:bCs/>
          <w:sz w:val="72"/>
          <w:szCs w:val="72"/>
        </w:rPr>
        <w:t>中心有限责任公司</w:t>
      </w:r>
    </w:p>
    <w:p>
      <w:pPr>
        <w:spacing w:before="120" w:beforeLines="50"/>
        <w:jc w:val="center"/>
        <w:rPr>
          <w:rFonts w:hint="eastAsia" w:ascii="宋体" w:hAnsi="宋体" w:eastAsia="宋体" w:cs="宋体"/>
          <w:sz w:val="52"/>
        </w:rPr>
      </w:pPr>
    </w:p>
    <w:p>
      <w:pPr>
        <w:jc w:val="center"/>
        <w:rPr>
          <w:rFonts w:hint="eastAsia" w:ascii="宋体" w:hAnsi="宋体" w:eastAsia="宋体" w:cs="宋体"/>
          <w:b/>
          <w:sz w:val="72"/>
          <w:szCs w:val="72"/>
        </w:rPr>
      </w:pPr>
      <w:r>
        <w:rPr>
          <w:rFonts w:hint="eastAsia" w:ascii="宋体" w:hAnsi="宋体" w:eastAsia="宋体" w:cs="宋体"/>
          <w:b/>
          <w:sz w:val="72"/>
          <w:szCs w:val="72"/>
        </w:rPr>
        <w:t>公开招标文件</w:t>
      </w: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ind w:firstLine="320" w:firstLineChars="100"/>
        <w:jc w:val="both"/>
        <w:rPr>
          <w:rFonts w:hint="eastAsia" w:hAnsi="宋体" w:eastAsia="宋体"/>
          <w:color w:val="auto"/>
          <w:sz w:val="32"/>
          <w:szCs w:val="32"/>
          <w:lang w:eastAsia="zh-CN"/>
        </w:rPr>
      </w:pPr>
      <w:r>
        <w:rPr>
          <w:rFonts w:hint="eastAsia" w:hAnsi="宋体"/>
          <w:color w:val="auto"/>
          <w:sz w:val="32"/>
          <w:szCs w:val="32"/>
        </w:rPr>
        <w:t>项目编号：</w:t>
      </w:r>
      <w:r>
        <w:rPr>
          <w:rFonts w:hint="eastAsia" w:hAnsi="宋体"/>
          <w:color w:val="auto"/>
          <w:sz w:val="32"/>
          <w:szCs w:val="32"/>
          <w:lang w:eastAsia="zh-CN"/>
        </w:rPr>
        <w:t>FCZC2020-G1-10010-XGZX</w:t>
      </w: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320" w:firstLineChars="100"/>
        <w:jc w:val="left"/>
        <w:rPr>
          <w:rFonts w:hint="eastAsia"/>
          <w:color w:val="auto"/>
          <w:sz w:val="32"/>
          <w:szCs w:val="32"/>
          <w:lang w:eastAsia="zh-CN"/>
        </w:rPr>
      </w:pPr>
      <w:r>
        <w:rPr>
          <w:rFonts w:hint="eastAsia" w:hAnsi="宋体"/>
          <w:color w:val="auto"/>
          <w:sz w:val="32"/>
          <w:szCs w:val="32"/>
        </w:rPr>
        <w:t>项目名称：</w:t>
      </w:r>
      <w:r>
        <w:rPr>
          <w:rFonts w:hint="eastAsia"/>
          <w:color w:val="auto"/>
          <w:sz w:val="32"/>
          <w:szCs w:val="32"/>
          <w:lang w:eastAsia="zh-CN"/>
        </w:rPr>
        <w:t>防城港市妇幼保健院核酸检测实验室建设</w:t>
      </w:r>
    </w:p>
    <w:p>
      <w:pPr>
        <w:pStyle w:val="23"/>
        <w:spacing w:line="360" w:lineRule="exact"/>
        <w:ind w:firstLine="1920" w:firstLineChars="600"/>
        <w:jc w:val="left"/>
        <w:rPr>
          <w:rFonts w:hint="eastAsia" w:eastAsia="宋体"/>
          <w:color w:val="auto"/>
          <w:sz w:val="32"/>
          <w:szCs w:val="32"/>
          <w:lang w:eastAsia="zh-CN"/>
        </w:rPr>
      </w:pPr>
      <w:r>
        <w:rPr>
          <w:rFonts w:hint="eastAsia"/>
          <w:color w:val="auto"/>
          <w:sz w:val="32"/>
          <w:szCs w:val="32"/>
          <w:lang w:eastAsia="zh-CN"/>
        </w:rPr>
        <w:t>和设备购置项目</w:t>
      </w:r>
    </w:p>
    <w:p>
      <w:pPr>
        <w:rPr>
          <w:color w:val="auto"/>
          <w:sz w:val="32"/>
          <w:szCs w:val="18"/>
        </w:rPr>
      </w:pPr>
    </w:p>
    <w:p>
      <w:pPr>
        <w:ind w:firstLine="320" w:firstLineChars="100"/>
        <w:jc w:val="both"/>
        <w:rPr>
          <w:color w:val="auto"/>
          <w:sz w:val="32"/>
        </w:rPr>
      </w:pPr>
      <w:r>
        <w:rPr>
          <w:rFonts w:hint="eastAsia"/>
          <w:color w:val="auto"/>
          <w:sz w:val="32"/>
        </w:rPr>
        <w:t>采购</w:t>
      </w:r>
      <w:r>
        <w:rPr>
          <w:rFonts w:hint="eastAsia"/>
          <w:color w:val="auto"/>
          <w:sz w:val="32"/>
          <w:lang w:eastAsia="zh-CN"/>
        </w:rPr>
        <w:t>人</w:t>
      </w:r>
      <w:r>
        <w:rPr>
          <w:rFonts w:hint="eastAsia"/>
          <w:color w:val="auto"/>
          <w:sz w:val="32"/>
        </w:rPr>
        <w:t>：防城港市妇幼保健院</w:t>
      </w:r>
    </w:p>
    <w:p>
      <w:pPr>
        <w:ind w:firstLine="320" w:firstLineChars="100"/>
        <w:jc w:val="both"/>
        <w:rPr>
          <w:rFonts w:hint="eastAsia"/>
          <w:color w:val="auto"/>
          <w:sz w:val="32"/>
          <w:szCs w:val="18"/>
        </w:rPr>
      </w:pPr>
    </w:p>
    <w:p>
      <w:pPr>
        <w:ind w:firstLine="320" w:firstLineChars="100"/>
        <w:jc w:val="both"/>
        <w:rPr>
          <w:rFonts w:hint="eastAsia" w:eastAsia="宋体"/>
          <w:color w:val="auto"/>
          <w:sz w:val="40"/>
          <w:szCs w:val="21"/>
          <w:lang w:eastAsia="zh-CN"/>
        </w:rPr>
      </w:pPr>
      <w:r>
        <w:rPr>
          <w:rFonts w:hint="eastAsia"/>
          <w:color w:val="auto"/>
          <w:sz w:val="32"/>
          <w:szCs w:val="18"/>
        </w:rPr>
        <w:t>采购代理机构：</w:t>
      </w:r>
      <w:r>
        <w:rPr>
          <w:rFonts w:hint="eastAsia"/>
          <w:color w:val="auto"/>
          <w:sz w:val="32"/>
          <w:szCs w:val="18"/>
          <w:lang w:eastAsia="zh-CN"/>
        </w:rPr>
        <w:t>广西建设工程项目管理中心有限责任公司</w:t>
      </w:r>
    </w:p>
    <w:p>
      <w:pPr>
        <w:ind w:firstLine="320" w:firstLineChars="100"/>
        <w:jc w:val="both"/>
        <w:rPr>
          <w:rFonts w:hint="eastAsia"/>
          <w:color w:val="auto"/>
          <w:sz w:val="32"/>
        </w:rPr>
      </w:pPr>
    </w:p>
    <w:p>
      <w:pPr>
        <w:pStyle w:val="84"/>
        <w:jc w:val="center"/>
        <w:rPr>
          <w:color w:val="auto"/>
          <w:sz w:val="32"/>
        </w:rPr>
      </w:pPr>
      <w:r>
        <w:rPr>
          <w:color w:val="auto"/>
          <w:sz w:val="32"/>
        </w:rPr>
        <w:t>2020</w:t>
      </w:r>
      <w:r>
        <w:rPr>
          <w:rFonts w:hint="eastAsia"/>
          <w:color w:val="auto"/>
          <w:sz w:val="32"/>
        </w:rPr>
        <w:t>年</w:t>
      </w:r>
      <w:r>
        <w:rPr>
          <w:rFonts w:hint="eastAsia"/>
          <w:color w:val="auto"/>
          <w:sz w:val="32"/>
          <w:lang w:val="en-US" w:eastAsia="zh-CN"/>
        </w:rPr>
        <w:t>9月</w:t>
      </w:r>
    </w:p>
    <w:p>
      <w:pPr>
        <w:pStyle w:val="84"/>
        <w:rPr>
          <w:color w:val="auto"/>
          <w:sz w:val="32"/>
        </w:rPr>
      </w:pPr>
    </w:p>
    <w:p>
      <w:pPr>
        <w:pStyle w:val="84"/>
        <w:rPr>
          <w:color w:val="auto"/>
          <w:sz w:val="32"/>
        </w:rPr>
      </w:pPr>
    </w:p>
    <w:p>
      <w:pPr>
        <w:pStyle w:val="23"/>
        <w:spacing w:before="120" w:after="120" w:line="360" w:lineRule="auto"/>
        <w:jc w:val="center"/>
        <w:rPr>
          <w:rFonts w:hint="eastAsia" w:ascii="仿宋_GB2312" w:hAnsi="宋体" w:eastAsia="仿宋_GB2312"/>
          <w:color w:val="auto"/>
          <w:sz w:val="44"/>
          <w:szCs w:val="4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titlePg/>
          <w:docGrid w:type="lines" w:linePitch="312" w:charSpace="0"/>
        </w:sectPr>
      </w:pPr>
    </w:p>
    <w:p>
      <w:pPr>
        <w:pStyle w:val="23"/>
        <w:spacing w:before="120" w:after="120" w:line="360" w:lineRule="auto"/>
        <w:jc w:val="center"/>
        <w:rPr>
          <w:rFonts w:ascii="仿宋_GB2312" w:hAnsi="宋体" w:eastAsia="仿宋_GB2312"/>
          <w:color w:val="auto"/>
          <w:sz w:val="44"/>
          <w:szCs w:val="44"/>
        </w:rPr>
      </w:pPr>
      <w:r>
        <w:rPr>
          <w:rFonts w:hint="eastAsia" w:ascii="仿宋_GB2312" w:hAnsi="宋体" w:eastAsia="仿宋_GB2312"/>
          <w:color w:val="auto"/>
          <w:sz w:val="44"/>
          <w:szCs w:val="44"/>
        </w:rPr>
        <w:t>目</w:t>
      </w:r>
      <w:r>
        <w:rPr>
          <w:rFonts w:ascii="仿宋_GB2312" w:hAnsi="宋体" w:eastAsia="仿宋_GB2312"/>
          <w:color w:val="auto"/>
          <w:sz w:val="44"/>
          <w:szCs w:val="44"/>
        </w:rPr>
        <w:t xml:space="preserve">    </w:t>
      </w:r>
      <w:r>
        <w:rPr>
          <w:rFonts w:hint="eastAsia" w:ascii="仿宋_GB2312" w:hAnsi="宋体" w:eastAsia="仿宋_GB2312"/>
          <w:color w:val="auto"/>
          <w:sz w:val="44"/>
          <w:szCs w:val="44"/>
        </w:rPr>
        <w:t>录</w:t>
      </w:r>
    </w:p>
    <w:p>
      <w:pPr>
        <w:pStyle w:val="29"/>
        <w:tabs>
          <w:tab w:val="right" w:leader="dot" w:pos="8730"/>
          <w:tab w:val="clear" w:pos="9360"/>
        </w:tabs>
        <w:ind w:firstLine="31680"/>
        <w:rPr>
          <w:color w:val="auto"/>
        </w:rPr>
      </w:pPr>
      <w:r>
        <w:rPr>
          <w:rFonts w:cs="宋体"/>
          <w:color w:val="auto"/>
        </w:rPr>
        <w:fldChar w:fldCharType="begin"/>
      </w:r>
      <w:r>
        <w:rPr>
          <w:rFonts w:cs="宋体"/>
          <w:color w:val="auto"/>
        </w:rPr>
        <w:instrText xml:space="preserve"> TOC \o "1-2" \u </w:instrText>
      </w:r>
      <w:r>
        <w:rPr>
          <w:rFonts w:cs="宋体"/>
          <w:color w:val="auto"/>
        </w:rPr>
        <w:fldChar w:fldCharType="separate"/>
      </w:r>
      <w:r>
        <w:rPr>
          <w:rFonts w:hint="eastAsia"/>
          <w:color w:val="auto"/>
          <w:szCs w:val="36"/>
        </w:rPr>
        <w:t>第一章</w:t>
      </w:r>
      <w:r>
        <w:rPr>
          <w:color w:val="auto"/>
          <w:szCs w:val="36"/>
        </w:rPr>
        <w:t xml:space="preserve">  </w:t>
      </w:r>
      <w:r>
        <w:rPr>
          <w:rFonts w:hint="eastAsia"/>
          <w:color w:val="auto"/>
          <w:szCs w:val="36"/>
        </w:rPr>
        <w:t>招标公告</w:t>
      </w:r>
      <w:r>
        <w:rPr>
          <w:color w:val="auto"/>
        </w:rPr>
        <w:tab/>
      </w:r>
      <w:r>
        <w:rPr>
          <w:color w:val="auto"/>
        </w:rPr>
        <w:fldChar w:fldCharType="begin"/>
      </w:r>
      <w:r>
        <w:rPr>
          <w:color w:val="auto"/>
        </w:rPr>
        <w:instrText xml:space="preserve"> PAGEREF _Toc602 </w:instrText>
      </w:r>
      <w:r>
        <w:rPr>
          <w:color w:val="auto"/>
        </w:rPr>
        <w:fldChar w:fldCharType="separate"/>
      </w:r>
      <w:r>
        <w:rPr>
          <w:color w:val="auto"/>
        </w:rPr>
        <w:t>2</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第二章</w:t>
      </w:r>
      <w:r>
        <w:rPr>
          <w:color w:val="auto"/>
          <w:szCs w:val="36"/>
        </w:rPr>
        <w:t xml:space="preserve"> </w:t>
      </w:r>
      <w:r>
        <w:rPr>
          <w:rFonts w:hint="eastAsia"/>
          <w:color w:val="auto"/>
          <w:szCs w:val="36"/>
        </w:rPr>
        <w:t>招标项目采购需求</w:t>
      </w:r>
      <w:r>
        <w:rPr>
          <w:color w:val="auto"/>
        </w:rPr>
        <w:tab/>
      </w:r>
      <w:r>
        <w:rPr>
          <w:color w:val="auto"/>
        </w:rPr>
        <w:fldChar w:fldCharType="begin"/>
      </w:r>
      <w:r>
        <w:rPr>
          <w:color w:val="auto"/>
        </w:rPr>
        <w:instrText xml:space="preserve"> PAGEREF _Toc16610 </w:instrText>
      </w:r>
      <w:r>
        <w:rPr>
          <w:color w:val="auto"/>
        </w:rPr>
        <w:fldChar w:fldCharType="separate"/>
      </w:r>
      <w:r>
        <w:rPr>
          <w:color w:val="auto"/>
        </w:rPr>
        <w:t>5</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第三章</w:t>
      </w:r>
      <w:r>
        <w:rPr>
          <w:color w:val="auto"/>
          <w:szCs w:val="36"/>
        </w:rPr>
        <w:t xml:space="preserve">  </w:t>
      </w:r>
      <w:r>
        <w:rPr>
          <w:rFonts w:hint="eastAsia"/>
          <w:color w:val="auto"/>
          <w:szCs w:val="36"/>
        </w:rPr>
        <w:t>投标人须知</w:t>
      </w:r>
      <w:r>
        <w:rPr>
          <w:color w:val="auto"/>
        </w:rPr>
        <w:tab/>
      </w:r>
      <w:r>
        <w:rPr>
          <w:color w:val="auto"/>
        </w:rPr>
        <w:fldChar w:fldCharType="begin"/>
      </w:r>
      <w:r>
        <w:rPr>
          <w:color w:val="auto"/>
        </w:rPr>
        <w:instrText xml:space="preserve"> PAGEREF _Toc25502 </w:instrText>
      </w:r>
      <w:r>
        <w:rPr>
          <w:color w:val="auto"/>
        </w:rPr>
        <w:fldChar w:fldCharType="separate"/>
      </w:r>
      <w:r>
        <w:rPr>
          <w:color w:val="auto"/>
        </w:rPr>
        <w:t>16</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第四章</w:t>
      </w:r>
      <w:r>
        <w:rPr>
          <w:color w:val="auto"/>
          <w:szCs w:val="36"/>
        </w:rPr>
        <w:t xml:space="preserve">  </w:t>
      </w:r>
      <w:r>
        <w:rPr>
          <w:rFonts w:hint="eastAsia"/>
          <w:color w:val="auto"/>
          <w:szCs w:val="36"/>
        </w:rPr>
        <w:t>评标办法及评分标准</w:t>
      </w:r>
      <w:r>
        <w:rPr>
          <w:color w:val="auto"/>
        </w:rPr>
        <w:tab/>
      </w:r>
      <w:r>
        <w:rPr>
          <w:color w:val="auto"/>
        </w:rPr>
        <w:fldChar w:fldCharType="begin"/>
      </w:r>
      <w:r>
        <w:rPr>
          <w:color w:val="auto"/>
        </w:rPr>
        <w:instrText xml:space="preserve"> PAGEREF _Toc22507 </w:instrText>
      </w:r>
      <w:r>
        <w:rPr>
          <w:color w:val="auto"/>
        </w:rPr>
        <w:fldChar w:fldCharType="separate"/>
      </w:r>
      <w:r>
        <w:rPr>
          <w:color w:val="auto"/>
        </w:rPr>
        <w:t>30</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第五章</w:t>
      </w:r>
      <w:r>
        <w:rPr>
          <w:color w:val="auto"/>
          <w:szCs w:val="36"/>
        </w:rPr>
        <w:t xml:space="preserve">  </w:t>
      </w:r>
      <w:r>
        <w:rPr>
          <w:rFonts w:hint="eastAsia"/>
          <w:color w:val="auto"/>
          <w:szCs w:val="36"/>
        </w:rPr>
        <w:t>合同主要条款格式</w:t>
      </w:r>
      <w:r>
        <w:rPr>
          <w:color w:val="auto"/>
        </w:rPr>
        <w:tab/>
      </w:r>
      <w:r>
        <w:rPr>
          <w:color w:val="auto"/>
        </w:rPr>
        <w:fldChar w:fldCharType="begin"/>
      </w:r>
      <w:r>
        <w:rPr>
          <w:color w:val="auto"/>
        </w:rPr>
        <w:instrText xml:space="preserve"> PAGEREF _Toc32131 </w:instrText>
      </w:r>
      <w:r>
        <w:rPr>
          <w:color w:val="auto"/>
        </w:rPr>
        <w:fldChar w:fldCharType="separate"/>
      </w:r>
      <w:r>
        <w:rPr>
          <w:color w:val="auto"/>
        </w:rPr>
        <w:t>34</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第六章　投标文件格式</w:t>
      </w:r>
      <w:r>
        <w:rPr>
          <w:color w:val="auto"/>
        </w:rPr>
        <w:tab/>
      </w:r>
      <w:r>
        <w:rPr>
          <w:color w:val="auto"/>
        </w:rPr>
        <w:t>63</w:t>
      </w:r>
    </w:p>
    <w:p>
      <w:pPr>
        <w:pStyle w:val="37"/>
        <w:rPr>
          <w:rFonts w:hint="eastAsia"/>
          <w:color w:val="auto"/>
          <w:sz w:val="36"/>
          <w:szCs w:val="36"/>
        </w:rPr>
      </w:pPr>
      <w:r>
        <w:rPr>
          <w:rFonts w:ascii="宋体" w:cs="宋体"/>
          <w:color w:val="auto"/>
        </w:rPr>
        <w:br w:type="page"/>
      </w:r>
      <w:r>
        <w:rPr>
          <w:rFonts w:cs="宋体"/>
          <w:color w:val="auto"/>
        </w:rPr>
        <w:fldChar w:fldCharType="end"/>
      </w:r>
      <w:bookmarkStart w:id="0" w:name="_Toc602"/>
      <w:bookmarkStart w:id="1" w:name="_Toc254970489"/>
      <w:bookmarkStart w:id="2" w:name="_Toc327735634"/>
      <w:bookmarkStart w:id="3" w:name="_Toc254970630"/>
      <w:r>
        <w:rPr>
          <w:rFonts w:hint="eastAsia"/>
          <w:color w:val="auto"/>
          <w:sz w:val="36"/>
          <w:szCs w:val="36"/>
        </w:rPr>
        <w:t>第一章</w:t>
      </w:r>
      <w:r>
        <w:rPr>
          <w:color w:val="auto"/>
          <w:sz w:val="36"/>
          <w:szCs w:val="36"/>
        </w:rPr>
        <w:t xml:space="preserve">  </w:t>
      </w:r>
      <w:r>
        <w:rPr>
          <w:rFonts w:hint="eastAsia"/>
          <w:color w:val="auto"/>
          <w:sz w:val="36"/>
          <w:szCs w:val="36"/>
        </w:rPr>
        <w:t>招标公告</w:t>
      </w:r>
      <w:bookmarkEnd w:id="0"/>
      <w:bookmarkEnd w:id="1"/>
      <w:bookmarkEnd w:id="2"/>
      <w:bookmarkEnd w:id="3"/>
    </w:p>
    <w:p>
      <w:pPr>
        <w:pStyle w:val="37"/>
        <w:rPr>
          <w:rFonts w:hint="eastAsia"/>
          <w:color w:val="auto"/>
          <w:sz w:val="24"/>
          <w:szCs w:val="24"/>
        </w:rPr>
      </w:pPr>
      <w:r>
        <w:rPr>
          <w:rFonts w:hint="eastAsia"/>
          <w:color w:val="auto"/>
          <w:sz w:val="24"/>
          <w:szCs w:val="24"/>
          <w:lang w:eastAsia="zh-CN"/>
        </w:rPr>
        <w:t>防城港市妇幼保健院核酸检测实验室建设和设备购置项目公开招标公告</w:t>
      </w:r>
    </w:p>
    <w:p>
      <w:pPr>
        <w:spacing w:line="400" w:lineRule="exact"/>
        <w:ind w:firstLine="422" w:firstLineChars="200"/>
        <w:rPr>
          <w:rFonts w:hint="eastAsia" w:ascii="宋体" w:hAnsi="宋体" w:eastAsia="宋体" w:cs="宋体"/>
          <w:sz w:val="24"/>
        </w:rPr>
      </w:pPr>
      <w:r>
        <w:rPr>
          <w:rFonts w:hint="eastAsia"/>
          <w:b/>
          <w:bCs/>
          <w:color w:val="auto"/>
        </w:rPr>
        <w:t>项目概况</w:t>
      </w:r>
      <w:bookmarkStart w:id="4" w:name="_Toc28359002"/>
      <w:bookmarkStart w:id="5" w:name="_Toc35393621"/>
      <w:bookmarkStart w:id="6" w:name="_Toc28359079"/>
      <w:bookmarkStart w:id="7" w:name="_Toc35393790"/>
      <w:bookmarkStart w:id="8" w:name="_Hlk24379207"/>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u w:val="single"/>
          <w:lang w:eastAsia="zh-CN"/>
        </w:rPr>
        <w:t>防城港市妇幼保健院核酸检测实验室建设和设备购置项目</w:t>
      </w:r>
      <w:r>
        <w:rPr>
          <w:rFonts w:hint="eastAsia" w:ascii="宋体" w:hAnsi="宋体" w:eastAsia="宋体" w:cs="宋体"/>
          <w:sz w:val="21"/>
          <w:szCs w:val="21"/>
        </w:rPr>
        <w:t>招标项目的潜在投标人应在</w:t>
      </w:r>
      <w:r>
        <w:rPr>
          <w:rFonts w:hint="eastAsia" w:ascii="宋体" w:hAnsi="宋体" w:eastAsia="宋体" w:cs="宋体"/>
          <w:sz w:val="21"/>
          <w:szCs w:val="21"/>
          <w:u w:val="single"/>
        </w:rPr>
        <w:t>政采云平台（https://www.zcygov.cn/）</w:t>
      </w:r>
      <w:r>
        <w:rPr>
          <w:rFonts w:hint="eastAsia" w:ascii="宋体" w:hAnsi="宋体" w:eastAsia="宋体" w:cs="宋体"/>
          <w:sz w:val="21"/>
          <w:szCs w:val="21"/>
        </w:rPr>
        <w:t>获取招标文件，并于</w:t>
      </w:r>
      <w:r>
        <w:rPr>
          <w:rFonts w:hint="eastAsia" w:ascii="宋体" w:hAnsi="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10</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日</w:t>
      </w:r>
      <w:r>
        <w:rPr>
          <w:rFonts w:hint="eastAsia" w:ascii="宋体" w:hAnsi="宋体" w:cs="宋体"/>
          <w:bCs/>
          <w:sz w:val="21"/>
          <w:szCs w:val="21"/>
          <w:u w:val="single"/>
          <w:lang w:val="en-US" w:eastAsia="zh-CN"/>
        </w:rPr>
        <w:t>09</w:t>
      </w:r>
      <w:r>
        <w:rPr>
          <w:rFonts w:hint="eastAsia" w:ascii="宋体" w:hAnsi="宋体" w:eastAsia="宋体" w:cs="宋体"/>
          <w:bCs/>
          <w:sz w:val="21"/>
          <w:szCs w:val="21"/>
          <w:u w:val="single"/>
        </w:rPr>
        <w:t>点</w:t>
      </w:r>
      <w:r>
        <w:rPr>
          <w:rFonts w:hint="eastAsia" w:ascii="宋体" w:hAnsi="宋体" w:cs="宋体"/>
          <w:bCs/>
          <w:sz w:val="21"/>
          <w:szCs w:val="21"/>
          <w:u w:val="single"/>
          <w:lang w:val="en-US" w:eastAsia="zh-CN"/>
        </w:rPr>
        <w:t>30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北京时间）前递交投标文件</w:t>
      </w:r>
      <w:r>
        <w:rPr>
          <w:rFonts w:hint="eastAsia" w:ascii="宋体" w:hAnsi="宋体" w:eastAsia="宋体" w:cs="宋体"/>
          <w:sz w:val="21"/>
          <w:szCs w:val="21"/>
        </w:rPr>
        <w:t>。</w:t>
      </w:r>
    </w:p>
    <w:p>
      <w:pPr>
        <w:spacing w:line="400" w:lineRule="exact"/>
        <w:ind w:firstLine="422" w:firstLineChars="200"/>
        <w:rPr>
          <w:b/>
          <w:bCs/>
          <w:color w:val="auto"/>
        </w:rPr>
      </w:pPr>
      <w:r>
        <w:rPr>
          <w:rFonts w:hint="eastAsia"/>
          <w:b/>
          <w:bCs/>
          <w:color w:val="auto"/>
        </w:rPr>
        <w:t>一、项目基本情况</w:t>
      </w:r>
      <w:bookmarkEnd w:id="4"/>
      <w:bookmarkEnd w:id="5"/>
      <w:bookmarkEnd w:id="6"/>
      <w:bookmarkEnd w:id="7"/>
    </w:p>
    <w:p>
      <w:pPr>
        <w:spacing w:line="400" w:lineRule="exact"/>
        <w:ind w:firstLine="420" w:firstLineChars="200"/>
        <w:rPr>
          <w:rFonts w:hint="eastAsia" w:eastAsia="宋体"/>
          <w:color w:val="auto"/>
          <w:lang w:eastAsia="zh-CN"/>
        </w:rPr>
      </w:pPr>
      <w:r>
        <w:rPr>
          <w:rFonts w:hint="eastAsia"/>
          <w:color w:val="auto"/>
        </w:rPr>
        <w:t>项目编号：</w:t>
      </w:r>
      <w:r>
        <w:rPr>
          <w:rFonts w:hint="eastAsia"/>
          <w:color w:val="auto"/>
          <w:lang w:eastAsia="zh-CN"/>
        </w:rPr>
        <w:t>FCZC2020-G1-10010-XGZX</w:t>
      </w:r>
    </w:p>
    <w:p>
      <w:pPr>
        <w:spacing w:line="400" w:lineRule="exact"/>
        <w:ind w:firstLine="420" w:firstLineChars="200"/>
        <w:rPr>
          <w:rFonts w:hint="eastAsia" w:eastAsia="宋体"/>
          <w:color w:val="auto"/>
          <w:lang w:eastAsia="zh-CN"/>
        </w:rPr>
      </w:pPr>
      <w:r>
        <w:rPr>
          <w:rFonts w:hint="eastAsia"/>
          <w:color w:val="auto"/>
        </w:rPr>
        <w:t>项目名称：</w:t>
      </w:r>
      <w:r>
        <w:rPr>
          <w:rFonts w:hint="eastAsia"/>
          <w:color w:val="auto"/>
          <w:lang w:eastAsia="zh-CN"/>
        </w:rPr>
        <w:t>防城港市妇幼保健院核酸检测实验室建设和设备购置项目</w:t>
      </w:r>
    </w:p>
    <w:bookmarkEnd w:id="8"/>
    <w:p>
      <w:pPr>
        <w:spacing w:line="400" w:lineRule="exact"/>
        <w:ind w:firstLine="420" w:firstLineChars="200"/>
        <w:rPr>
          <w:color w:val="auto"/>
        </w:rPr>
      </w:pPr>
      <w:r>
        <w:rPr>
          <w:rFonts w:hint="eastAsia"/>
          <w:color w:val="auto"/>
        </w:rPr>
        <w:t>预算金额：人民币</w:t>
      </w:r>
      <w:r>
        <w:rPr>
          <w:rFonts w:hint="eastAsia"/>
          <w:color w:val="auto"/>
          <w:lang w:val="en-US" w:eastAsia="zh-CN"/>
        </w:rPr>
        <w:t>330</w:t>
      </w:r>
      <w:r>
        <w:rPr>
          <w:rFonts w:hint="eastAsia"/>
          <w:color w:val="auto"/>
        </w:rPr>
        <w:t>万元</w:t>
      </w:r>
    </w:p>
    <w:p>
      <w:pPr>
        <w:spacing w:line="400" w:lineRule="exact"/>
        <w:ind w:firstLine="420" w:firstLineChars="200"/>
        <w:rPr>
          <w:color w:val="auto"/>
        </w:rPr>
      </w:pPr>
      <w:r>
        <w:rPr>
          <w:rFonts w:hint="eastAsia"/>
          <w:color w:val="auto"/>
        </w:rPr>
        <w:t>最高限价（如有）：</w:t>
      </w:r>
      <w:r>
        <w:rPr>
          <w:rFonts w:hint="eastAsia"/>
          <w:color w:val="auto"/>
          <w:lang w:val="en-US" w:eastAsia="zh-CN"/>
        </w:rPr>
        <w:t>同</w:t>
      </w:r>
      <w:r>
        <w:rPr>
          <w:rFonts w:hint="eastAsia"/>
          <w:color w:val="auto"/>
        </w:rPr>
        <w:t>采购预算</w:t>
      </w:r>
    </w:p>
    <w:p>
      <w:pPr>
        <w:spacing w:line="400" w:lineRule="exact"/>
        <w:ind w:firstLine="420" w:firstLineChars="200"/>
        <w:rPr>
          <w:rFonts w:hint="eastAsia"/>
          <w:color w:val="auto"/>
        </w:rPr>
      </w:pPr>
      <w:r>
        <w:rPr>
          <w:rFonts w:hint="eastAsia"/>
          <w:color w:val="auto"/>
        </w:rPr>
        <w:t>采购需求：</w:t>
      </w:r>
    </w:p>
    <w:tbl>
      <w:tblPr>
        <w:tblStyle w:val="4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233"/>
        <w:gridCol w:w="735"/>
        <w:gridCol w:w="5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spacing w:line="3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233" w:type="dxa"/>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货物名称</w:t>
            </w:r>
          </w:p>
        </w:tc>
        <w:tc>
          <w:tcPr>
            <w:tcW w:w="735" w:type="dxa"/>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5397" w:type="dxa"/>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荧光定量PCR</w:t>
            </w:r>
            <w:r>
              <w:rPr>
                <w:rFonts w:hint="eastAsia" w:ascii="宋体" w:hAnsi="宋体" w:cs="宋体"/>
                <w:b w:val="0"/>
                <w:bCs/>
                <w:i w:val="0"/>
                <w:color w:val="000000"/>
                <w:kern w:val="0"/>
                <w:sz w:val="21"/>
                <w:szCs w:val="21"/>
                <w:u w:val="none"/>
                <w:lang w:val="en-US" w:eastAsia="zh-CN" w:bidi="ar"/>
              </w:rPr>
              <w:t>仪</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荧光定量PCR</w:t>
            </w:r>
            <w:r>
              <w:rPr>
                <w:rFonts w:hint="eastAsia" w:ascii="宋体" w:hAnsi="宋体" w:cs="宋体"/>
                <w:b w:val="0"/>
                <w:bCs/>
                <w:i w:val="0"/>
                <w:color w:val="000000"/>
                <w:kern w:val="0"/>
                <w:sz w:val="21"/>
                <w:szCs w:val="21"/>
                <w:u w:val="none"/>
                <w:lang w:val="en-US" w:eastAsia="zh-CN" w:bidi="ar"/>
              </w:rPr>
              <w:t>仪</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全自动核酸提取仪</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 xml:space="preserve">台式离心机 </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迷你离心机</w:t>
            </w:r>
          </w:p>
        </w:tc>
        <w:tc>
          <w:tcPr>
            <w:tcW w:w="735"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数显涡旋振荡器</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pStyle w:val="2"/>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超低温保存箱</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pStyle w:val="2"/>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i w:val="0"/>
                <w:color w:val="000000"/>
                <w:kern w:val="0"/>
                <w:sz w:val="21"/>
                <w:szCs w:val="21"/>
                <w:u w:val="none"/>
                <w:lang w:val="en-US" w:eastAsia="zh-CN" w:bidi="ar"/>
              </w:rPr>
              <w:t>高温高压灭菌器</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详见公告附件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233"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i w:val="0"/>
                <w:color w:val="000000"/>
                <w:kern w:val="0"/>
                <w:sz w:val="21"/>
                <w:szCs w:val="21"/>
                <w:u w:val="none"/>
                <w:lang w:val="en-US" w:eastAsia="zh-CN" w:bidi="ar"/>
              </w:rPr>
              <w:t>紫外线空气消毒器</w:t>
            </w:r>
          </w:p>
        </w:tc>
        <w:tc>
          <w:tcPr>
            <w:tcW w:w="735" w:type="dxa"/>
            <w:vAlign w:val="center"/>
          </w:tcPr>
          <w:p>
            <w:pPr>
              <w:widowControl/>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5</w:t>
            </w:r>
            <w:r>
              <w:rPr>
                <w:rFonts w:hint="eastAsia" w:ascii="宋体" w:hAnsi="宋体" w:cs="宋体"/>
                <w:color w:val="auto"/>
                <w:kern w:val="0"/>
                <w:sz w:val="21"/>
                <w:szCs w:val="21"/>
                <w:highlight w:val="none"/>
                <w:lang w:val="en-US" w:eastAsia="zh-CN"/>
              </w:rPr>
              <w:t>台</w:t>
            </w:r>
          </w:p>
        </w:tc>
        <w:tc>
          <w:tcPr>
            <w:tcW w:w="5397" w:type="dxa"/>
            <w:vAlign w:val="center"/>
          </w:tcPr>
          <w:p>
            <w:pPr>
              <w:widowControl/>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sz w:val="21"/>
                <w:szCs w:val="21"/>
                <w:lang w:eastAsia="zh-CN"/>
              </w:rPr>
              <w:t>详见公告附件</w:t>
            </w:r>
          </w:p>
        </w:tc>
      </w:tr>
    </w:tbl>
    <w:p>
      <w:pPr>
        <w:spacing w:line="400" w:lineRule="exact"/>
        <w:ind w:firstLine="420" w:firstLineChars="200"/>
        <w:rPr>
          <w:color w:val="auto"/>
        </w:rPr>
      </w:pPr>
      <w:r>
        <w:rPr>
          <w:rFonts w:hint="eastAsia"/>
          <w:color w:val="auto"/>
        </w:rPr>
        <w:t>合同履行期限：自合同签订之日起90天内交付使用。</w:t>
      </w:r>
    </w:p>
    <w:p>
      <w:pPr>
        <w:spacing w:line="400" w:lineRule="exact"/>
        <w:ind w:firstLine="420" w:firstLineChars="200"/>
        <w:rPr>
          <w:color w:val="auto"/>
        </w:rPr>
      </w:pPr>
      <w:r>
        <w:rPr>
          <w:rFonts w:hint="eastAsia"/>
          <w:color w:val="auto"/>
        </w:rPr>
        <w:t>本项目不接受联合体投标。</w:t>
      </w:r>
    </w:p>
    <w:p>
      <w:pPr>
        <w:spacing w:line="400" w:lineRule="exact"/>
        <w:ind w:firstLine="422" w:firstLineChars="200"/>
        <w:rPr>
          <w:b/>
          <w:bCs/>
          <w:color w:val="auto"/>
        </w:rPr>
      </w:pPr>
      <w:bookmarkStart w:id="9" w:name="_Toc28359080"/>
      <w:bookmarkStart w:id="10" w:name="_Toc35393791"/>
      <w:bookmarkStart w:id="11" w:name="_Toc35393622"/>
      <w:bookmarkStart w:id="12" w:name="_Toc28359003"/>
      <w:r>
        <w:rPr>
          <w:rFonts w:hint="eastAsia"/>
          <w:b/>
          <w:bCs/>
          <w:color w:val="auto"/>
        </w:rPr>
        <w:t>二、申请人的资格要求：</w:t>
      </w:r>
      <w:bookmarkEnd w:id="9"/>
      <w:bookmarkEnd w:id="10"/>
      <w:bookmarkEnd w:id="11"/>
      <w:bookmarkEnd w:id="12"/>
    </w:p>
    <w:p>
      <w:pPr>
        <w:spacing w:line="400" w:lineRule="exact"/>
        <w:ind w:firstLine="420" w:firstLineChars="200"/>
        <w:rPr>
          <w:color w:val="auto"/>
        </w:rPr>
      </w:pPr>
      <w:r>
        <w:rPr>
          <w:color w:val="auto"/>
        </w:rPr>
        <w:t>1.</w:t>
      </w:r>
      <w:r>
        <w:rPr>
          <w:rFonts w:hint="eastAsia"/>
          <w:color w:val="auto"/>
        </w:rPr>
        <w:t>满足《中华人民共和国政府采购法》第二十二条规定；</w:t>
      </w:r>
    </w:p>
    <w:p>
      <w:pPr>
        <w:spacing w:line="400" w:lineRule="exact"/>
        <w:ind w:firstLine="420" w:firstLineChars="200"/>
        <w:rPr>
          <w:color w:val="auto"/>
        </w:rPr>
      </w:pPr>
      <w:bookmarkStart w:id="13" w:name="_Toc28359004"/>
      <w:bookmarkStart w:id="14" w:name="_Toc28359081"/>
      <w:r>
        <w:rPr>
          <w:color w:val="auto"/>
        </w:rPr>
        <w:t>2.</w:t>
      </w:r>
      <w:r>
        <w:rPr>
          <w:rFonts w:hint="eastAsia"/>
          <w:color w:val="auto"/>
        </w:rPr>
        <w:t>国内注册（指按国家有关规定要求注册的），能提供本次采购货物的供应商；</w:t>
      </w:r>
    </w:p>
    <w:p>
      <w:pPr>
        <w:spacing w:line="400" w:lineRule="exact"/>
        <w:ind w:firstLine="420" w:firstLineChars="200"/>
        <w:rPr>
          <w:color w:val="auto"/>
        </w:rPr>
      </w:pPr>
      <w:r>
        <w:rPr>
          <w:color w:val="auto"/>
        </w:rPr>
        <w:t>3.</w:t>
      </w:r>
      <w:r>
        <w:rPr>
          <w:rFonts w:hint="eastAsia"/>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auto"/>
        </w:rPr>
      </w:pPr>
      <w:r>
        <w:rPr>
          <w:color w:val="auto"/>
        </w:rPr>
        <w:t>4.</w:t>
      </w:r>
      <w:r>
        <w:rPr>
          <w:rFonts w:hint="eastAsia"/>
          <w:color w:val="auto"/>
        </w:rPr>
        <w:t>对在“信用中国”网站</w:t>
      </w:r>
      <w:r>
        <w:rPr>
          <w:color w:val="auto"/>
        </w:rPr>
        <w:t>(www.creditchina.gov.cn)</w:t>
      </w:r>
      <w:r>
        <w:rPr>
          <w:rFonts w:hint="eastAsia"/>
          <w:color w:val="auto"/>
        </w:rPr>
        <w:t>、中国政府采购网</w:t>
      </w:r>
      <w:r>
        <w:rPr>
          <w:color w:val="auto"/>
        </w:rPr>
        <w:t>(www.ccgp.gov.cn)</w:t>
      </w:r>
      <w:r>
        <w:rPr>
          <w:rFonts w:hint="eastAsia"/>
          <w:color w:val="auto"/>
        </w:rPr>
        <w:t>等渠道列入失信被执行人、重大税收违法案件当事人名单、政府采购严重违法失信行为记录名单不得参与政府采购活动；</w:t>
      </w:r>
    </w:p>
    <w:p>
      <w:pPr>
        <w:spacing w:line="400" w:lineRule="exact"/>
        <w:ind w:firstLine="420" w:firstLineChars="200"/>
        <w:rPr>
          <w:color w:val="auto"/>
        </w:rPr>
      </w:pPr>
      <w:r>
        <w:rPr>
          <w:color w:val="auto"/>
        </w:rPr>
        <w:t>5.</w:t>
      </w:r>
      <w:r>
        <w:rPr>
          <w:rFonts w:hint="eastAsia"/>
          <w:color w:val="auto"/>
        </w:rPr>
        <w:t>落实政府采购政策需满足的资格要求：无。</w:t>
      </w:r>
    </w:p>
    <w:p>
      <w:pPr>
        <w:spacing w:line="400" w:lineRule="exact"/>
        <w:ind w:firstLine="420" w:firstLineChars="200"/>
        <w:rPr>
          <w:color w:val="auto"/>
        </w:rPr>
      </w:pPr>
      <w:r>
        <w:rPr>
          <w:color w:val="auto"/>
        </w:rPr>
        <w:t>6.</w:t>
      </w:r>
      <w:r>
        <w:rPr>
          <w:rFonts w:hint="eastAsia"/>
          <w:color w:val="auto"/>
        </w:rPr>
        <w:t>本项目的特定资格要求：供应商必须具有行业主管部门颁发的有效的《中华人民共和国医疗器械经营企业许可证》或《中华人民共和国医疗器械生产企业许可证》或《二类医疗器械经营备案凭证》。</w:t>
      </w:r>
    </w:p>
    <w:p>
      <w:pPr>
        <w:spacing w:line="400" w:lineRule="exact"/>
        <w:ind w:firstLine="422" w:firstLineChars="200"/>
        <w:rPr>
          <w:b/>
          <w:bCs/>
          <w:color w:val="auto"/>
        </w:rPr>
      </w:pPr>
      <w:bookmarkStart w:id="15" w:name="_Toc35393623"/>
      <w:bookmarkStart w:id="16" w:name="_Toc35393792"/>
      <w:r>
        <w:rPr>
          <w:rFonts w:hint="eastAsia"/>
          <w:b/>
          <w:bCs/>
          <w:color w:val="auto"/>
        </w:rPr>
        <w:t>三、获取招标文件</w:t>
      </w:r>
      <w:bookmarkEnd w:id="13"/>
      <w:bookmarkEnd w:id="14"/>
      <w:bookmarkEnd w:id="15"/>
      <w:bookmarkEnd w:id="16"/>
    </w:p>
    <w:p>
      <w:pPr>
        <w:spacing w:line="400" w:lineRule="exact"/>
        <w:ind w:firstLine="420" w:firstLineChars="200"/>
        <w:rPr>
          <w:rFonts w:hint="eastAsia"/>
          <w:color w:val="auto"/>
        </w:rPr>
      </w:pPr>
      <w:r>
        <w:rPr>
          <w:color w:val="auto"/>
        </w:rPr>
        <w:t>1.</w:t>
      </w:r>
      <w:r>
        <w:rPr>
          <w:rFonts w:hint="eastAsia"/>
          <w:color w:val="auto"/>
        </w:rPr>
        <w:t>时间：本公告发布之时起至2020年</w:t>
      </w:r>
      <w:r>
        <w:rPr>
          <w:rFonts w:hint="eastAsia"/>
          <w:color w:val="auto"/>
          <w:lang w:val="en-US" w:eastAsia="zh-CN"/>
        </w:rPr>
        <w:t>9</w:t>
      </w:r>
      <w:r>
        <w:rPr>
          <w:rFonts w:hint="eastAsia"/>
          <w:color w:val="auto"/>
        </w:rPr>
        <w:t>月</w:t>
      </w:r>
      <w:r>
        <w:rPr>
          <w:rFonts w:hint="eastAsia"/>
          <w:color w:val="auto"/>
          <w:lang w:val="en-US" w:eastAsia="zh-CN"/>
        </w:rPr>
        <w:t>27</w:t>
      </w:r>
      <w:r>
        <w:rPr>
          <w:rFonts w:hint="eastAsia"/>
          <w:color w:val="auto"/>
        </w:rPr>
        <w:t>日</w:t>
      </w:r>
      <w:r>
        <w:rPr>
          <w:rFonts w:hint="eastAsia"/>
          <w:color w:val="auto"/>
          <w:lang w:val="en-US" w:eastAsia="zh-CN"/>
        </w:rPr>
        <w:t>16</w:t>
      </w:r>
      <w:r>
        <w:rPr>
          <w:rFonts w:hint="eastAsia"/>
          <w:color w:val="auto"/>
        </w:rPr>
        <w:t>时</w:t>
      </w:r>
      <w:r>
        <w:rPr>
          <w:rFonts w:hint="eastAsia"/>
          <w:color w:val="auto"/>
          <w:lang w:val="en-US" w:eastAsia="zh-CN"/>
        </w:rPr>
        <w:t>30</w:t>
      </w:r>
      <w:r>
        <w:rPr>
          <w:rFonts w:hint="eastAsia"/>
          <w:color w:val="auto"/>
        </w:rPr>
        <w:t>分止。</w:t>
      </w:r>
    </w:p>
    <w:p>
      <w:pPr>
        <w:spacing w:line="400" w:lineRule="exact"/>
        <w:ind w:firstLine="420" w:firstLineChars="200"/>
        <w:rPr>
          <w:rFonts w:hint="default" w:eastAsia="宋体"/>
          <w:color w:val="auto"/>
          <w:lang w:val="en-US" w:eastAsia="zh-CN"/>
        </w:rPr>
      </w:pPr>
      <w:r>
        <w:rPr>
          <w:color w:val="auto"/>
        </w:rPr>
        <w:t>2.</w:t>
      </w:r>
      <w:r>
        <w:rPr>
          <w:rFonts w:hint="eastAsia"/>
          <w:color w:val="auto"/>
          <w:lang w:val="en-US" w:eastAsia="zh-CN"/>
        </w:rPr>
        <w:t>地点：政采云平台（https://www.zcygov.cn/）</w:t>
      </w:r>
    </w:p>
    <w:p>
      <w:pPr>
        <w:spacing w:line="400" w:lineRule="exact"/>
        <w:ind w:firstLine="420" w:firstLineChars="200"/>
        <w:rPr>
          <w:rFonts w:hint="eastAsia"/>
          <w:color w:val="auto"/>
        </w:rPr>
      </w:pPr>
      <w:r>
        <w:rPr>
          <w:rFonts w:hint="eastAsia"/>
          <w:color w:val="auto"/>
          <w:lang w:val="en-US" w:eastAsia="zh-CN"/>
        </w:rPr>
        <w:t>3.</w:t>
      </w:r>
      <w:r>
        <w:rPr>
          <w:rFonts w:hint="eastAsia"/>
          <w:color w:val="auto"/>
        </w:rPr>
        <w:t>方式：本项目由</w:t>
      </w:r>
      <w:r>
        <w:rPr>
          <w:rFonts w:hint="eastAsia"/>
          <w:color w:val="auto"/>
          <w:lang w:val="en-US" w:eastAsia="zh-CN"/>
        </w:rPr>
        <w:t>潜在投标人</w:t>
      </w:r>
      <w:r>
        <w:rPr>
          <w:rFonts w:hint="eastAsia"/>
          <w:color w:val="auto"/>
        </w:rPr>
        <w:t>登陆政采云平台（</w:t>
      </w:r>
      <w:r>
        <w:rPr>
          <w:rFonts w:hint="eastAsia"/>
          <w:color w:val="auto"/>
        </w:rPr>
        <w:fldChar w:fldCharType="begin"/>
      </w:r>
      <w:r>
        <w:rPr>
          <w:rFonts w:hint="eastAsia"/>
          <w:color w:val="auto"/>
        </w:rPr>
        <w:instrText xml:space="preserve"> HYPERLINK "https://www.zcygov.cn/" </w:instrText>
      </w:r>
      <w:r>
        <w:rPr>
          <w:rFonts w:hint="eastAsia"/>
          <w:color w:val="auto"/>
        </w:rPr>
        <w:fldChar w:fldCharType="separate"/>
      </w:r>
      <w:r>
        <w:rPr>
          <w:rFonts w:hint="eastAsia"/>
          <w:color w:val="auto"/>
        </w:rPr>
        <w:t>https://www.zcygov.cn/</w:t>
      </w:r>
      <w:r>
        <w:rPr>
          <w:rFonts w:hint="eastAsia"/>
          <w:color w:val="auto"/>
        </w:rPr>
        <w:fldChar w:fldCharType="end"/>
      </w:r>
      <w:r>
        <w:rPr>
          <w:rFonts w:hint="eastAsia"/>
          <w:color w:val="auto"/>
        </w:rPr>
        <w:t>）申请报名，并向采购代理机构支付</w:t>
      </w:r>
      <w:r>
        <w:rPr>
          <w:rFonts w:hint="eastAsia"/>
          <w:color w:val="auto"/>
          <w:lang w:val="en-US" w:eastAsia="zh-CN"/>
        </w:rPr>
        <w:t>招标</w:t>
      </w:r>
      <w:r>
        <w:rPr>
          <w:rFonts w:hint="eastAsia"/>
          <w:color w:val="auto"/>
        </w:rPr>
        <w:t>文件费用（通过银行转账方式支付）。采购代理机构确认</w:t>
      </w:r>
      <w:r>
        <w:rPr>
          <w:rFonts w:hint="eastAsia"/>
          <w:color w:val="auto"/>
          <w:lang w:val="en-US" w:eastAsia="zh-CN"/>
        </w:rPr>
        <w:t>招标</w:t>
      </w:r>
      <w:r>
        <w:rPr>
          <w:rFonts w:hint="eastAsia"/>
          <w:color w:val="auto"/>
        </w:rPr>
        <w:t>文件价款到达指定账户后，</w:t>
      </w:r>
      <w:r>
        <w:rPr>
          <w:rFonts w:hint="eastAsia"/>
          <w:color w:val="auto"/>
          <w:lang w:val="en-US" w:eastAsia="zh-CN"/>
        </w:rPr>
        <w:t>潜在投标人</w:t>
      </w:r>
      <w:r>
        <w:rPr>
          <w:rFonts w:hint="eastAsia"/>
          <w:color w:val="auto"/>
        </w:rPr>
        <w:t>获取</w:t>
      </w:r>
      <w:r>
        <w:rPr>
          <w:rFonts w:hint="eastAsia"/>
          <w:color w:val="auto"/>
          <w:lang w:val="en-US" w:eastAsia="zh-CN"/>
        </w:rPr>
        <w:t>招标</w:t>
      </w:r>
      <w:r>
        <w:rPr>
          <w:rFonts w:hint="eastAsia"/>
          <w:color w:val="auto"/>
        </w:rPr>
        <w:t>文件的信息方可通过，通过后</w:t>
      </w:r>
      <w:r>
        <w:rPr>
          <w:rFonts w:hint="eastAsia"/>
          <w:color w:val="auto"/>
          <w:lang w:val="en-US" w:eastAsia="zh-CN"/>
        </w:rPr>
        <w:t>潜在投标人</w:t>
      </w:r>
      <w:r>
        <w:rPr>
          <w:rFonts w:hint="eastAsia"/>
          <w:color w:val="auto"/>
        </w:rPr>
        <w:t>才能下载</w:t>
      </w:r>
      <w:r>
        <w:rPr>
          <w:rFonts w:hint="eastAsia"/>
          <w:color w:val="auto"/>
          <w:lang w:val="en-US" w:eastAsia="zh-CN"/>
        </w:rPr>
        <w:t>招标</w:t>
      </w:r>
      <w:r>
        <w:rPr>
          <w:rFonts w:hint="eastAsia"/>
          <w:color w:val="auto"/>
        </w:rPr>
        <w:t>文件电子版，并根据</w:t>
      </w:r>
      <w:r>
        <w:rPr>
          <w:rFonts w:hint="eastAsia"/>
          <w:color w:val="auto"/>
          <w:lang w:val="en-US" w:eastAsia="zh-CN"/>
        </w:rPr>
        <w:t>招标</w:t>
      </w:r>
      <w:r>
        <w:rPr>
          <w:rFonts w:hint="eastAsia"/>
          <w:color w:val="auto"/>
        </w:rPr>
        <w:t>文件规定的</w:t>
      </w:r>
      <w:r>
        <w:rPr>
          <w:rFonts w:hint="eastAsia"/>
          <w:color w:val="auto"/>
          <w:lang w:val="en-US" w:eastAsia="zh-CN"/>
        </w:rPr>
        <w:t>投标</w:t>
      </w:r>
      <w:r>
        <w:rPr>
          <w:rFonts w:hint="eastAsia"/>
          <w:color w:val="auto"/>
        </w:rPr>
        <w:t>文件递交截止时间和地点提交</w:t>
      </w:r>
      <w:r>
        <w:rPr>
          <w:rFonts w:hint="eastAsia"/>
          <w:color w:val="auto"/>
          <w:lang w:val="en-US" w:eastAsia="zh-CN"/>
        </w:rPr>
        <w:t>投标</w:t>
      </w:r>
      <w:r>
        <w:rPr>
          <w:rFonts w:hint="eastAsia"/>
          <w:color w:val="auto"/>
        </w:rPr>
        <w:t>文件。未注册的供应商可登录政采云平台进行注册（政采云平台-商家入驻-注册），如在操作过程中遇到问题或者需要技术支持，请致电政采云客服热线：400-881-7190。供应商未按以上时间、方式获取本项目</w:t>
      </w:r>
      <w:r>
        <w:rPr>
          <w:rFonts w:hint="eastAsia"/>
          <w:color w:val="auto"/>
          <w:lang w:val="en-US" w:eastAsia="zh-CN"/>
        </w:rPr>
        <w:t>招标</w:t>
      </w:r>
      <w:r>
        <w:rPr>
          <w:rFonts w:hint="eastAsia"/>
          <w:color w:val="auto"/>
        </w:rPr>
        <w:t>文件的，本公司将拒收其</w:t>
      </w:r>
      <w:r>
        <w:rPr>
          <w:rFonts w:hint="eastAsia"/>
          <w:color w:val="auto"/>
          <w:lang w:val="en-US" w:eastAsia="zh-CN"/>
        </w:rPr>
        <w:t>投标</w:t>
      </w:r>
      <w:r>
        <w:rPr>
          <w:rFonts w:hint="eastAsia"/>
          <w:color w:val="auto"/>
        </w:rPr>
        <w:t>文件。</w:t>
      </w:r>
    </w:p>
    <w:p>
      <w:pPr>
        <w:spacing w:line="400" w:lineRule="exact"/>
        <w:ind w:firstLine="422" w:firstLineChars="200"/>
        <w:rPr>
          <w:b/>
          <w:bCs/>
          <w:color w:val="auto"/>
        </w:rPr>
      </w:pPr>
      <w:bookmarkStart w:id="17" w:name="_Toc28359005"/>
      <w:bookmarkStart w:id="18" w:name="_Toc28359082"/>
      <w:bookmarkStart w:id="19" w:name="_Toc35393624"/>
      <w:bookmarkStart w:id="20" w:name="_Toc35393793"/>
      <w:bookmarkStart w:id="405" w:name="_GoBack"/>
      <w:bookmarkEnd w:id="405"/>
      <w:r>
        <w:rPr>
          <w:rFonts w:hint="eastAsia"/>
          <w:b/>
          <w:bCs/>
          <w:color w:val="auto"/>
        </w:rPr>
        <w:t>四、提交投标文件</w:t>
      </w:r>
      <w:bookmarkEnd w:id="17"/>
      <w:bookmarkEnd w:id="18"/>
      <w:r>
        <w:rPr>
          <w:rFonts w:hint="eastAsia"/>
          <w:b/>
          <w:bCs/>
          <w:color w:val="auto"/>
        </w:rPr>
        <w:t>截止时间、开标时间和地点</w:t>
      </w:r>
      <w:bookmarkEnd w:id="19"/>
      <w:bookmarkEnd w:id="20"/>
    </w:p>
    <w:p>
      <w:pPr>
        <w:spacing w:line="400" w:lineRule="exact"/>
        <w:ind w:firstLine="420" w:firstLineChars="200"/>
        <w:rPr>
          <w:color w:val="auto"/>
        </w:rPr>
      </w:pPr>
      <w:r>
        <w:rPr>
          <w:rFonts w:hint="eastAsia"/>
          <w:color w:val="auto"/>
        </w:rPr>
        <w:t>时间：</w:t>
      </w:r>
      <w:r>
        <w:rPr>
          <w:color w:val="auto"/>
        </w:rPr>
        <w:t>2020</w:t>
      </w:r>
      <w:r>
        <w:rPr>
          <w:rFonts w:hint="eastAsia"/>
          <w:color w:val="auto"/>
        </w:rPr>
        <w:t>年</w:t>
      </w:r>
      <w:r>
        <w:rPr>
          <w:rFonts w:hint="eastAsia"/>
          <w:color w:val="auto"/>
          <w:lang w:val="en-US" w:eastAsia="zh-CN"/>
        </w:rPr>
        <w:t>10</w:t>
      </w:r>
      <w:r>
        <w:rPr>
          <w:rFonts w:hint="eastAsia"/>
          <w:color w:val="auto"/>
        </w:rPr>
        <w:t>月</w:t>
      </w:r>
      <w:r>
        <w:rPr>
          <w:rFonts w:hint="eastAsia"/>
          <w:color w:val="auto"/>
          <w:lang w:val="en-US" w:eastAsia="zh-CN"/>
        </w:rPr>
        <w:t>12</w:t>
      </w:r>
      <w:r>
        <w:rPr>
          <w:rFonts w:hint="eastAsia"/>
          <w:color w:val="auto"/>
        </w:rPr>
        <w:t>日</w:t>
      </w:r>
      <w:r>
        <w:rPr>
          <w:rFonts w:hint="eastAsia"/>
          <w:color w:val="auto"/>
          <w:lang w:val="en-US" w:eastAsia="zh-CN"/>
        </w:rPr>
        <w:t>09</w:t>
      </w:r>
      <w:r>
        <w:rPr>
          <w:rFonts w:hint="eastAsia"/>
          <w:color w:val="auto"/>
        </w:rPr>
        <w:t>点</w:t>
      </w:r>
      <w:r>
        <w:rPr>
          <w:rFonts w:hint="eastAsia"/>
          <w:color w:val="auto"/>
          <w:lang w:val="en-US" w:eastAsia="zh-CN"/>
        </w:rPr>
        <w:t>30</w:t>
      </w:r>
      <w:r>
        <w:rPr>
          <w:rFonts w:hint="eastAsia"/>
          <w:color w:val="auto"/>
        </w:rPr>
        <w:t>分（北京时间）</w:t>
      </w:r>
    </w:p>
    <w:p>
      <w:pPr>
        <w:spacing w:line="400" w:lineRule="exact"/>
        <w:ind w:firstLine="420" w:firstLineChars="200"/>
        <w:rPr>
          <w:color w:val="auto"/>
        </w:rPr>
      </w:pPr>
      <w:r>
        <w:rPr>
          <w:rFonts w:hint="eastAsia"/>
          <w:color w:val="auto"/>
        </w:rPr>
        <w:t>地点：防城港市公共资源交易中心（防城港市迎宾路红树林大厦东塔）（具体开标厅根据防城港市公共资源交易中心网站公示或防城港市迎宾路红树林大厦东塔</w:t>
      </w:r>
      <w:r>
        <w:rPr>
          <w:color w:val="auto"/>
        </w:rPr>
        <w:t>6</w:t>
      </w:r>
      <w:r>
        <w:rPr>
          <w:rFonts w:hint="eastAsia"/>
          <w:color w:val="auto"/>
        </w:rPr>
        <w:t>楼电子屏幕显示的安排）</w:t>
      </w:r>
    </w:p>
    <w:p>
      <w:pPr>
        <w:spacing w:line="400" w:lineRule="exact"/>
        <w:ind w:firstLine="420" w:firstLineChars="200"/>
        <w:rPr>
          <w:color w:val="auto"/>
        </w:rPr>
      </w:pPr>
      <w:r>
        <w:rPr>
          <w:rFonts w:hint="eastAsia"/>
          <w:color w:val="auto"/>
        </w:rPr>
        <w:t>逾期送达或未按要求密封的将予以拒收（或作无效投标文件处理）</w:t>
      </w:r>
    </w:p>
    <w:p>
      <w:pPr>
        <w:spacing w:line="400" w:lineRule="exact"/>
        <w:ind w:firstLine="422" w:firstLineChars="200"/>
        <w:rPr>
          <w:b/>
          <w:bCs/>
          <w:color w:val="auto"/>
        </w:rPr>
      </w:pPr>
      <w:bookmarkStart w:id="21" w:name="_Toc35393794"/>
      <w:bookmarkStart w:id="22" w:name="_Toc35393625"/>
      <w:bookmarkStart w:id="23" w:name="_Toc28359007"/>
      <w:bookmarkStart w:id="24" w:name="_Toc28359084"/>
      <w:r>
        <w:rPr>
          <w:rFonts w:hint="eastAsia"/>
          <w:b/>
          <w:bCs/>
          <w:color w:val="auto"/>
        </w:rPr>
        <w:t>五、公告期限</w:t>
      </w:r>
      <w:bookmarkEnd w:id="21"/>
      <w:bookmarkEnd w:id="22"/>
      <w:bookmarkEnd w:id="23"/>
      <w:bookmarkEnd w:id="24"/>
    </w:p>
    <w:p>
      <w:pPr>
        <w:spacing w:line="400" w:lineRule="exact"/>
        <w:ind w:firstLine="420" w:firstLineChars="200"/>
        <w:rPr>
          <w:color w:val="auto"/>
        </w:rPr>
      </w:pPr>
      <w:r>
        <w:rPr>
          <w:rFonts w:hint="eastAsia"/>
          <w:color w:val="auto"/>
        </w:rPr>
        <w:t>自本公告发布之日起</w:t>
      </w:r>
      <w:r>
        <w:rPr>
          <w:color w:val="auto"/>
        </w:rPr>
        <w:t>5</w:t>
      </w:r>
      <w:r>
        <w:rPr>
          <w:rFonts w:hint="eastAsia"/>
          <w:color w:val="auto"/>
        </w:rPr>
        <w:t>个工作日。</w:t>
      </w:r>
    </w:p>
    <w:p>
      <w:pPr>
        <w:spacing w:line="400" w:lineRule="exact"/>
        <w:ind w:firstLine="422" w:firstLineChars="200"/>
        <w:rPr>
          <w:b/>
          <w:bCs/>
          <w:color w:val="auto"/>
        </w:rPr>
      </w:pPr>
      <w:bookmarkStart w:id="25" w:name="_Toc35393795"/>
      <w:bookmarkStart w:id="26" w:name="_Toc35393626"/>
      <w:r>
        <w:rPr>
          <w:rFonts w:hint="eastAsia"/>
          <w:b/>
          <w:bCs/>
          <w:color w:val="auto"/>
        </w:rPr>
        <w:t>六、其他补充事宜</w:t>
      </w:r>
      <w:bookmarkEnd w:id="25"/>
      <w:bookmarkEnd w:id="26"/>
      <w:r>
        <w:rPr>
          <w:rFonts w:hint="eastAsia"/>
          <w:b/>
          <w:bCs/>
          <w:color w:val="auto"/>
        </w:rPr>
        <w:t>：</w:t>
      </w:r>
    </w:p>
    <w:p>
      <w:pPr>
        <w:spacing w:line="400" w:lineRule="exact"/>
        <w:ind w:firstLine="420" w:firstLineChars="200"/>
        <w:rPr>
          <w:rFonts w:hint="eastAsia"/>
          <w:color w:val="auto"/>
          <w:lang w:eastAsia="zh-CN"/>
        </w:rPr>
      </w:pPr>
      <w:r>
        <w:rPr>
          <w:color w:val="auto"/>
        </w:rPr>
        <w:t>1.</w:t>
      </w:r>
      <w:r>
        <w:rPr>
          <w:rFonts w:hint="eastAsia"/>
          <w:color w:val="auto"/>
        </w:rPr>
        <w:t>网上查询地址：</w:t>
      </w:r>
      <w:r>
        <w:rPr>
          <w:rFonts w:hint="eastAsia"/>
          <w:color w:val="auto"/>
          <w:lang w:eastAsia="zh-CN"/>
        </w:rPr>
        <w:t>中国政府采购网（http://www.ccgp.gov.cn）、广西壮族自治区政府采购网（http://zfcg.gxzf.gov.cn）、广西防城港政府采购网站（http://zfcg.fcgs.gov.cn）、防城港市公共资源交易中心网（http://www.fcgggzy.cn）。</w:t>
      </w:r>
    </w:p>
    <w:p>
      <w:pPr>
        <w:spacing w:line="400" w:lineRule="exact"/>
        <w:ind w:firstLine="420" w:firstLineChars="200"/>
        <w:rPr>
          <w:color w:val="auto"/>
        </w:rPr>
      </w:pPr>
      <w:r>
        <w:rPr>
          <w:color w:val="auto"/>
        </w:rPr>
        <w:t>2.</w:t>
      </w:r>
      <w:r>
        <w:rPr>
          <w:rFonts w:hint="eastAsia"/>
          <w:color w:val="auto"/>
        </w:rPr>
        <w:t>本项目需要落实的政府采购政策：</w:t>
      </w:r>
    </w:p>
    <w:p>
      <w:pPr>
        <w:spacing w:line="400" w:lineRule="exact"/>
        <w:ind w:firstLine="420" w:firstLineChars="200"/>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政府采购促进中小企业发展。</w:t>
      </w:r>
    </w:p>
    <w:p>
      <w:pPr>
        <w:spacing w:line="400" w:lineRule="exact"/>
        <w:ind w:firstLine="420" w:firstLineChars="200"/>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政府采购支持采用本国产品的政策。</w:t>
      </w:r>
      <w:r>
        <w:rPr>
          <w:color w:val="auto"/>
        </w:rPr>
        <w:t xml:space="preserve"> </w:t>
      </w:r>
    </w:p>
    <w:p>
      <w:pPr>
        <w:spacing w:line="400" w:lineRule="exact"/>
        <w:ind w:firstLine="420" w:firstLineChars="200"/>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强制采购、优先采购环境标志产品、节能产品。</w:t>
      </w:r>
      <w:r>
        <w:rPr>
          <w:color w:val="auto"/>
        </w:rPr>
        <w:t xml:space="preserve"> </w:t>
      </w:r>
    </w:p>
    <w:p>
      <w:pPr>
        <w:spacing w:line="400" w:lineRule="exact"/>
        <w:ind w:firstLine="420" w:firstLineChars="20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支持监狱企业发展政策。</w:t>
      </w:r>
      <w:r>
        <w:rPr>
          <w:color w:val="auto"/>
        </w:rPr>
        <w:t xml:space="preserve"> </w:t>
      </w:r>
    </w:p>
    <w:p>
      <w:pPr>
        <w:spacing w:line="400" w:lineRule="exact"/>
        <w:ind w:firstLine="420" w:firstLineChars="20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政府采购促进残疾人就业政策。</w:t>
      </w:r>
    </w:p>
    <w:p>
      <w:pPr>
        <w:spacing w:line="400" w:lineRule="exact"/>
        <w:ind w:firstLine="422" w:firstLineChars="200"/>
        <w:rPr>
          <w:b/>
          <w:bCs/>
          <w:color w:val="auto"/>
        </w:rPr>
      </w:pPr>
      <w:bookmarkStart w:id="27" w:name="_Toc35393796"/>
      <w:bookmarkStart w:id="28" w:name="_Toc28359085"/>
      <w:bookmarkStart w:id="29" w:name="_Toc35393627"/>
      <w:bookmarkStart w:id="30" w:name="_Toc28359008"/>
      <w:r>
        <w:rPr>
          <w:rFonts w:hint="eastAsia"/>
          <w:b/>
          <w:bCs/>
          <w:color w:val="auto"/>
        </w:rPr>
        <w:t>七、对本次招标提出询问，请按以下方式联系。</w:t>
      </w:r>
      <w:bookmarkEnd w:id="27"/>
      <w:bookmarkEnd w:id="28"/>
      <w:bookmarkEnd w:id="29"/>
      <w:bookmarkEnd w:id="30"/>
    </w:p>
    <w:p>
      <w:pPr>
        <w:spacing w:line="400" w:lineRule="exact"/>
        <w:ind w:firstLine="420" w:firstLineChars="200"/>
        <w:rPr>
          <w:color w:val="auto"/>
        </w:rPr>
      </w:pPr>
      <w:r>
        <w:rPr>
          <w:color w:val="auto"/>
        </w:rPr>
        <w:t>1.</w:t>
      </w:r>
      <w:r>
        <w:rPr>
          <w:rFonts w:hint="eastAsia"/>
          <w:color w:val="auto"/>
        </w:rPr>
        <w:t>采购人信息</w:t>
      </w:r>
    </w:p>
    <w:p>
      <w:pPr>
        <w:spacing w:line="400" w:lineRule="exact"/>
        <w:ind w:firstLine="420" w:firstLineChars="200"/>
        <w:rPr>
          <w:color w:val="auto"/>
        </w:rPr>
      </w:pPr>
      <w:r>
        <w:rPr>
          <w:rFonts w:hint="eastAsia"/>
          <w:color w:val="auto"/>
        </w:rPr>
        <w:t>名</w:t>
      </w:r>
      <w:r>
        <w:rPr>
          <w:color w:val="auto"/>
        </w:rPr>
        <w:t xml:space="preserve"> </w:t>
      </w:r>
      <w:r>
        <w:rPr>
          <w:rFonts w:hint="eastAsia"/>
          <w:color w:val="auto"/>
        </w:rPr>
        <w:t>称：防城港市妇幼保健院；</w:t>
      </w:r>
    </w:p>
    <w:p>
      <w:pPr>
        <w:spacing w:line="400" w:lineRule="exact"/>
        <w:ind w:firstLine="420" w:firstLineChars="200"/>
        <w:rPr>
          <w:color w:val="auto"/>
        </w:rPr>
      </w:pPr>
      <w:r>
        <w:rPr>
          <w:rFonts w:hint="eastAsia"/>
          <w:color w:val="auto"/>
        </w:rPr>
        <w:t>地址：防城港市港口区渔万路</w:t>
      </w:r>
      <w:r>
        <w:rPr>
          <w:color w:val="auto"/>
        </w:rPr>
        <w:t>23</w:t>
      </w:r>
      <w:r>
        <w:rPr>
          <w:rFonts w:hint="eastAsia"/>
          <w:color w:val="auto"/>
        </w:rPr>
        <w:t>号；</w:t>
      </w:r>
    </w:p>
    <w:p>
      <w:pPr>
        <w:spacing w:line="400" w:lineRule="exact"/>
        <w:ind w:firstLine="420" w:firstLineChars="200"/>
        <w:rPr>
          <w:color w:val="auto"/>
        </w:rPr>
      </w:pPr>
      <w:r>
        <w:rPr>
          <w:rFonts w:hint="eastAsia"/>
          <w:color w:val="auto"/>
        </w:rPr>
        <w:t>联系方式：</w:t>
      </w:r>
      <w:r>
        <w:rPr>
          <w:rFonts w:hint="eastAsia"/>
          <w:color w:val="auto"/>
          <w:lang w:eastAsia="zh-CN"/>
        </w:rPr>
        <w:t>张  棉　13877094900　</w:t>
      </w:r>
      <w:r>
        <w:rPr>
          <w:rFonts w:hint="eastAsia"/>
          <w:color w:val="auto"/>
        </w:rPr>
        <w:t>　　　　　　　　　　　</w:t>
      </w:r>
      <w:r>
        <w:rPr>
          <w:color w:val="auto"/>
        </w:rPr>
        <w:t xml:space="preserve"> </w:t>
      </w:r>
      <w:bookmarkStart w:id="31" w:name="_Toc28359009"/>
      <w:bookmarkStart w:id="32" w:name="_Toc28359086"/>
    </w:p>
    <w:bookmarkEnd w:id="31"/>
    <w:bookmarkEnd w:id="32"/>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2.采购代理机构信息</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名 称：广西建设工程项目管理中心有限责任公司　　　　　　　　　　　　</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地　址：防城港市港口区西湾广场财苑小区3栋2楼　　　　　　　　　　　　</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联系方式：</w:t>
      </w:r>
      <w:bookmarkStart w:id="33" w:name="_Toc28359087"/>
      <w:bookmarkStart w:id="34" w:name="_Toc28359010"/>
      <w:r>
        <w:rPr>
          <w:rFonts w:hint="eastAsia" w:ascii="Times New Roman" w:hAnsi="Times New Roman" w:cs="Times New Roman"/>
          <w:color w:val="auto"/>
          <w:lang w:val="en-US" w:eastAsia="zh-CN"/>
        </w:rPr>
        <w:t>郑锡贵  0770-2882029　　　　　　　　　　　　</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3.</w:t>
      </w:r>
      <w:bookmarkEnd w:id="33"/>
      <w:bookmarkEnd w:id="34"/>
      <w:r>
        <w:rPr>
          <w:rFonts w:hint="eastAsia" w:ascii="Times New Roman" w:hAnsi="Times New Roman" w:cs="Times New Roman"/>
          <w:color w:val="auto"/>
          <w:lang w:val="en-US" w:eastAsia="zh-CN"/>
        </w:rPr>
        <w:t>监督部门信息</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名   称：防城港市政府采购管理中心</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地   址：防城港市港口区广场环路</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电　 话：0770-6102319</w:t>
      </w:r>
    </w:p>
    <w:p>
      <w:pPr>
        <w:pStyle w:val="2"/>
        <w:rPr>
          <w:rFonts w:hint="eastAsia" w:ascii="Times New Roman" w:hAnsi="Times New Roman" w:eastAsia="宋体" w:cs="Times New Roman"/>
          <w:b/>
          <w:bCs/>
          <w:color w:val="auto"/>
          <w:kern w:val="2"/>
          <w:sz w:val="21"/>
          <w:szCs w:val="24"/>
          <w:lang w:val="en-US" w:eastAsia="zh-CN" w:bidi="ar-SA"/>
        </w:rPr>
      </w:pPr>
      <w:r>
        <w:rPr>
          <w:rFonts w:hint="eastAsia"/>
          <w:color w:val="auto"/>
          <w:lang w:val="en-US" w:eastAsia="zh-CN"/>
        </w:rPr>
        <w:t xml:space="preserve">   </w:t>
      </w:r>
      <w:r>
        <w:rPr>
          <w:rFonts w:hint="eastAsia" w:ascii="Times New Roman" w:hAnsi="Times New Roman" w:eastAsia="宋体" w:cs="Times New Roman"/>
          <w:b/>
          <w:bCs/>
          <w:color w:val="auto"/>
          <w:kern w:val="2"/>
          <w:sz w:val="21"/>
          <w:szCs w:val="24"/>
          <w:lang w:val="en-US" w:eastAsia="zh-CN" w:bidi="ar-SA"/>
        </w:rPr>
        <w:t xml:space="preserve"> 八、附件</w:t>
      </w:r>
    </w:p>
    <w:p>
      <w:pPr>
        <w:pStyle w:val="2"/>
        <w:ind w:firstLine="420" w:firstLineChars="20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1.采购需求</w:t>
      </w:r>
    </w:p>
    <w:p>
      <w:pPr>
        <w:snapToGrid w:val="0"/>
        <w:spacing w:line="380" w:lineRule="exact"/>
        <w:ind w:firstLine="420" w:firstLineChars="200"/>
        <w:rPr>
          <w:rFonts w:ascii="宋体" w:cs="宋体"/>
          <w:color w:val="auto"/>
          <w:kern w:val="0"/>
          <w:szCs w:val="21"/>
        </w:rPr>
      </w:pPr>
    </w:p>
    <w:p>
      <w:pPr>
        <w:snapToGrid w:val="0"/>
        <w:spacing w:line="340" w:lineRule="exact"/>
        <w:ind w:left="238"/>
        <w:jc w:val="right"/>
        <w:rPr>
          <w:rFonts w:ascii="宋体"/>
          <w:color w:val="auto"/>
          <w:szCs w:val="21"/>
        </w:rPr>
      </w:pPr>
      <w:r>
        <w:rPr>
          <w:rFonts w:ascii="宋体" w:hAnsi="宋体"/>
          <w:color w:val="auto"/>
          <w:szCs w:val="21"/>
        </w:rPr>
        <w:t xml:space="preserve">   </w:t>
      </w:r>
      <w:r>
        <w:rPr>
          <w:rFonts w:hint="eastAsia" w:ascii="宋体" w:hAnsi="宋体"/>
          <w:color w:val="auto"/>
          <w:szCs w:val="21"/>
          <w:lang w:eastAsia="zh-CN"/>
        </w:rPr>
        <w:t>广西建设工程项目管理中心有限责任公司</w:t>
      </w:r>
      <w:r>
        <w:rPr>
          <w:rFonts w:ascii="宋体" w:hAnsi="宋体"/>
          <w:color w:val="auto"/>
          <w:szCs w:val="21"/>
        </w:rPr>
        <w:t xml:space="preserve">  </w:t>
      </w: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ascii="宋体" w:hAnsi="宋体"/>
          <w:color w:val="auto"/>
          <w:szCs w:val="21"/>
        </w:rPr>
        <w:t>2020</w:t>
      </w:r>
      <w:r>
        <w:rPr>
          <w:rFonts w:hint="eastAsia" w:ascii="宋体" w:hAnsi="宋体"/>
          <w:color w:val="auto"/>
          <w:szCs w:val="21"/>
        </w:rPr>
        <w:t>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21</w:t>
      </w:r>
      <w:r>
        <w:rPr>
          <w:rFonts w:hint="eastAsia" w:ascii="宋体" w:hAnsi="宋体"/>
          <w:color w:val="auto"/>
          <w:szCs w:val="21"/>
        </w:rPr>
        <w:t>日</w:t>
      </w: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rPr>
          <w:rFonts w:hint="eastAsia" w:ascii="宋体" w:hAnsi="宋体"/>
          <w:color w:val="auto"/>
          <w:szCs w:val="21"/>
        </w:rPr>
      </w:pPr>
    </w:p>
    <w:p>
      <w:pPr>
        <w:pStyle w:val="10"/>
        <w:ind w:left="0" w:leftChars="0" w:firstLine="0" w:firstLineChars="0"/>
        <w:rPr>
          <w:rFonts w:hint="eastAsia" w:ascii="宋体" w:hAnsi="宋体"/>
          <w:color w:val="auto"/>
          <w:szCs w:val="21"/>
        </w:rPr>
      </w:pPr>
    </w:p>
    <w:p>
      <w:pPr>
        <w:pStyle w:val="10"/>
        <w:rPr>
          <w:rFonts w:hint="eastAsia" w:ascii="宋体" w:hAnsi="宋体"/>
          <w:color w:val="auto"/>
          <w:szCs w:val="21"/>
        </w:rPr>
      </w:pPr>
    </w:p>
    <w:p>
      <w:pPr>
        <w:pStyle w:val="5"/>
        <w:numPr>
          <w:ilvl w:val="0"/>
          <w:numId w:val="3"/>
        </w:numPr>
        <w:spacing w:line="240" w:lineRule="auto"/>
        <w:jc w:val="center"/>
        <w:rPr>
          <w:color w:val="auto"/>
          <w:sz w:val="36"/>
          <w:szCs w:val="36"/>
        </w:rPr>
      </w:pPr>
      <w:bookmarkStart w:id="35" w:name="_Toc327735635"/>
      <w:bookmarkStart w:id="36" w:name="_Toc16610"/>
      <w:r>
        <w:rPr>
          <w:rFonts w:hint="eastAsia"/>
          <w:color w:val="auto"/>
          <w:sz w:val="36"/>
          <w:szCs w:val="36"/>
        </w:rPr>
        <w:t>招标项目采购需求</w:t>
      </w:r>
      <w:bookmarkEnd w:id="35"/>
      <w:bookmarkEnd w:id="36"/>
    </w:p>
    <w:p>
      <w:pPr>
        <w:keepNext w:val="0"/>
        <w:keepLines w:val="0"/>
        <w:pageBreakBefore w:val="0"/>
        <w:widowControl w:val="0"/>
        <w:kinsoku/>
        <w:wordWrap/>
        <w:overflowPunct/>
        <w:topLinePunct w:val="0"/>
        <w:autoSpaceDE/>
        <w:autoSpaceDN/>
        <w:bidi w:val="0"/>
        <w:spacing w:line="440" w:lineRule="exact"/>
        <w:textAlignment w:val="auto"/>
        <w:rPr>
          <w:rFonts w:ascii="宋体" w:cs="宋体"/>
          <w:b/>
          <w:bCs/>
          <w:color w:val="auto"/>
        </w:rPr>
      </w:pPr>
      <w:bookmarkStart w:id="37" w:name="_Toc327735652"/>
      <w:r>
        <w:rPr>
          <w:rFonts w:hint="eastAsia" w:ascii="宋体" w:hAnsi="宋体" w:cs="宋体"/>
          <w:b/>
          <w:bCs/>
          <w:color w:val="auto"/>
        </w:rPr>
        <w:t>说明：</w:t>
      </w:r>
    </w:p>
    <w:p>
      <w:pPr>
        <w:keepNext w:val="0"/>
        <w:keepLines w:val="0"/>
        <w:pageBreakBefore w:val="0"/>
        <w:widowControl w:val="0"/>
        <w:kinsoku/>
        <w:wordWrap/>
        <w:overflowPunct/>
        <w:topLinePunct w:val="0"/>
        <w:autoSpaceDE/>
        <w:autoSpaceDN/>
        <w:bidi w:val="0"/>
        <w:spacing w:line="440" w:lineRule="exact"/>
        <w:ind w:firstLine="411" w:firstLineChars="195"/>
        <w:textAlignment w:val="auto"/>
        <w:rPr>
          <w:rFonts w:ascii="宋体" w:cs="宋体"/>
          <w:b/>
          <w:bCs/>
          <w:color w:val="auto"/>
        </w:rPr>
      </w:pPr>
      <w:r>
        <w:rPr>
          <w:rFonts w:ascii="宋体" w:hAnsi="宋体" w:cs="宋体"/>
          <w:b/>
          <w:color w:val="auto"/>
          <w:szCs w:val="21"/>
        </w:rPr>
        <w:t>1</w:t>
      </w:r>
      <w:r>
        <w:rPr>
          <w:rFonts w:hint="eastAsia" w:ascii="宋体" w:hAnsi="宋体" w:cs="宋体"/>
          <w:b/>
          <w:color w:val="auto"/>
          <w:szCs w:val="21"/>
        </w:rPr>
        <w:t>、</w:t>
      </w:r>
      <w:r>
        <w:rPr>
          <w:rFonts w:hint="eastAsia" w:ascii="宋体" w:hAnsi="宋体" w:cs="宋体"/>
          <w:b/>
          <w:bCs/>
          <w:color w:val="auto"/>
          <w:szCs w:val="21"/>
        </w:rPr>
        <w:t>根据《国务院办公厅关于建立政府强制采购节能产品制度的通知》（国办发〔</w:t>
      </w:r>
      <w:r>
        <w:rPr>
          <w:rFonts w:ascii="宋体" w:hAnsi="宋体" w:cs="宋体"/>
          <w:b/>
          <w:bCs/>
          <w:color w:val="auto"/>
          <w:szCs w:val="21"/>
        </w:rPr>
        <w:t>2007</w:t>
      </w:r>
      <w:r>
        <w:rPr>
          <w:rFonts w:hint="eastAsia" w:ascii="宋体" w:hAnsi="宋体" w:cs="宋体"/>
          <w:b/>
          <w:bCs/>
          <w:color w:val="auto"/>
          <w:szCs w:val="21"/>
        </w:rPr>
        <w:t>〕</w:t>
      </w:r>
      <w:r>
        <w:rPr>
          <w:rFonts w:ascii="宋体" w:hAnsi="宋体" w:cs="宋体"/>
          <w:b/>
          <w:bCs/>
          <w:color w:val="auto"/>
          <w:szCs w:val="21"/>
        </w:rPr>
        <w:t>51</w:t>
      </w:r>
      <w:r>
        <w:rPr>
          <w:rFonts w:hint="eastAsia" w:ascii="宋体" w:hAnsi="宋体" w:cs="宋体"/>
          <w:b/>
          <w:bCs/>
          <w:color w:val="auto"/>
          <w:szCs w:val="21"/>
        </w:rPr>
        <w:t>号）和财政部、国家发展改革委发布的《节能产品政府采购实施意见》（财库〔</w:t>
      </w:r>
      <w:r>
        <w:rPr>
          <w:rFonts w:ascii="宋体" w:hAnsi="宋体" w:cs="宋体"/>
          <w:b/>
          <w:bCs/>
          <w:color w:val="auto"/>
          <w:szCs w:val="21"/>
        </w:rPr>
        <w:t>2004</w:t>
      </w:r>
      <w:r>
        <w:rPr>
          <w:rFonts w:hint="eastAsia" w:ascii="宋体" w:hAnsi="宋体" w:cs="宋体"/>
          <w:b/>
          <w:bCs/>
          <w:color w:val="auto"/>
          <w:szCs w:val="21"/>
        </w:rPr>
        <w:t>〕</w:t>
      </w:r>
      <w:r>
        <w:rPr>
          <w:rFonts w:ascii="宋体" w:hAnsi="宋体" w:cs="宋体"/>
          <w:b/>
          <w:bCs/>
          <w:color w:val="auto"/>
          <w:szCs w:val="21"/>
        </w:rPr>
        <w:t>185</w:t>
      </w:r>
      <w:r>
        <w:rPr>
          <w:rFonts w:hint="eastAsia" w:ascii="宋体" w:hAnsi="宋体" w:cs="宋体"/>
          <w:b/>
          <w:bCs/>
          <w:color w:val="auto"/>
          <w:szCs w:val="21"/>
        </w:rPr>
        <w:t>号）的规定，采购需求中凡列入国家财政部在中国政府采购网上公布的最新一期节能产品政府采购清单的产品，投标人投标时必须于投标文件中提供所投产品属于强制采购最新一期节能产品清单的证明。</w:t>
      </w:r>
    </w:p>
    <w:p>
      <w:pPr>
        <w:keepNext w:val="0"/>
        <w:keepLines w:val="0"/>
        <w:pageBreakBefore w:val="0"/>
        <w:widowControl w:val="0"/>
        <w:kinsoku/>
        <w:wordWrap/>
        <w:overflowPunct/>
        <w:topLinePunct w:val="0"/>
        <w:autoSpaceDE/>
        <w:autoSpaceDN/>
        <w:bidi w:val="0"/>
        <w:spacing w:line="440" w:lineRule="exact"/>
        <w:ind w:firstLine="411" w:firstLineChars="195"/>
        <w:textAlignment w:val="auto"/>
        <w:rPr>
          <w:rFonts w:ascii="宋体" w:cs="宋体"/>
          <w:b/>
          <w:bCs/>
          <w:color w:val="auto"/>
        </w:rPr>
      </w:pPr>
      <w:r>
        <w:rPr>
          <w:rFonts w:ascii="宋体" w:hAnsi="宋体" w:cs="宋体"/>
          <w:b/>
          <w:bCs/>
          <w:color w:val="auto"/>
        </w:rPr>
        <w:t>2</w:t>
      </w:r>
      <w:r>
        <w:rPr>
          <w:rFonts w:hint="eastAsia" w:ascii="宋体" w:hAnsi="宋体" w:cs="宋体"/>
          <w:b/>
          <w:bCs/>
          <w:color w:val="auto"/>
        </w:rPr>
        <w:t>、</w:t>
      </w:r>
      <w:r>
        <w:rPr>
          <w:rFonts w:hint="eastAsia" w:ascii="宋体" w:hAnsi="宋体" w:cs="宋体"/>
          <w:b/>
          <w:color w:val="auto"/>
          <w:szCs w:val="21"/>
        </w:rPr>
        <w:t>投标人应对投标内容所涉及的专利承担法律责任，并负责保护业主的利益不受任何损害。一切由于文字、商标、技术和软件专利授权引起的法律裁决、诉讼和赔偿费用均由中标人负责。</w:t>
      </w:r>
      <w:r>
        <w:rPr>
          <w:rFonts w:hint="eastAsia" w:ascii="宋体" w:hAnsi="宋体" w:cs="宋体"/>
          <w:b/>
          <w:color w:val="auto"/>
        </w:rPr>
        <w:t>同时，具有产品专利的投标人应在其投标文件中提供与其自有产品专利相关的有效证明材料，否则，</w:t>
      </w:r>
      <w:r>
        <w:rPr>
          <w:rFonts w:hint="eastAsia" w:ascii="宋体" w:hAnsi="宋体" w:cs="宋体"/>
          <w:b/>
          <w:bCs/>
          <w:color w:val="auto"/>
        </w:rPr>
        <w:t>不能就其产品的专利在本项目投标过程中被侵权问题而提出异议。</w:t>
      </w:r>
    </w:p>
    <w:p>
      <w:pPr>
        <w:keepNext w:val="0"/>
        <w:keepLines w:val="0"/>
        <w:pageBreakBefore w:val="0"/>
        <w:widowControl w:val="0"/>
        <w:kinsoku/>
        <w:wordWrap/>
        <w:overflowPunct/>
        <w:topLinePunct w:val="0"/>
        <w:autoSpaceDE/>
        <w:autoSpaceDN/>
        <w:bidi w:val="0"/>
        <w:spacing w:line="440" w:lineRule="exact"/>
        <w:ind w:firstLine="411" w:firstLineChars="195"/>
        <w:textAlignment w:val="auto"/>
        <w:rPr>
          <w:rFonts w:ascii="宋体" w:cs="宋体"/>
          <w:b/>
          <w:bCs/>
          <w:color w:val="auto"/>
          <w:szCs w:val="21"/>
        </w:rPr>
      </w:pPr>
      <w:r>
        <w:rPr>
          <w:rFonts w:ascii="宋体" w:hAnsi="宋体" w:cs="宋体"/>
          <w:b/>
          <w:bCs/>
          <w:color w:val="auto"/>
        </w:rPr>
        <w:t>3</w:t>
      </w:r>
      <w:r>
        <w:rPr>
          <w:rFonts w:hint="eastAsia" w:ascii="宋体" w:hAnsi="宋体" w:cs="宋体"/>
          <w:b/>
          <w:bCs/>
          <w:color w:val="auto"/>
        </w:rPr>
        <w:t>、</w:t>
      </w:r>
      <w:r>
        <w:rPr>
          <w:rFonts w:hint="eastAsia" w:ascii="宋体" w:hAnsi="宋体" w:cs="宋体"/>
          <w:b/>
          <w:bCs/>
          <w:color w:val="auto"/>
          <w:szCs w:val="21"/>
        </w:rPr>
        <w:t>根据《关于信息安全产品实施政府采购的通知》（财库</w:t>
      </w:r>
      <w:r>
        <w:rPr>
          <w:rFonts w:ascii="宋体" w:hAnsi="宋体" w:cs="宋体"/>
          <w:b/>
          <w:bCs/>
          <w:color w:val="auto"/>
          <w:szCs w:val="21"/>
        </w:rPr>
        <w:t>[2010]48</w:t>
      </w:r>
      <w:r>
        <w:rPr>
          <w:rFonts w:hint="eastAsia" w:ascii="宋体" w:hAnsi="宋体" w:cs="宋体"/>
          <w:b/>
          <w:bCs/>
          <w:color w:val="auto"/>
          <w:szCs w:val="21"/>
        </w:rPr>
        <w:t>号）的规定，如采购需求中有涉及信息安全产品的设备，必须提供由中国信息安全认证中心按国家标准认证颁发的有效认证证书复印件。</w:t>
      </w:r>
    </w:p>
    <w:p>
      <w:pPr>
        <w:keepNext w:val="0"/>
        <w:keepLines w:val="0"/>
        <w:pageBreakBefore w:val="0"/>
        <w:widowControl w:val="0"/>
        <w:kinsoku/>
        <w:wordWrap/>
        <w:overflowPunct/>
        <w:topLinePunct w:val="0"/>
        <w:autoSpaceDE/>
        <w:autoSpaceDN/>
        <w:bidi w:val="0"/>
        <w:spacing w:line="440" w:lineRule="exact"/>
        <w:ind w:firstLine="422" w:firstLineChars="200"/>
        <w:jc w:val="left"/>
        <w:textAlignment w:val="auto"/>
        <w:rPr>
          <w:rFonts w:ascii="宋体" w:cs="宋体"/>
          <w:b/>
          <w:bCs/>
          <w:color w:val="auto"/>
          <w:szCs w:val="21"/>
        </w:rPr>
      </w:pPr>
      <w:r>
        <w:rPr>
          <w:rFonts w:ascii="宋体" w:hAnsi="宋体" w:cs="宋体"/>
          <w:b/>
          <w:bCs/>
          <w:color w:val="auto"/>
          <w:szCs w:val="21"/>
        </w:rPr>
        <w:t>4</w:t>
      </w:r>
      <w:r>
        <w:rPr>
          <w:rFonts w:hint="eastAsia" w:ascii="宋体" w:hAnsi="宋体" w:cs="宋体"/>
          <w:b/>
          <w:bCs/>
          <w:color w:val="auto"/>
          <w:szCs w:val="21"/>
        </w:rPr>
        <w:t>、投标人应注意下列内容：</w:t>
      </w:r>
    </w:p>
    <w:p>
      <w:pPr>
        <w:keepNext w:val="0"/>
        <w:keepLines w:val="0"/>
        <w:pageBreakBefore w:val="0"/>
        <w:widowControl w:val="0"/>
        <w:kinsoku/>
        <w:wordWrap/>
        <w:overflowPunct/>
        <w:topLinePunct w:val="0"/>
        <w:autoSpaceDE/>
        <w:autoSpaceDN/>
        <w:bidi w:val="0"/>
        <w:spacing w:line="440" w:lineRule="exact"/>
        <w:ind w:firstLine="422" w:firstLineChars="200"/>
        <w:jc w:val="left"/>
        <w:textAlignment w:val="auto"/>
        <w:rPr>
          <w:rFonts w:ascii="宋体" w:cs="宋体"/>
          <w:b/>
          <w:bCs/>
          <w:color w:val="auto"/>
          <w:szCs w:val="21"/>
        </w:rPr>
      </w:pPr>
      <w:r>
        <w:rPr>
          <w:rFonts w:ascii="宋体" w:hAnsi="宋体" w:cs="宋体"/>
          <w:b/>
          <w:bCs/>
          <w:color w:val="auto"/>
          <w:szCs w:val="21"/>
        </w:rPr>
        <w:t>1</w:t>
      </w:r>
      <w:r>
        <w:rPr>
          <w:rFonts w:hint="eastAsia" w:ascii="宋体" w:hAnsi="宋体" w:cs="宋体"/>
          <w:b/>
          <w:bCs/>
          <w:color w:val="auto"/>
          <w:szCs w:val="21"/>
        </w:rPr>
        <w:t>）招标文件中带“</w:t>
      </w:r>
      <w:r>
        <w:rPr>
          <w:rFonts w:hint="eastAsia" w:ascii="宋体" w:hAnsi="宋体" w:cs="宋体"/>
          <w:color w:val="auto"/>
          <w:szCs w:val="21"/>
        </w:rPr>
        <w:t>★</w:t>
      </w:r>
      <w:r>
        <w:rPr>
          <w:rFonts w:hint="eastAsia" w:ascii="宋体" w:hAnsi="宋体" w:cs="宋体"/>
          <w:b/>
          <w:bCs/>
          <w:color w:val="auto"/>
          <w:kern w:val="0"/>
        </w:rPr>
        <w:t>”</w:t>
      </w:r>
      <w:r>
        <w:rPr>
          <w:rFonts w:hint="eastAsia" w:ascii="宋体" w:hAnsi="宋体" w:cs="宋体"/>
          <w:b/>
          <w:bCs/>
          <w:color w:val="auto"/>
          <w:szCs w:val="21"/>
        </w:rPr>
        <w:t>的条款为本次采购的实质性的商务、技术或服务要求，投标人须满足或响应，若无法完全满足，将会被认定为无效投标。</w:t>
      </w:r>
    </w:p>
    <w:p>
      <w:pPr>
        <w:keepNext w:val="0"/>
        <w:keepLines w:val="0"/>
        <w:pageBreakBefore w:val="0"/>
        <w:widowControl w:val="0"/>
        <w:kinsoku/>
        <w:wordWrap/>
        <w:overflowPunct/>
        <w:topLinePunct w:val="0"/>
        <w:autoSpaceDE/>
        <w:autoSpaceDN/>
        <w:bidi w:val="0"/>
        <w:spacing w:line="440" w:lineRule="exact"/>
        <w:ind w:firstLine="422" w:firstLineChars="200"/>
        <w:jc w:val="left"/>
        <w:textAlignment w:val="auto"/>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）投标人须在投标文件中填写</w:t>
      </w:r>
      <w:r>
        <w:rPr>
          <w:rFonts w:ascii="宋体" w:hAnsi="宋体" w:cs="宋体"/>
          <w:b/>
          <w:bCs/>
          <w:color w:val="auto"/>
          <w:szCs w:val="21"/>
        </w:rPr>
        <w:t>/</w:t>
      </w:r>
      <w:r>
        <w:rPr>
          <w:rFonts w:hint="eastAsia" w:ascii="宋体" w:hAnsi="宋体" w:cs="宋体"/>
          <w:b/>
          <w:bCs/>
          <w:color w:val="auto"/>
          <w:szCs w:val="21"/>
        </w:rPr>
        <w:t>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keepNext w:val="0"/>
        <w:keepLines w:val="0"/>
        <w:pageBreakBefore w:val="0"/>
        <w:widowControl w:val="0"/>
        <w:kinsoku/>
        <w:wordWrap/>
        <w:overflowPunct/>
        <w:topLinePunct w:val="0"/>
        <w:autoSpaceDE/>
        <w:autoSpaceDN/>
        <w:bidi w:val="0"/>
        <w:spacing w:line="440" w:lineRule="exact"/>
        <w:ind w:firstLine="422" w:firstLineChars="200"/>
        <w:jc w:val="left"/>
        <w:textAlignment w:val="auto"/>
        <w:rPr>
          <w:rFonts w:ascii="宋体" w:cs="宋体"/>
          <w:b/>
          <w:bCs/>
          <w:color w:val="auto"/>
          <w:szCs w:val="21"/>
        </w:rPr>
      </w:pPr>
      <w:r>
        <w:rPr>
          <w:rFonts w:ascii="宋体" w:hAnsi="宋体" w:cs="宋体"/>
          <w:b/>
          <w:bCs/>
          <w:color w:val="auto"/>
          <w:szCs w:val="21"/>
        </w:rPr>
        <w:t>3</w:t>
      </w:r>
      <w:r>
        <w:rPr>
          <w:rFonts w:hint="eastAsia" w:ascii="宋体" w:hAnsi="宋体" w:cs="宋体"/>
          <w:b/>
          <w:bCs/>
          <w:color w:val="auto"/>
          <w:szCs w:val="21"/>
        </w:rPr>
        <w:t>）本货物需求一览表中所列的品牌、型号仅起参考作用，供应商可选用其他品牌、型号替代，但替代的品牌、型号在实质性要求和条件上要相当于或优于参考品牌、型号。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ascii="宋体" w:cs="宋体"/>
          <w:b/>
          <w:bCs/>
          <w:color w:val="auto"/>
          <w:szCs w:val="21"/>
        </w:rPr>
      </w:pPr>
      <w:r>
        <w:rPr>
          <w:rFonts w:ascii="宋体" w:hAnsi="宋体" w:cs="宋体"/>
          <w:b/>
          <w:bCs/>
          <w:color w:val="auto"/>
          <w:szCs w:val="21"/>
        </w:rPr>
        <w:t>5</w:t>
      </w:r>
      <w:r>
        <w:rPr>
          <w:rFonts w:hint="eastAsia" w:ascii="宋体" w:hAnsi="宋体" w:cs="宋体"/>
          <w:b/>
          <w:bCs/>
          <w:color w:val="auto"/>
          <w:szCs w:val="21"/>
        </w:rPr>
        <w:t>、投标人投标产品中的主要设备需提供有关产品说明书或产品彩页，这些资料文件应以附件形式在投标文件中列出。若提供的产品说明书或产品彩页与投标文件中响应的同一技术指标不一致时，应由生产厂商出具相关说明，否则以产品说明书或产品彩页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ascii="宋体" w:cs="宋体"/>
          <w:b/>
          <w:bCs/>
          <w:color w:val="auto"/>
        </w:rPr>
      </w:pPr>
      <w:bookmarkStart w:id="38" w:name="工期要求"/>
      <w:bookmarkEnd w:id="38"/>
      <w:r>
        <w:rPr>
          <w:rFonts w:ascii="宋体" w:hAnsi="宋体" w:cs="宋体"/>
          <w:b/>
          <w:bCs/>
          <w:color w:val="auto"/>
          <w:szCs w:val="21"/>
        </w:rPr>
        <w:t>6</w:t>
      </w:r>
      <w:r>
        <w:rPr>
          <w:rFonts w:hint="eastAsia" w:ascii="宋体" w:hAnsi="宋体" w:cs="宋体"/>
          <w:b/>
          <w:bCs/>
          <w:color w:val="auto"/>
          <w:szCs w:val="21"/>
        </w:rPr>
        <w:t>、投标人应承诺投标文件中提供的证明材料和资质文件真实，如出现虚假应标情况，投标人除了应接受有关部门的处罚外，还应</w:t>
      </w:r>
      <w:r>
        <w:rPr>
          <w:rFonts w:hint="eastAsia" w:ascii="宋体" w:hAnsi="宋体" w:cs="宋体"/>
          <w:b/>
          <w:bCs/>
          <w:color w:val="auto"/>
        </w:rPr>
        <w:t>依据《中华人民共和国合同法》的相关条款来确定赔偿金额</w:t>
      </w:r>
    </w:p>
    <w:tbl>
      <w:tblPr>
        <w:tblStyle w:val="4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978"/>
        <w:gridCol w:w="705"/>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4"/>
            <w:vAlign w:val="center"/>
          </w:tcPr>
          <w:p>
            <w:pPr>
              <w:spacing w:line="360" w:lineRule="exact"/>
              <w:jc w:val="left"/>
              <w:rPr>
                <w:rFonts w:hint="eastAsia" w:ascii="宋体" w:hAnsi="宋体" w:eastAsia="宋体" w:cs="宋体"/>
                <w:b/>
                <w:bCs/>
                <w:color w:val="auto"/>
                <w:kern w:val="0"/>
                <w:sz w:val="21"/>
                <w:szCs w:val="21"/>
                <w:lang w:eastAsia="zh-CN"/>
              </w:rPr>
            </w:pPr>
            <w:r>
              <w:rPr>
                <w:rFonts w:hint="eastAsia" w:ascii="宋体" w:hAnsi="宋体" w:cs="宋体"/>
                <w:b w:val="0"/>
                <w:bCs w:val="0"/>
                <w:color w:val="auto"/>
                <w:kern w:val="0"/>
                <w:sz w:val="21"/>
                <w:szCs w:val="21"/>
                <w:lang w:eastAsia="zh-CN"/>
              </w:rPr>
              <w:t>一、采购需求表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spacing w:line="340" w:lineRule="exact"/>
              <w:jc w:val="center"/>
              <w:rPr>
                <w:rFonts w:ascii="宋体" w:cs="宋体"/>
                <w:b/>
                <w:bCs/>
                <w:color w:val="auto"/>
                <w:sz w:val="21"/>
                <w:szCs w:val="21"/>
              </w:rPr>
            </w:pPr>
            <w:r>
              <w:rPr>
                <w:rFonts w:hint="eastAsia" w:ascii="宋体" w:hAnsi="宋体" w:cs="宋体"/>
                <w:b/>
                <w:bCs/>
                <w:color w:val="auto"/>
                <w:sz w:val="21"/>
                <w:szCs w:val="21"/>
              </w:rPr>
              <w:t>序号</w:t>
            </w:r>
          </w:p>
        </w:tc>
        <w:tc>
          <w:tcPr>
            <w:tcW w:w="1978" w:type="dxa"/>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货物名称</w:t>
            </w:r>
          </w:p>
        </w:tc>
        <w:tc>
          <w:tcPr>
            <w:tcW w:w="705" w:type="dxa"/>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数量</w:t>
            </w:r>
          </w:p>
        </w:tc>
        <w:tc>
          <w:tcPr>
            <w:tcW w:w="5682" w:type="dxa"/>
            <w:vAlign w:val="center"/>
          </w:tcPr>
          <w:p>
            <w:pPr>
              <w:spacing w:line="360" w:lineRule="exact"/>
              <w:jc w:val="center"/>
              <w:rPr>
                <w:rFonts w:ascii="宋体" w:cs="宋体"/>
                <w:b/>
                <w:bCs/>
                <w:color w:val="auto"/>
                <w:sz w:val="21"/>
                <w:szCs w:val="21"/>
              </w:rPr>
            </w:pPr>
            <w:r>
              <w:rPr>
                <w:rFonts w:hint="eastAsia" w:ascii="宋体" w:hAnsi="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1</w:t>
            </w:r>
          </w:p>
        </w:tc>
        <w:tc>
          <w:tcPr>
            <w:tcW w:w="197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荧光定量PCR仪</w:t>
            </w:r>
          </w:p>
        </w:tc>
        <w:tc>
          <w:tcPr>
            <w:tcW w:w="705" w:type="dxa"/>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2台</w:t>
            </w:r>
          </w:p>
        </w:tc>
        <w:tc>
          <w:tcPr>
            <w:tcW w:w="5682" w:type="dxa"/>
            <w:vAlign w:val="center"/>
          </w:tcPr>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w:t>
            </w:r>
            <w:r>
              <w:rPr>
                <w:rFonts w:ascii="新宋体" w:hAnsi="新宋体" w:eastAsia="新宋体" w:cs="Arial Unicode MS"/>
                <w:szCs w:val="21"/>
              </w:rPr>
              <w:t>.样品容量：96x0.2ml，可使用0.2ml单管、八联管、96孔板等</w:t>
            </w:r>
            <w:r>
              <w:rPr>
                <w:rFonts w:hint="eastAsia" w:ascii="新宋体" w:hAnsi="新宋体" w:eastAsia="新宋体" w:cs="Arial Unicode MS"/>
                <w:szCs w:val="21"/>
                <w:lang w:eastAsia="zh-CN"/>
              </w:rPr>
              <w:t>；</w:t>
            </w:r>
          </w:p>
          <w:p>
            <w:pPr>
              <w:tabs>
                <w:tab w:val="left" w:pos="1272"/>
              </w:tabs>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2</w:t>
            </w:r>
            <w:r>
              <w:rPr>
                <w:rFonts w:ascii="新宋体" w:hAnsi="新宋体" w:eastAsia="新宋体" w:cs="Arial Unicode MS"/>
                <w:szCs w:val="21"/>
              </w:rPr>
              <w:t>.反应体系：10-1</w:t>
            </w:r>
            <w:r>
              <w:rPr>
                <w:rFonts w:hint="eastAsia" w:ascii="新宋体" w:hAnsi="新宋体" w:eastAsia="新宋体" w:cs="Arial Unicode MS"/>
                <w:szCs w:val="21"/>
              </w:rPr>
              <w:t>00</w:t>
            </w:r>
            <w:r>
              <w:rPr>
                <w:rFonts w:ascii="新宋体" w:hAnsi="新宋体" w:eastAsia="新宋体" w:cs="Arial Unicode MS"/>
                <w:szCs w:val="21"/>
              </w:rPr>
              <w:t>µ</w:t>
            </w:r>
            <w:r>
              <w:rPr>
                <w:rFonts w:hint="eastAsia" w:ascii="新宋体" w:hAnsi="新宋体" w:eastAsia="新宋体" w:cs="Arial Unicode MS"/>
                <w:szCs w:val="21"/>
              </w:rPr>
              <w:t>l</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3</w:t>
            </w:r>
            <w:r>
              <w:rPr>
                <w:rFonts w:ascii="新宋体" w:hAnsi="新宋体" w:eastAsia="新宋体" w:cs="Arial Unicode MS"/>
                <w:szCs w:val="21"/>
              </w:rPr>
              <w:t>.加热/冷却技术（温控方式）：半导体</w:t>
            </w:r>
            <w:r>
              <w:rPr>
                <w:rFonts w:hint="eastAsia" w:ascii="新宋体" w:hAnsi="新宋体" w:eastAsia="新宋体" w:cs="Arial Unicode MS"/>
                <w:szCs w:val="21"/>
                <w:lang w:eastAsia="zh-CN"/>
              </w:rPr>
              <w:t>；</w:t>
            </w:r>
          </w:p>
          <w:p>
            <w:pPr>
              <w:spacing w:line="360" w:lineRule="auto"/>
              <w:ind w:left="-420"/>
              <w:rPr>
                <w:rFonts w:hint="eastAsia" w:ascii="新宋体" w:hAnsi="新宋体" w:eastAsia="新宋体" w:cs="Arial Unicode MS"/>
                <w:szCs w:val="21"/>
                <w:lang w:eastAsia="zh-CN"/>
              </w:rPr>
            </w:pPr>
            <w:r>
              <w:rPr>
                <w:rFonts w:ascii="新宋体" w:hAnsi="新宋体" w:eastAsia="新宋体" w:cs="Arial Unicode MS"/>
                <w:szCs w:val="21"/>
              </w:rPr>
              <w:t xml:space="preserve">    </w:t>
            </w:r>
            <w:r>
              <w:rPr>
                <w:rFonts w:hint="eastAsia" w:ascii="新宋体" w:hAnsi="新宋体" w:eastAsia="新宋体" w:cs="Arial Unicode MS"/>
                <w:szCs w:val="21"/>
                <w:lang w:eastAsia="zh-CN"/>
              </w:rPr>
              <w:t>★</w:t>
            </w:r>
            <w:r>
              <w:rPr>
                <w:rFonts w:hint="eastAsia" w:ascii="新宋体" w:hAnsi="新宋体" w:eastAsia="新宋体" w:cs="Arial Unicode MS"/>
                <w:szCs w:val="21"/>
              </w:rPr>
              <w:t>4</w:t>
            </w:r>
            <w:r>
              <w:rPr>
                <w:rFonts w:ascii="新宋体" w:hAnsi="新宋体" w:eastAsia="新宋体" w:cs="Arial Unicode MS"/>
                <w:szCs w:val="21"/>
              </w:rPr>
              <w:t>.控温温度范围：</w:t>
            </w:r>
            <w:r>
              <w:rPr>
                <w:rFonts w:hint="eastAsia" w:ascii="新宋体" w:hAnsi="新宋体" w:eastAsia="新宋体" w:cs="Arial Unicode MS"/>
                <w:szCs w:val="21"/>
              </w:rPr>
              <w:t>4</w:t>
            </w:r>
            <w:r>
              <w:rPr>
                <w:rFonts w:ascii="新宋体" w:hAnsi="新宋体" w:eastAsia="新宋体" w:cs="Arial Unicode MS"/>
                <w:szCs w:val="21"/>
              </w:rPr>
              <w:t>－</w:t>
            </w:r>
            <w:r>
              <w:rPr>
                <w:rFonts w:hint="eastAsia" w:ascii="新宋体" w:hAnsi="新宋体" w:eastAsia="新宋体" w:cs="Arial Unicode MS"/>
                <w:szCs w:val="21"/>
              </w:rPr>
              <w:t>99</w:t>
            </w:r>
            <w:r>
              <w:rPr>
                <w:rFonts w:ascii="新宋体" w:hAnsi="新宋体" w:eastAsia="新宋体" w:cs="Arial Unicode MS"/>
                <w:szCs w:val="21"/>
              </w:rPr>
              <w:t>℃</w:t>
            </w:r>
            <w:r>
              <w:rPr>
                <w:rFonts w:hint="eastAsia" w:ascii="新宋体" w:hAnsi="新宋体" w:eastAsia="新宋体" w:cs="Arial Unicode MS"/>
                <w:szCs w:val="21"/>
                <w:lang w:eastAsia="zh-CN"/>
              </w:rPr>
              <w:t>；</w:t>
            </w:r>
          </w:p>
          <w:p>
            <w:pPr>
              <w:spacing w:line="360" w:lineRule="auto"/>
              <w:ind w:leftChars="-200" w:hanging="420" w:hangingChars="200"/>
              <w:rPr>
                <w:rFonts w:hint="eastAsia" w:ascii="新宋体" w:hAnsi="新宋体" w:eastAsia="新宋体" w:cs="Arial Unicode MS"/>
                <w:szCs w:val="21"/>
                <w:lang w:eastAsia="zh-CN"/>
              </w:rPr>
            </w:pPr>
            <w:r>
              <w:rPr>
                <w:rFonts w:ascii="新宋体" w:hAnsi="新宋体" w:eastAsia="新宋体" w:cs="Arial Unicode MS"/>
                <w:szCs w:val="21"/>
              </w:rPr>
              <w:t xml:space="preserve">    </w:t>
            </w:r>
            <w:r>
              <w:rPr>
                <w:rFonts w:hint="eastAsia" w:ascii="新宋体" w:hAnsi="新宋体" w:eastAsia="新宋体" w:cs="Arial Unicode MS"/>
                <w:szCs w:val="21"/>
              </w:rPr>
              <w:t>5</w:t>
            </w:r>
            <w:r>
              <w:rPr>
                <w:rFonts w:ascii="新宋体" w:hAnsi="新宋体" w:eastAsia="新宋体" w:cs="Arial Unicode MS"/>
                <w:szCs w:val="21"/>
              </w:rPr>
              <w:t>. 控温准确性：≤±0.</w:t>
            </w:r>
            <w:r>
              <w:rPr>
                <w:rFonts w:hint="eastAsia" w:ascii="新宋体" w:hAnsi="新宋体" w:eastAsia="新宋体" w:cs="Arial Unicode MS"/>
                <w:szCs w:val="21"/>
              </w:rPr>
              <w:t>4</w:t>
            </w:r>
            <w:r>
              <w:rPr>
                <w:rFonts w:ascii="新宋体" w:hAnsi="新宋体" w:eastAsia="新宋体" w:cs="Arial Unicode MS"/>
                <w:szCs w:val="21"/>
              </w:rPr>
              <w:t>℃</w:t>
            </w:r>
            <w:r>
              <w:rPr>
                <w:rFonts w:hint="eastAsia" w:ascii="新宋体" w:hAnsi="新宋体" w:eastAsia="新宋体" w:cs="Arial Unicode MS"/>
                <w:szCs w:val="21"/>
              </w:rPr>
              <w:t xml:space="preserve"> (</w:t>
            </w:r>
            <w:r>
              <w:rPr>
                <w:rFonts w:ascii="新宋体" w:hAnsi="新宋体" w:eastAsia="新宋体" w:cs="Arial Unicode MS"/>
                <w:szCs w:val="21"/>
              </w:rPr>
              <w:t>90℃</w:t>
            </w:r>
            <w:r>
              <w:rPr>
                <w:rFonts w:hint="eastAsia" w:ascii="新宋体" w:hAnsi="新宋体" w:eastAsia="新宋体" w:cs="Arial Unicode MS"/>
                <w:szCs w:val="21"/>
              </w:rPr>
              <w:t>)</w:t>
            </w:r>
            <w:r>
              <w:rPr>
                <w:rFonts w:hint="eastAsia" w:ascii="新宋体" w:hAnsi="新宋体" w:eastAsia="新宋体" w:cs="Arial Unicode MS"/>
                <w:szCs w:val="21"/>
                <w:lang w:eastAsia="zh-CN"/>
              </w:rPr>
              <w:t>；</w:t>
            </w:r>
          </w:p>
          <w:p>
            <w:pPr>
              <w:spacing w:line="360" w:lineRule="auto"/>
              <w:ind w:left="210" w:leftChars="-200" w:hanging="630" w:hangingChars="300"/>
              <w:rPr>
                <w:rFonts w:hint="eastAsia" w:ascii="新宋体" w:hAnsi="新宋体" w:eastAsia="新宋体" w:cs="Arial Unicode MS"/>
                <w:szCs w:val="21"/>
                <w:lang w:eastAsia="zh-CN"/>
              </w:rPr>
            </w:pPr>
            <w:r>
              <w:rPr>
                <w:rFonts w:ascii="新宋体" w:hAnsi="新宋体" w:eastAsia="新宋体" w:cs="Arial Unicode MS"/>
                <w:szCs w:val="21"/>
              </w:rPr>
              <w:t xml:space="preserve">   </w:t>
            </w:r>
            <w:r>
              <w:rPr>
                <w:rFonts w:hint="eastAsia" w:ascii="新宋体" w:hAnsi="新宋体" w:eastAsia="新宋体" w:cs="Arial Unicode MS"/>
                <w:szCs w:val="21"/>
              </w:rPr>
              <w:t xml:space="preserve"> </w:t>
            </w:r>
            <w:r>
              <w:rPr>
                <w:rFonts w:hint="eastAsia" w:ascii="新宋体" w:hAnsi="新宋体" w:eastAsia="新宋体" w:cs="Arial Unicode MS"/>
                <w:szCs w:val="21"/>
                <w:lang w:eastAsia="zh-CN"/>
              </w:rPr>
              <w:t>★</w:t>
            </w:r>
            <w:r>
              <w:rPr>
                <w:rFonts w:hint="eastAsia" w:ascii="新宋体" w:hAnsi="新宋体" w:eastAsia="新宋体" w:cs="Arial Unicode MS"/>
                <w:szCs w:val="21"/>
              </w:rPr>
              <w:t>6</w:t>
            </w:r>
            <w:r>
              <w:rPr>
                <w:rFonts w:ascii="新宋体" w:hAnsi="新宋体" w:eastAsia="新宋体" w:cs="Arial Unicode MS"/>
                <w:szCs w:val="21"/>
              </w:rPr>
              <w:t>.带</w:t>
            </w:r>
            <w:r>
              <w:rPr>
                <w:rFonts w:hint="eastAsia" w:ascii="新宋体" w:hAnsi="新宋体" w:eastAsia="新宋体" w:cs="Arial Unicode MS"/>
                <w:szCs w:val="21"/>
              </w:rPr>
              <w:t>温度</w:t>
            </w:r>
            <w:r>
              <w:rPr>
                <w:rFonts w:ascii="新宋体" w:hAnsi="新宋体" w:eastAsia="新宋体" w:cs="Arial Unicode MS"/>
                <w:szCs w:val="21"/>
              </w:rPr>
              <w:t>梯度功能，</w:t>
            </w:r>
            <w:r>
              <w:rPr>
                <w:rFonts w:hint="eastAsia" w:ascii="新宋体" w:hAnsi="新宋体" w:eastAsia="新宋体" w:cs="Arial Unicode MS"/>
                <w:szCs w:val="21"/>
              </w:rPr>
              <w:t>一次实验可</w:t>
            </w:r>
            <w:r>
              <w:rPr>
                <w:rFonts w:ascii="新宋体" w:hAnsi="新宋体" w:eastAsia="新宋体" w:cs="Arial Unicode MS"/>
                <w:szCs w:val="21"/>
              </w:rPr>
              <w:t>同时运行</w:t>
            </w:r>
            <w:r>
              <w:rPr>
                <w:rFonts w:hint="eastAsia" w:ascii="新宋体" w:hAnsi="新宋体" w:eastAsia="新宋体" w:cs="Arial Unicode MS"/>
                <w:szCs w:val="21"/>
              </w:rPr>
              <w:t>不少于8</w:t>
            </w:r>
            <w:r>
              <w:rPr>
                <w:rFonts w:ascii="新宋体" w:hAnsi="新宋体" w:eastAsia="新宋体" w:cs="Arial Unicode MS"/>
                <w:szCs w:val="21"/>
              </w:rPr>
              <w:t>个不同的温度</w:t>
            </w:r>
            <w:r>
              <w:rPr>
                <w:rFonts w:hint="eastAsia" w:ascii="新宋体" w:hAnsi="新宋体" w:eastAsia="新宋体" w:cs="Arial Unicode MS"/>
                <w:szCs w:val="21"/>
              </w:rPr>
              <w:t>点</w:t>
            </w:r>
            <w:r>
              <w:rPr>
                <w:rFonts w:hint="eastAsia" w:ascii="新宋体" w:hAnsi="新宋体" w:eastAsia="新宋体" w:cs="Arial Unicode MS"/>
                <w:szCs w:val="21"/>
                <w:lang w:eastAsia="zh-CN"/>
              </w:rPr>
              <w:t>；</w:t>
            </w:r>
          </w:p>
          <w:p>
            <w:pPr>
              <w:spacing w:line="360" w:lineRule="auto"/>
              <w:ind w:left="210" w:leftChars="-200" w:hanging="630" w:hangingChars="300"/>
              <w:rPr>
                <w:rFonts w:hint="eastAsia" w:ascii="新宋体" w:hAnsi="新宋体" w:eastAsia="新宋体" w:cs="Arial Unicode MS"/>
                <w:szCs w:val="21"/>
                <w:lang w:eastAsia="zh-CN"/>
              </w:rPr>
            </w:pPr>
            <w:r>
              <w:rPr>
                <w:rFonts w:hint="eastAsia" w:ascii="新宋体" w:hAnsi="新宋体" w:eastAsia="新宋体" w:cs="Arial Unicode MS"/>
                <w:szCs w:val="21"/>
              </w:rPr>
              <w:t xml:space="preserve">    </w:t>
            </w:r>
            <w:r>
              <w:rPr>
                <w:rFonts w:hint="eastAsia" w:ascii="新宋体" w:hAnsi="新宋体" w:eastAsia="新宋体" w:cs="Arial Unicode MS"/>
                <w:szCs w:val="21"/>
                <w:lang w:eastAsia="zh-CN"/>
              </w:rPr>
              <w:t>★</w:t>
            </w:r>
            <w:r>
              <w:rPr>
                <w:rFonts w:hint="eastAsia" w:ascii="新宋体" w:hAnsi="新宋体" w:eastAsia="新宋体" w:cs="Arial Unicode MS"/>
                <w:szCs w:val="21"/>
              </w:rPr>
              <w:t>7.温</w:t>
            </w:r>
            <w:r>
              <w:rPr>
                <w:rFonts w:ascii="新宋体" w:hAnsi="新宋体" w:eastAsia="新宋体" w:cs="Arial Unicode MS"/>
                <w:szCs w:val="21"/>
              </w:rPr>
              <w:t>度梯度选择范围：30－</w:t>
            </w:r>
            <w:r>
              <w:rPr>
                <w:rFonts w:hint="eastAsia" w:ascii="新宋体" w:hAnsi="新宋体" w:eastAsia="新宋体" w:cs="Arial Unicode MS"/>
                <w:szCs w:val="21"/>
              </w:rPr>
              <w:t>99</w:t>
            </w:r>
            <w:r>
              <w:rPr>
                <w:rFonts w:ascii="新宋体" w:hAnsi="新宋体" w:eastAsia="新宋体" w:cs="Arial Unicode MS"/>
                <w:szCs w:val="21"/>
              </w:rPr>
              <w:t>℃</w:t>
            </w:r>
            <w:r>
              <w:rPr>
                <w:rFonts w:hint="eastAsia" w:ascii="新宋体" w:hAnsi="新宋体" w:eastAsia="新宋体" w:cs="Arial Unicode MS"/>
                <w:szCs w:val="21"/>
              </w:rPr>
              <w:t xml:space="preserve">，温度梯度范围: </w:t>
            </w:r>
            <w:r>
              <w:rPr>
                <w:rFonts w:ascii="新宋体" w:hAnsi="新宋体" w:eastAsia="新宋体" w:cs="Arial Unicode MS"/>
                <w:szCs w:val="21"/>
              </w:rPr>
              <w:t>1－2</w:t>
            </w:r>
            <w:r>
              <w:rPr>
                <w:rFonts w:hint="eastAsia" w:ascii="新宋体" w:hAnsi="新宋体" w:eastAsia="新宋体" w:cs="Arial Unicode MS"/>
                <w:szCs w:val="21"/>
              </w:rPr>
              <w:t>0</w:t>
            </w:r>
            <w:r>
              <w:rPr>
                <w:rFonts w:ascii="新宋体" w:hAnsi="新宋体" w:eastAsia="新宋体" w:cs="Arial Unicode MS"/>
                <w:szCs w:val="21"/>
              </w:rPr>
              <w:t>℃</w:t>
            </w:r>
            <w:r>
              <w:rPr>
                <w:rFonts w:hint="eastAsia" w:ascii="新宋体" w:hAnsi="新宋体" w:eastAsia="新宋体" w:cs="Arial Unicode MS"/>
                <w:szCs w:val="21"/>
                <w:lang w:eastAsia="zh-CN"/>
              </w:rPr>
              <w:t>；</w:t>
            </w:r>
          </w:p>
          <w:p>
            <w:pPr>
              <w:spacing w:line="360" w:lineRule="auto"/>
              <w:ind w:left="210" w:leftChars="-200" w:hanging="630" w:hangingChars="300"/>
              <w:rPr>
                <w:rFonts w:hint="eastAsia" w:ascii="新宋体" w:hAnsi="新宋体" w:eastAsia="新宋体" w:cs="Arial Unicode MS"/>
                <w:szCs w:val="21"/>
                <w:lang w:eastAsia="zh-CN"/>
              </w:rPr>
            </w:pPr>
            <w:r>
              <w:rPr>
                <w:rFonts w:hint="eastAsia" w:ascii="新宋体" w:hAnsi="新宋体" w:eastAsia="新宋体" w:cs="Arial Unicode MS"/>
                <w:szCs w:val="21"/>
              </w:rPr>
              <w:t xml:space="preserve">    8.</w:t>
            </w:r>
            <w:r>
              <w:rPr>
                <w:rFonts w:ascii="新宋体" w:hAnsi="新宋体" w:eastAsia="新宋体" w:cs="Arial Unicode MS"/>
                <w:szCs w:val="21"/>
              </w:rPr>
              <w:t>半导体加热模块具有”O型圈”保护：防止形成冷凝水</w:t>
            </w:r>
            <w:r>
              <w:rPr>
                <w:rFonts w:hint="eastAsia" w:ascii="新宋体" w:hAnsi="新宋体" w:eastAsia="新宋体" w:cs="Arial Unicode MS"/>
                <w:szCs w:val="21"/>
              </w:rPr>
              <w:t>对半导体的腐蚀, 从而</w:t>
            </w:r>
            <w:r>
              <w:rPr>
                <w:rFonts w:ascii="新宋体" w:hAnsi="新宋体" w:eastAsia="新宋体" w:cs="Arial Unicode MS"/>
                <w:szCs w:val="21"/>
              </w:rPr>
              <w:t>提高半导体使用寿命</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9.</w:t>
            </w:r>
            <w:r>
              <w:rPr>
                <w:rFonts w:ascii="新宋体" w:hAnsi="新宋体" w:eastAsia="新宋体" w:cs="Arial Unicode MS"/>
                <w:szCs w:val="21"/>
              </w:rPr>
              <w:t>每孔可同时检测5个目标</w:t>
            </w:r>
            <w:r>
              <w:rPr>
                <w:rFonts w:hint="eastAsia" w:ascii="新宋体" w:hAnsi="新宋体" w:eastAsia="新宋体" w:cs="Arial Unicode MS"/>
                <w:szCs w:val="21"/>
              </w:rPr>
              <w:t>因子</w:t>
            </w:r>
            <w:r>
              <w:rPr>
                <w:rFonts w:hint="eastAsia" w:ascii="新宋体" w:hAnsi="新宋体" w:eastAsia="新宋体" w:cs="Arial Unicode MS"/>
                <w:szCs w:val="21"/>
                <w:lang w:eastAsia="zh-CN"/>
              </w:rPr>
              <w:t>，</w:t>
            </w:r>
            <w:r>
              <w:rPr>
                <w:rFonts w:hint="eastAsia" w:ascii="新宋体" w:hAnsi="新宋体" w:eastAsia="新宋体" w:cs="Arial Unicode MS"/>
                <w:szCs w:val="21"/>
              </w:rPr>
              <w:t>并有</w:t>
            </w:r>
            <w:r>
              <w:rPr>
                <w:rFonts w:ascii="新宋体" w:hAnsi="新宋体" w:eastAsia="新宋体" w:cs="Arial Unicode MS"/>
                <w:szCs w:val="21"/>
              </w:rPr>
              <w:t>专门</w:t>
            </w:r>
            <w:r>
              <w:rPr>
                <w:rFonts w:hint="eastAsia" w:ascii="新宋体" w:hAnsi="新宋体" w:eastAsia="新宋体" w:cs="Arial Unicode MS"/>
                <w:szCs w:val="21"/>
              </w:rPr>
              <w:t>独立的一个</w:t>
            </w:r>
            <w:r>
              <w:rPr>
                <w:rFonts w:ascii="新宋体" w:hAnsi="新宋体" w:eastAsia="新宋体" w:cs="Arial Unicode MS"/>
                <w:szCs w:val="21"/>
              </w:rPr>
              <w:t>FRET</w:t>
            </w:r>
            <w:r>
              <w:rPr>
                <w:rFonts w:hint="eastAsia" w:ascii="新宋体" w:hAnsi="新宋体" w:eastAsia="新宋体" w:cs="Arial Unicode MS"/>
                <w:szCs w:val="21"/>
              </w:rPr>
              <w:t>通道</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10.激发光源</w:t>
            </w:r>
            <w:r>
              <w:rPr>
                <w:rFonts w:ascii="新宋体" w:hAnsi="新宋体" w:eastAsia="新宋体" w:cs="Arial Unicode MS"/>
                <w:szCs w:val="21"/>
              </w:rPr>
              <w:t>：</w:t>
            </w:r>
            <w:r>
              <w:rPr>
                <w:rFonts w:hint="eastAsia" w:ascii="新宋体" w:hAnsi="新宋体" w:eastAsia="新宋体" w:cs="Arial Unicode MS"/>
                <w:szCs w:val="21"/>
              </w:rPr>
              <w:t>5个带不同滤光片的长寿命LED灯, 可特异、高效的激发不同激发波段的荧光分子</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11.</w:t>
            </w:r>
            <w:r>
              <w:rPr>
                <w:rFonts w:ascii="新宋体" w:hAnsi="新宋体" w:eastAsia="新宋体" w:cs="Arial Unicode MS"/>
                <w:szCs w:val="21"/>
              </w:rPr>
              <w:t>检测器：</w:t>
            </w:r>
            <w:r>
              <w:rPr>
                <w:rFonts w:hint="eastAsia" w:ascii="新宋体" w:hAnsi="新宋体" w:eastAsia="新宋体" w:cs="Arial Unicode MS"/>
                <w:szCs w:val="21"/>
              </w:rPr>
              <w:t>5</w:t>
            </w:r>
            <w:r>
              <w:rPr>
                <w:rFonts w:ascii="新宋体" w:hAnsi="新宋体" w:eastAsia="新宋体" w:cs="Arial Unicode MS"/>
                <w:szCs w:val="21"/>
              </w:rPr>
              <w:t>个带</w:t>
            </w:r>
            <w:r>
              <w:rPr>
                <w:rFonts w:hint="eastAsia" w:ascii="新宋体" w:hAnsi="新宋体" w:eastAsia="新宋体" w:cs="Arial Unicode MS"/>
                <w:szCs w:val="21"/>
              </w:rPr>
              <w:t>不同</w:t>
            </w:r>
            <w:r>
              <w:rPr>
                <w:rFonts w:ascii="新宋体" w:hAnsi="新宋体" w:eastAsia="新宋体" w:cs="Arial Unicode MS"/>
                <w:szCs w:val="21"/>
              </w:rPr>
              <w:t>滤光片的光敏二极管</w:t>
            </w:r>
            <w:r>
              <w:rPr>
                <w:rFonts w:hint="eastAsia" w:ascii="新宋体" w:hAnsi="新宋体" w:eastAsia="新宋体" w:cs="Arial Unicode MS"/>
                <w:szCs w:val="21"/>
              </w:rPr>
              <w:t>，特异检测不同激发波段的荧光分子</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12.</w:t>
            </w:r>
            <w:r>
              <w:rPr>
                <w:rFonts w:ascii="新宋体" w:hAnsi="新宋体" w:eastAsia="新宋体" w:cs="Arial Unicode MS"/>
                <w:szCs w:val="21"/>
              </w:rPr>
              <w:t>激发/发射波长范围：450－730nm</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13.</w:t>
            </w:r>
            <w:r>
              <w:rPr>
                <w:rFonts w:ascii="新宋体" w:hAnsi="新宋体" w:eastAsia="新宋体" w:cs="Arial Unicode MS"/>
                <w:szCs w:val="21"/>
              </w:rPr>
              <w:t>检测灵敏度：可</w:t>
            </w:r>
            <w:r>
              <w:rPr>
                <w:rFonts w:hint="eastAsia" w:ascii="新宋体" w:hAnsi="新宋体" w:eastAsia="新宋体" w:cs="Arial Unicode MS"/>
                <w:szCs w:val="21"/>
              </w:rPr>
              <w:t>检测一个拷贝的</w:t>
            </w:r>
            <w:r>
              <w:rPr>
                <w:rFonts w:ascii="新宋体" w:hAnsi="新宋体" w:eastAsia="新宋体" w:cs="Arial Unicode MS"/>
                <w:szCs w:val="21"/>
              </w:rPr>
              <w:t>人类基因组</w:t>
            </w:r>
            <w:r>
              <w:rPr>
                <w:rFonts w:hint="eastAsia" w:ascii="新宋体" w:hAnsi="新宋体" w:eastAsia="新宋体" w:cs="Arial Unicode MS"/>
                <w:szCs w:val="21"/>
              </w:rPr>
              <w:t>基因</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14.</w:t>
            </w:r>
            <w:r>
              <w:rPr>
                <w:rFonts w:ascii="新宋体" w:hAnsi="新宋体" w:eastAsia="新宋体" w:cs="Arial Unicode MS"/>
                <w:szCs w:val="21"/>
              </w:rPr>
              <w:t>线性范围：</w:t>
            </w:r>
            <w:r>
              <w:rPr>
                <w:rFonts w:hint="eastAsia" w:ascii="新宋体" w:hAnsi="新宋体" w:eastAsia="新宋体" w:cs="Arial Unicode MS"/>
                <w:szCs w:val="21"/>
              </w:rPr>
              <w:t>≥</w:t>
            </w:r>
            <w:r>
              <w:rPr>
                <w:rFonts w:ascii="新宋体" w:hAnsi="新宋体" w:eastAsia="新宋体" w:cs="Arial Unicode MS"/>
                <w:szCs w:val="21"/>
              </w:rPr>
              <w:t>10个数量级</w:t>
            </w:r>
            <w:r>
              <w:rPr>
                <w:rFonts w:hint="eastAsia" w:ascii="新宋体" w:hAnsi="新宋体" w:eastAsia="新宋体" w:cs="Arial Unicode MS"/>
                <w:szCs w:val="21"/>
                <w:lang w:eastAsia="zh-CN"/>
              </w:rPr>
              <w:t>；</w:t>
            </w:r>
          </w:p>
          <w:p>
            <w:pPr>
              <w:autoSpaceDE w:val="0"/>
              <w:autoSpaceDN w:val="0"/>
              <w:adjustRightInd w:val="0"/>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15.</w:t>
            </w:r>
            <w:r>
              <w:rPr>
                <w:rFonts w:ascii="新宋体" w:hAnsi="新宋体" w:eastAsia="新宋体" w:cs="Arial Unicode MS"/>
                <w:szCs w:val="21"/>
              </w:rPr>
              <w:t>多重数据分析：具多重</w:t>
            </w:r>
            <w:r>
              <w:rPr>
                <w:rFonts w:hint="eastAsia" w:ascii="新宋体" w:hAnsi="新宋体" w:eastAsia="新宋体" w:cs="Arial Unicode MS"/>
                <w:szCs w:val="21"/>
              </w:rPr>
              <w:t>q</w:t>
            </w:r>
            <w:r>
              <w:rPr>
                <w:rFonts w:ascii="新宋体" w:hAnsi="新宋体" w:eastAsia="新宋体" w:cs="Arial Unicode MS"/>
                <w:szCs w:val="21"/>
              </w:rPr>
              <w:t>PCR数据分析功能，可同时运行5个检测通道</w:t>
            </w:r>
            <w:r>
              <w:rPr>
                <w:rFonts w:hint="eastAsia" w:ascii="新宋体" w:hAnsi="新宋体" w:eastAsia="新宋体" w:cs="Arial Unicode MS"/>
                <w:szCs w:val="21"/>
                <w:lang w:eastAsia="zh-CN"/>
              </w:rPr>
              <w:t>；</w:t>
            </w:r>
          </w:p>
          <w:p>
            <w:pPr>
              <w:autoSpaceDE w:val="0"/>
              <w:autoSpaceDN w:val="0"/>
              <w:adjustRightInd w:val="0"/>
              <w:spacing w:line="360" w:lineRule="auto"/>
              <w:ind w:left="42" w:leftChars="20"/>
              <w:rPr>
                <w:rFonts w:hint="eastAsia" w:ascii="新宋体" w:hAnsi="新宋体" w:eastAsia="新宋体" w:cs="Arial Unicode MS"/>
                <w:szCs w:val="21"/>
                <w:lang w:eastAsia="zh-CN"/>
              </w:rPr>
            </w:pPr>
            <w:r>
              <w:rPr>
                <w:rFonts w:hint="eastAsia" w:ascii="新宋体" w:hAnsi="新宋体" w:eastAsia="新宋体" w:cs="Arial Unicode MS"/>
                <w:szCs w:val="21"/>
              </w:rPr>
              <w:t>16.</w:t>
            </w:r>
            <w:r>
              <w:rPr>
                <w:rFonts w:ascii="新宋体" w:hAnsi="新宋体" w:eastAsia="新宋体" w:cs="Arial Unicode MS"/>
                <w:szCs w:val="21"/>
              </w:rPr>
              <w:t>可以使用Quick Plate功能，在反应前、反应中或运行完成后输入和编辑反应孔的信息</w:t>
            </w:r>
            <w:r>
              <w:rPr>
                <w:rFonts w:hint="eastAsia" w:ascii="新宋体" w:hAnsi="新宋体" w:eastAsia="新宋体" w:cs="Arial Unicode MS"/>
                <w:szCs w:val="21"/>
              </w:rPr>
              <w:t>, 从而节约时间</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17.</w:t>
            </w:r>
            <w:r>
              <w:rPr>
                <w:rFonts w:ascii="新宋体" w:hAnsi="新宋体" w:eastAsia="新宋体" w:cs="Arial Unicode MS"/>
                <w:szCs w:val="21"/>
              </w:rPr>
              <w:t>数据分析模式： 标准曲线定量、融解曲线、ΔCT 或ΔΔCT 基因表达分析、多内参基因分析和扩增效率计算、多个数据文件的基因表达分析、等位基因分析、终点分析、</w:t>
            </w:r>
            <w:r>
              <w:rPr>
                <w:rFonts w:hint="eastAsia" w:ascii="新宋体" w:hAnsi="新宋体" w:eastAsia="新宋体" w:cs="Arial Unicode MS"/>
                <w:szCs w:val="21"/>
              </w:rPr>
              <w:t>具有等位基因、溶解曲线分析功能</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18.数据输出模式：可将实验结果以图形和表格的形式直接打印；也可拷贝后另存为Word, Excel或Powerpoint文件格式；详细的数据报告内容包括实验条件，数据坐标和表格，数据分析参数，可直接打印或保存为PDF</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19.中英文操作分析软件</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20.程序自动编辑，仅需输入Tm值及运行方式即可进行快捷的编辑程序</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21.e-mail发送实验数据， 实验结束后可自动发送实验结果至指定邮箱</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eastAsia="zh-CN"/>
              </w:rPr>
              <w:t>★</w:t>
            </w:r>
            <w:r>
              <w:rPr>
                <w:rFonts w:hint="eastAsia" w:ascii="新宋体" w:hAnsi="新宋体" w:eastAsia="新宋体" w:cs="Arial Unicode MS"/>
                <w:szCs w:val="21"/>
              </w:rPr>
              <w:t>22.为保证数据安全仪器能实时保存100份定量原始数据文件，同时仪器也能脱离电脑运行</w:t>
            </w:r>
            <w:r>
              <w:rPr>
                <w:rFonts w:hint="eastAsia" w:ascii="新宋体" w:hAnsi="新宋体" w:eastAsia="新宋体" w:cs="Arial Unicode MS"/>
                <w:szCs w:val="21"/>
                <w:lang w:eastAsia="zh-CN"/>
              </w:rPr>
              <w:t>；</w:t>
            </w:r>
          </w:p>
          <w:p>
            <w:pPr>
              <w:numPr>
                <w:ilvl w:val="0"/>
                <w:numId w:val="4"/>
              </w:num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控温模块,光学检测模块, CFX 控制分析软件,数据连接线，使用说明书，台式电脑</w:t>
            </w:r>
            <w:r>
              <w:rPr>
                <w:rFonts w:hint="eastAsia" w:ascii="新宋体" w:hAnsi="新宋体" w:eastAsia="新宋体" w:cs="Arial Unicode MS"/>
                <w:szCs w:val="21"/>
                <w:lang w:eastAsia="zh-CN"/>
              </w:rPr>
              <w:t>；</w:t>
            </w:r>
          </w:p>
          <w:p>
            <w:pPr>
              <w:numPr>
                <w:ilvl w:val="0"/>
                <w:numId w:val="0"/>
              </w:numPr>
              <w:spacing w:line="360" w:lineRule="auto"/>
              <w:rPr>
                <w:rFonts w:hint="eastAsia" w:ascii="宋体" w:eastAsia="新宋体" w:cs="宋体"/>
                <w:color w:val="auto"/>
                <w:sz w:val="21"/>
                <w:szCs w:val="21"/>
                <w:lang w:eastAsia="zh-CN"/>
              </w:rPr>
            </w:pPr>
            <w:r>
              <w:rPr>
                <w:rFonts w:hint="eastAsia" w:ascii="新宋体" w:hAnsi="新宋体" w:eastAsia="新宋体" w:cs="Arial Unicode MS"/>
                <w:szCs w:val="21"/>
              </w:rPr>
              <w:t>★</w:t>
            </w:r>
            <w:r>
              <w:rPr>
                <w:rFonts w:hint="eastAsia" w:ascii="新宋体" w:hAnsi="新宋体" w:eastAsia="新宋体" w:cs="Arial Unicode MS"/>
                <w:szCs w:val="21"/>
                <w:lang w:val="en-US" w:eastAsia="zh-CN"/>
              </w:rPr>
              <w:t>24.认证：具有医疗器械注册证、ISO9000系列质量认证。（</w:t>
            </w:r>
            <w:r>
              <w:rPr>
                <w:rFonts w:hint="eastAsia" w:ascii="宋体" w:cs="宋体"/>
                <w:color w:val="auto"/>
                <w:sz w:val="21"/>
                <w:szCs w:val="21"/>
                <w:lang w:val="en-US" w:eastAsia="zh-CN"/>
              </w:rPr>
              <w:t>提供医疗器械产品注册证复印件。</w:t>
            </w:r>
            <w:r>
              <w:rPr>
                <w:rFonts w:hint="eastAsia" w:ascii="新宋体" w:hAnsi="新宋体" w:eastAsia="新宋体" w:cs="Arial Unicode M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2</w:t>
            </w:r>
          </w:p>
        </w:tc>
        <w:tc>
          <w:tcPr>
            <w:tcW w:w="197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荧光定量PCR仪</w:t>
            </w:r>
          </w:p>
        </w:tc>
        <w:tc>
          <w:tcPr>
            <w:tcW w:w="705" w:type="dxa"/>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1台</w:t>
            </w:r>
          </w:p>
        </w:tc>
        <w:tc>
          <w:tcPr>
            <w:tcW w:w="5682" w:type="dxa"/>
            <w:vAlign w:val="center"/>
          </w:tcPr>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w:t>
            </w:r>
            <w:r>
              <w:rPr>
                <w:rFonts w:hint="eastAsia" w:ascii="新宋体" w:hAnsi="新宋体" w:eastAsia="新宋体" w:cs="Arial Unicode MS"/>
                <w:szCs w:val="21"/>
                <w:lang w:val="en-US" w:eastAsia="zh-CN"/>
              </w:rPr>
              <w:t>1.</w:t>
            </w:r>
            <w:r>
              <w:rPr>
                <w:rFonts w:hint="eastAsia" w:ascii="新宋体" w:hAnsi="新宋体" w:eastAsia="新宋体" w:cs="Arial Unicode MS"/>
                <w:szCs w:val="21"/>
              </w:rPr>
              <w:t>样本容量</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≥96×0.2ml离心管（10-100μl）,适应18×8联管</w:t>
            </w:r>
            <w:r>
              <w:rPr>
                <w:rFonts w:hint="eastAsia" w:ascii="新宋体" w:hAnsi="新宋体" w:eastAsia="新宋体" w:cs="Arial Unicode MS"/>
                <w:szCs w:val="21"/>
                <w:lang w:eastAsia="zh-CN"/>
              </w:rPr>
              <w:t>；</w:t>
            </w:r>
          </w:p>
          <w:p>
            <w:pPr>
              <w:numPr>
                <w:ilvl w:val="0"/>
                <w:numId w:val="5"/>
              </w:num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rPr>
              <w:t>光源</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超高亮度LED</w:t>
            </w:r>
            <w:r>
              <w:rPr>
                <w:rFonts w:hint="eastAsia" w:ascii="新宋体" w:hAnsi="新宋体" w:eastAsia="新宋体" w:cs="Arial Unicode MS"/>
                <w:szCs w:val="21"/>
                <w:lang w:eastAsia="zh-CN"/>
              </w:rPr>
              <w:t>；</w:t>
            </w:r>
          </w:p>
          <w:p>
            <w:pPr>
              <w:numPr>
                <w:ilvl w:val="0"/>
                <w:numId w:val="0"/>
              </w:num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3.</w:t>
            </w:r>
            <w:r>
              <w:rPr>
                <w:rFonts w:hint="eastAsia" w:ascii="新宋体" w:hAnsi="新宋体" w:eastAsia="新宋体" w:cs="Arial Unicode MS"/>
                <w:szCs w:val="21"/>
              </w:rPr>
              <w:t>检测器</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高灵敏度光电传感器</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4.</w:t>
            </w:r>
            <w:r>
              <w:rPr>
                <w:rFonts w:hint="eastAsia" w:ascii="新宋体" w:hAnsi="新宋体" w:eastAsia="新宋体" w:cs="Arial Unicode MS"/>
                <w:szCs w:val="21"/>
              </w:rPr>
              <w:t>灵敏度</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低至1个拷贝</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5.</w:t>
            </w:r>
            <w:r>
              <w:rPr>
                <w:rFonts w:hint="eastAsia" w:ascii="新宋体" w:hAnsi="新宋体" w:eastAsia="新宋体" w:cs="Arial Unicode MS"/>
                <w:szCs w:val="21"/>
              </w:rPr>
              <w:t>检测动力学范围</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100-1010</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6.</w:t>
            </w:r>
            <w:r>
              <w:rPr>
                <w:rFonts w:hint="eastAsia" w:ascii="新宋体" w:hAnsi="新宋体" w:eastAsia="新宋体" w:cs="Arial Unicode MS"/>
                <w:szCs w:val="21"/>
              </w:rPr>
              <w:t>反应容积</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15—50μL</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7.</w:t>
            </w:r>
            <w:r>
              <w:rPr>
                <w:rFonts w:hint="eastAsia" w:ascii="新宋体" w:hAnsi="新宋体" w:eastAsia="新宋体" w:cs="Arial Unicode MS"/>
                <w:szCs w:val="21"/>
              </w:rPr>
              <w:t>检测的荧光素及染料</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 xml:space="preserve">F1：FAM,SYBR </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8.</w:t>
            </w:r>
            <w:r>
              <w:rPr>
                <w:rFonts w:hint="eastAsia" w:ascii="新宋体" w:hAnsi="新宋体" w:eastAsia="新宋体" w:cs="Arial Unicode MS"/>
                <w:szCs w:val="21"/>
              </w:rPr>
              <w:t>F2：VIC,HEX,JOE</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rPr>
            </w:pPr>
            <w:r>
              <w:rPr>
                <w:rFonts w:hint="eastAsia" w:ascii="新宋体" w:hAnsi="新宋体" w:eastAsia="新宋体" w:cs="Arial Unicode MS"/>
                <w:szCs w:val="21"/>
                <w:lang w:val="en-US" w:eastAsia="zh-CN"/>
              </w:rPr>
              <w:t>9.</w:t>
            </w:r>
            <w:r>
              <w:rPr>
                <w:rFonts w:hint="eastAsia" w:ascii="新宋体" w:hAnsi="新宋体" w:eastAsia="新宋体" w:cs="Arial Unicode MS"/>
                <w:szCs w:val="21"/>
              </w:rPr>
              <w:t>F3: CY3</w:t>
            </w:r>
            <w:r>
              <w:rPr>
                <w:rFonts w:hint="eastAsia" w:ascii="新宋体" w:hAnsi="新宋体" w:eastAsia="新宋体" w:cs="Arial Unicode MS"/>
                <w:szCs w:val="21"/>
                <w:lang w:eastAsia="zh-CN"/>
              </w:rPr>
              <w:t>；</w:t>
            </w:r>
            <w:r>
              <w:rPr>
                <w:rFonts w:hint="eastAsia" w:ascii="新宋体" w:hAnsi="新宋体" w:eastAsia="新宋体" w:cs="Arial Unicode MS"/>
                <w:szCs w:val="21"/>
              </w:rPr>
              <w:t xml:space="preserve">  </w:t>
            </w:r>
          </w:p>
          <w:p>
            <w:pPr>
              <w:spacing w:line="360" w:lineRule="auto"/>
              <w:rPr>
                <w:rFonts w:hint="eastAsia" w:ascii="新宋体" w:hAnsi="新宋体" w:eastAsia="新宋体" w:cs="Arial Unicode MS"/>
                <w:szCs w:val="21"/>
              </w:rPr>
            </w:pPr>
            <w:r>
              <w:rPr>
                <w:rFonts w:hint="eastAsia" w:ascii="新宋体" w:hAnsi="新宋体" w:eastAsia="新宋体" w:cs="Arial Unicode MS"/>
                <w:szCs w:val="21"/>
                <w:lang w:val="en-US" w:eastAsia="zh-CN"/>
              </w:rPr>
              <w:t>10.</w:t>
            </w:r>
            <w:r>
              <w:rPr>
                <w:rFonts w:hint="eastAsia" w:ascii="新宋体" w:hAnsi="新宋体" w:eastAsia="新宋体" w:cs="Arial Unicode MS"/>
                <w:szCs w:val="21"/>
              </w:rPr>
              <w:t>F4: ROX</w:t>
            </w:r>
            <w:r>
              <w:rPr>
                <w:rFonts w:hint="eastAsia" w:ascii="新宋体" w:hAnsi="新宋体" w:eastAsia="新宋体" w:cs="Arial Unicode MS"/>
                <w:szCs w:val="21"/>
                <w:lang w:eastAsia="zh-CN"/>
              </w:rPr>
              <w:t>；</w:t>
            </w:r>
            <w:r>
              <w:rPr>
                <w:rFonts w:hint="eastAsia" w:ascii="新宋体" w:hAnsi="新宋体" w:eastAsia="新宋体" w:cs="Arial Unicode MS"/>
                <w:szCs w:val="21"/>
              </w:rPr>
              <w:t xml:space="preserve"> </w:t>
            </w:r>
          </w:p>
          <w:p>
            <w:pPr>
              <w:spacing w:line="360" w:lineRule="auto"/>
              <w:rPr>
                <w:rFonts w:hint="eastAsia" w:ascii="新宋体" w:hAnsi="新宋体" w:eastAsia="新宋体" w:cs="Arial Unicode MS"/>
                <w:szCs w:val="21"/>
              </w:rPr>
            </w:pPr>
            <w:r>
              <w:rPr>
                <w:rFonts w:hint="eastAsia" w:ascii="新宋体" w:hAnsi="新宋体" w:eastAsia="新宋体" w:cs="Arial Unicode MS"/>
                <w:szCs w:val="21"/>
                <w:lang w:val="en-US" w:eastAsia="zh-CN"/>
              </w:rPr>
              <w:t>11.</w:t>
            </w:r>
            <w:r>
              <w:rPr>
                <w:rFonts w:hint="eastAsia" w:ascii="新宋体" w:hAnsi="新宋体" w:eastAsia="新宋体" w:cs="Arial Unicode MS"/>
                <w:szCs w:val="21"/>
              </w:rPr>
              <w:t>F5: CY5</w:t>
            </w:r>
            <w:r>
              <w:rPr>
                <w:rFonts w:hint="eastAsia" w:ascii="新宋体" w:hAnsi="新宋体" w:eastAsia="新宋体" w:cs="Arial Unicode MS"/>
                <w:szCs w:val="21"/>
                <w:lang w:eastAsia="zh-CN"/>
              </w:rPr>
              <w:t>；</w:t>
            </w:r>
            <w:r>
              <w:rPr>
                <w:rFonts w:hint="eastAsia" w:ascii="新宋体" w:hAnsi="新宋体" w:eastAsia="新宋体" w:cs="Arial Unicode MS"/>
                <w:szCs w:val="21"/>
              </w:rPr>
              <w:t xml:space="preserve"> </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12.</w:t>
            </w:r>
            <w:r>
              <w:rPr>
                <w:rFonts w:hint="eastAsia" w:ascii="新宋体" w:hAnsi="新宋体" w:eastAsia="新宋体" w:cs="Arial Unicode MS"/>
                <w:szCs w:val="21"/>
              </w:rPr>
              <w:t>温度范围</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4-99℃</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13.</w:t>
            </w:r>
            <w:r>
              <w:rPr>
                <w:rFonts w:hint="eastAsia" w:ascii="新宋体" w:hAnsi="新宋体" w:eastAsia="新宋体" w:cs="Arial Unicode MS"/>
                <w:szCs w:val="21"/>
              </w:rPr>
              <w:t>控温模式</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半导体热电模块</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14.</w:t>
            </w:r>
            <w:r>
              <w:rPr>
                <w:rFonts w:hint="eastAsia" w:ascii="新宋体" w:hAnsi="新宋体" w:eastAsia="新宋体" w:cs="Arial Unicode MS"/>
                <w:szCs w:val="21"/>
              </w:rPr>
              <w:t>均匀性</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±0.1℃</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15.</w:t>
            </w:r>
            <w:r>
              <w:rPr>
                <w:rFonts w:hint="eastAsia" w:ascii="新宋体" w:hAnsi="新宋体" w:eastAsia="新宋体" w:cs="Arial Unicode MS"/>
                <w:szCs w:val="21"/>
              </w:rPr>
              <w:t>温控精度</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±0.1℃</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16.</w:t>
            </w:r>
            <w:r>
              <w:rPr>
                <w:rFonts w:hint="eastAsia" w:ascii="新宋体" w:hAnsi="新宋体" w:eastAsia="新宋体" w:cs="Arial Unicode MS"/>
                <w:szCs w:val="21"/>
              </w:rPr>
              <w:t>升温速率</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≥4.5℃/s</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17.</w:t>
            </w:r>
            <w:r>
              <w:rPr>
                <w:rFonts w:hint="eastAsia" w:ascii="新宋体" w:hAnsi="新宋体" w:eastAsia="新宋体" w:cs="Arial Unicode MS"/>
                <w:szCs w:val="21"/>
              </w:rPr>
              <w:t>降温速率</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≥4.5℃/s</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18.</w:t>
            </w:r>
            <w:r>
              <w:rPr>
                <w:rFonts w:hint="eastAsia" w:ascii="新宋体" w:hAnsi="新宋体" w:eastAsia="新宋体" w:cs="Arial Unicode MS"/>
                <w:szCs w:val="21"/>
              </w:rPr>
              <w:t>热盖温度范围</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30-108℃</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19.</w:t>
            </w:r>
            <w:r>
              <w:rPr>
                <w:rFonts w:hint="eastAsia" w:ascii="新宋体" w:hAnsi="新宋体" w:eastAsia="新宋体" w:cs="Arial Unicode MS"/>
                <w:szCs w:val="21"/>
              </w:rPr>
              <w:t>荧光强度检测重复性</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CV≤0.5%</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20.</w:t>
            </w:r>
            <w:r>
              <w:rPr>
                <w:rFonts w:hint="eastAsia" w:ascii="新宋体" w:hAnsi="新宋体" w:eastAsia="新宋体" w:cs="Arial Unicode MS"/>
                <w:szCs w:val="21"/>
              </w:rPr>
              <w:t>样本检测重复性</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CV≤0.5%</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lang w:eastAsia="zh-CN"/>
              </w:rPr>
            </w:pPr>
            <w:r>
              <w:rPr>
                <w:rFonts w:hint="eastAsia" w:ascii="新宋体" w:hAnsi="新宋体" w:eastAsia="新宋体" w:cs="Arial Unicode MS"/>
                <w:szCs w:val="21"/>
                <w:lang w:val="en-US" w:eastAsia="zh-CN"/>
              </w:rPr>
              <w:t>21.</w:t>
            </w:r>
            <w:r>
              <w:rPr>
                <w:rFonts w:hint="eastAsia" w:ascii="新宋体" w:hAnsi="新宋体" w:eastAsia="新宋体" w:cs="Arial Unicode MS"/>
                <w:szCs w:val="21"/>
              </w:rPr>
              <w:t>样本线性</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线性回归系数r ≥0.99</w:t>
            </w:r>
            <w:r>
              <w:rPr>
                <w:rFonts w:hint="eastAsia" w:ascii="新宋体" w:hAnsi="新宋体" w:eastAsia="新宋体" w:cs="Arial Unicode MS"/>
                <w:szCs w:val="21"/>
                <w:lang w:eastAsia="zh-CN"/>
              </w:rPr>
              <w:t>；</w:t>
            </w:r>
          </w:p>
          <w:p>
            <w:pPr>
              <w:spacing w:line="360" w:lineRule="auto"/>
              <w:rPr>
                <w:rFonts w:hint="eastAsia" w:ascii="新宋体" w:hAnsi="新宋体" w:eastAsia="新宋体" w:cs="Arial Unicode MS"/>
                <w:szCs w:val="21"/>
              </w:rPr>
            </w:pPr>
            <w:r>
              <w:rPr>
                <w:rFonts w:hint="eastAsia" w:ascii="新宋体" w:hAnsi="新宋体" w:eastAsia="新宋体" w:cs="Arial Unicode MS"/>
                <w:szCs w:val="21"/>
                <w:lang w:val="en-US" w:eastAsia="zh-CN"/>
              </w:rPr>
              <w:t>22.</w:t>
            </w:r>
            <w:r>
              <w:rPr>
                <w:rFonts w:hint="eastAsia" w:ascii="新宋体" w:hAnsi="新宋体" w:eastAsia="新宋体" w:cs="Arial Unicode MS"/>
                <w:szCs w:val="21"/>
              </w:rPr>
              <w:t>荧光线性</w:t>
            </w:r>
            <w:r>
              <w:rPr>
                <w:rFonts w:hint="eastAsia" w:ascii="新宋体" w:hAnsi="新宋体" w:eastAsia="新宋体" w:cs="Arial Unicode MS"/>
                <w:szCs w:val="21"/>
                <w:lang w:val="en-US" w:eastAsia="zh-CN"/>
              </w:rPr>
              <w:t>:</w:t>
            </w:r>
            <w:r>
              <w:rPr>
                <w:rFonts w:hint="eastAsia" w:ascii="新宋体" w:hAnsi="新宋体" w:eastAsia="新宋体" w:cs="Arial Unicode MS"/>
                <w:szCs w:val="21"/>
              </w:rPr>
              <w:t>线性回归系数r≥0.99</w:t>
            </w:r>
            <w:r>
              <w:rPr>
                <w:rFonts w:hint="eastAsia" w:ascii="新宋体" w:hAnsi="新宋体" w:eastAsia="新宋体" w:cs="Arial Unicode M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3</w:t>
            </w:r>
          </w:p>
        </w:tc>
        <w:tc>
          <w:tcPr>
            <w:tcW w:w="197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全自动核酸提取仪</w:t>
            </w:r>
          </w:p>
        </w:tc>
        <w:tc>
          <w:tcPr>
            <w:tcW w:w="705" w:type="dxa"/>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rPr>
              <w:t>★</w:t>
            </w:r>
            <w:r>
              <w:rPr>
                <w:rFonts w:hint="eastAsia" w:ascii="新宋体" w:hAnsi="新宋体" w:eastAsia="新宋体" w:cs="Arial Unicode MS"/>
                <w:szCs w:val="21"/>
                <w:lang w:val="en-US" w:eastAsia="zh-CN"/>
              </w:rPr>
              <w:t>1.工作模式：全自动加样 + 核酸提取+反应体系加样；</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2.提取方式：磁珠提取技术，批量、单样同步处理；</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3.单次移液范围：1μL～1000μL；</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4.样本体积：支持双倍样本提取，适用体积20μL～700μL；</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rPr>
              <w:t>★</w:t>
            </w:r>
            <w:r>
              <w:rPr>
                <w:rFonts w:hint="eastAsia" w:ascii="新宋体" w:hAnsi="新宋体" w:eastAsia="新宋体" w:cs="Arial Unicode MS"/>
                <w:szCs w:val="21"/>
                <w:lang w:val="en-US" w:eastAsia="zh-CN"/>
              </w:rPr>
              <w:t>5.处理通量：1～96个样本；</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6.提取速度：96样品/60分钟；</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7.PCR位：最大3*96孔PCR位，可放置288人份PCR管；</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8.单人份提取：支持单人份提取，避免试剂耗材浪费；</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9.具备UV紫外消毒系统；</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10.具有液面探测功能，有效穿透气泡干扰层进行吸液；</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11.双独立提取模块，两个提取模块可同时运行不同提取流程提取核酸；</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12.枪头丢弃位置可用防污导料套，具备独立密闭的垃圾桶存放空间；</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13.具备温度设置不超过沸点保护功能（防止试剂沸腾），保护温度可根据海拔（气压）修正；</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14.异常报警：具备声光指示运行状态和报警功能、枪头堵塞及凝块报警功能异常报警，在试剂、耗材不足报警提醒，并可进行添加；</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15.试剂冷藏（可选配）：温度2℃-8℃，自动密封，避免冷凝水稀释试剂；</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16.加样准确性：加样量为20~100 uL时，误差</w:t>
            </w:r>
            <w:r>
              <w:rPr>
                <w:rFonts w:hint="eastAsia"/>
              </w:rPr>
              <w:t>≤</w:t>
            </w:r>
            <w:r>
              <w:rPr>
                <w:rFonts w:hint="eastAsia" w:ascii="新宋体" w:hAnsi="新宋体" w:eastAsia="新宋体" w:cs="Arial Unicode MS"/>
                <w:szCs w:val="21"/>
                <w:lang w:val="en-US" w:eastAsia="zh-CN"/>
              </w:rPr>
              <w:t>±1% ；加样量为100~1000 uL时，误差</w:t>
            </w:r>
            <w:r>
              <w:rPr>
                <w:rFonts w:hint="eastAsia"/>
              </w:rPr>
              <w:t>≤</w:t>
            </w:r>
            <w:r>
              <w:rPr>
                <w:rFonts w:hint="eastAsia" w:ascii="新宋体" w:hAnsi="新宋体" w:eastAsia="新宋体" w:cs="Arial Unicode MS"/>
                <w:szCs w:val="21"/>
                <w:lang w:val="en-US" w:eastAsia="zh-CN"/>
              </w:rPr>
              <w:t>±1%；</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17.加样重复性：变异系数</w:t>
            </w:r>
            <w:r>
              <w:rPr>
                <w:rFonts w:hint="eastAsia"/>
              </w:rPr>
              <w:t>≤</w:t>
            </w:r>
            <w:r>
              <w:rPr>
                <w:rFonts w:hint="eastAsia" w:ascii="新宋体" w:hAnsi="新宋体" w:eastAsia="新宋体" w:cs="Arial Unicode MS"/>
                <w:szCs w:val="21"/>
                <w:lang w:val="en-US" w:eastAsia="zh-CN"/>
              </w:rPr>
              <w:t>0.6% ；</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18.提取温度控制范围：室温～99℃；</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19.XYZ机械臂运动精度：≤0.1mm；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20.输入电源：100～240V 50Hz；</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21.工作温度范围：5℃～40℃；</w:t>
            </w:r>
          </w:p>
          <w:p>
            <w:pPr>
              <w:widowControl/>
              <w:rPr>
                <w:color w:val="auto"/>
                <w:sz w:val="21"/>
                <w:szCs w:val="21"/>
              </w:rPr>
            </w:pPr>
            <w:r>
              <w:rPr>
                <w:rFonts w:hint="eastAsia" w:ascii="新宋体" w:hAnsi="新宋体" w:eastAsia="新宋体" w:cs="Arial Unicode MS"/>
                <w:szCs w:val="21"/>
                <w:lang w:val="en-US" w:eastAsia="zh-CN"/>
              </w:rPr>
              <w:t>22.工作湿度范围：40-80%。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4</w:t>
            </w:r>
          </w:p>
        </w:tc>
        <w:tc>
          <w:tcPr>
            <w:tcW w:w="197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台式离心机</w:t>
            </w:r>
          </w:p>
        </w:tc>
        <w:tc>
          <w:tcPr>
            <w:tcW w:w="705" w:type="dxa"/>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1.最高转速：15,200转/分；</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2.最大离心力：25,830×g；</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3.最大离心容量：4*400ml；</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4.驱动系统：无碳刷电机直接驱动；</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5.控制系统:微处理器控制系统，带有背光的大屏幕LCD数字显示,LED指示灯显示当前离心运行模式及状态；</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6.运行时间控制：0-9小时59分钟；并具有瞬时离心及连续离心方式；</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7.加/减速选择：9加速/10减速；</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8.程序：6个快捷程序可一键调用；</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rPr>
              <w:t>★</w:t>
            </w:r>
            <w:r>
              <w:rPr>
                <w:rFonts w:hint="eastAsia" w:ascii="新宋体" w:hAnsi="新宋体" w:eastAsia="新宋体" w:cs="Arial Unicode MS"/>
                <w:szCs w:val="21"/>
                <w:lang w:val="en-US" w:eastAsia="zh-CN"/>
              </w:rPr>
              <w:t>9.安全性能：</w:t>
            </w:r>
          </w:p>
          <w:p>
            <w:pPr>
              <w:spacing w:line="360" w:lineRule="auto"/>
              <w:ind w:left="420" w:hanging="420" w:hangingChars="200"/>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（1）具有转头自动锁定装置，可以在5秒内实现转头的安全锁定&amp;转头更换；</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（2）转头自动识别；</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（3）电子式不平衡监测；</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（4）状态自诊断；</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（5）自动锁盖及内锁装置。</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（6）水平转头吊篮具有第三方认证的生物安全密封盖。可以单手操作，无需旋盖及搭扣，并可以确保密封。无任何金属部件，防止不慎划破手套及手。</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10.其他性能：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（1）RCF设定；</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（2）具有语种选择；</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（3）可选择在离心结束之后自动开盖；</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（4）可选择在离心结束时声音提醒功能。</w:t>
            </w:r>
          </w:p>
          <w:p>
            <w:pPr>
              <w:spacing w:line="360" w:lineRule="auto"/>
              <w:rPr>
                <w:rFonts w:ascii="宋体" w:cs="宋体"/>
                <w:color w:val="auto"/>
                <w:sz w:val="21"/>
                <w:szCs w:val="21"/>
              </w:rPr>
            </w:pPr>
            <w:r>
              <w:rPr>
                <w:rFonts w:hint="eastAsia" w:ascii="新宋体" w:hAnsi="新宋体" w:eastAsia="新宋体" w:cs="Arial Unicode MS"/>
                <w:szCs w:val="21"/>
                <w:lang w:val="en-US" w:eastAsia="zh-CN"/>
              </w:rPr>
              <w:t>11.噪音：≤ 55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5</w:t>
            </w:r>
          </w:p>
        </w:tc>
        <w:tc>
          <w:tcPr>
            <w:tcW w:w="197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迷你离心机</w:t>
            </w:r>
          </w:p>
        </w:tc>
        <w:tc>
          <w:tcPr>
            <w:tcW w:w="70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2台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1.速度范围: 500 rpm - 12,500 rpm；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2.最大RCF: 9,800 RCF；</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3.电源要求: 100 – 240 V AC, 50/60 Hz, 1.35 A, 125 W；</w:t>
            </w:r>
          </w:p>
          <w:p>
            <w:pPr>
              <w:spacing w:line="360" w:lineRule="auto"/>
              <w:rPr>
                <w:rFonts w:ascii="宋体" w:cs="宋体"/>
                <w:color w:val="auto"/>
                <w:sz w:val="21"/>
                <w:szCs w:val="21"/>
              </w:rPr>
            </w:pPr>
            <w:r>
              <w:rPr>
                <w:rFonts w:hint="eastAsia" w:ascii="新宋体" w:hAnsi="新宋体" w:eastAsia="新宋体" w:cs="Arial Unicode MS"/>
                <w:szCs w:val="21"/>
                <w:lang w:val="en-US" w:eastAsia="zh-CN"/>
              </w:rPr>
              <w:t>4.适配器 110-240V 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6</w:t>
            </w:r>
          </w:p>
        </w:tc>
        <w:tc>
          <w:tcPr>
            <w:tcW w:w="1978" w:type="dxa"/>
            <w:vAlign w:val="center"/>
          </w:tcPr>
          <w:p>
            <w:pPr>
              <w:keepNext w:val="0"/>
              <w:keepLines w:val="0"/>
              <w:widowControl/>
              <w:suppressLineNumbers w:val="0"/>
              <w:jc w:val="center"/>
              <w:textAlignment w:val="center"/>
              <w:rPr>
                <w:rFonts w:ascii="宋体" w:cs="宋体"/>
                <w:color w:val="auto"/>
                <w:sz w:val="21"/>
                <w:szCs w:val="21"/>
              </w:rPr>
            </w:pPr>
            <w:r>
              <w:rPr>
                <w:rFonts w:hint="eastAsia" w:ascii="宋体" w:hAnsi="宋体" w:eastAsia="宋体" w:cs="宋体"/>
                <w:b w:val="0"/>
                <w:bCs/>
                <w:i w:val="0"/>
                <w:color w:val="000000"/>
                <w:kern w:val="0"/>
                <w:sz w:val="21"/>
                <w:szCs w:val="21"/>
                <w:u w:val="none"/>
                <w:lang w:val="en-US" w:eastAsia="zh-CN" w:bidi="ar"/>
              </w:rPr>
              <w:t>数显涡旋振荡器</w:t>
            </w:r>
          </w:p>
        </w:tc>
        <w:tc>
          <w:tcPr>
            <w:tcW w:w="705" w:type="dxa"/>
            <w:vAlign w:val="center"/>
          </w:tcPr>
          <w:p>
            <w:pPr>
              <w:widowControl/>
              <w:jc w:val="center"/>
              <w:rPr>
                <w:rFonts w:hint="default" w:ascii="宋体" w:cs="宋体"/>
                <w:color w:val="auto"/>
                <w:sz w:val="21"/>
                <w:szCs w:val="21"/>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1.高清LED显示屏，数字显示运行时间与实际转速，确保转速的精准性，十分方便用户操作及查看；</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2.采用新型直流无刷电机，低噪音，免维护，使用寿命长；</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3.转速范围：200-3000 rpm，轨道振幅为4mm；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4.转速准确度：200-1500 rpm下，精准度为±5%；</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 xml:space="preserve">              1500-3000 rpm下，精准度为±10%。</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5.可快速设定至高转速数值，节约实验时间：</w:t>
            </w:r>
          </w:p>
          <w:p>
            <w:pPr>
              <w:spacing w:line="360" w:lineRule="auto"/>
              <w:ind w:firstLine="210" w:firstLineChars="100"/>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3秒内设定至1500 rpm；</w:t>
            </w:r>
          </w:p>
          <w:p>
            <w:pPr>
              <w:spacing w:line="360" w:lineRule="auto"/>
              <w:ind w:firstLine="210" w:firstLineChars="100"/>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6秒内设定至3000 rpm。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6.兼具连续振荡和点振两种模式；</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7.可设置连续振荡或倒数计时两种计时方式，倒数计时最长可设定99分钟。倒数计时结束后，显示屏3秒闪烁提示，机身3秒声音提示，保证及时进行下一步操作；</w:t>
            </w:r>
          </w:p>
          <w:p>
            <w:pPr>
              <w:spacing w:line="360" w:lineRule="auto"/>
              <w:rPr>
                <w:rFonts w:ascii="宋体" w:cs="宋体"/>
                <w:color w:val="auto"/>
                <w:sz w:val="21"/>
                <w:szCs w:val="21"/>
              </w:rPr>
            </w:pPr>
            <w:r>
              <w:rPr>
                <w:rFonts w:hint="eastAsia" w:ascii="新宋体" w:hAnsi="新宋体" w:eastAsia="新宋体" w:cs="Arial Unicode MS"/>
                <w:szCs w:val="21"/>
                <w:lang w:val="en-US" w:eastAsia="zh-CN"/>
              </w:rPr>
              <w:t>8.配件及其丰富，适用于多种直径试管及微孔板，并且明确每种试管连续振荡时的最大转速，防止过高转速下样品溅出。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7</w:t>
            </w:r>
          </w:p>
        </w:tc>
        <w:tc>
          <w:tcPr>
            <w:tcW w:w="1978" w:type="dxa"/>
            <w:vAlign w:val="center"/>
          </w:tcPr>
          <w:p>
            <w:pPr>
              <w:keepNext w:val="0"/>
              <w:keepLines w:val="0"/>
              <w:widowControl/>
              <w:suppressLineNumbers w:val="0"/>
              <w:jc w:val="center"/>
              <w:textAlignment w:val="center"/>
              <w:rPr>
                <w:rFonts w:ascii="宋体" w:cs="宋体"/>
                <w:color w:val="auto"/>
                <w:sz w:val="21"/>
                <w:szCs w:val="21"/>
              </w:rPr>
            </w:pPr>
            <w:r>
              <w:rPr>
                <w:rFonts w:hint="eastAsia" w:ascii="宋体" w:hAnsi="宋体" w:eastAsia="宋体" w:cs="宋体"/>
                <w:b w:val="0"/>
                <w:bCs/>
                <w:i w:val="0"/>
                <w:color w:val="000000"/>
                <w:kern w:val="0"/>
                <w:sz w:val="21"/>
                <w:szCs w:val="21"/>
                <w:u w:val="none"/>
                <w:lang w:val="en-US" w:eastAsia="zh-CN" w:bidi="ar"/>
              </w:rPr>
              <w:t>超低温保存箱</w:t>
            </w:r>
          </w:p>
        </w:tc>
        <w:tc>
          <w:tcPr>
            <w:tcW w:w="705" w:type="dxa"/>
            <w:vAlign w:val="center"/>
          </w:tcPr>
          <w:p>
            <w:pPr>
              <w:widowControl/>
              <w:jc w:val="center"/>
              <w:rPr>
                <w:rFonts w:hint="default" w:ascii="宋体" w:cs="宋体"/>
                <w:color w:val="auto"/>
                <w:sz w:val="21"/>
                <w:szCs w:val="21"/>
                <w:lang w:val="en-US"/>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1．有效容积626L；</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 外部尺寸（mm）约：1035(宽)*900(深)*1980mm(高)；</w:t>
            </w:r>
          </w:p>
          <w:p>
            <w:pPr>
              <w:spacing w:line="360" w:lineRule="auto"/>
              <w:ind w:firstLine="420" w:firstLineChars="200"/>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内部尺寸（mm）约：760(宽)*630(深)*1310(高)。</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★3.微电脑控制，控温精度1°C，大屏幕LED显示，观察方便；</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4.显示：采用微电脑微处理控制系统，键盘式数据输入，数字显示箱内温度、环境温度、输入电压。可实时监控使用环境，系统故障自动诊断，断电报警，自动检测过滤网灰尘，方便用户日常维护保养；</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5、设定温度在-40°～-86°范围调节，箱内温度均匀度误差小于6°C；</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多种故障报警（高低温报警、传感器报警、开门报警、冷凝器散热差报警、环温超标报警、断电报警）；两种报警方式（声音蜂鸣报警、灯光闪烁报警）；多重保护功能（开机延时保护、超低电压补偿保护、超高电压补偿保护、密码保护功能）；具有密码保护防止误操作；</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 具有网络功能（可选配），具有RS-232、RS-485数据接口，可与计算机连接，通过计算机显示、调节箱内温度，显示报警信息，监控设备是否正常。具有远程报警功能（可选配），可连接报警器到其他房间实现报警功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8. 自动增减压功能：当电压不稳定时可提供电压智能自动增减压功能，自动补偿功能调节范围±12V；</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9. 配备万向脚轮，灵活，可移动、可锁定；</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10.一体式门手把，可单手开关门；</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11.监控：冰箱内置温度监控模块，实现温度监控模块完全与冰箱融合；</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★12.冷凝风机：冷凝风机两个，可根据环静温度实现智能开停，有效节能，降低噪音。环温高于20度时开启2个风机，环温高于12度低于20度时开启一个风机，环温低于12度时关闭所有风机；</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 xml:space="preserve">13.采用HC制冷系统，节能环保，需明确所使用制冷剂的名称及装入量，且可燃制冷剂灌注量符合国家安全标准,灌注量不能高于150g。创新双级复叠碳氢制冷系统设计，选用HC制冷剂，含氟为0，绝对环保； </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14.密封性能：外门三层，内门一层，共四层密封结构设计：采用耐腐蚀的橡胶材料，抗菌性能优越，加宽、多层密封条设计，密封性更好；气囊结构设计保温更好。发泡内门密封性更好，存取物品温度回升小；</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15.材料：机器箱壳采用冷轧钢板；内胆采用δ0.8材料全防腐特殊耐低温镀锌板，</w:t>
            </w:r>
            <w:bookmarkStart w:id="39" w:name="OLE_LINK1"/>
            <w:bookmarkStart w:id="40" w:name="OLE_LINK2"/>
            <w:r>
              <w:rPr>
                <w:rFonts w:hint="eastAsia" w:ascii="新宋体" w:hAnsi="新宋体" w:eastAsia="新宋体" w:cs="Arial Unicode MS"/>
                <w:szCs w:val="21"/>
                <w:lang w:val="en-US" w:eastAsia="zh-CN"/>
              </w:rPr>
              <w:t>发泡层采用VIP真空隔热保温材料</w:t>
            </w:r>
            <w:bookmarkEnd w:id="39"/>
            <w:bookmarkEnd w:id="40"/>
            <w:r>
              <w:rPr>
                <w:rFonts w:hint="eastAsia" w:ascii="新宋体" w:hAnsi="新宋体" w:eastAsia="新宋体" w:cs="Arial Unicode MS"/>
                <w:szCs w:val="21"/>
                <w:lang w:val="en-US" w:eastAsia="zh-CN"/>
              </w:rPr>
              <w:t>；</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16.内门：四个，每个内门具有两层密封条，单独密封。可独立分别存取物品，以减小箱内温度波动，并有效保证物品安全保存；</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17.双锁结构设计,自带暗锁，每个锁配带4把钥匙，同时可用挂锁，保证用户存储物品安全性，既安全又可靠；</w:t>
            </w:r>
          </w:p>
          <w:p>
            <w:pPr>
              <w:spacing w:line="360" w:lineRule="auto"/>
              <w:rPr>
                <w:rFonts w:ascii="宋体" w:cs="宋体"/>
                <w:color w:val="auto"/>
                <w:sz w:val="21"/>
                <w:szCs w:val="21"/>
              </w:rPr>
            </w:pPr>
            <w:r>
              <w:rPr>
                <w:rFonts w:hint="eastAsia" w:ascii="新宋体" w:hAnsi="新宋体" w:eastAsia="新宋体" w:cs="Arial Unicode MS"/>
                <w:szCs w:val="21"/>
                <w:lang w:val="en-US" w:eastAsia="zh-CN"/>
              </w:rPr>
              <w:t>18.可选配USB模块，用于记录箱内温度、设定温度、高、低温报警温、环温等，可记录10年以上；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8</w:t>
            </w:r>
          </w:p>
        </w:tc>
        <w:tc>
          <w:tcPr>
            <w:tcW w:w="1978" w:type="dxa"/>
            <w:vAlign w:val="center"/>
          </w:tcPr>
          <w:p>
            <w:pPr>
              <w:keepNext w:val="0"/>
              <w:keepLines w:val="0"/>
              <w:widowControl/>
              <w:suppressLineNumbers w:val="0"/>
              <w:jc w:val="center"/>
              <w:textAlignment w:val="center"/>
              <w:rPr>
                <w:rFonts w:ascii="宋体" w:cs="宋体"/>
                <w:color w:val="auto"/>
                <w:sz w:val="21"/>
                <w:szCs w:val="21"/>
              </w:rPr>
            </w:pPr>
            <w:r>
              <w:rPr>
                <w:rFonts w:hint="eastAsia" w:ascii="宋体" w:hAnsi="宋体" w:eastAsia="宋体" w:cs="宋体"/>
                <w:b w:val="0"/>
                <w:bCs/>
                <w:i w:val="0"/>
                <w:color w:val="000000"/>
                <w:kern w:val="0"/>
                <w:sz w:val="21"/>
                <w:szCs w:val="21"/>
                <w:u w:val="none"/>
                <w:lang w:val="en-US" w:eastAsia="zh-CN" w:bidi="ar"/>
              </w:rPr>
              <w:t>高温高压灭菌器</w:t>
            </w:r>
          </w:p>
        </w:tc>
        <w:tc>
          <w:tcPr>
            <w:tcW w:w="705" w:type="dxa"/>
            <w:vAlign w:val="center"/>
          </w:tcPr>
          <w:p>
            <w:pPr>
              <w:widowControl/>
              <w:jc w:val="center"/>
              <w:rPr>
                <w:rFonts w:hint="default" w:ascii="宋体" w:cs="宋体"/>
                <w:color w:val="auto"/>
                <w:sz w:val="21"/>
                <w:szCs w:val="21"/>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1.容积：100L；</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2.功率：4.5kw；</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3.电源：AC220V 50Hz；</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4.额定工作压力：0.22MPa；</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5.额定工作温度：134℃；</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6.灭菌温度选择范围：106~134℃；</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7.灭菌时间选择范围：4~120min；</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8.灭菌室有效容积：φ450×650mm；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9.内桶尺寸：420×540mm；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10.手轮平移式快开结构；</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11.蒸汽内循环；</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12.优质不锈钢材料；</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13.干燥功能可任意选用；</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14.微电脑自动控制，任意设定灭菌参数；</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15.安全连锁装置；</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16.装有关门连锁装置，确保安全使用。（门未关好不能启动）；</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17.数码显示，触摸式按键；</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18.配有标准测试接口；</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19.自涨式密封；</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20.自动保护功能：超温保护；超压自泄保护；低水位保护，防干烧；</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21.不锈钢桶（或网篮）；</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22.灭菌结束蜂鸣器提醒，自动停机；</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23.自动排放冷空气，灭菌结束自动排放蒸汽；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24.有显示报警代码；</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25.有防烫盖；</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26.具有干燥功能；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27.有外接打印机接口；</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28.三种模式控制：</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a.加热-灭菌-不排汽；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 xml:space="preserve">b.加热-灭菌-排汽；   </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c.加热-灭菌-排汽-干燥；</w:t>
            </w:r>
          </w:p>
          <w:p>
            <w:pPr>
              <w:spacing w:line="360" w:lineRule="auto"/>
            </w:pPr>
            <w:r>
              <w:rPr>
                <w:rFonts w:hint="eastAsia" w:ascii="新宋体" w:hAnsi="新宋体" w:eastAsia="新宋体" w:cs="Arial Unicode MS"/>
                <w:szCs w:val="21"/>
                <w:lang w:val="en-US" w:eastAsia="zh-CN"/>
              </w:rPr>
              <w:t>29.可选配外接打印机。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jc w:val="center"/>
              <w:rPr>
                <w:rFonts w:ascii="宋体" w:hAnsi="宋体" w:cs="宋体"/>
                <w:color w:val="auto"/>
                <w:kern w:val="0"/>
                <w:sz w:val="21"/>
                <w:szCs w:val="21"/>
                <w:highlight w:val="none"/>
              </w:rPr>
            </w:pPr>
            <w:r>
              <w:rPr>
                <w:rFonts w:ascii="宋体" w:hAnsi="宋体" w:cs="宋体"/>
                <w:color w:val="auto"/>
                <w:kern w:val="0"/>
                <w:sz w:val="21"/>
                <w:szCs w:val="21"/>
                <w:highlight w:val="none"/>
              </w:rPr>
              <w:t>9</w:t>
            </w:r>
          </w:p>
        </w:tc>
        <w:tc>
          <w:tcPr>
            <w:tcW w:w="1978" w:type="dxa"/>
            <w:vAlign w:val="center"/>
          </w:tcPr>
          <w:p>
            <w:pPr>
              <w:keepNext w:val="0"/>
              <w:keepLines w:val="0"/>
              <w:widowControl/>
              <w:suppressLineNumbers w:val="0"/>
              <w:jc w:val="center"/>
              <w:textAlignment w:val="center"/>
              <w:rPr>
                <w:rFonts w:ascii="宋体" w:cs="宋体"/>
                <w:color w:val="auto"/>
                <w:sz w:val="21"/>
                <w:szCs w:val="21"/>
                <w:highlight w:val="none"/>
              </w:rPr>
            </w:pPr>
            <w:r>
              <w:rPr>
                <w:rFonts w:hint="eastAsia" w:ascii="宋体" w:hAnsi="宋体" w:eastAsia="宋体" w:cs="宋体"/>
                <w:b w:val="0"/>
                <w:bCs/>
                <w:i w:val="0"/>
                <w:color w:val="000000"/>
                <w:kern w:val="0"/>
                <w:sz w:val="21"/>
                <w:szCs w:val="21"/>
                <w:u w:val="none"/>
                <w:lang w:val="en-US" w:eastAsia="zh-CN" w:bidi="ar"/>
              </w:rPr>
              <w:t>紫外线空气消毒器</w:t>
            </w:r>
          </w:p>
        </w:tc>
        <w:tc>
          <w:tcPr>
            <w:tcW w:w="705" w:type="dxa"/>
            <w:vAlign w:val="center"/>
          </w:tcPr>
          <w:p>
            <w:pPr>
              <w:widowControl/>
              <w:jc w:val="center"/>
              <w:rPr>
                <w:rFonts w:hint="default" w:ascii="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rPr>
              <w:t>5</w:t>
            </w:r>
            <w:r>
              <w:rPr>
                <w:rFonts w:hint="eastAsia" w:ascii="宋体" w:hAnsi="宋体" w:cs="宋体"/>
                <w:color w:val="auto"/>
                <w:kern w:val="0"/>
                <w:sz w:val="21"/>
                <w:szCs w:val="21"/>
                <w:highlight w:val="none"/>
                <w:lang w:val="en-US" w:eastAsia="zh-CN"/>
              </w:rPr>
              <w:t>台</w:t>
            </w:r>
          </w:p>
        </w:tc>
        <w:tc>
          <w:tcPr>
            <w:tcW w:w="5682" w:type="dxa"/>
            <w:vAlign w:val="center"/>
          </w:tcPr>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1.适用房间体积：≤120m3；</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2.电源：交流220V±22V，频率50HZ±1HZ；</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3.输入功率：≤360W；</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4.外形尺寸：92*36*29cm；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5.循环消毒风量：≥1000m3/h；</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6.消毒器工作噪声≤50db(A)；</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7.紫外线强度≥13800uw/cm2；</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8.消毒时空气中的臭氧量≤0.1mg/m³；</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9.灯管寿命≥5000小时。（提供省疾控检测报告、产品卫生安全评价报告）；</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10.在空气消毒效果试验中，对白色葡萄球菌的杀灭率≥99.95%，或对自然菌的消亡率≥90%的消毒时间不超过2h；（提供省疾控中心检测报告）</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11.类型：移动式；</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12.适用环境：动态环境及静态环境；</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13.操作方式：人机同在、循环消毒、程序控制；</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14.电源开关能清楚地识别通断，并用文字或数字表示；</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15.遥控器对开/关机、时间调节、风速调节控制的遥控距离不小于5M；</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16.遥控器定时键可设置1-24小时步进量；</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17.有程控定时功能，可以预先设置好消毒器的开、关机时间；</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18.有手动开机功能；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19.当机内紫外线灯有故障时，具有自动报警功能；</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20.本机采用三挡风速：低、中、高；</w:t>
            </w:r>
          </w:p>
          <w:p>
            <w:pPr>
              <w:spacing w:line="360" w:lineRule="auto"/>
              <w:rPr>
                <w:rFonts w:hint="eastAsia" w:ascii="新宋体" w:hAnsi="新宋体" w:eastAsia="新宋体" w:cs="Arial Unicode MS"/>
                <w:szCs w:val="21"/>
                <w:lang w:val="en-US" w:eastAsia="zh-CN"/>
              </w:rPr>
            </w:pPr>
            <w:r>
              <w:rPr>
                <w:rFonts w:hint="eastAsia" w:ascii="新宋体" w:hAnsi="新宋体" w:eastAsia="新宋体" w:cs="Arial Unicode MS"/>
                <w:szCs w:val="21"/>
                <w:lang w:val="en-US" w:eastAsia="zh-CN"/>
              </w:rPr>
              <w:t>21.外壳采用冷轧板喷塑；</w:t>
            </w:r>
          </w:p>
          <w:p>
            <w:pPr>
              <w:spacing w:line="360" w:lineRule="auto"/>
              <w:rPr>
                <w:rFonts w:ascii="宋体" w:cs="宋体"/>
                <w:color w:val="auto"/>
                <w:sz w:val="21"/>
                <w:szCs w:val="21"/>
                <w:highlight w:val="none"/>
              </w:rPr>
            </w:pPr>
            <w:r>
              <w:rPr>
                <w:rFonts w:hint="eastAsia" w:ascii="新宋体" w:hAnsi="新宋体" w:eastAsia="新宋体" w:cs="Arial Unicode MS"/>
                <w:szCs w:val="21"/>
                <w:lang w:val="en-US" w:eastAsia="zh-CN"/>
              </w:rPr>
              <w:t>22.采用活性炭布和无纺布过滤网。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4"/>
            <w:vAlign w:val="center"/>
          </w:tcPr>
          <w:p>
            <w:pPr>
              <w:pStyle w:val="23"/>
              <w:snapToGrid w:val="0"/>
              <w:spacing w:line="400" w:lineRule="exact"/>
              <w:outlineLvl w:val="0"/>
              <w:rPr>
                <w:rFonts w:hAnsi="宋体" w:cs="宋体"/>
                <w:color w:val="auto"/>
                <w:sz w:val="21"/>
                <w:szCs w:val="21"/>
              </w:rPr>
            </w:pPr>
            <w:r>
              <w:rPr>
                <w:rFonts w:hint="eastAsia" w:hAnsi="宋体" w:cs="宋体"/>
                <w:color w:val="auto"/>
                <w:sz w:val="21"/>
                <w:szCs w:val="21"/>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559"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项目交货地点及交货期</w:t>
            </w:r>
          </w:p>
        </w:tc>
        <w:tc>
          <w:tcPr>
            <w:tcW w:w="6387" w:type="dxa"/>
            <w:gridSpan w:val="2"/>
            <w:vAlign w:val="center"/>
          </w:tcPr>
          <w:p>
            <w:pPr>
              <w:spacing w:line="360" w:lineRule="exact"/>
              <w:rPr>
                <w:rFonts w:asci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、交货地点：广西壮族自治区防城港市内采购人指定地点。</w:t>
            </w:r>
          </w:p>
          <w:p>
            <w:pPr>
              <w:spacing w:line="360" w:lineRule="exact"/>
              <w:rPr>
                <w:rFonts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、交货期：自合同签订之日起</w:t>
            </w:r>
            <w:r>
              <w:rPr>
                <w:rFonts w:ascii="宋体" w:hAnsi="宋体" w:cs="宋体"/>
                <w:color w:val="auto"/>
                <w:sz w:val="21"/>
                <w:szCs w:val="21"/>
              </w:rPr>
              <w:t>90</w:t>
            </w:r>
            <w:r>
              <w:rPr>
                <w:rFonts w:hint="eastAsia" w:ascii="宋体" w:hAnsi="宋体" w:cs="宋体"/>
                <w:color w:val="auto"/>
                <w:sz w:val="21"/>
                <w:szCs w:val="21"/>
              </w:rPr>
              <w:t>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gridSpan w:val="2"/>
            <w:vAlign w:val="center"/>
          </w:tcPr>
          <w:p>
            <w:pPr>
              <w:spacing w:line="360" w:lineRule="exact"/>
              <w:jc w:val="center"/>
              <w:rPr>
                <w:rFonts w:ascii="宋体" w:cs="宋体"/>
                <w:color w:val="auto"/>
                <w:sz w:val="21"/>
                <w:szCs w:val="21"/>
              </w:rPr>
            </w:pPr>
            <w:r>
              <w:rPr>
                <w:rFonts w:hint="eastAsia" w:ascii="宋体" w:hAnsi="宋体" w:cs="宋体"/>
                <w:b/>
                <w:color w:val="auto"/>
                <w:sz w:val="21"/>
                <w:szCs w:val="21"/>
              </w:rPr>
              <w:t>质保期</w:t>
            </w:r>
          </w:p>
        </w:tc>
        <w:tc>
          <w:tcPr>
            <w:tcW w:w="6387" w:type="dxa"/>
            <w:gridSpan w:val="2"/>
          </w:tcPr>
          <w:p>
            <w:pPr>
              <w:spacing w:line="360" w:lineRule="exact"/>
              <w:rPr>
                <w:rFonts w:ascii="宋体" w:cs="宋体"/>
                <w:b/>
                <w:color w:val="auto"/>
                <w:sz w:val="21"/>
                <w:szCs w:val="21"/>
              </w:rPr>
            </w:pPr>
            <w:r>
              <w:rPr>
                <w:rFonts w:hint="eastAsia" w:ascii="宋体" w:cs="宋体"/>
                <w:color w:val="auto"/>
                <w:sz w:val="21"/>
                <w:szCs w:val="21"/>
                <w:lang w:val="en-US" w:eastAsia="zh-CN"/>
              </w:rPr>
              <w:t>除特别说明外，</w:t>
            </w:r>
            <w:r>
              <w:rPr>
                <w:rFonts w:hint="eastAsia" w:ascii="宋体" w:cs="宋体"/>
                <w:color w:val="auto"/>
                <w:sz w:val="21"/>
                <w:szCs w:val="21"/>
              </w:rPr>
              <w:t>交货验收合格之日起，产品质保期</w:t>
            </w:r>
            <w:r>
              <w:rPr>
                <w:rFonts w:ascii="宋体" w:cs="宋体"/>
                <w:color w:val="auto"/>
                <w:kern w:val="0"/>
                <w:sz w:val="21"/>
                <w:szCs w:val="21"/>
              </w:rPr>
              <w:t>1</w:t>
            </w:r>
            <w:r>
              <w:rPr>
                <w:rFonts w:hint="eastAsia" w:ascii="宋体" w:cs="宋体"/>
                <w:color w:val="auto"/>
                <w:sz w:val="21"/>
                <w:szCs w:val="21"/>
              </w:rPr>
              <w:t>年，质保期内全免费上门维修、免费更换零部件。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gridSpan w:val="2"/>
            <w:vAlign w:val="center"/>
          </w:tcPr>
          <w:p>
            <w:pPr>
              <w:spacing w:line="360" w:lineRule="exact"/>
              <w:jc w:val="center"/>
              <w:rPr>
                <w:rFonts w:ascii="宋体" w:cs="宋体"/>
                <w:color w:val="auto"/>
                <w:sz w:val="21"/>
                <w:szCs w:val="21"/>
              </w:rPr>
            </w:pPr>
            <w:r>
              <w:rPr>
                <w:rFonts w:hint="eastAsia" w:ascii="宋体" w:hAnsi="宋体" w:cs="宋体"/>
                <w:b/>
                <w:color w:val="auto"/>
                <w:sz w:val="21"/>
                <w:szCs w:val="21"/>
              </w:rPr>
              <w:t>售后服务要求</w:t>
            </w:r>
          </w:p>
        </w:tc>
        <w:tc>
          <w:tcPr>
            <w:tcW w:w="6387" w:type="dxa"/>
            <w:gridSpan w:val="2"/>
          </w:tcPr>
          <w:p>
            <w:pPr>
              <w:spacing w:line="360" w:lineRule="exact"/>
              <w:rPr>
                <w:color w:val="auto"/>
                <w:sz w:val="21"/>
                <w:szCs w:val="21"/>
              </w:rPr>
            </w:pPr>
            <w:r>
              <w:rPr>
                <w:color w:val="auto"/>
                <w:sz w:val="21"/>
                <w:szCs w:val="21"/>
              </w:rPr>
              <w:t>1</w:t>
            </w:r>
            <w:r>
              <w:rPr>
                <w:rFonts w:hint="eastAsia"/>
                <w:color w:val="auto"/>
                <w:sz w:val="21"/>
                <w:szCs w:val="21"/>
              </w:rPr>
              <w:t>、投标人必须能够提供长期稳定的售后服务。</w:t>
            </w:r>
          </w:p>
          <w:p>
            <w:pPr>
              <w:spacing w:line="360" w:lineRule="exact"/>
              <w:rPr>
                <w:color w:val="auto"/>
                <w:sz w:val="21"/>
                <w:szCs w:val="21"/>
              </w:rPr>
            </w:pPr>
            <w:r>
              <w:rPr>
                <w:color w:val="auto"/>
                <w:sz w:val="21"/>
                <w:szCs w:val="21"/>
              </w:rPr>
              <w:t>2</w:t>
            </w:r>
            <w:r>
              <w:rPr>
                <w:rFonts w:hint="eastAsia"/>
                <w:color w:val="auto"/>
                <w:sz w:val="21"/>
                <w:szCs w:val="21"/>
              </w:rPr>
              <w:t>、中标人须按国家有关规定实行“三包”，免费送货上门，免费现场安装调试至验收合格，免费培训。</w:t>
            </w:r>
          </w:p>
          <w:p>
            <w:pPr>
              <w:spacing w:line="360" w:lineRule="exact"/>
              <w:rPr>
                <w:color w:val="auto"/>
                <w:sz w:val="21"/>
                <w:szCs w:val="21"/>
              </w:rPr>
            </w:pPr>
            <w:r>
              <w:rPr>
                <w:color w:val="auto"/>
                <w:sz w:val="21"/>
                <w:szCs w:val="21"/>
              </w:rPr>
              <w:t>3</w:t>
            </w:r>
            <w:r>
              <w:rPr>
                <w:rFonts w:hint="eastAsia"/>
                <w:color w:val="auto"/>
                <w:sz w:val="21"/>
                <w:szCs w:val="21"/>
              </w:rPr>
              <w:t>、接到用户报修通知后，中标人必须在</w:t>
            </w:r>
            <w:r>
              <w:rPr>
                <w:color w:val="auto"/>
                <w:sz w:val="21"/>
                <w:szCs w:val="21"/>
              </w:rPr>
              <w:t xml:space="preserve"> 2</w:t>
            </w:r>
            <w:r>
              <w:rPr>
                <w:rFonts w:hint="eastAsia"/>
                <w:color w:val="auto"/>
                <w:sz w:val="21"/>
                <w:szCs w:val="21"/>
              </w:rPr>
              <w:t>个小时内联系客户了解具体情况，</w:t>
            </w:r>
            <w:r>
              <w:rPr>
                <w:color w:val="auto"/>
                <w:sz w:val="21"/>
                <w:szCs w:val="21"/>
              </w:rPr>
              <w:t>24</w:t>
            </w:r>
            <w:r>
              <w:rPr>
                <w:rFonts w:hint="eastAsia"/>
                <w:color w:val="auto"/>
                <w:sz w:val="21"/>
                <w:szCs w:val="21"/>
              </w:rPr>
              <w:t>小时内解决问题，如货物无法修复，中标人须在</w:t>
            </w:r>
            <w:r>
              <w:rPr>
                <w:color w:val="auto"/>
                <w:sz w:val="21"/>
                <w:szCs w:val="21"/>
              </w:rPr>
              <w:t>2</w:t>
            </w:r>
            <w:r>
              <w:rPr>
                <w:rFonts w:hint="eastAsia"/>
                <w:color w:val="auto"/>
                <w:sz w:val="21"/>
                <w:szCs w:val="21"/>
              </w:rPr>
              <w:t>个工作日内提供同等或以上档次替代品。</w:t>
            </w:r>
          </w:p>
          <w:p>
            <w:pPr>
              <w:spacing w:line="360" w:lineRule="exact"/>
              <w:rPr>
                <w:rFonts w:ascii="宋体" w:cs="宋体"/>
                <w:color w:val="auto"/>
                <w:spacing w:val="4"/>
                <w:sz w:val="21"/>
                <w:szCs w:val="21"/>
              </w:rPr>
            </w:pPr>
            <w:r>
              <w:rPr>
                <w:color w:val="auto"/>
                <w:sz w:val="21"/>
                <w:szCs w:val="21"/>
              </w:rPr>
              <w:t>4</w:t>
            </w:r>
            <w:r>
              <w:rPr>
                <w:rFonts w:hint="eastAsia"/>
                <w:color w:val="auto"/>
                <w:sz w:val="21"/>
                <w:szCs w:val="21"/>
              </w:rPr>
              <w:t>、投标产品必须是原厂生产的全新合格产品，产品质量须符合相关标准及安全规范，满足本项目需要的技术参数及性能（配置）要求的设备。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559"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合同签订期</w:t>
            </w:r>
          </w:p>
        </w:tc>
        <w:tc>
          <w:tcPr>
            <w:tcW w:w="6387" w:type="dxa"/>
            <w:gridSpan w:val="2"/>
            <w:vAlign w:val="center"/>
          </w:tcPr>
          <w:p>
            <w:pPr>
              <w:snapToGrid w:val="0"/>
              <w:rPr>
                <w:rFonts w:ascii="宋体" w:cs="宋体"/>
                <w:color w:val="auto"/>
                <w:sz w:val="21"/>
                <w:szCs w:val="21"/>
              </w:rPr>
            </w:pPr>
            <w:r>
              <w:rPr>
                <w:rFonts w:hint="eastAsia" w:ascii="宋体" w:hAnsi="宋体" w:cs="宋体"/>
                <w:color w:val="auto"/>
                <w:sz w:val="21"/>
                <w:szCs w:val="21"/>
              </w:rPr>
              <w:t>自中标通知书发出之日起</w:t>
            </w:r>
            <w:r>
              <w:rPr>
                <w:rFonts w:ascii="宋体" w:hAnsi="宋体" w:cs="宋体"/>
                <w:color w:val="auto"/>
                <w:sz w:val="21"/>
                <w:szCs w:val="21"/>
              </w:rPr>
              <w:t>25</w:t>
            </w:r>
            <w:r>
              <w:rPr>
                <w:rFonts w:hint="eastAsia" w:ascii="宋体" w:hAnsi="宋体" w:cs="宋体"/>
                <w:color w:val="auto"/>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559"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付款条件</w:t>
            </w:r>
          </w:p>
        </w:tc>
        <w:tc>
          <w:tcPr>
            <w:tcW w:w="6387" w:type="dxa"/>
            <w:gridSpan w:val="2"/>
            <w:vAlign w:val="center"/>
          </w:tcPr>
          <w:p>
            <w:pPr>
              <w:snapToGrid w:val="0"/>
              <w:rPr>
                <w:rFonts w:ascii="宋体" w:cs="宋体"/>
                <w:color w:val="auto"/>
                <w:sz w:val="21"/>
                <w:szCs w:val="21"/>
              </w:rPr>
            </w:pPr>
            <w:r>
              <w:rPr>
                <w:rFonts w:hint="eastAsia" w:ascii="宋体" w:cs="宋体"/>
                <w:color w:val="auto"/>
                <w:sz w:val="21"/>
                <w:szCs w:val="21"/>
                <w:lang w:val="en-US" w:eastAsia="zh-CN"/>
              </w:rPr>
              <w:t>中标人与采购人</w:t>
            </w:r>
            <w:r>
              <w:rPr>
                <w:rFonts w:hint="eastAsia" w:ascii="宋体" w:cs="宋体"/>
                <w:color w:val="auto"/>
                <w:sz w:val="21"/>
                <w:szCs w:val="21"/>
              </w:rPr>
              <w:t>双方合同签订后，</w:t>
            </w:r>
            <w:r>
              <w:rPr>
                <w:rFonts w:hint="eastAsia" w:ascii="宋体" w:cs="宋体"/>
                <w:color w:val="auto"/>
                <w:sz w:val="21"/>
                <w:szCs w:val="21"/>
                <w:lang w:val="en-US" w:eastAsia="zh-CN"/>
              </w:rPr>
              <w:t>采购人</w:t>
            </w:r>
            <w:r>
              <w:rPr>
                <w:rFonts w:hint="eastAsia" w:ascii="宋体" w:cs="宋体"/>
                <w:color w:val="auto"/>
                <w:sz w:val="21"/>
                <w:szCs w:val="21"/>
              </w:rPr>
              <w:t>即申请财政拨款支付合同金额的</w:t>
            </w:r>
            <w:r>
              <w:rPr>
                <w:rFonts w:ascii="宋体" w:cs="宋体"/>
                <w:color w:val="auto"/>
                <w:sz w:val="21"/>
                <w:szCs w:val="21"/>
              </w:rPr>
              <w:t>30%</w:t>
            </w:r>
            <w:r>
              <w:rPr>
                <w:rFonts w:hint="eastAsia" w:ascii="宋体" w:cs="宋体"/>
                <w:color w:val="auto"/>
                <w:sz w:val="21"/>
                <w:szCs w:val="21"/>
              </w:rPr>
              <w:t>款项给</w:t>
            </w:r>
            <w:r>
              <w:rPr>
                <w:rFonts w:hint="eastAsia" w:ascii="宋体" w:cs="宋体"/>
                <w:color w:val="auto"/>
                <w:sz w:val="21"/>
                <w:szCs w:val="21"/>
                <w:lang w:val="en-US" w:eastAsia="zh-CN"/>
              </w:rPr>
              <w:t>中标人</w:t>
            </w:r>
            <w:r>
              <w:rPr>
                <w:rFonts w:hint="eastAsia" w:ascii="宋体" w:cs="宋体"/>
                <w:color w:val="auto"/>
                <w:sz w:val="21"/>
                <w:szCs w:val="21"/>
              </w:rPr>
              <w:t>，</w:t>
            </w:r>
            <w:r>
              <w:rPr>
                <w:rFonts w:hint="eastAsia" w:ascii="宋体" w:cs="宋体"/>
                <w:color w:val="auto"/>
                <w:sz w:val="21"/>
                <w:szCs w:val="21"/>
                <w:lang w:val="en-US" w:eastAsia="zh-CN"/>
              </w:rPr>
              <w:t>剩余</w:t>
            </w:r>
            <w:r>
              <w:rPr>
                <w:rFonts w:hint="eastAsia" w:ascii="宋体" w:cs="宋体"/>
                <w:color w:val="auto"/>
                <w:sz w:val="21"/>
                <w:szCs w:val="21"/>
              </w:rPr>
              <w:t>合同款在货物验收合格后，</w:t>
            </w:r>
            <w:r>
              <w:rPr>
                <w:rFonts w:hint="eastAsia" w:ascii="宋体" w:cs="宋体"/>
                <w:color w:val="auto"/>
                <w:sz w:val="21"/>
                <w:szCs w:val="21"/>
                <w:lang w:val="en-US" w:eastAsia="zh-CN"/>
              </w:rPr>
              <w:t>由采购人向</w:t>
            </w:r>
            <w:r>
              <w:rPr>
                <w:rFonts w:hint="eastAsia" w:ascii="宋体" w:cs="宋体"/>
                <w:color w:val="auto"/>
                <w:sz w:val="21"/>
                <w:szCs w:val="21"/>
              </w:rPr>
              <w:t>财政申请拨</w:t>
            </w:r>
            <w:r>
              <w:rPr>
                <w:rFonts w:hint="eastAsia" w:ascii="宋体" w:cs="宋体"/>
                <w:color w:val="auto"/>
                <w:sz w:val="21"/>
                <w:szCs w:val="21"/>
                <w:lang w:val="en-US" w:eastAsia="zh-CN"/>
              </w:rPr>
              <w:t>付</w:t>
            </w:r>
            <w:r>
              <w:rPr>
                <w:rFonts w:hint="eastAsia" w:ascii="宋体" w:cs="宋体"/>
                <w:color w:val="auto"/>
                <w:sz w:val="21"/>
                <w:szCs w:val="21"/>
              </w:rPr>
              <w:t>，然后每个月按合同款的</w:t>
            </w:r>
            <w:r>
              <w:rPr>
                <w:rFonts w:ascii="宋体" w:cs="宋体"/>
                <w:color w:val="auto"/>
                <w:sz w:val="21"/>
                <w:szCs w:val="21"/>
              </w:rPr>
              <w:t>10%</w:t>
            </w:r>
            <w:r>
              <w:rPr>
                <w:rFonts w:hint="eastAsia" w:ascii="宋体" w:cs="宋体"/>
                <w:color w:val="auto"/>
                <w:sz w:val="21"/>
                <w:szCs w:val="21"/>
              </w:rPr>
              <w:t>支付</w:t>
            </w:r>
            <w:r>
              <w:rPr>
                <w:rFonts w:hint="eastAsia" w:ascii="宋体" w:cs="宋体"/>
                <w:color w:val="auto"/>
                <w:sz w:val="21"/>
                <w:szCs w:val="21"/>
                <w:lang w:val="en-US" w:eastAsia="zh-CN"/>
              </w:rPr>
              <w:t>给中标人</w:t>
            </w:r>
            <w:r>
              <w:rPr>
                <w:rFonts w:hint="eastAsia" w:ascii="宋体" w:cs="宋体"/>
                <w:color w:val="auto"/>
                <w:sz w:val="21"/>
                <w:szCs w:val="21"/>
              </w:rPr>
              <w:t>（不计利息），直至剩余合同款</w:t>
            </w:r>
            <w:r>
              <w:rPr>
                <w:rFonts w:ascii="宋体" w:cs="宋体"/>
                <w:color w:val="auto"/>
                <w:sz w:val="21"/>
                <w:szCs w:val="21"/>
              </w:rPr>
              <w:t xml:space="preserve">5% </w:t>
            </w:r>
            <w:r>
              <w:rPr>
                <w:rFonts w:hint="eastAsia" w:ascii="宋体" w:cs="宋体"/>
                <w:color w:val="auto"/>
                <w:sz w:val="21"/>
                <w:szCs w:val="21"/>
              </w:rPr>
              <w:t>作质保金，质保金在合同签订日起满一年后</w:t>
            </w:r>
            <w:r>
              <w:rPr>
                <w:rFonts w:hint="eastAsia" w:ascii="宋体" w:cs="宋体"/>
                <w:color w:val="auto"/>
                <w:sz w:val="21"/>
                <w:szCs w:val="21"/>
                <w:lang w:eastAsia="zh-CN"/>
              </w:rPr>
              <w:t>，</w:t>
            </w:r>
            <w:r>
              <w:rPr>
                <w:rFonts w:hint="eastAsia" w:ascii="宋体" w:cs="宋体"/>
                <w:color w:val="auto"/>
                <w:sz w:val="21"/>
                <w:szCs w:val="21"/>
                <w:lang w:val="en-US" w:eastAsia="zh-CN"/>
              </w:rPr>
              <w:t>采购人</w:t>
            </w:r>
            <w:r>
              <w:rPr>
                <w:rFonts w:hint="eastAsia" w:ascii="宋体" w:cs="宋体"/>
                <w:color w:val="auto"/>
                <w:sz w:val="21"/>
                <w:szCs w:val="21"/>
              </w:rPr>
              <w:t>在</w:t>
            </w:r>
            <w:r>
              <w:rPr>
                <w:rFonts w:ascii="宋体" w:cs="宋体"/>
                <w:color w:val="auto"/>
                <w:sz w:val="21"/>
                <w:szCs w:val="21"/>
              </w:rPr>
              <w:t>30</w:t>
            </w:r>
            <w:r>
              <w:rPr>
                <w:rFonts w:hint="eastAsia" w:ascii="宋体" w:cs="宋体"/>
                <w:color w:val="auto"/>
                <w:sz w:val="21"/>
                <w:szCs w:val="21"/>
              </w:rPr>
              <w:t>个工作日内支付。在合同期限内出现违约责任的，违约处罚金额按照合同执行，并从合同余款中扣除相应的违约金。</w:t>
            </w:r>
            <w:r>
              <w:rPr>
                <w:rFonts w:hint="eastAsia" w:ascii="宋体" w:cs="宋体"/>
                <w:color w:val="auto"/>
                <w:sz w:val="21"/>
                <w:szCs w:val="21"/>
                <w:lang w:val="en-US" w:eastAsia="zh-CN"/>
              </w:rPr>
              <w:t>中标人</w:t>
            </w:r>
            <w:r>
              <w:rPr>
                <w:rFonts w:hint="eastAsia" w:ascii="宋体" w:cs="宋体"/>
                <w:color w:val="auto"/>
                <w:sz w:val="21"/>
                <w:szCs w:val="21"/>
              </w:rPr>
              <w:t>方自收到首笔款项之日起</w:t>
            </w:r>
            <w:r>
              <w:rPr>
                <w:rFonts w:ascii="宋体" w:cs="宋体"/>
                <w:color w:val="auto"/>
                <w:sz w:val="21"/>
                <w:szCs w:val="21"/>
              </w:rPr>
              <w:t>7</w:t>
            </w:r>
            <w:r>
              <w:rPr>
                <w:rFonts w:hint="eastAsia" w:ascii="宋体" w:cs="宋体"/>
                <w:color w:val="auto"/>
                <w:sz w:val="21"/>
                <w:szCs w:val="21"/>
              </w:rPr>
              <w:t>个工作日内开具合同金额全额发票给</w:t>
            </w:r>
            <w:r>
              <w:rPr>
                <w:rFonts w:hint="eastAsia" w:ascii="宋体" w:cs="宋体"/>
                <w:color w:val="auto"/>
                <w:sz w:val="21"/>
                <w:szCs w:val="21"/>
                <w:lang w:val="en-US" w:eastAsia="zh-CN"/>
              </w:rPr>
              <w:t>采购人</w:t>
            </w:r>
            <w:r>
              <w:rPr>
                <w:rFonts w:hint="eastAsia" w:asci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559"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核心产品</w:t>
            </w:r>
          </w:p>
        </w:tc>
        <w:tc>
          <w:tcPr>
            <w:tcW w:w="6387" w:type="dxa"/>
            <w:gridSpan w:val="2"/>
            <w:vAlign w:val="center"/>
          </w:tcPr>
          <w:p>
            <w:pPr>
              <w:tabs>
                <w:tab w:val="center" w:pos="3345"/>
              </w:tabs>
              <w:snapToGrid w:val="0"/>
              <w:rPr>
                <w:rFonts w:ascii="宋体" w:cs="宋体"/>
                <w:color w:val="auto"/>
                <w:sz w:val="21"/>
                <w:szCs w:val="21"/>
              </w:rPr>
            </w:pPr>
            <w:r>
              <w:rPr>
                <w:rFonts w:hint="eastAsia" w:ascii="宋体" w:cs="宋体"/>
                <w:b/>
                <w:bCs/>
                <w:color w:val="auto"/>
                <w:sz w:val="21"/>
                <w:szCs w:val="21"/>
                <w:lang w:val="en-US" w:eastAsia="zh-CN"/>
              </w:rPr>
              <w:t>第1项货物：荧光定量PCR仪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其他要求及说明</w:t>
            </w:r>
          </w:p>
        </w:tc>
        <w:tc>
          <w:tcPr>
            <w:tcW w:w="6387" w:type="dxa"/>
            <w:gridSpan w:val="2"/>
            <w:vAlign w:val="center"/>
          </w:tcPr>
          <w:p>
            <w:pPr>
              <w:snapToGrid w:val="0"/>
              <w:rPr>
                <w:rFonts w:hint="eastAsia" w:ascii="宋体" w:cs="宋体"/>
                <w:color w:val="auto"/>
                <w:sz w:val="21"/>
                <w:szCs w:val="21"/>
                <w:lang w:val="en-US" w:eastAsia="zh-CN"/>
              </w:rPr>
            </w:pPr>
            <w:r>
              <w:rPr>
                <w:rFonts w:hint="eastAsia" w:ascii="宋体" w:cs="宋体"/>
                <w:color w:val="auto"/>
                <w:sz w:val="21"/>
                <w:szCs w:val="21"/>
                <w:lang w:val="en-US" w:eastAsia="zh-CN"/>
              </w:rPr>
              <w:t>1、投标报价为供应商在采购人指定地点交付所投产品时所产生的一切费用总和。货物采购包括货款、标准附件、备品备件、专用工具、包装、运输、装卸、保险、税金、货到就位以及安装、调试、培训、保修等一切税金和费用；</w:t>
            </w:r>
          </w:p>
          <w:p>
            <w:pPr>
              <w:snapToGrid w:val="0"/>
              <w:rPr>
                <w:rFonts w:hint="eastAsia" w:ascii="宋体" w:cs="宋体"/>
                <w:color w:val="auto"/>
                <w:sz w:val="21"/>
                <w:szCs w:val="21"/>
                <w:lang w:val="en-US" w:eastAsia="zh-CN"/>
              </w:rPr>
            </w:pPr>
            <w:r>
              <w:rPr>
                <w:rFonts w:hint="eastAsia" w:ascii="宋体" w:cs="宋体"/>
                <w:color w:val="auto"/>
                <w:sz w:val="21"/>
                <w:szCs w:val="21"/>
                <w:lang w:val="en-US" w:eastAsia="zh-CN"/>
              </w:rPr>
              <w:t>2、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pPr>
              <w:snapToGrid w:val="0"/>
              <w:rPr>
                <w:rFonts w:hint="eastAsia" w:ascii="宋体" w:eastAsia="宋体" w:cs="宋体"/>
                <w:color w:val="auto"/>
                <w:sz w:val="21"/>
                <w:szCs w:val="21"/>
                <w:lang w:val="en-US" w:eastAsia="zh-CN"/>
              </w:rPr>
            </w:pPr>
            <w:r>
              <w:rPr>
                <w:rFonts w:hint="eastAsia" w:ascii="宋体" w:cs="宋体"/>
                <w:color w:val="auto"/>
                <w:sz w:val="21"/>
                <w:szCs w:val="21"/>
                <w:lang w:val="en-US" w:eastAsia="zh-CN"/>
              </w:rPr>
              <w:t>3、</w:t>
            </w:r>
            <w:r>
              <w:rPr>
                <w:rFonts w:hint="eastAsia" w:ascii="宋体" w:cs="宋体"/>
                <w:b/>
                <w:bCs/>
                <w:color w:val="auto"/>
                <w:sz w:val="21"/>
                <w:szCs w:val="21"/>
                <w:lang w:val="en-US" w:eastAsia="zh-CN"/>
              </w:rPr>
              <w:t>本项目采购货物第1项货物：荧光定量PCR仪及第4项货物：台式离心机</w:t>
            </w:r>
            <w:r>
              <w:rPr>
                <w:rFonts w:hint="eastAsia" w:ascii="宋体" w:cs="宋体"/>
                <w:color w:val="auto"/>
                <w:sz w:val="21"/>
                <w:szCs w:val="21"/>
                <w:lang w:val="en-US" w:eastAsia="zh-CN"/>
              </w:rPr>
              <w:t>已按规定办妥进口产品采购审核手续，投标产品可选用进口产品；但如选用进口产品时必须为全套原装进口产品（即通过中国海关报关验放进入中国境内且产自关境外的产品），要求中标人负责办理进口设备的相关手续及承担相关的所有费用（含办理免税证的费用）。其余货物不接受进口产品（即通过中国海关报关验放进入中国境内且产自关境外的产品）参与投标，如有此类产品参与投标的做无效标处理。</w:t>
            </w:r>
          </w:p>
        </w:tc>
      </w:tr>
    </w:tbl>
    <w:p>
      <w:pPr>
        <w:pStyle w:val="37"/>
        <w:jc w:val="both"/>
        <w:rPr>
          <w:color w:val="auto"/>
          <w:sz w:val="21"/>
          <w:szCs w:val="21"/>
        </w:rPr>
      </w:pPr>
      <w:bookmarkStart w:id="41" w:name="_Toc25502"/>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rPr>
          <w:color w:val="auto"/>
          <w:sz w:val="36"/>
          <w:szCs w:val="36"/>
        </w:rPr>
      </w:pPr>
      <w:r>
        <w:rPr>
          <w:rFonts w:hint="eastAsia"/>
          <w:color w:val="auto"/>
          <w:sz w:val="36"/>
          <w:szCs w:val="36"/>
        </w:rPr>
        <w:t>第三章</w:t>
      </w:r>
      <w:r>
        <w:rPr>
          <w:color w:val="auto"/>
          <w:sz w:val="36"/>
          <w:szCs w:val="36"/>
        </w:rPr>
        <w:t xml:space="preserve">  </w:t>
      </w:r>
      <w:r>
        <w:rPr>
          <w:rFonts w:hint="eastAsia"/>
          <w:color w:val="auto"/>
          <w:sz w:val="36"/>
          <w:szCs w:val="36"/>
        </w:rPr>
        <w:t>投标人须知</w:t>
      </w:r>
      <w:bookmarkEnd w:id="37"/>
      <w:bookmarkEnd w:id="41"/>
    </w:p>
    <w:p>
      <w:pPr>
        <w:snapToGrid w:val="0"/>
        <w:spacing w:beforeLines="50" w:afterLines="50"/>
        <w:ind w:left="238"/>
        <w:jc w:val="center"/>
        <w:outlineLvl w:val="1"/>
        <w:rPr>
          <w:rFonts w:ascii="宋体"/>
          <w:b/>
          <w:color w:val="auto"/>
          <w:sz w:val="28"/>
          <w:szCs w:val="28"/>
        </w:rPr>
      </w:pPr>
      <w:bookmarkStart w:id="42" w:name="_Toc3682"/>
      <w:bookmarkStart w:id="43" w:name="_Toc254970667"/>
      <w:bookmarkStart w:id="44" w:name="_Toc254970526"/>
      <w:bookmarkStart w:id="45" w:name="_Toc327735653"/>
      <w:r>
        <w:rPr>
          <w:rFonts w:hint="eastAsia" w:ascii="宋体" w:hAnsi="宋体"/>
          <w:b/>
          <w:color w:val="auto"/>
          <w:sz w:val="28"/>
          <w:szCs w:val="28"/>
        </w:rPr>
        <w:t>前</w:t>
      </w:r>
      <w:r>
        <w:rPr>
          <w:rFonts w:ascii="宋体" w:hAnsi="宋体"/>
          <w:b/>
          <w:color w:val="auto"/>
          <w:sz w:val="28"/>
          <w:szCs w:val="28"/>
        </w:rPr>
        <w:t xml:space="preserve">  </w:t>
      </w:r>
      <w:r>
        <w:rPr>
          <w:rFonts w:hint="eastAsia" w:ascii="宋体" w:hAnsi="宋体"/>
          <w:b/>
          <w:color w:val="auto"/>
          <w:sz w:val="28"/>
          <w:szCs w:val="28"/>
        </w:rPr>
        <w:t>附</w:t>
      </w:r>
      <w:r>
        <w:rPr>
          <w:rFonts w:ascii="宋体" w:hAnsi="宋体"/>
          <w:b/>
          <w:color w:val="auto"/>
          <w:sz w:val="28"/>
          <w:szCs w:val="28"/>
        </w:rPr>
        <w:t xml:space="preserve">  </w:t>
      </w:r>
      <w:r>
        <w:rPr>
          <w:rFonts w:hint="eastAsia" w:ascii="宋体" w:hAnsi="宋体"/>
          <w:b/>
          <w:color w:val="auto"/>
          <w:sz w:val="28"/>
          <w:szCs w:val="28"/>
        </w:rPr>
        <w:t>表</w:t>
      </w:r>
      <w:bookmarkEnd w:id="42"/>
      <w:bookmarkEnd w:id="43"/>
      <w:bookmarkEnd w:id="44"/>
      <w:bookmarkEnd w:id="45"/>
    </w:p>
    <w:tbl>
      <w:tblPr>
        <w:tblStyle w:val="40"/>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序号</w:t>
            </w:r>
          </w:p>
        </w:tc>
        <w:tc>
          <w:tcPr>
            <w:tcW w:w="8131" w:type="dxa"/>
            <w:tcBorders>
              <w:top w:val="single" w:color="auto" w:sz="4" w:space="0"/>
              <w:left w:val="single" w:color="auto" w:sz="4" w:space="0"/>
              <w:bottom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hint="eastAsia" w:ascii="宋体" w:eastAsia="宋体"/>
                <w:color w:val="auto"/>
                <w:sz w:val="22"/>
                <w:szCs w:val="22"/>
                <w:lang w:eastAsia="zh-CN"/>
              </w:rPr>
            </w:pPr>
            <w:r>
              <w:rPr>
                <w:rFonts w:hint="eastAsia" w:ascii="宋体" w:hAnsi="宋体"/>
                <w:color w:val="auto"/>
                <w:sz w:val="22"/>
                <w:szCs w:val="22"/>
              </w:rPr>
              <w:t>项目名称：</w:t>
            </w:r>
            <w:r>
              <w:rPr>
                <w:rFonts w:hint="eastAsia" w:ascii="宋体" w:hAnsi="宋体"/>
                <w:color w:val="auto"/>
                <w:sz w:val="22"/>
                <w:szCs w:val="22"/>
                <w:lang w:eastAsia="zh-CN"/>
              </w:rPr>
              <w:t>防城港市妇幼保健院核酸检测实验室建设和设备购置项目</w:t>
            </w:r>
          </w:p>
          <w:p>
            <w:pPr>
              <w:snapToGrid w:val="0"/>
              <w:spacing w:line="410" w:lineRule="exact"/>
              <w:rPr>
                <w:rFonts w:ascii="宋体"/>
                <w:color w:val="auto"/>
                <w:sz w:val="22"/>
                <w:szCs w:val="22"/>
              </w:rPr>
            </w:pPr>
            <w:r>
              <w:rPr>
                <w:rFonts w:hint="eastAsia" w:ascii="宋体" w:hAnsi="宋体"/>
                <w:color w:val="auto"/>
                <w:sz w:val="22"/>
                <w:szCs w:val="22"/>
              </w:rPr>
              <w:t>项目编号：</w:t>
            </w:r>
            <w:r>
              <w:rPr>
                <w:rFonts w:hint="eastAsia" w:ascii="宋体" w:hAnsi="宋体"/>
                <w:color w:val="auto"/>
                <w:sz w:val="22"/>
                <w:szCs w:val="22"/>
                <w:lang w:eastAsia="zh-CN"/>
              </w:rPr>
              <w:t>FCZC2020-G1-10010-XGZX</w:t>
            </w:r>
            <w:r>
              <w:rPr>
                <w:rFonts w:ascii="宋体" w:hAnsi="宋体"/>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2</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b/>
                <w:color w:val="auto"/>
                <w:szCs w:val="21"/>
              </w:rPr>
              <w:t>投标报价及费用</w:t>
            </w:r>
            <w:r>
              <w:rPr>
                <w:rFonts w:hint="eastAsia" w:ascii="宋体" w:hAnsi="宋体" w:cs="宋体"/>
                <w:color w:val="auto"/>
                <w:szCs w:val="21"/>
              </w:rPr>
              <w:t>：</w:t>
            </w:r>
            <w:r>
              <w:rPr>
                <w:rFonts w:ascii="宋体" w:hAnsi="宋体" w:cs="宋体"/>
                <w:color w:val="auto"/>
                <w:szCs w:val="21"/>
              </w:rPr>
              <w:t>1.</w:t>
            </w:r>
            <w:r>
              <w:rPr>
                <w:rFonts w:hint="eastAsia" w:ascii="宋体" w:hAnsi="宋体" w:cs="宋体"/>
                <w:b/>
                <w:color w:val="auto"/>
                <w:szCs w:val="21"/>
              </w:rPr>
              <w:t>投标人须对《项目需求》中所有货物及服务内容作完全响应；</w:t>
            </w:r>
            <w:r>
              <w:rPr>
                <w:rFonts w:ascii="宋体" w:hAnsi="宋体" w:cs="宋体"/>
                <w:color w:val="auto"/>
                <w:szCs w:val="21"/>
              </w:rPr>
              <w:t xml:space="preserve">2. </w:t>
            </w:r>
            <w:r>
              <w:rPr>
                <w:rFonts w:hint="eastAsia" w:ascii="宋体" w:hAnsi="宋体" w:cs="宋体"/>
                <w:color w:val="auto"/>
                <w:szCs w:val="21"/>
              </w:rPr>
              <w:t>不论投标结果如何，投标人均应自行承担所有与投标有关的全部费用；</w:t>
            </w:r>
            <w:r>
              <w:rPr>
                <w:rFonts w:ascii="宋体" w:hAnsi="宋体" w:cs="宋体"/>
                <w:color w:val="auto"/>
                <w:szCs w:val="21"/>
              </w:rPr>
              <w:t>3.</w:t>
            </w:r>
            <w:r>
              <w:rPr>
                <w:rFonts w:hint="eastAsia" w:ascii="宋体" w:hAnsi="宋体" w:cs="宋体"/>
                <w:color w:val="auto"/>
                <w:szCs w:val="21"/>
              </w:rPr>
              <w:t>本项目代理服务费参照桂价费〔</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55</w:t>
            </w:r>
            <w:r>
              <w:rPr>
                <w:rFonts w:hint="eastAsia" w:ascii="宋体" w:hAnsi="宋体" w:cs="宋体"/>
                <w:color w:val="auto"/>
                <w:szCs w:val="21"/>
              </w:rPr>
              <w:t>号文件规定（货物招标类）标准执行，详见《总则》第八条规定，由中标供应商向采购代理机构一次性付清。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3</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hint="eastAsia" w:ascii="宋体" w:hAnsi="宋体" w:cs="宋体"/>
                <w:color w:val="auto"/>
                <w:szCs w:val="21"/>
              </w:rPr>
            </w:pPr>
            <w:r>
              <w:rPr>
                <w:rFonts w:hint="eastAsia" w:ascii="宋体" w:hAnsi="宋体" w:cs="宋体"/>
                <w:color w:val="auto"/>
                <w:szCs w:val="21"/>
              </w:rPr>
              <w:t>采购预算：人民币</w:t>
            </w:r>
            <w:r>
              <w:rPr>
                <w:rFonts w:hint="eastAsia" w:ascii="宋体" w:hAnsi="宋体" w:cs="宋体"/>
                <w:color w:val="auto"/>
                <w:szCs w:val="21"/>
                <w:lang w:val="en-US" w:eastAsia="zh-CN"/>
              </w:rPr>
              <w:t>330</w:t>
            </w:r>
            <w:r>
              <w:rPr>
                <w:rFonts w:hint="eastAsia" w:ascii="宋体" w:hAnsi="宋体" w:cs="宋体"/>
                <w:color w:val="auto"/>
                <w:szCs w:val="21"/>
              </w:rPr>
              <w:t>万元</w:t>
            </w:r>
          </w:p>
          <w:p>
            <w:pPr>
              <w:snapToGrid w:val="0"/>
              <w:spacing w:line="41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4</w:t>
            </w:r>
          </w:p>
        </w:tc>
        <w:tc>
          <w:tcPr>
            <w:tcW w:w="8131" w:type="dxa"/>
            <w:tcBorders>
              <w:top w:val="single" w:color="auto" w:sz="4" w:space="0"/>
              <w:left w:val="single" w:color="auto" w:sz="4" w:space="0"/>
              <w:bottom w:val="single" w:color="auto" w:sz="4" w:space="0"/>
            </w:tcBorders>
            <w:vAlign w:val="center"/>
          </w:tcPr>
          <w:p>
            <w:pPr>
              <w:rPr>
                <w:color w:val="auto"/>
              </w:rPr>
            </w:pPr>
            <w:r>
              <w:rPr>
                <w:rFonts w:hint="eastAsia" w:ascii="宋体" w:hAnsi="宋体" w:cs="宋体"/>
                <w:color w:val="auto"/>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5</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s="宋体"/>
                <w:b/>
                <w:bCs/>
                <w:color w:val="auto"/>
              </w:rPr>
            </w:pPr>
            <w:r>
              <w:rPr>
                <w:rFonts w:hint="eastAsia" w:ascii="宋体" w:hAnsi="宋体" w:cs="宋体"/>
                <w:bCs/>
                <w:color w:val="auto"/>
              </w:rPr>
              <w:t>功能及效果演示：</w:t>
            </w:r>
            <w:r>
              <w:rPr>
                <w:rFonts w:ascii="宋体" w:hAnsi="宋体" w:cs="宋体"/>
                <w:bCs/>
                <w:color w:val="auto"/>
              </w:rPr>
              <w:t xml:space="preserve"> </w:t>
            </w:r>
            <w:r>
              <w:rPr>
                <w:rFonts w:hint="eastAsia" w:ascii="宋体" w:hAnsi="宋体" w:cs="宋体"/>
                <w:bCs/>
                <w:color w:va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7"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答疑与澄清：投标人如认为招标文件表述不清晰、存在歧视性、排他性或者其他违法内容的，应当于</w:t>
            </w:r>
            <w:r>
              <w:rPr>
                <w:rFonts w:hint="eastAsia" w:ascii="宋体" w:hAnsi="宋体" w:cs="宋体"/>
                <w:bCs/>
                <w:color w:val="auto"/>
                <w:szCs w:val="21"/>
              </w:rPr>
              <w:t>收到招标文件之日起</w:t>
            </w:r>
            <w:r>
              <w:rPr>
                <w:rFonts w:ascii="宋体" w:hAnsi="宋体" w:cs="宋体"/>
                <w:bCs/>
                <w:color w:val="auto"/>
                <w:szCs w:val="21"/>
              </w:rPr>
              <w:t>7</w:t>
            </w:r>
            <w:r>
              <w:rPr>
                <w:rFonts w:hint="eastAsia" w:ascii="宋体" w:hAnsi="宋体" w:cs="宋体"/>
                <w:bCs/>
                <w:color w:val="auto"/>
                <w:szCs w:val="21"/>
              </w:rPr>
              <w:t>个工作日内</w:t>
            </w:r>
            <w:r>
              <w:rPr>
                <w:rFonts w:hint="eastAsia" w:ascii="宋体" w:hAnsi="宋体" w:cs="宋体"/>
                <w:color w:val="auto"/>
                <w:szCs w:val="21"/>
              </w:rPr>
              <w:t>，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7</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投标文件组成和装订要求：</w:t>
            </w:r>
          </w:p>
          <w:p>
            <w:pPr>
              <w:numPr>
                <w:ilvl w:val="0"/>
                <w:numId w:val="6"/>
              </w:num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装订要求：资格部分单独装订成册，封面注明投标文件（资格部分）（“正本”或“副本”），数量：正本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份；商务及技术部分、报价部分合并装订成册，封面注明投标文件（商务及技术部分、报价部分）（“正本”或“副本”），数量：正本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w:t>
            </w:r>
            <w:r>
              <w:rPr>
                <w:rFonts w:hint="eastAsia" w:ascii="宋体" w:hAnsi="宋体"/>
                <w:b/>
                <w:bCs/>
                <w:color w:val="auto"/>
                <w:szCs w:val="21"/>
              </w:rPr>
              <w:t>投标文件均应标注页码，装订应牢固，不易拆散和换页（</w:t>
            </w:r>
            <w:r>
              <w:rPr>
                <w:rFonts w:ascii="宋体" w:hAnsi="宋体"/>
                <w:b/>
                <w:bCs/>
                <w:color w:val="auto"/>
                <w:szCs w:val="21"/>
              </w:rPr>
              <w:t>A4</w:t>
            </w:r>
            <w:r>
              <w:rPr>
                <w:rFonts w:hint="eastAsia" w:ascii="宋体" w:hAnsi="宋体"/>
                <w:b/>
                <w:bCs/>
                <w:color w:val="auto"/>
                <w:szCs w:val="21"/>
              </w:rPr>
              <w:t>标准纸装订）</w:t>
            </w:r>
            <w:r>
              <w:rPr>
                <w:rFonts w:hint="eastAsia" w:ascii="宋体" w:hAnsi="宋体" w:cs="宋体"/>
                <w:b/>
                <w:bCs/>
                <w:color w:val="auto"/>
                <w:szCs w:val="21"/>
              </w:rPr>
              <w:t>。</w:t>
            </w:r>
          </w:p>
          <w:p>
            <w:pPr>
              <w:autoSpaceDE w:val="0"/>
              <w:autoSpaceDN w:val="0"/>
              <w:snapToGrid w:val="0"/>
              <w:spacing w:line="410" w:lineRule="exact"/>
              <w:textAlignment w:val="bottom"/>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）投标文件组成：所有投标文件（资格部分、商务及技术部分、报价部分）正本</w:t>
            </w:r>
            <w:r>
              <w:rPr>
                <w:rFonts w:ascii="宋体" w:hAnsi="宋体" w:cs="宋体"/>
                <w:b/>
                <w:bCs/>
                <w:color w:val="auto"/>
                <w:szCs w:val="21"/>
                <w:u w:val="single"/>
              </w:rPr>
              <w:t xml:space="preserve"> 1 </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份一并密封封装在一个投标文件袋（盒、箱）中</w:t>
            </w:r>
            <w:r>
              <w:rPr>
                <w:rFonts w:hint="eastAsia" w:hAnsi="宋体"/>
                <w:b/>
                <w:bCs/>
                <w:color w:val="auto"/>
                <w:spacing w:val="-2"/>
                <w:szCs w:val="21"/>
              </w:rPr>
              <w:t>（要求文件袋无明显缝隙露出袋内文件）</w:t>
            </w:r>
            <w:r>
              <w:rPr>
                <w:rFonts w:hint="eastAsia" w:ascii="宋体" w:hAnsi="宋体" w:cs="宋体"/>
                <w:b/>
                <w:bCs/>
                <w:color w:val="auto"/>
                <w:szCs w:val="21"/>
              </w:rPr>
              <w:t>，并在密封处密封签章（加盖投标人公章或由法定代表人（委托代理人）盖章或签字）；开标一览表、投标函各</w:t>
            </w:r>
            <w:r>
              <w:rPr>
                <w:rFonts w:ascii="宋体" w:hAnsi="宋体" w:cs="宋体"/>
                <w:b/>
                <w:bCs/>
                <w:color w:val="auto"/>
                <w:szCs w:val="21"/>
                <w:u w:val="single"/>
              </w:rPr>
              <w:t xml:space="preserve"> 1 </w:t>
            </w:r>
            <w:r>
              <w:rPr>
                <w:rFonts w:hint="eastAsia" w:ascii="宋体" w:hAnsi="宋体" w:cs="宋体"/>
                <w:b/>
                <w:bCs/>
                <w:color w:val="auto"/>
                <w:szCs w:val="21"/>
              </w:rPr>
              <w:t>份，必须一并密封封装在一个信封中</w:t>
            </w:r>
            <w:r>
              <w:rPr>
                <w:rFonts w:hint="eastAsia" w:hAnsi="宋体"/>
                <w:b/>
                <w:bCs/>
                <w:color w:val="auto"/>
                <w:spacing w:val="-2"/>
                <w:szCs w:val="21"/>
              </w:rPr>
              <w:t>（要求文件袋无明显缝隙露出袋内文件）</w:t>
            </w:r>
            <w:r>
              <w:rPr>
                <w:rFonts w:hint="eastAsia" w:ascii="宋体" w:hAnsi="宋体" w:cs="宋体"/>
                <w:b/>
                <w:bCs/>
                <w:color w:val="auto"/>
                <w:szCs w:val="21"/>
              </w:rPr>
              <w:t>，</w:t>
            </w:r>
            <w:r>
              <w:rPr>
                <w:rFonts w:hint="eastAsia" w:ascii="宋体" w:hAnsi="宋体"/>
                <w:b/>
                <w:bCs/>
                <w:color w:val="auto"/>
                <w:szCs w:val="21"/>
              </w:rPr>
              <w:t>并在密封处密封签章（加盖投标人公章或由法定代表人（委托代理人）盖章或签字）</w:t>
            </w:r>
            <w:r>
              <w:rPr>
                <w:rFonts w:hint="eastAsia" w:ascii="宋体" w:hAnsi="宋体" w:cs="宋体"/>
                <w:b/>
                <w:bCs/>
                <w:color w:val="auto"/>
                <w:szCs w:val="21"/>
              </w:rPr>
              <w:t>，单独提交。</w:t>
            </w:r>
          </w:p>
          <w:p>
            <w:p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投标文件及信封的外包装封面上均应注明投标人名称、投标人地址、投标项目名称、项目编号及“开标时启封”字样，并加盖投标人公章。</w:t>
            </w:r>
          </w:p>
          <w:p>
            <w:pPr>
              <w:autoSpaceDE w:val="0"/>
              <w:autoSpaceDN w:val="0"/>
              <w:snapToGrid w:val="0"/>
              <w:spacing w:line="410" w:lineRule="exact"/>
              <w:textAlignment w:val="bottom"/>
              <w:rPr>
                <w:rFonts w:ascii="宋体"/>
                <w:b/>
                <w:color w:val="auto"/>
                <w:sz w:val="22"/>
                <w:szCs w:val="22"/>
                <w:u w:val="single"/>
              </w:rPr>
            </w:pPr>
            <w:r>
              <w:rPr>
                <w:rFonts w:hint="eastAsia" w:ascii="宋体" w:hAnsi="宋体" w:cs="宋体"/>
                <w:b/>
                <w:bCs/>
                <w:color w:val="auto"/>
                <w:szCs w:val="21"/>
              </w:rPr>
              <w:t>投标文件必须包边装订，使用活页夹、订书钉等可能导致投标文件散落或脱页方式装订的将被视为无效投标文件。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8</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ascii="宋体" w:cs="宋体"/>
                <w:color w:val="auto"/>
                <w:szCs w:val="21"/>
              </w:rPr>
            </w:pPr>
            <w:r>
              <w:rPr>
                <w:rFonts w:hint="eastAsia" w:ascii="宋体" w:hAnsi="宋体" w:cs="宋体"/>
                <w:color w:val="auto"/>
                <w:szCs w:val="21"/>
              </w:rPr>
              <w:t>投标文件递交截止时间：</w:t>
            </w:r>
            <w:r>
              <w:rPr>
                <w:rFonts w:ascii="宋体" w:hAnsi="宋体"/>
                <w:color w:val="auto"/>
                <w:szCs w:val="21"/>
                <w:u w:val="single"/>
              </w:rPr>
              <w:t>2020</w:t>
            </w:r>
            <w:r>
              <w:rPr>
                <w:rFonts w:hint="eastAsia" w:ascii="宋体" w:hAnsi="宋体"/>
                <w:color w:val="auto"/>
                <w:szCs w:val="21"/>
                <w:u w:val="single"/>
              </w:rPr>
              <w:t>年</w:t>
            </w:r>
            <w:r>
              <w:rPr>
                <w:rFonts w:hint="eastAsia" w:ascii="宋体" w:hAnsi="宋体"/>
                <w:color w:val="auto"/>
                <w:szCs w:val="21"/>
                <w:u w:val="single"/>
                <w:lang w:val="en-US" w:eastAsia="zh-CN"/>
              </w:rPr>
              <w:t>10</w:t>
            </w:r>
            <w:r>
              <w:rPr>
                <w:rFonts w:hint="eastAsia" w:ascii="宋体" w:hAnsi="宋体"/>
                <w:color w:val="auto"/>
                <w:szCs w:val="21"/>
                <w:u w:val="single"/>
              </w:rPr>
              <w:t>月</w:t>
            </w:r>
            <w:r>
              <w:rPr>
                <w:rFonts w:hint="eastAsia" w:ascii="宋体" w:hAnsi="宋体"/>
                <w:color w:val="auto"/>
                <w:szCs w:val="21"/>
                <w:u w:val="single"/>
                <w:lang w:val="en-US" w:eastAsia="zh-CN"/>
              </w:rPr>
              <w:t>12</w:t>
            </w:r>
            <w:r>
              <w:rPr>
                <w:rFonts w:hint="eastAsia" w:ascii="宋体" w:hAnsi="宋体"/>
                <w:color w:val="auto"/>
                <w:szCs w:val="21"/>
                <w:u w:val="single"/>
              </w:rPr>
              <w:t>日</w:t>
            </w:r>
            <w:r>
              <w:rPr>
                <w:rFonts w:hint="eastAsia" w:ascii="宋体" w:hAnsi="宋体"/>
                <w:color w:val="auto"/>
                <w:szCs w:val="21"/>
                <w:u w:val="single"/>
                <w:lang w:val="en-US" w:eastAsia="zh-CN"/>
              </w:rPr>
              <w:t>09</w:t>
            </w:r>
            <w:r>
              <w:rPr>
                <w:rFonts w:hint="eastAsia" w:ascii="宋体" w:hAnsi="宋体"/>
                <w:color w:val="auto"/>
                <w:szCs w:val="21"/>
                <w:u w:val="single"/>
              </w:rPr>
              <w:t>时</w:t>
            </w:r>
            <w:r>
              <w:rPr>
                <w:rFonts w:hint="eastAsia" w:ascii="宋体" w:hAnsi="宋体"/>
                <w:color w:val="auto"/>
                <w:szCs w:val="21"/>
                <w:u w:val="single"/>
                <w:lang w:val="en-US" w:eastAsia="zh-CN"/>
              </w:rPr>
              <w:t>30</w:t>
            </w:r>
            <w:r>
              <w:rPr>
                <w:rFonts w:hint="eastAsia" w:ascii="宋体" w:hAnsi="宋体"/>
                <w:color w:val="auto"/>
                <w:szCs w:val="21"/>
                <w:u w:val="single"/>
              </w:rPr>
              <w:t>分整</w:t>
            </w:r>
          </w:p>
          <w:p>
            <w:pPr>
              <w:snapToGrid w:val="0"/>
              <w:spacing w:line="360" w:lineRule="exact"/>
              <w:rPr>
                <w:rFonts w:ascii="宋体" w:cs="宋体"/>
                <w:color w:val="auto"/>
                <w:szCs w:val="21"/>
              </w:rPr>
            </w:pPr>
            <w:r>
              <w:rPr>
                <w:rFonts w:hint="eastAsia" w:ascii="宋体" w:hAnsi="宋体" w:cs="宋体"/>
                <w:color w:val="auto"/>
                <w:szCs w:val="21"/>
              </w:rPr>
              <w:t>投标文件递交地点：防城港市公共资源交易中心（防城港市迎宾路红树林大厦东塔）（具体开标厅根据防城港市公共资源交易中心网站公示或防城港市迎宾路红树林大厦东塔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cs="宋体"/>
                <w:color w:val="auto"/>
                <w:szCs w:val="21"/>
              </w:rPr>
            </w:pPr>
            <w:r>
              <w:rPr>
                <w:rFonts w:hint="eastAsia" w:ascii="宋体" w:hAnsi="宋体" w:cs="宋体"/>
                <w:color w:val="auto"/>
                <w:szCs w:val="21"/>
              </w:rPr>
              <w:t>逾期送达或未按要求密封的将予以拒收（或作无效投标文件处理）</w:t>
            </w:r>
          </w:p>
          <w:p>
            <w:pPr>
              <w:snapToGrid w:val="0"/>
              <w:spacing w:line="36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3"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9</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ascii="宋体" w:cs="宋体"/>
                <w:color w:val="auto"/>
                <w:szCs w:val="21"/>
              </w:rPr>
            </w:pPr>
            <w:r>
              <w:rPr>
                <w:rFonts w:hint="eastAsia" w:ascii="宋体" w:hAnsi="宋体" w:cs="宋体"/>
                <w:color w:val="auto"/>
                <w:szCs w:val="21"/>
              </w:rPr>
              <w:t>开标时间：</w:t>
            </w:r>
            <w:r>
              <w:rPr>
                <w:rFonts w:ascii="宋体" w:hAnsi="宋体"/>
                <w:color w:val="auto"/>
                <w:szCs w:val="21"/>
                <w:u w:val="single"/>
              </w:rPr>
              <w:t>2020</w:t>
            </w:r>
            <w:r>
              <w:rPr>
                <w:rFonts w:hint="eastAsia" w:ascii="宋体" w:hAnsi="宋体"/>
                <w:color w:val="auto"/>
                <w:szCs w:val="21"/>
                <w:u w:val="single"/>
              </w:rPr>
              <w:t>年</w:t>
            </w:r>
            <w:r>
              <w:rPr>
                <w:rFonts w:hint="eastAsia" w:ascii="宋体" w:hAnsi="宋体"/>
                <w:color w:val="auto"/>
                <w:szCs w:val="21"/>
                <w:u w:val="single"/>
                <w:lang w:val="en-US" w:eastAsia="zh-CN"/>
              </w:rPr>
              <w:t>10</w:t>
            </w:r>
            <w:r>
              <w:rPr>
                <w:rFonts w:hint="eastAsia" w:ascii="宋体" w:hAnsi="宋体"/>
                <w:color w:val="auto"/>
                <w:szCs w:val="21"/>
                <w:u w:val="single"/>
              </w:rPr>
              <w:t>月</w:t>
            </w:r>
            <w:r>
              <w:rPr>
                <w:rFonts w:hint="eastAsia" w:ascii="宋体" w:hAnsi="宋体"/>
                <w:color w:val="auto"/>
                <w:szCs w:val="21"/>
                <w:u w:val="single"/>
                <w:lang w:val="en-US" w:eastAsia="zh-CN"/>
              </w:rPr>
              <w:t>12</w:t>
            </w:r>
            <w:r>
              <w:rPr>
                <w:rFonts w:hint="eastAsia" w:ascii="宋体" w:hAnsi="宋体"/>
                <w:color w:val="auto"/>
                <w:szCs w:val="21"/>
                <w:u w:val="single"/>
              </w:rPr>
              <w:t>日</w:t>
            </w:r>
            <w:r>
              <w:rPr>
                <w:rFonts w:hint="eastAsia" w:ascii="宋体" w:hAnsi="宋体"/>
                <w:color w:val="auto"/>
                <w:szCs w:val="21"/>
                <w:u w:val="single"/>
                <w:lang w:val="en-US" w:eastAsia="zh-CN"/>
              </w:rPr>
              <w:t>09</w:t>
            </w:r>
            <w:r>
              <w:rPr>
                <w:rFonts w:hint="eastAsia" w:ascii="宋体" w:hAnsi="宋体"/>
                <w:color w:val="auto"/>
                <w:szCs w:val="21"/>
                <w:u w:val="single"/>
              </w:rPr>
              <w:t>时</w:t>
            </w:r>
            <w:r>
              <w:rPr>
                <w:rFonts w:hint="eastAsia" w:ascii="宋体" w:hAnsi="宋体"/>
                <w:color w:val="auto"/>
                <w:szCs w:val="21"/>
                <w:u w:val="single"/>
                <w:lang w:val="en-US" w:eastAsia="zh-CN"/>
              </w:rPr>
              <w:t>30</w:t>
            </w:r>
            <w:r>
              <w:rPr>
                <w:rFonts w:hint="eastAsia" w:ascii="宋体" w:hAnsi="宋体"/>
                <w:color w:val="auto"/>
                <w:szCs w:val="21"/>
                <w:u w:val="single"/>
              </w:rPr>
              <w:t>分整</w:t>
            </w:r>
          </w:p>
          <w:p>
            <w:pPr>
              <w:snapToGrid w:val="0"/>
              <w:spacing w:line="360" w:lineRule="exact"/>
              <w:rPr>
                <w:rFonts w:ascii="宋体" w:cs="宋体"/>
                <w:color w:val="auto"/>
                <w:szCs w:val="21"/>
              </w:rPr>
            </w:pPr>
            <w:r>
              <w:rPr>
                <w:rFonts w:hint="eastAsia" w:ascii="宋体" w:hAnsi="宋体" w:cs="宋体"/>
                <w:color w:val="auto"/>
                <w:szCs w:val="21"/>
              </w:rPr>
              <w:t>开标地点：防城港市公共资源交易中心开标厅（防城港市迎宾路红树林大厦东塔）（具体开标厅根据防城港市公共资源交易中心网站公示或防城港市迎宾路红树林大厦东塔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b/>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10</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评分标准：综合评分法</w:t>
            </w:r>
          </w:p>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评标委员会组成：本招标采购项目的评委由采购人代表、政府采购评审专家库中随机抽取的专家共</w:t>
            </w:r>
            <w:r>
              <w:rPr>
                <w:rFonts w:ascii="宋体" w:hAnsi="宋体" w:cs="宋体"/>
                <w:color w:val="auto"/>
                <w:szCs w:val="21"/>
              </w:rPr>
              <w:t>5</w:t>
            </w:r>
            <w:r>
              <w:rPr>
                <w:rFonts w:hint="eastAsia" w:ascii="宋体" w:hAnsi="宋体" w:cs="宋体"/>
                <w:color w:val="auto"/>
                <w:szCs w:val="21"/>
              </w:rPr>
              <w:t>人以上（含</w:t>
            </w:r>
            <w:r>
              <w:rPr>
                <w:rFonts w:ascii="宋体" w:hAnsi="宋体" w:cs="宋体"/>
                <w:color w:val="auto"/>
                <w:szCs w:val="21"/>
              </w:rPr>
              <w:t>5</w:t>
            </w:r>
            <w:r>
              <w:rPr>
                <w:rFonts w:hint="eastAsia" w:ascii="宋体" w:hAnsi="宋体" w:cs="宋体"/>
                <w:color w:val="auto"/>
                <w:szCs w:val="21"/>
              </w:rPr>
              <w:t>人）单数构成，其中专家人数不少于成员总数的三分之二。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11</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hint="eastAsia" w:ascii="宋体" w:hAnsi="宋体" w:cs="宋体"/>
                <w:color w:val="auto"/>
                <w:szCs w:val="21"/>
                <w:lang w:val="en-US" w:eastAsia="zh-CN"/>
              </w:rPr>
            </w:pPr>
            <w:r>
              <w:rPr>
                <w:rFonts w:hint="eastAsia" w:ascii="宋体" w:hAnsi="宋体" w:cs="宋体"/>
                <w:color w:val="auto"/>
                <w:szCs w:val="21"/>
              </w:rPr>
              <w:t>公告发布媒体：</w:t>
            </w:r>
            <w:r>
              <w:rPr>
                <w:rFonts w:hint="eastAsia" w:ascii="宋体" w:hAnsi="宋体" w:cs="宋体"/>
                <w:color w:val="auto"/>
                <w:szCs w:val="21"/>
                <w:lang w:val="en-US" w:eastAsia="zh-CN"/>
              </w:rPr>
              <w:t>中国政府采购网（http://www.ccgp.gov.cn）、广西壮族自治区政府采购网（http://zfcg.gxzf.gov.cn）、广西防城港政府采购网站（http://zfcg.fcgs.gov.cn）、防城港市公共资源交易中心网（http://www.fcgggzy.cn）。</w:t>
            </w:r>
          </w:p>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w:t>
            </w:r>
            <w:r>
              <w:rPr>
                <w:rFonts w:ascii="宋体" w:hAnsi="宋体" w:cs="宋体"/>
                <w:color w:val="auto"/>
                <w:szCs w:val="21"/>
              </w:rPr>
              <w:t>http://www.fcgggzy.cn</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b w:val="0"/>
                <w:bCs w:val="0"/>
                <w:color w:val="auto"/>
                <w:sz w:val="22"/>
                <w:szCs w:val="22"/>
              </w:rPr>
            </w:pPr>
            <w:r>
              <w:rPr>
                <w:rFonts w:ascii="宋体" w:hAnsi="宋体" w:cs="宋体"/>
                <w:b w:val="0"/>
                <w:bCs w:val="0"/>
                <w:color w:val="auto"/>
                <w:szCs w:val="21"/>
              </w:rPr>
              <w:t>12</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hint="eastAsia" w:ascii="宋体" w:hAnsi="宋体" w:eastAsia="宋体" w:cs="宋体"/>
                <w:sz w:val="21"/>
                <w:szCs w:val="21"/>
              </w:rPr>
            </w:pPr>
            <w:r>
              <w:rPr>
                <w:rFonts w:hint="eastAsia" w:ascii="宋体" w:hAnsi="宋体" w:eastAsia="宋体" w:cs="宋体"/>
                <w:sz w:val="21"/>
                <w:szCs w:val="21"/>
              </w:rPr>
              <w:t>履约保证金的收取:中标金额</w:t>
            </w:r>
            <w:r>
              <w:rPr>
                <w:rFonts w:hint="eastAsia" w:ascii="宋体" w:hAnsi="宋体" w:eastAsia="宋体" w:cs="宋体"/>
                <w:sz w:val="21"/>
                <w:szCs w:val="21"/>
                <w:highlight w:val="none"/>
              </w:rPr>
              <w:t>的5%，由</w:t>
            </w:r>
            <w:r>
              <w:rPr>
                <w:rFonts w:hint="eastAsia" w:ascii="宋体" w:hAnsi="宋体" w:eastAsia="宋体" w:cs="宋体"/>
                <w:sz w:val="21"/>
                <w:szCs w:val="21"/>
              </w:rPr>
              <w:t>中标单位在签订合同前必须</w:t>
            </w:r>
            <w:r>
              <w:rPr>
                <w:rFonts w:hint="eastAsia" w:ascii="宋体" w:hAnsi="宋体" w:eastAsia="宋体" w:cs="宋体"/>
                <w:sz w:val="21"/>
                <w:szCs w:val="21"/>
                <w:lang w:eastAsia="zh-CN"/>
              </w:rPr>
              <w:t>为</w:t>
            </w:r>
            <w:r>
              <w:rPr>
                <w:rFonts w:hint="eastAsia" w:ascii="宋体" w:hAnsi="宋体" w:eastAsia="宋体" w:cs="宋体"/>
                <w:sz w:val="21"/>
                <w:szCs w:val="21"/>
              </w:rPr>
              <w:t>中标单位名称</w:t>
            </w:r>
            <w:r>
              <w:rPr>
                <w:rFonts w:hint="eastAsia" w:ascii="宋体" w:hAnsi="宋体" w:eastAsia="宋体" w:cs="宋体"/>
                <w:sz w:val="21"/>
                <w:szCs w:val="21"/>
                <w:lang w:eastAsia="zh-CN"/>
              </w:rPr>
              <w:t>以</w:t>
            </w:r>
            <w:r>
              <w:rPr>
                <w:rFonts w:hint="eastAsia" w:ascii="宋体" w:hAnsi="宋体" w:eastAsia="宋体" w:cs="宋体"/>
                <w:sz w:val="21"/>
                <w:szCs w:val="21"/>
              </w:rPr>
              <w:t xml:space="preserve">支票、汇票、本票或者银行、保险机构出具的保函等非现金方式足额缴入采购单位指定账户，否则，采购单位不予签订合同。账户如下： </w:t>
            </w:r>
          </w:p>
          <w:p>
            <w:pPr>
              <w:snapToGrid w:val="0"/>
              <w:spacing w:line="360" w:lineRule="exact"/>
              <w:rPr>
                <w:rFonts w:hint="eastAsia" w:ascii="宋体" w:hAnsi="宋体" w:eastAsia="宋体" w:cs="宋体"/>
                <w:sz w:val="21"/>
                <w:szCs w:val="21"/>
              </w:rPr>
            </w:pPr>
            <w:r>
              <w:rPr>
                <w:rFonts w:hint="eastAsia" w:ascii="宋体" w:hAnsi="宋体" w:eastAsia="宋体" w:cs="宋体"/>
                <w:sz w:val="21"/>
                <w:szCs w:val="21"/>
              </w:rPr>
              <w:t xml:space="preserve">开户名称：防城港市妇幼保健院                      </w:t>
            </w:r>
          </w:p>
          <w:p>
            <w:pPr>
              <w:snapToGrid w:val="0"/>
              <w:spacing w:line="360" w:lineRule="exact"/>
              <w:rPr>
                <w:rFonts w:hint="eastAsia" w:ascii="宋体" w:hAnsi="宋体" w:eastAsia="宋体" w:cs="宋体"/>
                <w:sz w:val="21"/>
                <w:szCs w:val="21"/>
              </w:rPr>
            </w:pPr>
            <w:r>
              <w:rPr>
                <w:rFonts w:hint="eastAsia" w:ascii="宋体" w:hAnsi="宋体" w:eastAsia="宋体" w:cs="宋体"/>
                <w:sz w:val="21"/>
                <w:szCs w:val="21"/>
              </w:rPr>
              <w:t>开户银行：中国银行防城港市云南路支行</w:t>
            </w:r>
          </w:p>
          <w:p>
            <w:pPr>
              <w:snapToGrid w:val="0"/>
              <w:spacing w:line="360" w:lineRule="exact"/>
              <w:rPr>
                <w:rFonts w:hint="eastAsia" w:ascii="宋体" w:hAnsi="宋体" w:eastAsia="宋体" w:cs="宋体"/>
                <w:sz w:val="21"/>
                <w:szCs w:val="21"/>
              </w:rPr>
            </w:pPr>
            <w:r>
              <w:rPr>
                <w:rFonts w:hint="eastAsia" w:ascii="宋体" w:hAnsi="宋体" w:eastAsia="宋体" w:cs="宋体"/>
                <w:sz w:val="21"/>
                <w:szCs w:val="21"/>
              </w:rPr>
              <w:t>银行账号：614557494522</w:t>
            </w:r>
          </w:p>
          <w:p>
            <w:pPr>
              <w:autoSpaceDE w:val="0"/>
              <w:autoSpaceDN w:val="0"/>
              <w:snapToGrid w:val="0"/>
              <w:spacing w:line="410" w:lineRule="exact"/>
              <w:textAlignment w:val="bottom"/>
              <w:rPr>
                <w:rFonts w:ascii="宋体"/>
                <w:b w:val="0"/>
                <w:bCs w:val="0"/>
                <w:color w:val="auto"/>
                <w:sz w:val="22"/>
                <w:szCs w:val="22"/>
              </w:rPr>
            </w:pPr>
            <w:r>
              <w:rPr>
                <w:rFonts w:hint="eastAsia" w:ascii="宋体" w:hAnsi="宋体" w:eastAsia="宋体" w:cs="宋体"/>
                <w:sz w:val="21"/>
                <w:szCs w:val="21"/>
              </w:rPr>
              <w:t>履约保证金的退还:合同履行完毕（验收合格）后，在采购单位收到中标单位提交的书面申请退付材料（详见附表一）之日起15个工作日内以银行转账方式如数退还（不计利息）。在履约保证金退还日期前，若成交供应商的开户名称、开户银行、账号有变动的，请以书面形式通知采购单位，否则由此产生的后果由中标单位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13</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签订合同时间：应当在中标通知书发出后</w:t>
            </w:r>
            <w:r>
              <w:rPr>
                <w:rFonts w:ascii="宋体" w:hAnsi="宋体" w:cs="宋体"/>
                <w:color w:val="auto"/>
                <w:szCs w:val="21"/>
              </w:rPr>
              <w:t>3</w:t>
            </w:r>
            <w:r>
              <w:rPr>
                <w:rFonts w:ascii="宋体" w:cs="宋体"/>
                <w:color w:val="auto"/>
                <w:szCs w:val="21"/>
              </w:rPr>
              <w:t>0</w:t>
            </w:r>
            <w:r>
              <w:rPr>
                <w:rFonts w:hint="eastAsia" w:ascii="宋体" w:hAnsi="宋体" w:cs="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14</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采购资金来源：一般公共预算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15</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投标文件有效期：自投标截止之日起</w:t>
            </w:r>
            <w:r>
              <w:rPr>
                <w:rFonts w:ascii="宋体" w:hAnsi="宋体" w:cs="宋体"/>
                <w:color w:val="auto"/>
                <w:szCs w:val="21"/>
              </w:rPr>
              <w:t>60</w:t>
            </w:r>
            <w:r>
              <w:rPr>
                <w:rFonts w:hint="eastAsia" w:ascii="宋体" w:hAnsi="宋体" w:cs="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解释：本招标文件的解释权属于招标采购单位</w:t>
            </w:r>
          </w:p>
        </w:tc>
      </w:tr>
    </w:tbl>
    <w:p>
      <w:pPr>
        <w:pStyle w:val="23"/>
        <w:snapToGrid w:val="0"/>
        <w:spacing w:before="120" w:after="120" w:line="400" w:lineRule="exact"/>
        <w:rPr>
          <w:rFonts w:hint="eastAsia" w:hAnsi="宋体" w:cs="宋体"/>
          <w:b/>
          <w:color w:val="auto"/>
          <w:sz w:val="21"/>
        </w:rPr>
      </w:pPr>
      <w:bookmarkStart w:id="46" w:name="_Toc327735672"/>
      <w:bookmarkStart w:id="47" w:name="_Toc254970548"/>
      <w:bookmarkStart w:id="48" w:name="_Toc254970689"/>
    </w:p>
    <w:p>
      <w:pPr>
        <w:pStyle w:val="23"/>
        <w:snapToGrid w:val="0"/>
        <w:spacing w:before="120" w:after="120" w:line="400" w:lineRule="exact"/>
        <w:ind w:firstLine="632" w:firstLineChars="300"/>
        <w:rPr>
          <w:rFonts w:hAnsi="宋体" w:cs="宋体"/>
          <w:b/>
          <w:color w:val="auto"/>
          <w:sz w:val="21"/>
        </w:rPr>
      </w:pPr>
      <w:r>
        <w:rPr>
          <w:rFonts w:hint="eastAsia" w:hAnsi="宋体" w:cs="宋体"/>
          <w:b/>
          <w:color w:val="auto"/>
          <w:sz w:val="21"/>
        </w:rPr>
        <w:t>一、总</w:t>
      </w:r>
      <w:r>
        <w:rPr>
          <w:rFonts w:hAnsi="宋体" w:cs="宋体"/>
          <w:b/>
          <w:color w:val="auto"/>
          <w:sz w:val="21"/>
        </w:rPr>
        <w:t xml:space="preserve">  </w:t>
      </w:r>
      <w:r>
        <w:rPr>
          <w:rFonts w:hint="eastAsia" w:hAnsi="宋体" w:cs="宋体"/>
          <w:b/>
          <w:color w:val="auto"/>
          <w:sz w:val="21"/>
        </w:rPr>
        <w:t>则</w:t>
      </w:r>
    </w:p>
    <w:p>
      <w:pPr>
        <w:snapToGrid w:val="0"/>
        <w:spacing w:line="400" w:lineRule="exact"/>
        <w:ind w:firstLine="411" w:firstLineChars="195"/>
        <w:jc w:val="left"/>
        <w:outlineLvl w:val="1"/>
        <w:rPr>
          <w:rFonts w:ascii="宋体" w:cs="宋体"/>
          <w:b/>
          <w:color w:val="auto"/>
          <w:szCs w:val="21"/>
        </w:rPr>
      </w:pPr>
      <w:bookmarkStart w:id="49" w:name="_Toc448421125"/>
      <w:bookmarkStart w:id="50" w:name="_Toc308018660"/>
      <w:bookmarkStart w:id="51" w:name="_Toc2910"/>
      <w:bookmarkStart w:id="52" w:name="_Toc482865135"/>
      <w:bookmarkStart w:id="53" w:name="_Toc293863036"/>
      <w:bookmarkStart w:id="54" w:name="_Toc483327794"/>
      <w:bookmarkStart w:id="55" w:name="_Toc254970527"/>
      <w:bookmarkStart w:id="56" w:name="_Toc400465696"/>
      <w:bookmarkStart w:id="57" w:name="_Toc293863303"/>
      <w:bookmarkStart w:id="58" w:name="_Toc254970668"/>
      <w:bookmarkStart w:id="59" w:name="_Toc482865305"/>
      <w:bookmarkStart w:id="60" w:name="_Toc482864534"/>
      <w:bookmarkStart w:id="61" w:name="_Toc445223663"/>
      <w:r>
        <w:rPr>
          <w:rFonts w:hint="eastAsia" w:ascii="宋体" w:hAnsi="宋体" w:cs="宋体"/>
          <w:b/>
          <w:color w:val="auto"/>
          <w:szCs w:val="21"/>
        </w:rPr>
        <w:t>（一）</w:t>
      </w:r>
      <w:r>
        <w:rPr>
          <w:rFonts w:ascii="宋体" w:hAnsi="宋体" w:cs="宋体"/>
          <w:b/>
          <w:color w:val="auto"/>
          <w:szCs w:val="21"/>
        </w:rPr>
        <w:t xml:space="preserve"> </w:t>
      </w:r>
      <w:r>
        <w:rPr>
          <w:rFonts w:hint="eastAsia" w:ascii="宋体" w:hAnsi="宋体" w:cs="宋体"/>
          <w:b/>
          <w:color w:val="auto"/>
          <w:szCs w:val="21"/>
        </w:rPr>
        <w:t>适用范围</w:t>
      </w:r>
      <w:bookmarkEnd w:id="49"/>
      <w:bookmarkEnd w:id="50"/>
      <w:bookmarkEnd w:id="51"/>
      <w:bookmarkEnd w:id="52"/>
      <w:bookmarkEnd w:id="53"/>
      <w:bookmarkEnd w:id="54"/>
      <w:bookmarkEnd w:id="55"/>
      <w:bookmarkEnd w:id="56"/>
      <w:bookmarkEnd w:id="57"/>
      <w:bookmarkEnd w:id="58"/>
      <w:bookmarkEnd w:id="59"/>
      <w:bookmarkEnd w:id="60"/>
      <w:bookmarkEnd w:id="61"/>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本招标文件适用于</w:t>
      </w:r>
      <w:r>
        <w:rPr>
          <w:rFonts w:hint="eastAsia" w:ascii="宋体" w:hAnsi="宋体" w:cs="宋体"/>
          <w:color w:val="auto"/>
          <w:szCs w:val="21"/>
          <w:u w:val="single"/>
          <w:lang w:eastAsia="zh-CN"/>
        </w:rPr>
        <w:t>防城港市妇幼保健院核酸检测实验室建设和设备购置项目</w:t>
      </w:r>
      <w:r>
        <w:rPr>
          <w:rFonts w:hint="eastAsia" w:ascii="宋体" w:hAnsi="宋体" w:cs="宋体"/>
          <w:color w:val="auto"/>
          <w:szCs w:val="21"/>
        </w:rPr>
        <w:t>的招标、投标、评标、定标、验收、合同履约、付款等行为（法律、法规另有规定的，从其规定）。</w:t>
      </w:r>
    </w:p>
    <w:p>
      <w:pPr>
        <w:snapToGrid w:val="0"/>
        <w:spacing w:beforeLines="50" w:line="400" w:lineRule="exact"/>
        <w:ind w:firstLine="411" w:firstLineChars="195"/>
        <w:jc w:val="left"/>
        <w:outlineLvl w:val="1"/>
        <w:rPr>
          <w:rFonts w:ascii="宋体" w:cs="宋体"/>
          <w:b/>
          <w:color w:val="auto"/>
          <w:szCs w:val="21"/>
        </w:rPr>
      </w:pPr>
      <w:bookmarkStart w:id="62" w:name="_Toc482865306"/>
      <w:bookmarkStart w:id="63" w:name="_Toc293863304"/>
      <w:bookmarkStart w:id="64" w:name="_Toc293863037"/>
      <w:bookmarkStart w:id="65" w:name="_Toc254970669"/>
      <w:bookmarkStart w:id="66" w:name="_Toc400465697"/>
      <w:bookmarkStart w:id="67" w:name="_Toc482864535"/>
      <w:bookmarkStart w:id="68" w:name="_Toc482865136"/>
      <w:bookmarkStart w:id="69" w:name="_Toc448421126"/>
      <w:bookmarkStart w:id="70" w:name="_Toc445223664"/>
      <w:bookmarkStart w:id="71" w:name="_Toc254970528"/>
      <w:bookmarkStart w:id="72" w:name="_Toc14848"/>
      <w:bookmarkStart w:id="73" w:name="_Toc483327795"/>
      <w:bookmarkStart w:id="74" w:name="_Toc308018661"/>
      <w:r>
        <w:rPr>
          <w:rFonts w:hint="eastAsia" w:ascii="宋体" w:hAnsi="宋体" w:cs="宋体"/>
          <w:b/>
          <w:color w:val="auto"/>
          <w:szCs w:val="21"/>
        </w:rPr>
        <w:t>（二）定义</w:t>
      </w:r>
      <w:bookmarkEnd w:id="62"/>
      <w:bookmarkEnd w:id="63"/>
      <w:bookmarkEnd w:id="64"/>
      <w:bookmarkEnd w:id="65"/>
      <w:bookmarkEnd w:id="66"/>
      <w:bookmarkEnd w:id="67"/>
      <w:bookmarkEnd w:id="68"/>
      <w:bookmarkEnd w:id="69"/>
      <w:bookmarkEnd w:id="70"/>
      <w:bookmarkEnd w:id="71"/>
      <w:bookmarkEnd w:id="72"/>
      <w:bookmarkEnd w:id="73"/>
      <w:bookmarkEnd w:id="74"/>
    </w:p>
    <w:p>
      <w:pPr>
        <w:snapToGrid w:val="0"/>
        <w:spacing w:line="360" w:lineRule="exact"/>
        <w:ind w:firstLine="409" w:firstLineChars="195"/>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招标采购单位系指组织本次招标的采购人及采购代理机构。</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“投标人”系指向招标采购单位提交投标文件的法人、其他组织或者自然人。</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“产品”系指投标人按招标文件规定，须向采购人提供的一切设备、货物、保险、税金、备品备件、工具、手册及其它有关技术资料和材料。</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“服务”系指招标文件规定投标人须承担的技术服务或设备安装、调试、技术协助、校准、培训、技术指导以及其他类似的义务。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“项目”系指投标人按招标文件规定向采购人提供的产品和服务。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6.</w:t>
      </w:r>
      <w:r>
        <w:rPr>
          <w:rFonts w:hint="eastAsia" w:ascii="宋体" w:hAnsi="宋体" w:cs="宋体"/>
          <w:color w:val="auto"/>
          <w:szCs w:val="21"/>
        </w:rPr>
        <w:t>“书面形式”包括信函、传真、电报等。</w:t>
      </w:r>
    </w:p>
    <w:p>
      <w:pPr>
        <w:tabs>
          <w:tab w:val="left" w:pos="7605"/>
        </w:tabs>
        <w:snapToGrid w:val="0"/>
        <w:spacing w:line="360" w:lineRule="exact"/>
        <w:ind w:firstLine="409" w:firstLineChars="195"/>
        <w:jc w:val="left"/>
        <w:rPr>
          <w:rFonts w:ascii="宋体" w:cs="宋体"/>
          <w:color w:val="auto"/>
          <w:szCs w:val="21"/>
        </w:rPr>
      </w:pPr>
      <w:r>
        <w:rPr>
          <w:rFonts w:ascii="宋体" w:hAnsi="宋体" w:cs="宋体"/>
          <w:color w:val="auto"/>
          <w:szCs w:val="21"/>
        </w:rPr>
        <w:t>7.</w:t>
      </w:r>
      <w:r>
        <w:rPr>
          <w:rFonts w:hint="eastAsia" w:ascii="宋体" w:hAnsi="宋体" w:cs="宋体"/>
          <w:color w:val="auto"/>
          <w:szCs w:val="21"/>
        </w:rPr>
        <w:t>“★”系指实质性要求条款。</w:t>
      </w:r>
      <w:r>
        <w:rPr>
          <w:rFonts w:ascii="宋体" w:cs="宋体"/>
          <w:color w:val="auto"/>
          <w:szCs w:val="21"/>
        </w:rPr>
        <w:tab/>
      </w:r>
    </w:p>
    <w:p>
      <w:pPr>
        <w:snapToGrid w:val="0"/>
        <w:spacing w:beforeLines="50" w:line="400" w:lineRule="exact"/>
        <w:ind w:firstLine="411" w:firstLineChars="195"/>
        <w:jc w:val="left"/>
        <w:outlineLvl w:val="1"/>
        <w:rPr>
          <w:rFonts w:ascii="宋体" w:cs="宋体"/>
          <w:b/>
          <w:color w:val="auto"/>
          <w:szCs w:val="21"/>
        </w:rPr>
      </w:pPr>
      <w:bookmarkStart w:id="75" w:name="_Toc308018662"/>
      <w:bookmarkStart w:id="76" w:name="_Toc254970670"/>
      <w:bookmarkStart w:id="77" w:name="_Toc293863038"/>
      <w:bookmarkStart w:id="78" w:name="_Toc482865307"/>
      <w:bookmarkStart w:id="79" w:name="_Toc482865137"/>
      <w:bookmarkStart w:id="80" w:name="_Toc483327796"/>
      <w:bookmarkStart w:id="81" w:name="_Toc293863305"/>
      <w:bookmarkStart w:id="82" w:name="_Toc448421127"/>
      <w:bookmarkStart w:id="83" w:name="_Toc482864536"/>
      <w:bookmarkStart w:id="84" w:name="_Toc400465698"/>
      <w:bookmarkStart w:id="85" w:name="_Toc9481"/>
      <w:bookmarkStart w:id="86" w:name="_Toc445223665"/>
      <w:bookmarkStart w:id="87" w:name="_Toc254970529"/>
      <w:r>
        <w:rPr>
          <w:rFonts w:hint="eastAsia" w:ascii="宋体" w:hAnsi="宋体" w:cs="宋体"/>
          <w:b/>
          <w:color w:val="auto"/>
          <w:szCs w:val="21"/>
        </w:rPr>
        <w:t>（三）招标方式</w:t>
      </w:r>
      <w:bookmarkEnd w:id="75"/>
      <w:bookmarkEnd w:id="76"/>
      <w:bookmarkEnd w:id="77"/>
      <w:bookmarkEnd w:id="78"/>
      <w:bookmarkEnd w:id="79"/>
      <w:bookmarkEnd w:id="80"/>
      <w:bookmarkEnd w:id="81"/>
      <w:bookmarkEnd w:id="82"/>
      <w:bookmarkEnd w:id="83"/>
      <w:bookmarkEnd w:id="84"/>
      <w:bookmarkEnd w:id="85"/>
      <w:bookmarkEnd w:id="86"/>
      <w:bookmarkEnd w:id="87"/>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公开招标方式。</w:t>
      </w:r>
    </w:p>
    <w:p>
      <w:pPr>
        <w:snapToGrid w:val="0"/>
        <w:spacing w:beforeLines="50" w:line="400" w:lineRule="exact"/>
        <w:ind w:firstLine="413" w:firstLineChars="196"/>
        <w:jc w:val="left"/>
        <w:outlineLvl w:val="1"/>
        <w:rPr>
          <w:rFonts w:ascii="宋体" w:cs="宋体"/>
          <w:b/>
          <w:color w:val="auto"/>
          <w:szCs w:val="21"/>
        </w:rPr>
      </w:pPr>
      <w:bookmarkStart w:id="88" w:name="_Toc308018663"/>
      <w:bookmarkStart w:id="89" w:name="_Toc482865138"/>
      <w:bookmarkStart w:id="90" w:name="_Toc2069"/>
      <w:bookmarkStart w:id="91" w:name="_Toc482864537"/>
      <w:bookmarkStart w:id="92" w:name="_Toc254970530"/>
      <w:bookmarkStart w:id="93" w:name="_Toc254970671"/>
      <w:bookmarkStart w:id="94" w:name="_Toc448421128"/>
      <w:bookmarkStart w:id="95" w:name="_Toc482865308"/>
      <w:bookmarkStart w:id="96" w:name="_Toc293863306"/>
      <w:bookmarkStart w:id="97" w:name="_Toc293863039"/>
      <w:bookmarkStart w:id="98" w:name="_Toc400465699"/>
      <w:bookmarkStart w:id="99" w:name="_Toc483327797"/>
      <w:bookmarkStart w:id="100" w:name="_Toc445223666"/>
      <w:r>
        <w:rPr>
          <w:rFonts w:hint="eastAsia" w:ascii="宋体" w:hAnsi="宋体" w:cs="宋体"/>
          <w:b/>
          <w:color w:val="auto"/>
          <w:szCs w:val="21"/>
        </w:rPr>
        <w:t>（四）投标委托</w:t>
      </w:r>
      <w:bookmarkEnd w:id="88"/>
      <w:bookmarkEnd w:id="89"/>
      <w:bookmarkEnd w:id="90"/>
      <w:bookmarkEnd w:id="91"/>
      <w:bookmarkEnd w:id="92"/>
      <w:bookmarkEnd w:id="93"/>
      <w:bookmarkEnd w:id="94"/>
      <w:bookmarkEnd w:id="95"/>
      <w:bookmarkEnd w:id="96"/>
      <w:bookmarkEnd w:id="97"/>
      <w:bookmarkEnd w:id="98"/>
      <w:bookmarkEnd w:id="99"/>
      <w:bookmarkEnd w:id="100"/>
    </w:p>
    <w:p>
      <w:pPr>
        <w:pStyle w:val="4"/>
        <w:snapToGrid w:val="0"/>
        <w:spacing w:line="400" w:lineRule="exact"/>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投标人代表须携带有效身份证件。如投标人代表不是法定代表人，须有法定代表人出具的授权委托书（正本用原件，副本用复印件，格式见第六章）。</w:t>
      </w:r>
    </w:p>
    <w:p>
      <w:pPr>
        <w:snapToGrid w:val="0"/>
        <w:spacing w:beforeLines="50" w:line="400" w:lineRule="exact"/>
        <w:ind w:firstLine="422" w:firstLineChars="200"/>
        <w:jc w:val="left"/>
        <w:outlineLvl w:val="1"/>
        <w:rPr>
          <w:rFonts w:ascii="宋体" w:cs="宋体"/>
          <w:b/>
          <w:color w:val="auto"/>
          <w:szCs w:val="21"/>
        </w:rPr>
      </w:pPr>
      <w:bookmarkStart w:id="101" w:name="_Toc448421129"/>
      <w:bookmarkStart w:id="102" w:name="_Toc254970531"/>
      <w:bookmarkStart w:id="103" w:name="_Toc293863307"/>
      <w:bookmarkStart w:id="104" w:name="_Toc293863040"/>
      <w:bookmarkStart w:id="105" w:name="_Toc400465700"/>
      <w:bookmarkStart w:id="106" w:name="_Toc445223667"/>
      <w:bookmarkStart w:id="107" w:name="_Toc483327798"/>
      <w:bookmarkStart w:id="108" w:name="_Toc482865139"/>
      <w:bookmarkStart w:id="109" w:name="_Toc308018664"/>
      <w:bookmarkStart w:id="110" w:name="_Toc482864538"/>
      <w:bookmarkStart w:id="111" w:name="_Toc6056"/>
      <w:bookmarkStart w:id="112" w:name="_Toc482865309"/>
      <w:bookmarkStart w:id="113" w:name="_Toc254970672"/>
      <w:r>
        <w:rPr>
          <w:rFonts w:hint="eastAsia" w:ascii="宋体" w:hAnsi="宋体" w:cs="宋体"/>
          <w:b/>
          <w:color w:val="auto"/>
          <w:szCs w:val="21"/>
        </w:rPr>
        <w:t>（五）投标费用</w:t>
      </w:r>
      <w:bookmarkEnd w:id="101"/>
      <w:bookmarkEnd w:id="102"/>
      <w:bookmarkEnd w:id="103"/>
      <w:bookmarkEnd w:id="104"/>
      <w:bookmarkEnd w:id="105"/>
      <w:bookmarkEnd w:id="106"/>
      <w:bookmarkEnd w:id="107"/>
      <w:bookmarkEnd w:id="108"/>
      <w:bookmarkEnd w:id="109"/>
      <w:bookmarkEnd w:id="110"/>
      <w:bookmarkEnd w:id="111"/>
      <w:bookmarkEnd w:id="112"/>
      <w:bookmarkEnd w:id="113"/>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投标人均应自行承担所有与投标有关的全部费用（招标文件有相关规定的除外）。</w:t>
      </w:r>
    </w:p>
    <w:p>
      <w:pPr>
        <w:numPr>
          <w:ilvl w:val="0"/>
          <w:numId w:val="7"/>
        </w:numPr>
        <w:snapToGrid w:val="0"/>
        <w:spacing w:beforeLines="50" w:line="400" w:lineRule="exact"/>
        <w:ind w:firstLine="422" w:firstLineChars="200"/>
        <w:jc w:val="left"/>
        <w:rPr>
          <w:rFonts w:ascii="宋体" w:cs="宋体"/>
          <w:b/>
          <w:color w:val="auto"/>
          <w:szCs w:val="21"/>
        </w:rPr>
      </w:pPr>
      <w:r>
        <w:rPr>
          <w:rFonts w:hint="eastAsia" w:ascii="宋体" w:hAnsi="宋体" w:cs="宋体"/>
          <w:b/>
          <w:color w:val="auto"/>
          <w:szCs w:val="21"/>
        </w:rPr>
        <w:t>联合体投标</w:t>
      </w:r>
    </w:p>
    <w:p>
      <w:pPr>
        <w:snapToGrid w:val="0"/>
        <w:spacing w:line="400" w:lineRule="exact"/>
        <w:ind w:firstLine="420" w:firstLineChars="200"/>
        <w:jc w:val="left"/>
        <w:rPr>
          <w:color w:val="auto"/>
        </w:rPr>
      </w:pPr>
      <w:r>
        <w:rPr>
          <w:rFonts w:hint="eastAsia"/>
          <w:color w:val="auto"/>
        </w:rPr>
        <w:t>本项目不</w:t>
      </w:r>
      <w:r>
        <w:rPr>
          <w:rFonts w:hint="eastAsia" w:ascii="宋体" w:hAnsi="宋体" w:cs="宋体"/>
          <w:color w:val="auto"/>
          <w:szCs w:val="21"/>
        </w:rPr>
        <w:t>接受联合体投标。</w:t>
      </w:r>
    </w:p>
    <w:p>
      <w:pPr>
        <w:snapToGrid w:val="0"/>
        <w:spacing w:beforeLines="50" w:line="400" w:lineRule="exact"/>
        <w:ind w:firstLine="413" w:firstLineChars="196"/>
        <w:rPr>
          <w:rFonts w:ascii="宋体" w:cs="宋体"/>
          <w:b/>
          <w:color w:val="auto"/>
          <w:kern w:val="0"/>
          <w:szCs w:val="21"/>
        </w:rPr>
      </w:pPr>
      <w:r>
        <w:rPr>
          <w:rFonts w:hint="eastAsia" w:ascii="宋体" w:hAnsi="宋体" w:cs="宋体"/>
          <w:b/>
          <w:color w:val="auto"/>
          <w:szCs w:val="21"/>
        </w:rPr>
        <w:t>（七）</w:t>
      </w:r>
      <w:r>
        <w:rPr>
          <w:rFonts w:hint="eastAsia" w:ascii="宋体" w:hAnsi="宋体" w:cs="宋体"/>
          <w:b/>
          <w:color w:val="auto"/>
          <w:kern w:val="0"/>
          <w:szCs w:val="21"/>
        </w:rPr>
        <w:t>转包与分包</w:t>
      </w:r>
      <w:r>
        <w:rPr>
          <w:rFonts w:ascii="宋体" w:hAnsi="宋体" w:cs="宋体"/>
          <w:b/>
          <w:color w:val="auto"/>
          <w:kern w:val="0"/>
          <w:szCs w:val="21"/>
        </w:rPr>
        <w:t xml:space="preserve">             </w:t>
      </w:r>
    </w:p>
    <w:p>
      <w:pPr>
        <w:snapToGrid w:val="0"/>
        <w:spacing w:line="400" w:lineRule="exact"/>
        <w:ind w:firstLine="420" w:firstLineChars="20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本项目不允许转包。</w:t>
      </w:r>
    </w:p>
    <w:p>
      <w:pPr>
        <w:snapToGrid w:val="0"/>
        <w:spacing w:line="400" w:lineRule="exact"/>
        <w:ind w:firstLine="420" w:firstLineChars="200"/>
        <w:rPr>
          <w:rFonts w:ascii="宋体" w:cs="宋体"/>
          <w:color w:val="auto"/>
          <w:szCs w:val="21"/>
        </w:rPr>
      </w:pPr>
      <w:r>
        <w:rPr>
          <w:rFonts w:ascii="宋体" w:hAnsi="宋体" w:cs="宋体"/>
          <w:color w:val="auto"/>
          <w:kern w:val="0"/>
          <w:szCs w:val="21"/>
        </w:rPr>
        <w:t>2.</w:t>
      </w:r>
      <w:r>
        <w:rPr>
          <w:rFonts w:hint="eastAsia" w:ascii="宋体" w:hAnsi="宋体" w:cs="宋体"/>
          <w:color w:val="auto"/>
          <w:kern w:val="0"/>
          <w:szCs w:val="21"/>
        </w:rPr>
        <w:t>本项目不允许分包。</w:t>
      </w:r>
    </w:p>
    <w:p>
      <w:pPr>
        <w:snapToGrid w:val="0"/>
        <w:spacing w:beforeLines="50" w:line="400" w:lineRule="exact"/>
        <w:ind w:firstLine="413" w:firstLineChars="196"/>
        <w:jc w:val="left"/>
        <w:outlineLvl w:val="1"/>
        <w:rPr>
          <w:rFonts w:ascii="宋体" w:cs="宋体"/>
          <w:b/>
          <w:color w:val="auto"/>
          <w:szCs w:val="21"/>
        </w:rPr>
      </w:pPr>
      <w:bookmarkStart w:id="114" w:name="_Toc448421130"/>
      <w:bookmarkStart w:id="115" w:name="_Toc400465701"/>
      <w:bookmarkStart w:id="116" w:name="_Toc483327799"/>
      <w:bookmarkStart w:id="117" w:name="_Toc293863041"/>
      <w:bookmarkStart w:id="118" w:name="_Toc445223668"/>
      <w:bookmarkStart w:id="119" w:name="_Toc254970673"/>
      <w:bookmarkStart w:id="120" w:name="_Toc482865140"/>
      <w:bookmarkStart w:id="121" w:name="_Toc254970532"/>
      <w:bookmarkStart w:id="122" w:name="_Toc308018665"/>
      <w:bookmarkStart w:id="123" w:name="_Toc3891"/>
      <w:bookmarkStart w:id="124" w:name="_Toc482865310"/>
      <w:bookmarkStart w:id="125" w:name="_Toc482864539"/>
      <w:bookmarkStart w:id="126" w:name="_Toc293863308"/>
      <w:r>
        <w:rPr>
          <w:rFonts w:hint="eastAsia" w:ascii="宋体" w:hAnsi="宋体" w:cs="宋体"/>
          <w:b/>
          <w:color w:val="auto"/>
          <w:szCs w:val="21"/>
        </w:rPr>
        <w:t>（八）特别说明</w:t>
      </w:r>
      <w:bookmarkEnd w:id="114"/>
      <w:bookmarkEnd w:id="115"/>
      <w:bookmarkEnd w:id="116"/>
      <w:bookmarkEnd w:id="117"/>
      <w:bookmarkEnd w:id="118"/>
      <w:bookmarkEnd w:id="119"/>
      <w:bookmarkEnd w:id="120"/>
      <w:bookmarkEnd w:id="121"/>
      <w:bookmarkEnd w:id="122"/>
      <w:bookmarkEnd w:id="123"/>
      <w:bookmarkEnd w:id="124"/>
      <w:bookmarkEnd w:id="125"/>
      <w:bookmarkEnd w:id="126"/>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单位负责人为同一人或者存在直接控股、管理关系的不同供应商，不得参加同一合同项下的政府采购活动。</w:t>
      </w:r>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投标人投标所使用的资格、信誉、荣誉、业绩与企业认证必须为本法人所拥有。</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非单一产品采购项目，采购人应当根据采购项目技术构成、产品价格比重等合理确定核心产品，并在招标文件中载明。多家投标人提供的核心产品品牌相同的，按前两款规定处理。</w:t>
      </w:r>
    </w:p>
    <w:p>
      <w:pPr>
        <w:pStyle w:val="23"/>
        <w:snapToGrid w:val="0"/>
        <w:spacing w:line="360" w:lineRule="exact"/>
        <w:ind w:left="2" w:leftChars="1" w:firstLine="400" w:firstLineChars="200"/>
        <w:rPr>
          <w:rFonts w:hAnsi="宋体" w:cs="宋体"/>
          <w:color w:val="auto"/>
          <w:sz w:val="21"/>
        </w:rPr>
      </w:pPr>
      <w:r>
        <w:rPr>
          <w:rFonts w:hint="eastAsia" w:hAnsi="宋体" w:cs="宋体"/>
          <w:color w:val="auto"/>
        </w:rPr>
        <w:t>★</w:t>
      </w:r>
      <w:r>
        <w:rPr>
          <w:rFonts w:hAnsi="宋体" w:cs="宋体"/>
          <w:color w:val="auto"/>
          <w:sz w:val="21"/>
        </w:rPr>
        <w:t xml:space="preserve">4. </w:t>
      </w:r>
      <w:r>
        <w:rPr>
          <w:rFonts w:hint="eastAsia" w:hAnsi="宋体" w:cs="宋体"/>
          <w:color w:val="auto"/>
          <w:sz w:val="21"/>
        </w:rPr>
        <w:t>投标人应仔细阅读招标文件的所有内容，按照招标文件的要求提交投标文件，并对所提供的全部资料的真实性承担法律责任。</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5. </w:t>
      </w:r>
      <w:r>
        <w:rPr>
          <w:rFonts w:hint="eastAsia" w:ascii="宋体" w:hAnsi="宋体" w:cs="宋体"/>
          <w:color w:val="auto"/>
          <w:szCs w:val="21"/>
        </w:rPr>
        <w:t>投标人在投标活动中提供任何虚假材料，其投标无效，并报监管部门查处；中标后发现的，中标人须依照《中华人民共和国合同法》之规定赔偿采购人，且民事赔偿并不免除违法投标人的行政与刑事责任。</w:t>
      </w:r>
    </w:p>
    <w:p>
      <w:pPr>
        <w:widowControl/>
        <w:spacing w:line="360" w:lineRule="exact"/>
        <w:ind w:firstLine="420" w:firstLineChars="200"/>
        <w:jc w:val="left"/>
        <w:rPr>
          <w:rFonts w:ascii="宋体" w:cs="宋体"/>
          <w:color w:val="auto"/>
          <w:szCs w:val="21"/>
        </w:rPr>
      </w:pPr>
      <w:bookmarkStart w:id="127" w:name="_Toc483327800"/>
      <w:bookmarkStart w:id="128" w:name="_Toc400465702"/>
      <w:bookmarkStart w:id="129" w:name="_Toc482865141"/>
      <w:bookmarkStart w:id="130" w:name="_Toc254970533"/>
      <w:bookmarkStart w:id="131" w:name="_Toc254970674"/>
      <w:bookmarkStart w:id="132" w:name="_Toc293863042"/>
      <w:bookmarkStart w:id="133" w:name="_Toc308018666"/>
      <w:bookmarkStart w:id="134" w:name="_Toc445223669"/>
      <w:bookmarkStart w:id="135" w:name="_Toc482865311"/>
      <w:bookmarkStart w:id="136" w:name="_Toc448421131"/>
      <w:bookmarkStart w:id="137" w:name="_Toc482864540"/>
      <w:bookmarkStart w:id="138" w:name="_Toc293863309"/>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r>
        <w:rPr>
          <w:rFonts w:ascii="宋体" w:hAnsi="宋体" w:cs="宋体"/>
          <w:color w:val="auto"/>
          <w:szCs w:val="21"/>
        </w:rPr>
        <w:t xml:space="preserve"> </w:t>
      </w:r>
      <w:r>
        <w:rPr>
          <w:rFonts w:ascii="宋体" w:hAnsi="宋体" w:cs="宋体"/>
          <w:color w:val="auto"/>
          <w:szCs w:val="21"/>
        </w:rPr>
        <w:br w:type="textWrapping"/>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、本文件中描述投标人的“签字”是指投标人的法定代表人或被授权人亲自在文件规定签署处亲笔写上个人的名字的行为，私章、签字章、印鉴、影印等其它形式均不能代替亲笔签字。</w:t>
      </w:r>
      <w:r>
        <w:rPr>
          <w:rFonts w:ascii="宋体" w:hAnsi="宋体" w:cs="宋体"/>
          <w:color w:val="auto"/>
          <w:szCs w:val="21"/>
        </w:rPr>
        <w:t xml:space="preserve"> </w:t>
      </w:r>
    </w:p>
    <w:p>
      <w:pPr>
        <w:pStyle w:val="23"/>
        <w:snapToGrid w:val="0"/>
        <w:spacing w:line="360" w:lineRule="exact"/>
        <w:ind w:firstLine="413" w:firstLineChars="196"/>
        <w:outlineLvl w:val="1"/>
        <w:rPr>
          <w:rFonts w:hAnsi="宋体" w:cs="宋体"/>
          <w:b/>
          <w:bCs/>
          <w:color w:val="auto"/>
          <w:sz w:val="21"/>
        </w:rPr>
      </w:pPr>
      <w:bookmarkStart w:id="139" w:name="_Toc1143"/>
      <w:r>
        <w:rPr>
          <w:rFonts w:hint="eastAsia" w:hAnsi="宋体" w:cs="宋体"/>
          <w:b/>
          <w:bCs/>
          <w:color w:val="auto"/>
          <w:sz w:val="21"/>
        </w:rPr>
        <w:t>（九）质疑和投诉</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1. </w:t>
      </w:r>
      <w:r>
        <w:rPr>
          <w:rFonts w:hint="eastAsia" w:hAnsi="宋体" w:cs="宋体"/>
          <w:bCs/>
          <w:color w:val="auto"/>
          <w:sz w:val="21"/>
        </w:rPr>
        <w:t>投标人认为招标文件使自己的合法权益受到损害的，应当在收到招标文件之日起</w:t>
      </w:r>
      <w:r>
        <w:rPr>
          <w:rFonts w:hAnsi="宋体" w:cs="宋体"/>
          <w:bCs/>
          <w:color w:val="auto"/>
          <w:sz w:val="21"/>
        </w:rPr>
        <w:t>7</w:t>
      </w:r>
      <w:r>
        <w:rPr>
          <w:rFonts w:hint="eastAsia" w:hAnsi="宋体" w:cs="宋体"/>
          <w:bCs/>
          <w:color w:val="auto"/>
          <w:sz w:val="21"/>
        </w:rPr>
        <w:t>个工作日内，以书面形式向采购人、采购代理机构提出质疑。投标人认为招标过程使自己的合法权益受到损害的，应当在各采购程序环节结束之日起</w:t>
      </w:r>
      <w:r>
        <w:rPr>
          <w:rFonts w:hAnsi="宋体" w:cs="宋体"/>
          <w:bCs/>
          <w:color w:val="auto"/>
          <w:sz w:val="21"/>
        </w:rPr>
        <w:t>7</w:t>
      </w:r>
      <w:r>
        <w:rPr>
          <w:rFonts w:hint="eastAsia" w:hAnsi="宋体" w:cs="宋体"/>
          <w:bCs/>
          <w:color w:val="auto"/>
          <w:sz w:val="21"/>
        </w:rPr>
        <w:t>个工作日内，以书面形式向采购人、采购代理机构提出质疑。投标人认为中标结果使自己的合法权益受到损害的，应当在中标结果公告期限（中标结果公告期限为</w:t>
      </w:r>
      <w:r>
        <w:rPr>
          <w:rFonts w:hAnsi="宋体" w:cs="宋体"/>
          <w:bCs/>
          <w:color w:val="auto"/>
          <w:sz w:val="21"/>
        </w:rPr>
        <w:t>1</w:t>
      </w:r>
      <w:r>
        <w:rPr>
          <w:rFonts w:hint="eastAsia" w:hAnsi="宋体" w:cs="宋体"/>
          <w:bCs/>
          <w:color w:val="auto"/>
          <w:sz w:val="21"/>
        </w:rPr>
        <w:t>个工作日）届满之日起</w:t>
      </w:r>
      <w:r>
        <w:rPr>
          <w:rFonts w:hAnsi="宋体" w:cs="宋体"/>
          <w:bCs/>
          <w:color w:val="auto"/>
          <w:sz w:val="21"/>
        </w:rPr>
        <w:t>7</w:t>
      </w:r>
      <w:r>
        <w:rPr>
          <w:rFonts w:hint="eastAsia" w:hAnsi="宋体" w:cs="宋体"/>
          <w:bCs/>
          <w:color w:val="auto"/>
          <w:sz w:val="21"/>
        </w:rPr>
        <w:t>个工作日内，以书面形式向采购人、采购代理机构提出质疑。投标人对招标采购单位的质疑答复不满意或者招标采购单位未在规定时间内作出答复的，可以在答复期满后</w:t>
      </w:r>
      <w:r>
        <w:rPr>
          <w:rFonts w:hAnsi="宋体" w:cs="宋体"/>
          <w:bCs/>
          <w:color w:val="auto"/>
          <w:sz w:val="21"/>
        </w:rPr>
        <w:t>15</w:t>
      </w:r>
      <w:r>
        <w:rPr>
          <w:rFonts w:hint="eastAsia" w:hAnsi="宋体" w:cs="宋体"/>
          <w:bCs/>
          <w:color w:val="auto"/>
          <w:sz w:val="21"/>
        </w:rPr>
        <w:t>个工作日内向同级政府采购监督管理部门投诉。</w:t>
      </w:r>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2. </w:t>
      </w:r>
      <w:bookmarkStart w:id="140" w:name="_Toc482864541"/>
      <w:bookmarkStart w:id="141" w:name="_Toc448421132"/>
      <w:bookmarkStart w:id="142" w:name="_Toc308018667"/>
      <w:bookmarkStart w:id="143" w:name="_Toc482865312"/>
      <w:bookmarkStart w:id="144" w:name="_Toc445223670"/>
      <w:bookmarkStart w:id="145" w:name="_Toc254970675"/>
      <w:bookmarkStart w:id="146" w:name="_Toc293863043"/>
      <w:bookmarkStart w:id="147" w:name="_Toc482865142"/>
      <w:bookmarkStart w:id="148" w:name="_Toc483327801"/>
      <w:bookmarkStart w:id="149" w:name="_Toc254970534"/>
      <w:bookmarkStart w:id="150" w:name="_Toc400465703"/>
      <w:bookmarkStart w:id="151" w:name="_Toc293863310"/>
      <w:r>
        <w:rPr>
          <w:rFonts w:hint="eastAsia" w:hAnsi="宋体" w:cs="宋体"/>
          <w:bCs/>
          <w:color w:val="auto"/>
          <w:sz w:val="21"/>
        </w:rPr>
        <w:t>投标人提出质疑、投诉，应当遵守中华人民共和国财政部令第</w:t>
      </w:r>
      <w:r>
        <w:rPr>
          <w:rFonts w:hAnsi="宋体" w:cs="宋体"/>
          <w:bCs/>
          <w:color w:val="auto"/>
          <w:sz w:val="21"/>
        </w:rPr>
        <w:t>94</w:t>
      </w:r>
      <w:r>
        <w:rPr>
          <w:rFonts w:hint="eastAsia" w:hAnsi="宋体" w:cs="宋体"/>
          <w:bCs/>
          <w:color w:val="auto"/>
          <w:sz w:val="21"/>
        </w:rPr>
        <w:t>号《政府采购质疑和投诉办法》的相关规定，且采用书面形式。质疑书、投诉书均应明确阐述招标文件、招标过程或中标结果中使自己合法权益受到损害的实质性内容，并提供相关事实、依据和证据及其来源。</w:t>
      </w:r>
    </w:p>
    <w:p>
      <w:pPr>
        <w:pStyle w:val="23"/>
        <w:snapToGrid w:val="0"/>
        <w:spacing w:line="360" w:lineRule="exact"/>
        <w:ind w:firstLine="420" w:firstLineChars="200"/>
        <w:rPr>
          <w:rFonts w:hAnsi="宋体" w:cs="宋体"/>
          <w:bCs/>
          <w:color w:val="auto"/>
          <w:sz w:val="21"/>
        </w:rPr>
      </w:pPr>
      <w:r>
        <w:rPr>
          <w:rFonts w:hAnsi="宋体" w:cs="宋体"/>
          <w:bCs/>
          <w:color w:val="auto"/>
          <w:sz w:val="21"/>
        </w:rPr>
        <w:t>3.</w:t>
      </w:r>
      <w:r>
        <w:rPr>
          <w:rFonts w:hint="eastAsia" w:hAnsi="宋体" w:cs="宋体"/>
          <w:bCs/>
          <w:color w:val="auto"/>
          <w:sz w:val="21"/>
        </w:rPr>
        <w:t>递交质疑函的联系事项：</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lang w:eastAsia="zh-CN"/>
        </w:rPr>
        <w:t>广西建设工程项目管理中心有限责任公司</w:t>
      </w:r>
      <w:r>
        <w:rPr>
          <w:rFonts w:hint="eastAsia" w:hAnsi="宋体" w:cs="宋体"/>
          <w:bCs/>
          <w:color w:val="auto"/>
          <w:sz w:val="21"/>
        </w:rPr>
        <w:t>防城港分公司</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联系人：</w:t>
      </w:r>
      <w:r>
        <w:rPr>
          <w:rFonts w:hint="eastAsia" w:hAnsi="宋体" w:cs="宋体"/>
          <w:bCs/>
          <w:color w:val="auto"/>
          <w:sz w:val="21"/>
          <w:lang w:eastAsia="zh-CN"/>
        </w:rPr>
        <w:t>郑锡贵</w:t>
      </w:r>
      <w:r>
        <w:rPr>
          <w:rFonts w:hint="eastAsia" w:hAnsi="宋体" w:cs="宋体"/>
          <w:bCs/>
          <w:color w:val="auto"/>
          <w:sz w:val="21"/>
        </w:rPr>
        <w:t>；联系电话：</w:t>
      </w:r>
      <w:r>
        <w:rPr>
          <w:rFonts w:hint="eastAsia" w:hAnsi="宋体" w:cs="宋体"/>
          <w:bCs/>
          <w:color w:val="auto"/>
          <w:sz w:val="21"/>
          <w:lang w:eastAsia="zh-CN"/>
        </w:rPr>
        <w:t>0770-2882029</w:t>
      </w:r>
      <w:r>
        <w:rPr>
          <w:rFonts w:hAnsi="宋体" w:cs="宋体"/>
          <w:bCs/>
          <w:color w:val="auto"/>
          <w:sz w:val="21"/>
        </w:rPr>
        <w:t xml:space="preserve">    </w:t>
      </w:r>
    </w:p>
    <w:p>
      <w:pPr>
        <w:pStyle w:val="23"/>
        <w:snapToGrid w:val="0"/>
        <w:spacing w:line="360" w:lineRule="exact"/>
        <w:ind w:firstLine="420" w:firstLineChars="200"/>
        <w:rPr>
          <w:rFonts w:hAnsi="宋体" w:cs="宋体"/>
          <w:b/>
          <w:color w:val="auto"/>
          <w:sz w:val="21"/>
        </w:rPr>
      </w:pPr>
      <w:r>
        <w:rPr>
          <w:rFonts w:hint="eastAsia" w:hAnsi="宋体" w:cs="宋体"/>
          <w:bCs/>
          <w:color w:val="auto"/>
          <w:sz w:val="21"/>
        </w:rPr>
        <w:t>地址：</w:t>
      </w:r>
      <w:r>
        <w:rPr>
          <w:rFonts w:hint="eastAsia" w:hAnsi="宋体" w:cs="宋体"/>
          <w:bCs/>
          <w:color w:val="auto"/>
          <w:sz w:val="21"/>
          <w:lang w:eastAsia="zh-CN"/>
        </w:rPr>
        <w:t>防城港市港口区西湾广场财苑小区3栋2楼</w:t>
      </w:r>
    </w:p>
    <w:p>
      <w:pPr>
        <w:pStyle w:val="23"/>
        <w:snapToGrid w:val="0"/>
        <w:spacing w:line="360" w:lineRule="exact"/>
        <w:ind w:firstLine="413" w:firstLineChars="196"/>
        <w:outlineLvl w:val="0"/>
        <w:rPr>
          <w:rFonts w:hAnsi="宋体" w:cs="宋体"/>
          <w:b/>
          <w:color w:val="auto"/>
          <w:sz w:val="21"/>
        </w:rPr>
      </w:pPr>
      <w:bookmarkStart w:id="152" w:name="_Toc25839"/>
      <w:r>
        <w:rPr>
          <w:rFonts w:hint="eastAsia" w:hAnsi="宋体" w:cs="宋体"/>
          <w:b/>
          <w:color w:val="auto"/>
          <w:sz w:val="21"/>
        </w:rPr>
        <w:t>二、招标文件</w:t>
      </w:r>
      <w:bookmarkEnd w:id="140"/>
      <w:bookmarkEnd w:id="141"/>
      <w:bookmarkEnd w:id="142"/>
      <w:bookmarkEnd w:id="143"/>
      <w:bookmarkEnd w:id="144"/>
      <w:bookmarkEnd w:id="145"/>
      <w:bookmarkEnd w:id="146"/>
      <w:bookmarkEnd w:id="147"/>
      <w:bookmarkEnd w:id="148"/>
      <w:bookmarkEnd w:id="149"/>
      <w:bookmarkEnd w:id="150"/>
      <w:bookmarkEnd w:id="151"/>
      <w:bookmarkEnd w:id="152"/>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（一）招标文件的构成</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招标公告；</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招标项目采购需求；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投标人须知；</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评标原则及评分标准；</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合同主要条款格式；</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投标文件格式。</w:t>
      </w:r>
    </w:p>
    <w:p>
      <w:pPr>
        <w:snapToGrid w:val="0"/>
        <w:spacing w:beforeLines="50" w:line="400" w:lineRule="exact"/>
        <w:ind w:firstLine="413" w:firstLineChars="196"/>
        <w:jc w:val="left"/>
        <w:rPr>
          <w:rFonts w:ascii="宋体" w:cs="宋体"/>
          <w:b/>
          <w:color w:val="auto"/>
          <w:szCs w:val="21"/>
        </w:rPr>
      </w:pPr>
      <w:r>
        <w:rPr>
          <w:rFonts w:hint="eastAsia" w:ascii="宋体" w:hAnsi="宋体" w:cs="宋体"/>
          <w:b/>
          <w:color w:val="auto"/>
          <w:szCs w:val="21"/>
        </w:rPr>
        <w:t>（二）投标人的风险</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投标人没有按照招标文件要求提供全部资料，或者投标人没有对招标文件在各方面作出实质性响应是投标人的风险，并可能导致其投标被拒绝。</w:t>
      </w:r>
    </w:p>
    <w:p>
      <w:pPr>
        <w:pStyle w:val="16"/>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（三）招标文件的澄清和修改</w:t>
      </w:r>
      <w:r>
        <w:rPr>
          <w:rFonts w:ascii="宋体" w:hAnsi="宋体" w:cs="宋体"/>
          <w:b/>
          <w:color w:val="auto"/>
          <w:sz w:val="21"/>
          <w:szCs w:val="21"/>
        </w:rPr>
        <w:t xml:space="preserve"> </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1. </w:t>
      </w:r>
      <w:r>
        <w:rPr>
          <w:rFonts w:hint="eastAsia" w:hAnsi="宋体" w:cs="宋体"/>
          <w:color w:val="auto"/>
          <w:sz w:val="21"/>
        </w:rPr>
        <w:t>采购代理机构可以对已发出的招标文件进行必要的澄清或修改。澄清或修改的内容可能影响投标文件编制的，应当在招标文件要求提交投标文件截止时间</w:t>
      </w:r>
      <w:r>
        <w:rPr>
          <w:rFonts w:hAnsi="宋体" w:cs="宋体"/>
          <w:color w:val="auto"/>
          <w:sz w:val="21"/>
        </w:rPr>
        <w:t>15</w:t>
      </w:r>
      <w:r>
        <w:rPr>
          <w:rFonts w:hint="eastAsia" w:hAnsi="宋体" w:cs="宋体"/>
          <w:color w:val="auto"/>
          <w:sz w:val="21"/>
        </w:rPr>
        <w:t>日前，在财政部门指定的政府采购信息发布媒体上发布更正公告，并以书面形式通知所有招标文件收受人。</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2. </w:t>
      </w:r>
      <w:r>
        <w:rPr>
          <w:rFonts w:hint="eastAsia" w:hAnsi="宋体" w:cs="宋体"/>
          <w:color w:val="auto"/>
          <w:sz w:val="21"/>
        </w:rPr>
        <w:t>招标文件澄清、修改的内容为招标文件的组成部分。当招标文件与招标文件的澄清、修改通知就同一内容的表述不一致时，以最后发出的书面文件为准。</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3. </w:t>
      </w:r>
      <w:r>
        <w:rPr>
          <w:rFonts w:hint="eastAsia" w:hAnsi="宋体" w:cs="宋体"/>
          <w:color w:val="auto"/>
          <w:sz w:val="21"/>
        </w:rPr>
        <w:t>招标文件的澄清、修改都应该通过本采购代理机构以法定形式发布，采购人非通过本机构，不得擅自答复、修改招标文件。</w:t>
      </w:r>
    </w:p>
    <w:p>
      <w:pPr>
        <w:pStyle w:val="23"/>
        <w:snapToGrid w:val="0"/>
        <w:spacing w:beforeLines="50" w:line="400" w:lineRule="exact"/>
        <w:ind w:firstLine="413" w:firstLineChars="196"/>
        <w:outlineLvl w:val="1"/>
        <w:rPr>
          <w:rFonts w:hAnsi="宋体" w:cs="宋体"/>
          <w:b/>
          <w:color w:val="auto"/>
          <w:sz w:val="21"/>
        </w:rPr>
      </w:pPr>
      <w:bookmarkStart w:id="153" w:name="_Toc400465704"/>
      <w:bookmarkStart w:id="154" w:name="_Toc445223671"/>
      <w:bookmarkStart w:id="155" w:name="_Toc448421133"/>
      <w:bookmarkStart w:id="156" w:name="_Toc254970676"/>
      <w:bookmarkStart w:id="157" w:name="_Toc482865143"/>
      <w:bookmarkStart w:id="158" w:name="_Toc482864542"/>
      <w:bookmarkStart w:id="159" w:name="_Toc482865313"/>
      <w:bookmarkStart w:id="160" w:name="_Toc18157"/>
      <w:bookmarkStart w:id="161" w:name="_Toc483327802"/>
      <w:bookmarkStart w:id="162" w:name="_Toc308018668"/>
      <w:bookmarkStart w:id="163" w:name="_Toc293863311"/>
      <w:bookmarkStart w:id="164" w:name="_Toc254970535"/>
      <w:bookmarkStart w:id="165" w:name="_Toc293863044"/>
      <w:r>
        <w:rPr>
          <w:rFonts w:hint="eastAsia" w:hAnsi="宋体" w:cs="宋体"/>
          <w:b/>
          <w:color w:val="auto"/>
          <w:sz w:val="21"/>
        </w:rPr>
        <w:t>三、投标文件的编制</w:t>
      </w:r>
      <w:bookmarkEnd w:id="153"/>
      <w:bookmarkEnd w:id="154"/>
      <w:bookmarkEnd w:id="155"/>
      <w:bookmarkEnd w:id="156"/>
      <w:bookmarkEnd w:id="157"/>
      <w:bookmarkEnd w:id="158"/>
      <w:bookmarkEnd w:id="159"/>
      <w:bookmarkEnd w:id="160"/>
      <w:bookmarkEnd w:id="161"/>
      <w:bookmarkEnd w:id="162"/>
      <w:bookmarkEnd w:id="163"/>
      <w:bookmarkEnd w:id="164"/>
      <w:bookmarkEnd w:id="165"/>
    </w:p>
    <w:p>
      <w:pPr>
        <w:snapToGrid w:val="0"/>
        <w:spacing w:beforeLines="50" w:line="400" w:lineRule="exact"/>
        <w:ind w:firstLine="413" w:firstLineChars="196"/>
        <w:jc w:val="left"/>
        <w:outlineLvl w:val="0"/>
        <w:rPr>
          <w:rFonts w:ascii="宋体" w:cs="宋体"/>
          <w:b/>
          <w:color w:val="auto"/>
          <w:szCs w:val="21"/>
        </w:rPr>
      </w:pPr>
      <w:bookmarkStart w:id="166" w:name="_Toc400465705"/>
      <w:bookmarkStart w:id="167" w:name="_Toc482865314"/>
      <w:bookmarkStart w:id="168" w:name="_Toc482865144"/>
      <w:bookmarkStart w:id="169" w:name="_Toc483327803"/>
      <w:bookmarkStart w:id="170" w:name="_Toc445223672"/>
      <w:bookmarkStart w:id="171" w:name="_Toc482864543"/>
      <w:bookmarkStart w:id="172" w:name="_Toc308018669"/>
      <w:bookmarkStart w:id="173" w:name="_Toc254970677"/>
      <w:bookmarkStart w:id="174" w:name="_Toc293863045"/>
      <w:bookmarkStart w:id="175" w:name="_Toc448421134"/>
      <w:bookmarkStart w:id="176" w:name="_Toc254970536"/>
      <w:bookmarkStart w:id="177" w:name="_Toc293863312"/>
      <w:bookmarkStart w:id="178" w:name="_Toc2609"/>
      <w:r>
        <w:rPr>
          <w:rFonts w:hint="eastAsia" w:ascii="宋体" w:hAnsi="宋体" w:cs="宋体"/>
          <w:b/>
          <w:color w:val="auto"/>
          <w:szCs w:val="21"/>
        </w:rPr>
        <w:t>（一）投标文件的组成</w:t>
      </w:r>
      <w:bookmarkEnd w:id="166"/>
      <w:bookmarkEnd w:id="167"/>
      <w:bookmarkEnd w:id="168"/>
      <w:bookmarkEnd w:id="169"/>
      <w:bookmarkEnd w:id="170"/>
      <w:bookmarkEnd w:id="171"/>
      <w:bookmarkEnd w:id="172"/>
      <w:bookmarkEnd w:id="173"/>
      <w:bookmarkEnd w:id="174"/>
      <w:bookmarkEnd w:id="175"/>
      <w:bookmarkEnd w:id="176"/>
      <w:bookmarkEnd w:id="177"/>
      <w:bookmarkEnd w:id="178"/>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投标文件由资格部分、商务及技术部分、投标报价部分三部份组成。</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1.</w:t>
      </w:r>
      <w:r>
        <w:rPr>
          <w:rFonts w:ascii="宋体" w:hAnsi="宋体" w:cs="宋体"/>
          <w:color w:val="auto"/>
          <w:szCs w:val="21"/>
        </w:rPr>
        <w:t xml:space="preserve"> </w:t>
      </w:r>
      <w:r>
        <w:rPr>
          <w:rFonts w:hint="eastAsia" w:ascii="宋体" w:hAnsi="宋体" w:cs="宋体"/>
          <w:b/>
          <w:color w:val="auto"/>
          <w:szCs w:val="21"/>
        </w:rPr>
        <w:t>资格部分：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）有效的营业执照副本复印件（必须提供，同时要加盖单位公章，不是三证合一的营业执照还必须提供有效的组织机构代码证副本、税务登记证副本复印件）；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）投标人具有医疗器械生产许可证复印件或医疗器械经营许可证复印件或第二类医疗器械经营备案凭证复印件；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）法定代表人完整有效的身份证复印件（第二代身份证必须提供正反面复印件，同时要加盖单位公章）；</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）法定代表人授权委托书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 xml:space="preserve">) </w:t>
      </w:r>
      <w:r>
        <w:rPr>
          <w:rFonts w:hint="eastAsia" w:ascii="宋体" w:hAnsi="宋体" w:cs="宋体"/>
          <w:color w:val="auto"/>
          <w:szCs w:val="21"/>
        </w:rPr>
        <w:t>和委托代理人完整有效的身份证复印件（委托代理时必须提供。第二代身份证必须提供正反面复印件，同时要加盖单位公章）；</w:t>
      </w:r>
    </w:p>
    <w:p>
      <w:pPr>
        <w:snapToGrid w:val="0"/>
        <w:spacing w:line="400" w:lineRule="exact"/>
        <w:ind w:firstLine="42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截标时间前半年内，连续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截标时间前半年内，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cs="宋体"/>
          <w:b/>
          <w:bCs/>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）投标人近期财务状况报告</w:t>
      </w:r>
      <w:r>
        <w:rPr>
          <w:rFonts w:hint="eastAsia" w:ascii="宋体" w:hAnsi="宋体" w:cs="宋体"/>
          <w:b/>
          <w:bCs/>
          <w:color w:val="auto"/>
          <w:szCs w:val="21"/>
        </w:rPr>
        <w:t>（上一年度经第三方审计的财务报告；或截标时间前半年内能反映财务状况的报表；或投标人自拟的截标时间前半年内的财务情况说明）。</w:t>
      </w:r>
    </w:p>
    <w:p>
      <w:pPr>
        <w:snapToGrid w:val="0"/>
        <w:spacing w:line="440" w:lineRule="exact"/>
        <w:ind w:firstLine="420" w:firstLineChars="200"/>
        <w:jc w:val="left"/>
        <w:rPr>
          <w:rFonts w:ascii="宋体" w:cs="宋体"/>
          <w:b/>
          <w:color w:val="auto"/>
          <w:szCs w:val="21"/>
        </w:rPr>
      </w:pPr>
      <w:r>
        <w:rPr>
          <w:rFonts w:hint="eastAsia" w:ascii="宋体" w:hAnsi="宋体" w:cs="宋体"/>
          <w:color w:val="auto"/>
          <w:szCs w:val="21"/>
        </w:rPr>
        <w:t>★</w:t>
      </w:r>
      <w:r>
        <w:rPr>
          <w:rFonts w:hint="eastAsia" w:ascii="宋体" w:hAnsi="宋体" w:cs="宋体"/>
          <w:b/>
          <w:bCs/>
          <w:color w:val="auto"/>
          <w:szCs w:val="21"/>
        </w:rPr>
        <w:t>注：</w:t>
      </w:r>
      <w:r>
        <w:rPr>
          <w:rFonts w:hint="eastAsia" w:ascii="宋体" w:hAnsi="宋体" w:cs="宋体"/>
          <w:color w:val="auto"/>
          <w:szCs w:val="21"/>
        </w:rPr>
        <w:t>上述提交的材料必须加盖投标人单位公章。</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）投标人的类似成功案例的业绩证明文件</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）投标人符合中小企业划型标准的，按《政府采购促进中小企业发展暂行办法》（财库〔</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181</w:t>
      </w:r>
      <w:r>
        <w:rPr>
          <w:rFonts w:hint="eastAsia" w:ascii="宋体" w:hAnsi="宋体" w:cs="宋体"/>
          <w:color w:val="auto"/>
          <w:szCs w:val="21"/>
        </w:rPr>
        <w:t>号）要求，提供中小企业声明函。监</w:t>
      </w:r>
      <w:r>
        <w:rPr>
          <w:rFonts w:hint="eastAsia" w:ascii="宋体" w:hAnsi="宋体"/>
          <w:color w:val="auto"/>
          <w:szCs w:val="21"/>
        </w:rPr>
        <w:t>狱企业参加政府采购活动时，应当提供由省级以上监狱管理局、戒毒管理局（含新疆生产建设兵团）出具的属于监狱企业的证明文件。</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b/>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olor w:val="auto"/>
          <w:szCs w:val="21"/>
        </w:rPr>
        <w:t>。</w:t>
      </w:r>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技术部分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r>
        <w:rPr>
          <w:rFonts w:ascii="宋体" w:hAnsi="宋体" w:cs="宋体"/>
          <w:color w:val="auto"/>
        </w:rPr>
        <w:t>(</w:t>
      </w:r>
      <w:r>
        <w:rPr>
          <w:rFonts w:hint="eastAsia" w:ascii="宋体" w:hAnsi="宋体" w:cs="宋体"/>
          <w:color w:val="auto"/>
        </w:rPr>
        <w:t>格式见第六章</w:t>
      </w:r>
      <w:r>
        <w:rPr>
          <w:rFonts w:ascii="宋体" w:hAnsi="宋体" w:cs="宋体"/>
          <w:color w:val="auto"/>
        </w:rPr>
        <w:t>)</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售后服务方案；</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）产品出厂标准、质量检测报告。</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）投标人需要说明的其他文件和说明。</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报价部分：</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）投标函（格式见第六章）；</w:t>
      </w:r>
      <w:r>
        <w:rPr>
          <w:rFonts w:ascii="宋体" w:hAnsi="宋体" w:cs="宋体"/>
          <w:color w:val="auto"/>
          <w:szCs w:val="21"/>
        </w:rPr>
        <w:t xml:space="preserve"> </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）投标报价明细表（格式见第六章）；</w:t>
      </w:r>
    </w:p>
    <w:p>
      <w:pPr>
        <w:tabs>
          <w:tab w:val="left" w:pos="3870"/>
          <w:tab w:val="left" w:pos="4085"/>
        </w:tabs>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）投标人针对报价需要说明的其他文件和说明（格式自拟）；</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w:t>
      </w:r>
      <w:r>
        <w:rPr>
          <w:rFonts w:hint="eastAsia" w:ascii="宋体" w:hAnsi="宋体" w:cs="宋体"/>
          <w:color w:val="auto"/>
          <w:szCs w:val="21"/>
          <w:lang w:val="en-US" w:eastAsia="zh-CN"/>
        </w:rPr>
        <w:t>并单独递交</w:t>
      </w:r>
      <w:r>
        <w:rPr>
          <w:rFonts w:hint="eastAsia" w:ascii="宋体" w:hAnsi="宋体" w:cs="宋体"/>
          <w:color w:val="auto"/>
          <w:szCs w:val="21"/>
        </w:rPr>
        <w:t>，格式见第六章）；</w:t>
      </w:r>
    </w:p>
    <w:p>
      <w:pPr>
        <w:pStyle w:val="34"/>
        <w:spacing w:line="400" w:lineRule="exact"/>
        <w:ind w:firstLine="400" w:firstLineChars="200"/>
        <w:rPr>
          <w:rFonts w:ascii="宋体" w:cs="宋体"/>
          <w:color w:val="auto"/>
          <w:sz w:val="21"/>
          <w:szCs w:val="21"/>
        </w:rPr>
      </w:pPr>
      <w:r>
        <w:rPr>
          <w:rFonts w:hint="eastAsia" w:ascii="宋体" w:hAnsi="宋体" w:cs="宋体"/>
          <w:color w:val="auto"/>
          <w:szCs w:val="21"/>
        </w:rPr>
        <w:t>★</w:t>
      </w:r>
      <w:r>
        <w:rPr>
          <w:rFonts w:ascii="宋体" w:hAnsi="宋体" w:cs="宋体"/>
          <w:b/>
          <w:bCs/>
          <w:color w:val="auto"/>
          <w:sz w:val="21"/>
          <w:szCs w:val="21"/>
        </w:rPr>
        <w:t>4.</w:t>
      </w:r>
      <w:r>
        <w:rPr>
          <w:rFonts w:hint="eastAsia" w:ascii="宋体" w:hAnsi="宋体" w:cs="宋体"/>
          <w:b/>
          <w:bCs/>
          <w:color w:val="auto"/>
          <w:sz w:val="21"/>
          <w:szCs w:val="21"/>
        </w:rPr>
        <w:t>特别备注：招标文件第六章有格式要求的，必须按要求在规定处由法定代表人或授权代表签名并加盖投标人公章。</w:t>
      </w:r>
    </w:p>
    <w:p>
      <w:pPr>
        <w:snapToGrid w:val="0"/>
        <w:spacing w:line="400" w:lineRule="exact"/>
        <w:ind w:firstLine="413" w:firstLineChars="196"/>
        <w:jc w:val="left"/>
        <w:outlineLvl w:val="0"/>
        <w:rPr>
          <w:rFonts w:ascii="宋体" w:cs="宋体"/>
          <w:b/>
          <w:color w:val="auto"/>
          <w:szCs w:val="21"/>
        </w:rPr>
      </w:pPr>
      <w:bookmarkStart w:id="179" w:name="_Toc483327804"/>
      <w:bookmarkStart w:id="180" w:name="_Toc445223673"/>
      <w:bookmarkStart w:id="181" w:name="_Toc482865315"/>
      <w:bookmarkStart w:id="182" w:name="_Toc254970537"/>
      <w:bookmarkStart w:id="183" w:name="_Toc254970678"/>
      <w:bookmarkStart w:id="184" w:name="_Toc27229"/>
      <w:bookmarkStart w:id="185" w:name="_Toc400465706"/>
      <w:bookmarkStart w:id="186" w:name="_Toc448421135"/>
      <w:bookmarkStart w:id="187" w:name="_Toc308018670"/>
      <w:bookmarkStart w:id="188" w:name="_Toc482865145"/>
      <w:bookmarkStart w:id="189" w:name="_Toc293863313"/>
      <w:bookmarkStart w:id="190" w:name="_Toc482864544"/>
      <w:bookmarkStart w:id="191" w:name="_Toc293863046"/>
      <w:r>
        <w:rPr>
          <w:rFonts w:hint="eastAsia" w:ascii="宋体" w:hAnsi="宋体" w:cs="宋体"/>
          <w:b/>
          <w:color w:val="auto"/>
          <w:szCs w:val="21"/>
        </w:rPr>
        <w:t>（二）投标文件的语言及计量</w:t>
      </w:r>
      <w:bookmarkEnd w:id="179"/>
      <w:bookmarkEnd w:id="180"/>
      <w:bookmarkEnd w:id="181"/>
      <w:bookmarkEnd w:id="182"/>
      <w:bookmarkEnd w:id="183"/>
      <w:bookmarkEnd w:id="184"/>
      <w:bookmarkEnd w:id="185"/>
      <w:bookmarkEnd w:id="186"/>
      <w:bookmarkEnd w:id="187"/>
      <w:bookmarkEnd w:id="188"/>
      <w:bookmarkEnd w:id="189"/>
      <w:bookmarkEnd w:id="190"/>
      <w:bookmarkEnd w:id="191"/>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投标计量单位，招标文件已有明确规定的，使用招标文件规定的计量单位；招标文件没有规定的，应采用中华人民共和国法定计量单位（货币单位：人民币），否则视同未响应。</w:t>
      </w:r>
    </w:p>
    <w:p>
      <w:pPr>
        <w:snapToGrid w:val="0"/>
        <w:spacing w:beforeLines="50" w:line="400" w:lineRule="exact"/>
        <w:ind w:firstLine="413" w:firstLineChars="196"/>
        <w:jc w:val="left"/>
        <w:outlineLvl w:val="0"/>
        <w:rPr>
          <w:rFonts w:ascii="宋体" w:cs="宋体"/>
          <w:b/>
          <w:color w:val="auto"/>
          <w:szCs w:val="21"/>
        </w:rPr>
      </w:pPr>
      <w:bookmarkStart w:id="192" w:name="_Toc445223674"/>
      <w:bookmarkStart w:id="193" w:name="_Toc23268"/>
      <w:bookmarkStart w:id="194" w:name="_Toc482864545"/>
      <w:bookmarkStart w:id="195" w:name="_Toc254970679"/>
      <w:bookmarkStart w:id="196" w:name="_Toc293863314"/>
      <w:bookmarkStart w:id="197" w:name="_Toc308018671"/>
      <w:bookmarkStart w:id="198" w:name="_Toc254970538"/>
      <w:bookmarkStart w:id="199" w:name="_Toc293863047"/>
      <w:bookmarkStart w:id="200" w:name="_Toc400465707"/>
      <w:bookmarkStart w:id="201" w:name="_Toc448421136"/>
      <w:bookmarkStart w:id="202" w:name="_Toc482865146"/>
      <w:bookmarkStart w:id="203" w:name="_Toc483327805"/>
      <w:bookmarkStart w:id="204" w:name="_Toc482865316"/>
      <w:r>
        <w:rPr>
          <w:rFonts w:hint="eastAsia" w:ascii="宋体" w:hAnsi="宋体" w:cs="宋体"/>
          <w:b/>
          <w:color w:val="auto"/>
          <w:szCs w:val="21"/>
        </w:rPr>
        <w:t>（三）投标报价</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23"/>
        <w:snapToGrid w:val="0"/>
        <w:spacing w:line="400" w:lineRule="exact"/>
        <w:ind w:firstLine="420" w:firstLineChars="200"/>
        <w:jc w:val="left"/>
        <w:rPr>
          <w:rFonts w:hAnsi="宋体" w:cs="宋体"/>
          <w:color w:val="auto"/>
          <w:sz w:val="21"/>
        </w:rPr>
      </w:pPr>
      <w:r>
        <w:rPr>
          <w:rFonts w:hAnsi="宋体" w:cs="宋体"/>
          <w:color w:val="auto"/>
          <w:sz w:val="21"/>
        </w:rPr>
        <w:t xml:space="preserve">1. </w:t>
      </w:r>
      <w:r>
        <w:rPr>
          <w:rFonts w:hint="eastAsia" w:hAnsi="宋体" w:cs="宋体"/>
          <w:color w:val="auto"/>
          <w:sz w:val="21"/>
        </w:rPr>
        <w:t>投标报价应按招标文件中相关附表格式填写。</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rPr>
        <w:t xml:space="preserve">2. </w:t>
      </w:r>
      <w:r>
        <w:rPr>
          <w:rFonts w:hint="eastAsia" w:ascii="宋体" w:hAnsi="宋体" w:cs="宋体"/>
          <w:color w:val="auto"/>
        </w:rPr>
        <w:t>投标报价是履行合同的最终价格，货物采购应包括货款、标准附件、备品备件、专用工具、包装、运输、装卸、保险、税金、货到就位以及安装、调试、培训、保修等一切税金和费用；服务采购应包括整体服务价格</w:t>
      </w:r>
      <w:r>
        <w:rPr>
          <w:rFonts w:hint="eastAsia" w:ascii="宋体" w:hAnsi="宋体" w:cs="宋体"/>
          <w:color w:val="auto"/>
          <w:szCs w:val="21"/>
        </w:rPr>
        <w:t>以及</w:t>
      </w:r>
      <w:r>
        <w:rPr>
          <w:rFonts w:hint="eastAsia" w:ascii="宋体" w:hAnsi="宋体" w:cs="宋体"/>
          <w:color w:val="auto"/>
        </w:rPr>
        <w:t>安装调试、培训、维护等一切税金和费用。</w:t>
      </w:r>
      <w:r>
        <w:rPr>
          <w:rFonts w:hint="eastAsia" w:hAnsi="宋体"/>
          <w:bCs/>
          <w:color w:val="auto"/>
        </w:rPr>
        <w:t>采购人不再支付任何额外费用，本项目为交钥匙工程。</w:t>
      </w:r>
    </w:p>
    <w:p>
      <w:pPr>
        <w:tabs>
          <w:tab w:val="left" w:pos="52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3. </w:t>
      </w:r>
      <w:r>
        <w:rPr>
          <w:rFonts w:hint="eastAsia" w:ascii="宋体" w:hAnsi="宋体" w:cs="宋体"/>
          <w:color w:val="auto"/>
          <w:szCs w:val="21"/>
        </w:rPr>
        <w:t>投标文件每个分标只允许有一个报价，有选择的或有条件的报价将不予接受。</w:t>
      </w:r>
    </w:p>
    <w:p>
      <w:pPr>
        <w:pStyle w:val="16"/>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（四）投标文件的有效期</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自投标截止日起</w:t>
      </w:r>
      <w:r>
        <w:rPr>
          <w:rFonts w:ascii="宋体" w:hAnsi="宋体" w:cs="宋体"/>
          <w:color w:val="auto"/>
          <w:szCs w:val="21"/>
        </w:rPr>
        <w:t>60</w:t>
      </w:r>
      <w:r>
        <w:rPr>
          <w:rFonts w:hint="eastAsia" w:ascii="宋体" w:hAnsi="宋体" w:cs="宋体"/>
          <w:color w:val="auto"/>
          <w:szCs w:val="21"/>
        </w:rPr>
        <w:t>天投标文件应保持有效。有效期不足的投标文件将被拒绝。</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在特殊情况下，招标采购单位可与投标人协商延长投标书的有效期，这种要求和答复均以书面形式进行。</w:t>
      </w:r>
    </w:p>
    <w:p>
      <w:pPr>
        <w:snapToGrid w:val="0"/>
        <w:spacing w:line="400" w:lineRule="exact"/>
        <w:ind w:firstLine="420" w:firstLineChars="200"/>
        <w:jc w:val="left"/>
        <w:rPr>
          <w:rFonts w:ascii="宋体" w:cs="宋体"/>
          <w:b/>
          <w:color w:val="auto"/>
          <w:szCs w:val="21"/>
        </w:rPr>
      </w:pPr>
      <w:bookmarkStart w:id="205" w:name="_Toc400465708"/>
      <w:bookmarkStart w:id="206" w:name="_Toc254970539"/>
      <w:bookmarkStart w:id="207" w:name="_Toc254970680"/>
      <w:bookmarkStart w:id="208" w:name="_Toc482865317"/>
      <w:bookmarkStart w:id="209" w:name="_Toc445223675"/>
      <w:bookmarkStart w:id="210" w:name="_Toc482865147"/>
      <w:bookmarkStart w:id="211" w:name="_Toc293863315"/>
      <w:bookmarkStart w:id="212" w:name="_Toc293863048"/>
      <w:bookmarkStart w:id="213" w:name="_Toc483327806"/>
      <w:bookmarkStart w:id="214" w:name="_Toc482864546"/>
      <w:bookmarkStart w:id="215" w:name="_Toc308018672"/>
      <w:bookmarkStart w:id="216" w:name="_Toc448421137"/>
      <w:r>
        <w:rPr>
          <w:rFonts w:ascii="宋体" w:hAnsi="宋体" w:cs="宋体"/>
          <w:color w:val="auto"/>
          <w:szCs w:val="21"/>
        </w:rPr>
        <w:t xml:space="preserve">3. </w:t>
      </w:r>
      <w:r>
        <w:rPr>
          <w:rFonts w:hint="eastAsia" w:ascii="宋体" w:hAnsi="宋体" w:cs="宋体"/>
          <w:color w:val="auto"/>
          <w:szCs w:val="21"/>
        </w:rPr>
        <w:t>投标人可拒绝接受延期要求，但不能修改投标文件。</w:t>
      </w:r>
      <w:bookmarkEnd w:id="205"/>
      <w:bookmarkEnd w:id="206"/>
      <w:bookmarkEnd w:id="207"/>
      <w:bookmarkEnd w:id="208"/>
      <w:bookmarkEnd w:id="209"/>
      <w:bookmarkEnd w:id="210"/>
      <w:bookmarkEnd w:id="211"/>
      <w:bookmarkEnd w:id="212"/>
      <w:bookmarkEnd w:id="213"/>
      <w:bookmarkEnd w:id="214"/>
      <w:bookmarkEnd w:id="215"/>
      <w:bookmarkEnd w:id="216"/>
      <w:r>
        <w:rPr>
          <w:rFonts w:ascii="宋体" w:hAnsi="宋体" w:cs="宋体"/>
          <w:b/>
          <w:color w:val="auto"/>
          <w:szCs w:val="21"/>
        </w:rPr>
        <w:t xml:space="preserve"> </w:t>
      </w:r>
    </w:p>
    <w:p>
      <w:pPr>
        <w:snapToGrid w:val="0"/>
        <w:spacing w:line="400" w:lineRule="exact"/>
        <w:ind w:firstLine="420" w:firstLineChars="200"/>
        <w:jc w:val="left"/>
        <w:outlineLvl w:val="0"/>
        <w:rPr>
          <w:rFonts w:ascii="宋体" w:cs="宋体"/>
          <w:b/>
          <w:color w:val="auto"/>
          <w:szCs w:val="21"/>
        </w:rPr>
      </w:pPr>
      <w:bookmarkStart w:id="217" w:name="_Toc254970681"/>
      <w:bookmarkStart w:id="218" w:name="_Toc482865318"/>
      <w:bookmarkStart w:id="219" w:name="_Toc445223676"/>
      <w:bookmarkStart w:id="220" w:name="_Toc448421138"/>
      <w:bookmarkStart w:id="221" w:name="_Toc293863049"/>
      <w:bookmarkStart w:id="222" w:name="_Toc483327807"/>
      <w:bookmarkStart w:id="223" w:name="_Toc308018673"/>
      <w:bookmarkStart w:id="224" w:name="_Toc400465709"/>
      <w:bookmarkStart w:id="225" w:name="_Toc26972"/>
      <w:bookmarkStart w:id="226" w:name="_Toc482865148"/>
      <w:bookmarkStart w:id="227" w:name="_Toc254970540"/>
      <w:bookmarkStart w:id="228" w:name="_Toc482864547"/>
      <w:bookmarkStart w:id="229" w:name="_Toc293863316"/>
      <w:r>
        <w:rPr>
          <w:rFonts w:ascii="宋体" w:hAnsi="宋体" w:cs="宋体"/>
          <w:color w:val="auto"/>
          <w:szCs w:val="21"/>
        </w:rPr>
        <w:t xml:space="preserve">4. </w:t>
      </w:r>
      <w:r>
        <w:rPr>
          <w:rFonts w:hint="eastAsia" w:ascii="宋体" w:hAnsi="宋体" w:cs="宋体"/>
          <w:color w:val="auto"/>
          <w:szCs w:val="21"/>
        </w:rPr>
        <w:t>中标人的投标文件自开标之日起至合同履行完毕止均应保持有效。</w:t>
      </w:r>
      <w:bookmarkEnd w:id="217"/>
      <w:bookmarkEnd w:id="218"/>
      <w:bookmarkEnd w:id="219"/>
      <w:bookmarkEnd w:id="220"/>
      <w:bookmarkEnd w:id="221"/>
      <w:bookmarkEnd w:id="222"/>
      <w:bookmarkEnd w:id="223"/>
      <w:bookmarkEnd w:id="224"/>
      <w:bookmarkEnd w:id="225"/>
      <w:bookmarkEnd w:id="226"/>
      <w:bookmarkEnd w:id="227"/>
      <w:bookmarkEnd w:id="228"/>
      <w:bookmarkEnd w:id="229"/>
    </w:p>
    <w:p>
      <w:pPr>
        <w:snapToGrid w:val="0"/>
        <w:spacing w:beforeLines="50" w:line="400" w:lineRule="exact"/>
        <w:ind w:firstLine="413" w:firstLineChars="196"/>
        <w:jc w:val="left"/>
        <w:outlineLvl w:val="0"/>
        <w:rPr>
          <w:rFonts w:ascii="宋体" w:cs="宋体"/>
          <w:b/>
          <w:color w:val="auto"/>
          <w:szCs w:val="21"/>
        </w:rPr>
      </w:pPr>
      <w:bookmarkStart w:id="230" w:name="_Toc254970542"/>
      <w:bookmarkStart w:id="231" w:name="_Toc293863318"/>
      <w:bookmarkStart w:id="232" w:name="_Toc482865320"/>
      <w:bookmarkStart w:id="233" w:name="_Toc448421140"/>
      <w:bookmarkStart w:id="234" w:name="_Toc293863051"/>
      <w:bookmarkStart w:id="235" w:name="_Toc482864549"/>
      <w:bookmarkStart w:id="236" w:name="_Toc254970683"/>
      <w:bookmarkStart w:id="237" w:name="_Toc445223678"/>
      <w:bookmarkStart w:id="238" w:name="_Toc28043"/>
      <w:bookmarkStart w:id="239" w:name="_Toc400465711"/>
      <w:bookmarkStart w:id="240" w:name="_Toc483327809"/>
      <w:bookmarkStart w:id="241" w:name="_Toc308018675"/>
      <w:bookmarkStart w:id="242" w:name="_Toc482865150"/>
      <w:r>
        <w:rPr>
          <w:rFonts w:hint="eastAsia" w:ascii="宋体" w:hAnsi="宋体" w:cs="宋体"/>
          <w:b/>
          <w:color w:val="auto"/>
          <w:szCs w:val="21"/>
        </w:rPr>
        <w:t>（五）投标文件的签署和份数</w:t>
      </w:r>
      <w:bookmarkEnd w:id="230"/>
      <w:bookmarkEnd w:id="231"/>
      <w:bookmarkEnd w:id="232"/>
      <w:bookmarkEnd w:id="233"/>
      <w:bookmarkEnd w:id="234"/>
      <w:bookmarkEnd w:id="235"/>
      <w:bookmarkEnd w:id="236"/>
      <w:bookmarkEnd w:id="237"/>
      <w:bookmarkEnd w:id="238"/>
      <w:bookmarkEnd w:id="239"/>
      <w:bookmarkEnd w:id="240"/>
      <w:bookmarkEnd w:id="241"/>
      <w:bookmarkEnd w:id="242"/>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投标文件组成和份数要求详见投标人须知前附表第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投标文件的正本需打印或用不褪色的墨水填写，投标文件正本除本《投标人须知》中规定的可提供复印件外均须提供原件。副本为正本的复印件。</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4. </w:t>
      </w:r>
      <w:r>
        <w:rPr>
          <w:rFonts w:hint="eastAsia" w:ascii="宋体" w:hAnsi="宋体" w:cs="宋体"/>
          <w:color w:val="auto"/>
          <w:spacing w:val="-2"/>
          <w:szCs w:val="21"/>
        </w:rPr>
        <w:t>投标文件须由投标人在规定位置盖章并由法定代表人或法定代表人的授权委托人签署，投标人应写全称。</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400" w:lineRule="exact"/>
        <w:ind w:firstLine="310" w:firstLineChars="147"/>
        <w:jc w:val="left"/>
        <w:rPr>
          <w:rFonts w:ascii="宋体" w:cs="宋体"/>
          <w:b/>
          <w:color w:val="auto"/>
          <w:szCs w:val="21"/>
        </w:rPr>
      </w:pPr>
      <w:r>
        <w:rPr>
          <w:rFonts w:hint="eastAsia" w:ascii="宋体" w:hAnsi="宋体" w:cs="宋体"/>
          <w:b/>
          <w:color w:val="auto"/>
          <w:szCs w:val="21"/>
        </w:rPr>
        <w:t>（六）投标文件的包装、递交、修改和撤回</w:t>
      </w:r>
    </w:p>
    <w:p>
      <w:pPr>
        <w:snapToGrid w:val="0"/>
        <w:spacing w:line="400" w:lineRule="exact"/>
        <w:ind w:firstLine="42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投标文件封装要求详见投标人须知前附表第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right="-336" w:rightChars="-160" w:firstLine="42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未按规定密封或标记的投标文件将被拒绝，由此造成投标文件被误投或提前拆封的风险由投标人承担。逾期送达的投标文件将被拒绝。</w:t>
      </w:r>
    </w:p>
    <w:p>
      <w:pPr>
        <w:snapToGrid w:val="0"/>
        <w:spacing w:line="400" w:lineRule="exact"/>
        <w:ind w:firstLine="42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line="400" w:lineRule="exact"/>
        <w:ind w:firstLine="413" w:firstLineChars="196"/>
        <w:outlineLvl w:val="2"/>
        <w:rPr>
          <w:rFonts w:ascii="宋体" w:cs="宋体"/>
          <w:b/>
          <w:color w:val="auto"/>
          <w:szCs w:val="21"/>
        </w:rPr>
      </w:pPr>
      <w:bookmarkStart w:id="243" w:name="_Toc293863319"/>
      <w:bookmarkStart w:id="244" w:name="_Toc400465712"/>
      <w:bookmarkStart w:id="245" w:name="_Toc445223679"/>
      <w:bookmarkStart w:id="246" w:name="_Toc483327810"/>
      <w:bookmarkStart w:id="247" w:name="_Toc254970684"/>
      <w:bookmarkStart w:id="248" w:name="_Toc308018676"/>
      <w:bookmarkStart w:id="249" w:name="_Toc482865151"/>
      <w:bookmarkStart w:id="250" w:name="_Toc293863052"/>
      <w:bookmarkStart w:id="251" w:name="_Toc482864550"/>
      <w:bookmarkStart w:id="252" w:name="_Toc254970543"/>
      <w:bookmarkStart w:id="253" w:name="_Toc448421141"/>
      <w:bookmarkStart w:id="254" w:name="_Toc482865321"/>
      <w:r>
        <w:rPr>
          <w:rFonts w:hint="eastAsia" w:ascii="宋体" w:hAnsi="宋体" w:cs="宋体"/>
          <w:b/>
          <w:color w:val="auto"/>
          <w:szCs w:val="21"/>
        </w:rPr>
        <w:t>（七）投标无效的情形</w:t>
      </w:r>
      <w:bookmarkEnd w:id="243"/>
      <w:bookmarkEnd w:id="244"/>
      <w:bookmarkEnd w:id="245"/>
      <w:bookmarkEnd w:id="246"/>
      <w:bookmarkEnd w:id="247"/>
      <w:bookmarkEnd w:id="248"/>
      <w:bookmarkEnd w:id="249"/>
      <w:bookmarkEnd w:id="250"/>
      <w:bookmarkEnd w:id="251"/>
      <w:bookmarkEnd w:id="252"/>
      <w:bookmarkEnd w:id="253"/>
      <w:bookmarkEnd w:id="254"/>
    </w:p>
    <w:p>
      <w:pPr>
        <w:snapToGrid w:val="0"/>
        <w:spacing w:line="400" w:lineRule="exact"/>
        <w:ind w:firstLine="420" w:firstLineChars="200"/>
        <w:rPr>
          <w:rFonts w:ascii="宋体" w:cs="宋体"/>
          <w:bCs/>
          <w:color w:val="auto"/>
          <w:szCs w:val="21"/>
        </w:rPr>
      </w:pPr>
      <w:r>
        <w:rPr>
          <w:rFonts w:hint="eastAsia" w:ascii="宋体" w:hAnsi="宋体" w:cs="宋体"/>
          <w:bCs/>
          <w:color w:val="auto"/>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ascii="宋体" w:cs="宋体"/>
          <w:color w:val="auto"/>
          <w:szCs w:val="21"/>
        </w:rPr>
      </w:pPr>
      <w:r>
        <w:rPr>
          <w:rFonts w:ascii="宋体" w:hAnsi="宋体" w:cs="宋体"/>
          <w:b/>
          <w:bCs/>
          <w:color w:val="auto"/>
          <w:szCs w:val="21"/>
        </w:rPr>
        <w:t>1.</w:t>
      </w:r>
      <w:r>
        <w:rPr>
          <w:rFonts w:hint="eastAsia" w:ascii="宋体" w:hAnsi="宋体" w:cs="宋体"/>
          <w:b/>
          <w:bCs/>
          <w:color w:val="auto"/>
          <w:szCs w:val="21"/>
        </w:rPr>
        <w:t>在资格审查时，如发现下列情形之一的，投标文件将被视为无效：</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）不具备招标文件中规定的资格要求的；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）招标文件要求必须提供的资格部分文件不齐全或者内容虚假的；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）法律、法规和招标文件规定的其他无效情形。</w:t>
      </w:r>
    </w:p>
    <w:p>
      <w:pPr>
        <w:pStyle w:val="4"/>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2.</w:t>
      </w:r>
      <w:r>
        <w:rPr>
          <w:rFonts w:hint="eastAsia" w:ascii="宋体" w:hAnsi="宋体" w:eastAsia="宋体" w:cs="宋体"/>
          <w:b/>
          <w:bCs/>
          <w:color w:val="auto"/>
          <w:sz w:val="21"/>
          <w:szCs w:val="21"/>
        </w:rPr>
        <w:t>在商务性及技术评审时，如发现下列情形之一的，投标文件将被视为无效：</w:t>
      </w:r>
    </w:p>
    <w:p>
      <w:pPr>
        <w:pStyle w:val="4"/>
        <w:snapToGrid w:val="0"/>
        <w:spacing w:line="400" w:lineRule="exact"/>
        <w:ind w:firstLine="411" w:firstLineChars="196"/>
        <w:rPr>
          <w:rFonts w:ascii="宋体" w:hAnsi="宋体" w:eastAsia="宋体" w:cs="宋体"/>
          <w:color w:val="auto"/>
          <w:kern w:val="2"/>
          <w:sz w:val="21"/>
          <w:szCs w:val="21"/>
        </w:rPr>
      </w:pPr>
      <w:r>
        <w:rPr>
          <w:rFonts w:hint="eastAsia" w:ascii="宋体" w:hAnsi="宋体" w:eastAsia="宋体" w:cs="宋体"/>
          <w:color w:val="auto"/>
          <w:kern w:val="2"/>
          <w:sz w:val="21"/>
          <w:szCs w:val="21"/>
        </w:rPr>
        <w:t>（</w:t>
      </w:r>
      <w:r>
        <w:rPr>
          <w:rFonts w:ascii="宋体" w:hAnsi="宋体" w:eastAsia="宋体" w:cs="宋体"/>
          <w:color w:val="auto"/>
          <w:kern w:val="2"/>
          <w:sz w:val="21"/>
          <w:szCs w:val="21"/>
        </w:rPr>
        <w:t>1</w:t>
      </w:r>
      <w:r>
        <w:rPr>
          <w:rFonts w:hint="eastAsia" w:ascii="宋体" w:hAnsi="宋体" w:eastAsia="宋体" w:cs="宋体"/>
          <w:color w:val="auto"/>
          <w:kern w:val="2"/>
          <w:sz w:val="21"/>
          <w:szCs w:val="21"/>
        </w:rPr>
        <w:t>）未按照招标文件的规定提交投标声明书的；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）投标文件未按招标文件要求签署、盖章的；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snapToGrid w:val="0"/>
          <w:color w:val="auto"/>
          <w:sz w:val="21"/>
          <w:szCs w:val="21"/>
        </w:rPr>
        <w:t>3</w:t>
      </w:r>
      <w:r>
        <w:rPr>
          <w:rFonts w:hint="eastAsia" w:ascii="宋体" w:hAnsi="宋体" w:eastAsia="宋体" w:cs="宋体"/>
          <w:snapToGrid w:val="0"/>
          <w:color w:val="auto"/>
          <w:sz w:val="21"/>
          <w:szCs w:val="21"/>
        </w:rPr>
        <w:t>）</w:t>
      </w:r>
      <w:r>
        <w:rPr>
          <w:rFonts w:hint="eastAsia" w:ascii="宋体" w:hAnsi="宋体" w:eastAsia="宋体" w:cs="宋体"/>
          <w:color w:val="auto"/>
          <w:sz w:val="21"/>
          <w:szCs w:val="21"/>
        </w:rPr>
        <w:t>招标文件要求必须提供的商务及技术部分的文件不齐全或者内容虚假的；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4</w:t>
      </w:r>
      <w:r>
        <w:rPr>
          <w:rFonts w:hint="eastAsia" w:ascii="宋体" w:hAnsi="宋体" w:eastAsia="宋体"/>
          <w:color w:val="auto"/>
          <w:sz w:val="21"/>
          <w:szCs w:val="21"/>
        </w:rPr>
        <w:t>）投标文件的实质性内容未使用中文表述、意思表述不明确、前后矛盾或者使用计量单位不符合招标文件要求的（经评标委员会认定并允许其当场更正的笔误除外）</w:t>
      </w:r>
    </w:p>
    <w:p>
      <w:pPr>
        <w:pStyle w:val="4"/>
        <w:snapToGrid w:val="0"/>
        <w:spacing w:line="400" w:lineRule="exact"/>
        <w:ind w:firstLine="411" w:firstLineChars="196"/>
        <w:rPr>
          <w:rFonts w:ascii="宋体" w:hAnsi="宋体" w:eastAsia="宋体" w:cs="宋体"/>
          <w:snapToGrid w:val="0"/>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投标有效期、交货时间、质保期等商务条款不能满足招标文件要求的；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）投标文件有采购人不能接受的附加条件的；</w:t>
      </w:r>
    </w:p>
    <w:p>
      <w:pPr>
        <w:pStyle w:val="4"/>
        <w:snapToGrid w:val="0"/>
        <w:spacing w:line="400" w:lineRule="exact"/>
        <w:ind w:right="-143" w:rightChars="-68"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7</w:t>
      </w:r>
      <w:r>
        <w:rPr>
          <w:rFonts w:hint="eastAsia" w:ascii="宋体" w:hAnsi="宋体" w:eastAsia="宋体" w:cs="宋体"/>
          <w:color w:val="auto"/>
          <w:sz w:val="21"/>
          <w:szCs w:val="21"/>
        </w:rPr>
        <w:t>）</w:t>
      </w:r>
      <w:r>
        <w:rPr>
          <w:rFonts w:hint="eastAsia" w:ascii="宋体" w:hAnsi="宋体" w:eastAsia="宋体" w:cs="宋体"/>
          <w:color w:val="auto"/>
          <w:spacing w:val="-6"/>
          <w:sz w:val="21"/>
          <w:szCs w:val="21"/>
        </w:rPr>
        <w:t>未提供或未如实提供投标货物的技术参数，或者投标文件标明的响应或偏离与事实不符或虚假投标的</w:t>
      </w:r>
      <w:r>
        <w:rPr>
          <w:rFonts w:hint="eastAsia" w:ascii="宋体" w:hAnsi="宋体" w:eastAsia="宋体" w:cs="宋体"/>
          <w:color w:val="auto"/>
          <w:spacing w:val="-2"/>
          <w:sz w:val="21"/>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8</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明显不符合招标文件要求的规格型号、质量标准，或者与</w:t>
      </w:r>
      <w:r>
        <w:rPr>
          <w:rFonts w:hint="eastAsia" w:ascii="宋体" w:hAnsi="宋体" w:eastAsia="宋体" w:cs="宋体"/>
          <w:color w:val="auto"/>
          <w:sz w:val="21"/>
          <w:szCs w:val="21"/>
        </w:rPr>
        <w:t>招标文件中标“★”的技术指标、主要功能项目、商务条款要求发生实质性偏离的；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9</w:t>
      </w:r>
      <w:r>
        <w:rPr>
          <w:rFonts w:hint="eastAsia" w:ascii="宋体" w:hAnsi="宋体" w:eastAsia="宋体" w:cs="宋体"/>
          <w:color w:val="auto"/>
          <w:sz w:val="21"/>
          <w:szCs w:val="21"/>
        </w:rPr>
        <w:t>）</w:t>
      </w:r>
      <w:r>
        <w:rPr>
          <w:rFonts w:hint="eastAsia" w:ascii="宋体" w:hAnsi="宋体" w:eastAsia="宋体"/>
          <w:color w:val="auto"/>
          <w:spacing w:val="-6"/>
          <w:sz w:val="21"/>
          <w:szCs w:val="21"/>
        </w:rPr>
        <w:t>经评委评定，允许偏离的技术、性能指标或者辅助功能项目发生负偏离的项数达</w:t>
      </w:r>
      <w:r>
        <w:rPr>
          <w:rFonts w:ascii="宋体" w:hAnsi="宋体" w:eastAsia="宋体"/>
          <w:color w:val="auto"/>
          <w:spacing w:val="-6"/>
          <w:sz w:val="21"/>
          <w:szCs w:val="21"/>
        </w:rPr>
        <w:t xml:space="preserve"> </w:t>
      </w:r>
      <w:r>
        <w:rPr>
          <w:rFonts w:ascii="宋体" w:hAnsi="宋体" w:eastAsia="宋体"/>
          <w:color w:val="auto"/>
          <w:spacing w:val="-6"/>
          <w:sz w:val="21"/>
          <w:szCs w:val="21"/>
          <w:u w:val="single"/>
        </w:rPr>
        <w:t xml:space="preserve">17 </w:t>
      </w:r>
      <w:r>
        <w:rPr>
          <w:rFonts w:hint="eastAsia" w:ascii="宋体" w:hAnsi="宋体" w:eastAsia="宋体"/>
          <w:color w:val="auto"/>
          <w:spacing w:val="-6"/>
          <w:sz w:val="21"/>
          <w:szCs w:val="21"/>
        </w:rPr>
        <w:t>项（含）以上的</w:t>
      </w:r>
      <w:r>
        <w:rPr>
          <w:rFonts w:hint="eastAsia" w:ascii="宋体" w:hAnsi="宋体" w:eastAsia="宋体"/>
          <w:color w:val="auto"/>
          <w:sz w:val="21"/>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10</w:t>
      </w:r>
      <w:r>
        <w:rPr>
          <w:rFonts w:hint="eastAsia" w:ascii="宋体" w:hAnsi="宋体" w:eastAsia="宋体" w:cs="宋体"/>
          <w:color w:val="auto"/>
          <w:sz w:val="21"/>
          <w:szCs w:val="21"/>
        </w:rPr>
        <w:t>）投标技术方案不明确，存在一个或一个以上备选（替代）投标方案的；</w:t>
      </w:r>
    </w:p>
    <w:p>
      <w:pPr>
        <w:pStyle w:val="4"/>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3.</w:t>
      </w:r>
      <w:r>
        <w:rPr>
          <w:rFonts w:hint="eastAsia" w:ascii="宋体" w:hAnsi="宋体" w:eastAsia="宋体" w:cs="宋体"/>
          <w:b/>
          <w:bCs/>
          <w:color w:val="auto"/>
          <w:sz w:val="21"/>
          <w:szCs w:val="21"/>
        </w:rPr>
        <w:t>在报价评审时，如发现下列情形之一的，投标文件将被视为无效：</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t>未按照招标文件的规定提交投标函的；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）未采用人民币报价或者未按照招标文件标明的币种报价的；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）报价超出最高限价，或者超出采购预算金额，采购人不能支付的；</w:t>
      </w:r>
    </w:p>
    <w:p>
      <w:pPr>
        <w:pStyle w:val="4"/>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）投标报价不是唯一报价，具有选择性。</w:t>
      </w:r>
    </w:p>
    <w:p>
      <w:pPr>
        <w:spacing w:line="400" w:lineRule="exact"/>
        <w:ind w:firstLine="413" w:firstLineChars="196"/>
        <w:rPr>
          <w:rFonts w:ascii="宋体" w:cs="宋体"/>
          <w:b/>
          <w:color w:val="auto"/>
          <w:sz w:val="24"/>
        </w:rPr>
      </w:pPr>
      <w:r>
        <w:rPr>
          <w:rFonts w:ascii="宋体" w:hAnsi="宋体" w:cs="宋体"/>
          <w:b/>
          <w:color w:val="auto"/>
          <w:szCs w:val="21"/>
        </w:rPr>
        <w:t>4.</w:t>
      </w:r>
      <w:r>
        <w:rPr>
          <w:rFonts w:hint="eastAsia" w:ascii="宋体" w:hAnsi="宋体" w:cs="宋体"/>
          <w:b/>
          <w:bCs/>
          <w:color w:val="auto"/>
          <w:kern w:val="0"/>
          <w:szCs w:val="21"/>
        </w:rPr>
        <w:t>有下列情形之一的视为投标人相互串通投标，投标文件将被视为无效</w:t>
      </w:r>
      <w:r>
        <w:rPr>
          <w:rFonts w:hint="eastAsia" w:ascii="宋体" w:hAnsi="宋体" w:cs="宋体"/>
          <w:b/>
          <w:bCs/>
          <w:color w:val="auto"/>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）不同投标人的投标文件由同一单位或者个人编制；</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）不同投标人委托同一单位或者个人办理投标事宜；</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）不同的投标人的投标文件载明的项目管理员为同一个人；</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）不同投标人的投标文件异常一致或投标报价呈规律性差异；</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）不同投标人的投标文件相互混装；</w:t>
      </w:r>
    </w:p>
    <w:p>
      <w:pPr>
        <w:spacing w:line="400" w:lineRule="exact"/>
        <w:ind w:firstLine="413" w:firstLineChars="196"/>
        <w:rPr>
          <w:rFonts w:ascii="宋体" w:cs="宋体"/>
          <w:b/>
          <w:bCs/>
          <w:color w:val="auto"/>
          <w:kern w:val="0"/>
          <w:szCs w:val="21"/>
        </w:rPr>
      </w:pPr>
      <w:r>
        <w:rPr>
          <w:rFonts w:ascii="宋体" w:hAnsi="宋体" w:cs="宋体"/>
          <w:b/>
          <w:bCs/>
          <w:color w:val="auto"/>
          <w:kern w:val="0"/>
          <w:szCs w:val="21"/>
        </w:rPr>
        <w:t>5</w:t>
      </w:r>
      <w:r>
        <w:rPr>
          <w:rFonts w:ascii="宋体" w:cs="宋体"/>
          <w:b/>
          <w:color w:val="auto"/>
          <w:szCs w:val="21"/>
        </w:rPr>
        <w:t>.</w:t>
      </w:r>
      <w:r>
        <w:rPr>
          <w:rFonts w:hint="eastAsia" w:ascii="宋体" w:hAnsi="宋体" w:cs="宋体"/>
          <w:b/>
          <w:bCs/>
          <w:color w:val="auto"/>
          <w:kern w:val="0"/>
          <w:szCs w:val="21"/>
        </w:rPr>
        <w:t>关联供应商不得参加同一合同项下政府采购活动，否则投标文件将被视为无效</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单位负责人为同一人或者存在直接控股、管理关系的不同的供应商，不得参加同一合同项下的政府采购活动。</w:t>
      </w:r>
    </w:p>
    <w:p>
      <w:pPr>
        <w:pStyle w:val="4"/>
        <w:numPr>
          <w:ilvl w:val="0"/>
          <w:numId w:val="8"/>
        </w:numPr>
        <w:snapToGrid w:val="0"/>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被拒绝的投标文件为无效。</w:t>
      </w:r>
    </w:p>
    <w:p>
      <w:pPr>
        <w:pStyle w:val="4"/>
        <w:snapToGrid w:val="0"/>
        <w:spacing w:line="400" w:lineRule="exact"/>
        <w:ind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（八）废标</w:t>
      </w:r>
    </w:p>
    <w:p>
      <w:pPr>
        <w:pStyle w:val="4"/>
        <w:snapToGrid w:val="0"/>
        <w:spacing w:line="400" w:lineRule="exact"/>
        <w:ind w:firstLine="422" w:firstLineChars="200"/>
        <w:rPr>
          <w:rFonts w:ascii="宋体" w:hAnsi="宋体" w:eastAsia="宋体" w:cs="宋体"/>
          <w:b/>
          <w:color w:val="auto"/>
          <w:sz w:val="21"/>
          <w:szCs w:val="21"/>
        </w:rPr>
      </w:pPr>
      <w:r>
        <w:rPr>
          <w:rFonts w:ascii="宋体" w:hAnsi="宋体" w:eastAsia="宋体" w:cs="宋体"/>
          <w:b/>
          <w:color w:val="auto"/>
          <w:sz w:val="21"/>
          <w:szCs w:val="21"/>
        </w:rPr>
        <w:t>1.</w:t>
      </w:r>
      <w:r>
        <w:rPr>
          <w:rFonts w:hint="eastAsia" w:ascii="宋体" w:hAnsi="宋体" w:eastAsia="宋体" w:cs="宋体"/>
          <w:b/>
          <w:color w:val="auto"/>
          <w:sz w:val="21"/>
          <w:szCs w:val="21"/>
        </w:rPr>
        <w:t>招标采购项目出现下列情形之一的，采购代理机构将予废标：</w:t>
      </w:r>
    </w:p>
    <w:p>
      <w:pPr>
        <w:pStyle w:val="4"/>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⑴评标过程中符合专业条件或者对招标文件作实质响应的投标人不足三家的；</w:t>
      </w:r>
    </w:p>
    <w:p>
      <w:pPr>
        <w:pStyle w:val="4"/>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⑵出现影响采购公正的违法、违规行为的；</w:t>
      </w:r>
    </w:p>
    <w:p>
      <w:pPr>
        <w:pStyle w:val="4"/>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⑶投标人的报价均超过了采购预算价的；</w:t>
      </w:r>
    </w:p>
    <w:p>
      <w:pPr>
        <w:pStyle w:val="4"/>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⑷因重大变故，采购任务取消的。</w:t>
      </w:r>
    </w:p>
    <w:p>
      <w:pPr>
        <w:pStyle w:val="4"/>
        <w:snapToGrid w:val="0"/>
        <w:spacing w:line="400" w:lineRule="exact"/>
        <w:ind w:firstLine="417" w:firstLineChars="198"/>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eastAsia="宋体" w:cs="宋体"/>
          <w:b/>
          <w:color w:val="auto"/>
          <w:sz w:val="21"/>
          <w:szCs w:val="21"/>
        </w:rPr>
        <w:t>废标后，采购代理机构将把废标理由通知所有投标人。</w:t>
      </w:r>
    </w:p>
    <w:p>
      <w:pPr>
        <w:pStyle w:val="4"/>
        <w:snapToGrid w:val="0"/>
        <w:spacing w:line="400" w:lineRule="exact"/>
        <w:ind w:firstLine="0" w:firstLineChars="0"/>
        <w:rPr>
          <w:rFonts w:ascii="宋体" w:hAnsi="宋体" w:eastAsia="宋体" w:cs="宋体"/>
          <w:b/>
          <w:color w:val="auto"/>
          <w:sz w:val="21"/>
          <w:szCs w:val="21"/>
        </w:rPr>
      </w:pPr>
    </w:p>
    <w:p>
      <w:pPr>
        <w:pStyle w:val="4"/>
        <w:snapToGrid w:val="0"/>
        <w:spacing w:line="400" w:lineRule="exact"/>
        <w:ind w:firstLine="0" w:firstLineChars="0"/>
        <w:outlineLvl w:val="1"/>
        <w:rPr>
          <w:rFonts w:ascii="宋体" w:hAnsi="宋体" w:eastAsia="宋体" w:cs="宋体"/>
          <w:b/>
          <w:snapToGrid w:val="0"/>
          <w:color w:val="auto"/>
          <w:sz w:val="21"/>
          <w:szCs w:val="21"/>
        </w:rPr>
      </w:pPr>
      <w:bookmarkStart w:id="255" w:name="_Toc445223680"/>
      <w:bookmarkStart w:id="256" w:name="_Toc483327811"/>
      <w:bookmarkStart w:id="257" w:name="_Toc448421142"/>
      <w:bookmarkStart w:id="258" w:name="_Toc254970544"/>
      <w:bookmarkStart w:id="259" w:name="_Toc482864551"/>
      <w:bookmarkStart w:id="260" w:name="_Toc482865322"/>
      <w:bookmarkStart w:id="261" w:name="_Toc308018677"/>
      <w:bookmarkStart w:id="262" w:name="_Toc24015"/>
      <w:bookmarkStart w:id="263" w:name="_Toc400465713"/>
      <w:bookmarkStart w:id="264" w:name="_Toc482865152"/>
      <w:bookmarkStart w:id="265" w:name="_Toc293863053"/>
      <w:bookmarkStart w:id="266" w:name="_Toc254970685"/>
      <w:bookmarkStart w:id="267" w:name="_Toc293863320"/>
      <w:r>
        <w:rPr>
          <w:rFonts w:hint="eastAsia" w:ascii="宋体" w:hAnsi="宋体" w:eastAsia="宋体" w:cs="宋体"/>
          <w:b/>
          <w:color w:val="auto"/>
          <w:sz w:val="21"/>
          <w:szCs w:val="21"/>
        </w:rPr>
        <w:t>四、开标</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（一）开标准备</w:t>
      </w:r>
    </w:p>
    <w:p>
      <w:pPr>
        <w:pStyle w:val="23"/>
        <w:snapToGrid w:val="0"/>
        <w:spacing w:line="400" w:lineRule="exact"/>
        <w:ind w:firstLine="411" w:firstLineChars="196"/>
        <w:rPr>
          <w:rFonts w:hAnsi="宋体" w:cs="宋体"/>
          <w:bCs/>
          <w:color w:val="auto"/>
          <w:sz w:val="21"/>
        </w:rPr>
      </w:pPr>
      <w:r>
        <w:rPr>
          <w:rFonts w:hint="eastAsia" w:hAnsi="宋体" w:cs="宋体"/>
          <w:bCs/>
          <w:color w:val="auto"/>
          <w:sz w:val="21"/>
        </w:rPr>
        <w:t>采购代理机构将在规定的时间和地点进行开标，投标人的法定代表人或其委托代理人必须持证件</w:t>
      </w:r>
      <w:r>
        <w:rPr>
          <w:rFonts w:hint="eastAsia" w:hAnsi="宋体" w:cs="宋体"/>
          <w:b/>
          <w:color w:val="auto"/>
          <w:sz w:val="21"/>
        </w:rPr>
        <w:t>（法定代表人须持法人身份证明书原件、本人有效身份证原件；委托代理人须持法定代表人授权委托书原件、本人有效身份证原件）</w:t>
      </w:r>
      <w:r>
        <w:rPr>
          <w:rFonts w:hint="eastAsia" w:hAnsi="宋体" w:cs="宋体"/>
          <w:bCs/>
          <w:color w:val="auto"/>
          <w:sz w:val="21"/>
        </w:rPr>
        <w:t>参加开标会并签到，不按规定出席开标会的，其投标无效。投标时间截止后，参加投标的投标人不足三家的，应予废标。</w:t>
      </w:r>
    </w:p>
    <w:p>
      <w:pPr>
        <w:pStyle w:val="23"/>
        <w:numPr>
          <w:ilvl w:val="0"/>
          <w:numId w:val="9"/>
        </w:numPr>
        <w:snapToGrid w:val="0"/>
        <w:spacing w:line="400" w:lineRule="exact"/>
        <w:ind w:firstLine="413"/>
        <w:rPr>
          <w:rFonts w:hAnsi="宋体" w:cs="宋体"/>
          <w:b/>
          <w:color w:val="auto"/>
          <w:sz w:val="21"/>
        </w:rPr>
      </w:pPr>
      <w:r>
        <w:rPr>
          <w:rFonts w:hint="eastAsia" w:hAnsi="宋体" w:cs="宋体"/>
          <w:b/>
          <w:color w:val="auto"/>
          <w:sz w:val="21"/>
        </w:rPr>
        <w:t>开标程序</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）招标代理机构主持人宣布开标会议开始；</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）公布在投标截止时间前递交投标文件的投标人数量；</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）介绍参加开标会议的人员名单（包括投标人代表、招标人代表和招标代理机构工作人员）；</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）宣布开标纪律；</w:t>
      </w:r>
    </w:p>
    <w:p>
      <w:pPr>
        <w:spacing w:line="360" w:lineRule="exact"/>
        <w:ind w:firstLine="485" w:firstLineChars="231"/>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）招标人代表检验参加开标会的各投标人的法定代表人或其委托代理人（如委托）的有效证明材料：</w:t>
      </w:r>
      <w:r>
        <w:rPr>
          <w:rFonts w:hint="eastAsia" w:ascii="宋体" w:hAnsi="宋体" w:cs="宋体"/>
          <w:b/>
          <w:bCs/>
          <w:color w:val="auto"/>
          <w:szCs w:val="21"/>
        </w:rPr>
        <w:t>【法定代表人凭法定代表人身份证明书原件和身份证原件或委托代理人凭法定代表人授权委托书原件和身份证原件】</w:t>
      </w:r>
      <w:r>
        <w:rPr>
          <w:rFonts w:hint="eastAsia" w:ascii="宋体" w:hAnsi="宋体" w:cs="宋体"/>
          <w:color w:val="auto"/>
          <w:szCs w:val="21"/>
        </w:rPr>
        <w:t>，资格证件不齐、无效的，投标文件不予启封并作无效投标处理；</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）当众宣布核查结果；</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）各投标人的代表交叉检验各投标文件密封的完整性并签字确认；</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）招标代理机构工作人员启封投标文件，对未按规定密封和逾期送达的投标文件不予启封；</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9</w:t>
      </w:r>
      <w:r>
        <w:rPr>
          <w:rFonts w:hint="eastAsia" w:hAnsi="宋体" w:cs="宋体"/>
          <w:color w:val="auto"/>
          <w:sz w:val="21"/>
        </w:rPr>
        <w:t>）唱标。由招标代理机构工作人员当众拆封开标一览表，宣读投标人名称、投标报价、书面修改和撤回投标的通知等，未宣读的投标报价和招标文件允许提供的备选投标方案等实质内容，评标时不予承认；</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）主持人宣布评标期间的有关事项；</w:t>
      </w:r>
    </w:p>
    <w:p>
      <w:pPr>
        <w:spacing w:line="360" w:lineRule="exact"/>
        <w:ind w:firstLine="420" w:firstLineChars="200"/>
        <w:rPr>
          <w:rFonts w:hAnsi="宋体" w:cs="宋体"/>
          <w:color w:val="auto"/>
        </w:rPr>
      </w:pPr>
      <w:r>
        <w:rPr>
          <w:rFonts w:hint="eastAsia" w:ascii="宋体" w:hAnsi="宋体" w:cs="宋体"/>
          <w:color w:val="auto"/>
          <w:szCs w:val="21"/>
        </w:rPr>
        <w:t>（</w:t>
      </w:r>
      <w:r>
        <w:rPr>
          <w:rFonts w:ascii="宋体" w:hAnsi="宋体" w:cs="宋体"/>
          <w:color w:val="auto"/>
          <w:szCs w:val="21"/>
        </w:rPr>
        <w:t>11</w:t>
      </w:r>
      <w:r>
        <w:rPr>
          <w:rFonts w:hint="eastAsia" w:ascii="宋体" w:hAnsi="宋体" w:cs="宋体"/>
          <w:color w:val="auto"/>
          <w:szCs w:val="21"/>
        </w:rPr>
        <w:t>）主持人宣布开标会议结束。</w:t>
      </w:r>
    </w:p>
    <w:p>
      <w:pPr>
        <w:widowControl/>
        <w:spacing w:line="400" w:lineRule="exact"/>
        <w:ind w:firstLine="420" w:firstLineChars="200"/>
        <w:contextualSpacing/>
        <w:jc w:val="left"/>
        <w:rPr>
          <w:rFonts w:ascii="宋体" w:cs="宋体"/>
          <w:color w:val="auto"/>
        </w:rPr>
      </w:pPr>
      <w:r>
        <w:rPr>
          <w:rFonts w:ascii="宋体" w:hAnsi="宋体" w:cs="宋体"/>
          <w:color w:val="auto"/>
        </w:rPr>
        <w:t xml:space="preserve"> </w:t>
      </w:r>
      <w:r>
        <w:rPr>
          <w:rFonts w:hint="eastAsia" w:ascii="宋体" w:hAnsi="宋体" w:cs="宋体"/>
          <w:color w:val="auto"/>
          <w:kern w:val="0"/>
          <w:szCs w:val="21"/>
        </w:rPr>
        <w:t>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pPr>
        <w:pStyle w:val="23"/>
        <w:snapToGrid w:val="0"/>
        <w:spacing w:line="400" w:lineRule="exact"/>
        <w:outlineLvl w:val="1"/>
        <w:rPr>
          <w:rFonts w:hAnsi="宋体" w:cs="宋体"/>
          <w:b/>
          <w:color w:val="auto"/>
          <w:sz w:val="21"/>
        </w:rPr>
      </w:pPr>
      <w:bookmarkStart w:id="268" w:name="_Toc293863054"/>
      <w:bookmarkStart w:id="269" w:name="_Toc308018678"/>
      <w:bookmarkStart w:id="270" w:name="_Toc482865153"/>
      <w:bookmarkStart w:id="271" w:name="_Toc448421143"/>
      <w:bookmarkStart w:id="272" w:name="_Toc293863321"/>
      <w:bookmarkStart w:id="273" w:name="_Toc254970545"/>
      <w:bookmarkStart w:id="274" w:name="_Toc483327812"/>
      <w:bookmarkStart w:id="275" w:name="_Toc482865323"/>
      <w:bookmarkStart w:id="276" w:name="_Toc254970686"/>
      <w:bookmarkStart w:id="277" w:name="_Toc482864552"/>
      <w:bookmarkStart w:id="278" w:name="_Toc400465714"/>
      <w:bookmarkStart w:id="279" w:name="_Toc445223681"/>
      <w:bookmarkStart w:id="280" w:name="_Toc14966"/>
      <w:r>
        <w:rPr>
          <w:rFonts w:hint="eastAsia" w:hAnsi="宋体" w:cs="宋体"/>
          <w:b/>
          <w:color w:val="auto"/>
          <w:sz w:val="21"/>
        </w:rPr>
        <w:t>五、评标</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（一）组建评标委员会</w:t>
      </w:r>
    </w:p>
    <w:p>
      <w:pPr>
        <w:pStyle w:val="23"/>
        <w:snapToGrid w:val="0"/>
        <w:spacing w:line="400" w:lineRule="exact"/>
        <w:ind w:firstLine="489" w:firstLineChars="233"/>
        <w:rPr>
          <w:rFonts w:hAnsi="宋体" w:cs="宋体"/>
          <w:color w:val="auto"/>
          <w:sz w:val="21"/>
        </w:rPr>
      </w:pPr>
      <w:r>
        <w:rPr>
          <w:rFonts w:hint="eastAsia" w:hAnsi="宋体" w:cs="宋体"/>
          <w:color w:val="auto"/>
          <w:sz w:val="21"/>
        </w:rPr>
        <w:t>本项目评标委员会的组成详见投标人须知前附表第</w:t>
      </w:r>
      <w:r>
        <w:rPr>
          <w:rFonts w:hAnsi="宋体" w:cs="宋体"/>
          <w:color w:val="auto"/>
          <w:sz w:val="21"/>
        </w:rPr>
        <w:t>10</w:t>
      </w:r>
      <w:r>
        <w:rPr>
          <w:rFonts w:hint="eastAsia" w:hAnsi="宋体" w:cs="宋体"/>
          <w:color w:val="auto"/>
          <w:sz w:val="21"/>
        </w:rPr>
        <w:t>条。</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（二）评标的方式</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本项目采用不公开方式评标，评标的依据为招标文件和投标文件。</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（三）</w:t>
      </w:r>
      <w:r>
        <w:rPr>
          <w:rFonts w:hint="eastAsia" w:hAnsi="宋体" w:cs="宋体"/>
          <w:b/>
          <w:bCs/>
          <w:color w:val="auto"/>
          <w:sz w:val="21"/>
        </w:rPr>
        <w:t>评标程序</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 xml:space="preserve">1. </w:t>
      </w:r>
      <w:r>
        <w:rPr>
          <w:rFonts w:hint="eastAsia" w:ascii="宋体" w:hAnsi="宋体" w:cs="宋体"/>
          <w:b/>
          <w:bCs/>
          <w:color w:val="auto"/>
          <w:szCs w:val="21"/>
        </w:rPr>
        <w:t>资格审查</w:t>
      </w:r>
    </w:p>
    <w:p>
      <w:pPr>
        <w:snapToGrid w:val="0"/>
        <w:spacing w:line="400" w:lineRule="exact"/>
        <w:ind w:right="-336" w:rightChars="-160" w:firstLine="420" w:firstLineChars="200"/>
        <w:rPr>
          <w:rFonts w:ascii="宋体" w:cs="宋体"/>
          <w:b/>
          <w:color w:val="auto"/>
          <w:spacing w:val="-2"/>
          <w:szCs w:val="21"/>
        </w:rPr>
      </w:pPr>
      <w:r>
        <w:rPr>
          <w:rFonts w:hint="eastAsia" w:ascii="宋体" w:hAnsi="宋体" w:cs="宋体"/>
          <w:color w:val="auto"/>
          <w:szCs w:val="21"/>
        </w:rPr>
        <w:t>采购人或采购代理机构依法对投标人的资格进行审查</w:t>
      </w:r>
      <w:r>
        <w:rPr>
          <w:rFonts w:hint="eastAsia" w:ascii="宋体" w:hAnsi="宋体" w:cs="宋体"/>
          <w:color w:val="auto"/>
          <w:spacing w:val="-2"/>
          <w:szCs w:val="21"/>
        </w:rPr>
        <w:t>。</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实质审查与比较</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1</w:t>
      </w:r>
      <w:r>
        <w:rPr>
          <w:rFonts w:hint="eastAsia" w:hAnsi="宋体" w:cs="宋体"/>
          <w:color w:val="auto"/>
          <w:sz w:val="21"/>
        </w:rPr>
        <w:t>）评标委员会应当对符合资格要求的投标人的投标文件进行商务和技术审查，以确定其是否满足招标文件的实质性要求。</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2</w:t>
      </w:r>
      <w:r>
        <w:rPr>
          <w:rFonts w:hint="eastAsia" w:hAnsi="宋体" w:cs="宋体"/>
          <w:color w:val="auto"/>
          <w:sz w:val="21"/>
        </w:rPr>
        <w:t>）评标委员会应当按照招标文件第四章规定的评标原则和评标标准，对商务和技术审查合格的投标文件进行评审，综合比较与评价。</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3</w:t>
      </w:r>
      <w:r>
        <w:rPr>
          <w:rFonts w:hint="eastAsia" w:hAnsi="宋体" w:cs="宋体"/>
          <w:color w:val="auto"/>
          <w:sz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投标人代表未到场或者拒绝澄清或者澄清的内容改变了投标文件的实质性内容的，评标委员会有权视该投标文件为无效。</w:t>
      </w:r>
    </w:p>
    <w:p>
      <w:pPr>
        <w:pStyle w:val="23"/>
        <w:tabs>
          <w:tab w:val="left" w:pos="420"/>
        </w:tabs>
        <w:snapToGrid w:val="0"/>
        <w:spacing w:line="400" w:lineRule="exact"/>
        <w:ind w:firstLine="420" w:firstLineChars="200"/>
        <w:rPr>
          <w:rFonts w:hAnsi="宋体" w:cs="宋体"/>
          <w:color w:val="auto"/>
        </w:rPr>
      </w:pPr>
      <w:r>
        <w:rPr>
          <w:rFonts w:hint="eastAsia" w:hAnsi="宋体" w:cs="宋体"/>
          <w:color w:val="auto"/>
          <w:sz w:val="21"/>
        </w:rPr>
        <w:t>（</w:t>
      </w:r>
      <w:r>
        <w:rPr>
          <w:rFonts w:hAnsi="宋体" w:cs="宋体"/>
          <w:color w:val="auto"/>
          <w:sz w:val="21"/>
        </w:rPr>
        <w:t>4</w:t>
      </w:r>
      <w:r>
        <w:rPr>
          <w:rFonts w:hint="eastAsia" w:hAnsi="宋体" w:cs="宋体"/>
          <w:color w:val="auto"/>
          <w:sz w:val="21"/>
        </w:rPr>
        <w:t>）评标委员会完成评标后，评委对各部分得分汇总，计算出本项目进入详评的所有投标人的最终得分。评标委员会按中标候选人</w:t>
      </w:r>
      <w:r>
        <w:rPr>
          <w:rFonts w:hint="eastAsia" w:hAnsi="宋体" w:cs="宋体"/>
          <w:bCs/>
          <w:color w:val="auto"/>
          <w:sz w:val="21"/>
        </w:rPr>
        <w:t>推荐原则</w:t>
      </w:r>
      <w:r>
        <w:rPr>
          <w:rFonts w:hint="eastAsia" w:hAnsi="宋体" w:cs="宋体"/>
          <w:color w:val="auto"/>
          <w:sz w:val="21"/>
        </w:rPr>
        <w:t>推荐中标候选人同时起草评标报告。</w:t>
      </w:r>
    </w:p>
    <w:p>
      <w:pPr>
        <w:snapToGrid w:val="0"/>
        <w:spacing w:line="400" w:lineRule="exact"/>
        <w:ind w:firstLine="422" w:firstLineChars="200"/>
        <w:rPr>
          <w:rFonts w:ascii="宋体" w:cs="宋体"/>
          <w:b/>
          <w:color w:val="auto"/>
          <w:szCs w:val="21"/>
        </w:rPr>
      </w:pPr>
      <w:r>
        <w:rPr>
          <w:rFonts w:hint="eastAsia" w:ascii="宋体" w:hAnsi="宋体" w:cs="宋体"/>
          <w:b/>
          <w:bCs/>
          <w:color w:val="auto"/>
          <w:szCs w:val="21"/>
        </w:rPr>
        <w:t>（四）</w:t>
      </w:r>
      <w:r>
        <w:rPr>
          <w:rFonts w:hint="eastAsia" w:ascii="宋体" w:hAnsi="宋体" w:cs="宋体"/>
          <w:b/>
          <w:color w:val="auto"/>
          <w:szCs w:val="21"/>
        </w:rPr>
        <w:t>澄清问题的形式</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23"/>
        <w:snapToGrid w:val="0"/>
        <w:spacing w:line="400" w:lineRule="exact"/>
        <w:ind w:left="690" w:leftChars="228" w:hanging="211" w:hangingChars="100"/>
        <w:rPr>
          <w:rFonts w:hAnsi="宋体" w:cs="宋体"/>
          <w:b/>
          <w:color w:val="auto"/>
          <w:sz w:val="21"/>
        </w:rPr>
      </w:pPr>
      <w:r>
        <w:rPr>
          <w:rFonts w:hint="eastAsia" w:hAnsi="宋体" w:cs="宋体"/>
          <w:b/>
          <w:bCs/>
          <w:color w:val="auto"/>
          <w:sz w:val="21"/>
        </w:rPr>
        <w:t>（五）</w:t>
      </w:r>
      <w:r>
        <w:rPr>
          <w:rFonts w:hint="eastAsia" w:hAnsi="宋体" w:cs="宋体"/>
          <w:b/>
          <w:color w:val="auto"/>
          <w:sz w:val="21"/>
        </w:rPr>
        <w:t>错误修正</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投标文件如果出现计算或表达上的错误，修正错误的原则如下：</w:t>
      </w:r>
    </w:p>
    <w:p>
      <w:pPr>
        <w:pStyle w:val="23"/>
        <w:numPr>
          <w:ilvl w:val="0"/>
          <w:numId w:val="10"/>
        </w:numPr>
        <w:snapToGrid w:val="0"/>
        <w:spacing w:line="400" w:lineRule="exact"/>
        <w:ind w:left="689" w:leftChars="228" w:hanging="210" w:hangingChars="100"/>
        <w:rPr>
          <w:rFonts w:hAnsi="宋体" w:cs="宋体"/>
          <w:color w:val="auto"/>
          <w:sz w:val="21"/>
        </w:rPr>
      </w:pPr>
      <w:r>
        <w:rPr>
          <w:rFonts w:hint="eastAsia" w:hAnsi="宋体" w:cs="宋体"/>
          <w:color w:val="auto"/>
          <w:kern w:val="2"/>
          <w:sz w:val="21"/>
        </w:rPr>
        <w:t>投标文件中开标一览表（报价表）内容与投标文件中相应内容不一致的，以开标一览表（报价表）为准；</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大写金额和小写金额不一致的，以大写金额为准；</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单价金额小数点或者百分比有明显错位的，以开标一览表的总价为准，并修改单价；</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总价金额与按单价汇总金额不一致的，以单价金额计算结果为准；</w:t>
      </w:r>
    </w:p>
    <w:p>
      <w:pPr>
        <w:pStyle w:val="23"/>
        <w:snapToGrid w:val="0"/>
        <w:spacing w:line="400" w:lineRule="exact"/>
        <w:ind w:left="269" w:leftChars="128" w:firstLine="210" w:firstLineChars="100"/>
        <w:rPr>
          <w:rFonts w:hAnsi="宋体" w:cs="宋体"/>
          <w:color w:val="auto"/>
          <w:sz w:val="21"/>
        </w:rPr>
      </w:pPr>
      <w:r>
        <w:rPr>
          <w:rFonts w:hAnsi="宋体" w:cs="宋体"/>
          <w:color w:val="auto"/>
          <w:sz w:val="21"/>
        </w:rPr>
        <w:t xml:space="preserve">5. </w:t>
      </w:r>
      <w:r>
        <w:rPr>
          <w:rFonts w:hint="eastAsia" w:hAnsi="宋体" w:cs="宋体"/>
          <w:color w:val="auto"/>
          <w:sz w:val="21"/>
        </w:rPr>
        <w:t>对不同文字文本投标文件的解释发生异议的，以中文文本为准。</w:t>
      </w:r>
    </w:p>
    <w:p>
      <w:pPr>
        <w:pStyle w:val="23"/>
        <w:snapToGrid w:val="0"/>
        <w:spacing w:line="400" w:lineRule="exact"/>
        <w:ind w:firstLine="420" w:firstLineChars="200"/>
        <w:rPr>
          <w:rFonts w:hAnsi="宋体" w:cs="宋体"/>
          <w:color w:val="auto"/>
          <w:sz w:val="21"/>
        </w:rPr>
      </w:pPr>
      <w:r>
        <w:rPr>
          <w:rFonts w:hint="eastAsia" w:hAnsi="宋体" w:cs="宋体"/>
          <w:color w:val="auto"/>
          <w:kern w:val="2"/>
          <w:sz w:val="21"/>
        </w:rPr>
        <w:t>同时出现两种以上不一致的，按照前款规定的顺序修正。修正后的报价经投标人确认后产生约束力，投标人不确认的，其投标无效。</w:t>
      </w:r>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（六）评标过程的监控</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本项目评标过程实行全程录音、录像监控，投标人在评标过程中所进行的试图影响评标结果的不公正活动，可能导致其投标被拒绝。</w:t>
      </w:r>
    </w:p>
    <w:p>
      <w:pPr>
        <w:pStyle w:val="23"/>
        <w:snapToGrid w:val="0"/>
        <w:spacing w:line="400" w:lineRule="exact"/>
        <w:outlineLvl w:val="1"/>
        <w:rPr>
          <w:rFonts w:hAnsi="宋体" w:cs="宋体"/>
          <w:b/>
          <w:color w:val="auto"/>
          <w:sz w:val="21"/>
        </w:rPr>
      </w:pPr>
      <w:bookmarkStart w:id="281" w:name="_Toc254970546"/>
      <w:bookmarkStart w:id="282" w:name="_Toc254970687"/>
      <w:bookmarkStart w:id="283" w:name="_Toc482864553"/>
      <w:bookmarkStart w:id="284" w:name="_Toc293863055"/>
      <w:bookmarkStart w:id="285" w:name="_Toc400465715"/>
      <w:bookmarkStart w:id="286" w:name="_Toc445223682"/>
      <w:bookmarkStart w:id="287" w:name="_Toc483327813"/>
      <w:bookmarkStart w:id="288" w:name="_Toc448421144"/>
      <w:bookmarkStart w:id="289" w:name="_Toc9622"/>
      <w:bookmarkStart w:id="290" w:name="_Toc293863322"/>
      <w:bookmarkStart w:id="291" w:name="_Toc482865154"/>
      <w:bookmarkStart w:id="292" w:name="_Toc308018679"/>
      <w:bookmarkStart w:id="293" w:name="_Toc482865324"/>
      <w:r>
        <w:rPr>
          <w:rFonts w:hint="eastAsia" w:hAnsi="宋体" w:cs="宋体"/>
          <w:b/>
          <w:color w:val="auto"/>
          <w:sz w:val="21"/>
        </w:rPr>
        <w:t>六、</w:t>
      </w:r>
      <w:bookmarkEnd w:id="281"/>
      <w:bookmarkEnd w:id="282"/>
      <w:r>
        <w:rPr>
          <w:rFonts w:hint="eastAsia" w:hAnsi="宋体" w:cs="宋体"/>
          <w:b/>
          <w:color w:val="auto"/>
          <w:sz w:val="21"/>
        </w:rPr>
        <w:t>评标结果</w:t>
      </w:r>
      <w:bookmarkEnd w:id="283"/>
      <w:bookmarkEnd w:id="284"/>
      <w:bookmarkEnd w:id="285"/>
      <w:bookmarkEnd w:id="286"/>
      <w:bookmarkEnd w:id="287"/>
      <w:bookmarkEnd w:id="288"/>
      <w:bookmarkEnd w:id="289"/>
      <w:bookmarkEnd w:id="290"/>
      <w:bookmarkEnd w:id="291"/>
      <w:bookmarkEnd w:id="292"/>
      <w:bookmarkEnd w:id="293"/>
    </w:p>
    <w:p>
      <w:pPr>
        <w:pStyle w:val="23"/>
        <w:snapToGrid w:val="0"/>
        <w:spacing w:line="400" w:lineRule="exact"/>
        <w:ind w:firstLine="411" w:firstLineChars="196"/>
        <w:rPr>
          <w:rFonts w:hAnsi="宋体" w:cs="宋体"/>
          <w:b/>
          <w:bCs/>
          <w:color w:val="auto"/>
          <w:sz w:val="21"/>
        </w:rPr>
      </w:pPr>
      <w:r>
        <w:rPr>
          <w:rFonts w:hint="eastAsia" w:hAnsi="宋体" w:cs="宋体"/>
          <w:bCs/>
          <w:color w:val="auto"/>
          <w:sz w:val="21"/>
        </w:rPr>
        <w:t>（一）</w:t>
      </w:r>
      <w:r>
        <w:rPr>
          <w:rFonts w:hint="eastAsia" w:hAnsi="宋体" w:cs="宋体"/>
          <w:color w:val="auto"/>
          <w:sz w:val="21"/>
        </w:rPr>
        <w:t>采购代理机构在评标结束后</w:t>
      </w:r>
      <w:r>
        <w:rPr>
          <w:rFonts w:hAnsi="宋体" w:cs="宋体"/>
          <w:color w:val="auto"/>
          <w:sz w:val="21"/>
        </w:rPr>
        <w:t>2</w:t>
      </w:r>
      <w:r>
        <w:rPr>
          <w:rFonts w:hint="eastAsia" w:hAnsi="宋体" w:cs="宋体"/>
          <w:color w:val="auto"/>
          <w:sz w:val="21"/>
        </w:rPr>
        <w:t>个工作日内将评标报告送采购人，采购人在收到评标报告之日起</w:t>
      </w:r>
      <w:r>
        <w:rPr>
          <w:rFonts w:hAnsi="宋体" w:cs="宋体"/>
          <w:color w:val="auto"/>
          <w:sz w:val="21"/>
        </w:rPr>
        <w:t>5</w:t>
      </w:r>
      <w:r>
        <w:rPr>
          <w:rFonts w:hint="eastAsia" w:hAnsi="宋体" w:cs="宋体"/>
          <w:color w:val="auto"/>
          <w:sz w:val="21"/>
        </w:rPr>
        <w:t>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（二）中标人确定之日起</w:t>
      </w:r>
      <w:r>
        <w:rPr>
          <w:rFonts w:ascii="宋体" w:hAnsi="宋体" w:cs="宋体"/>
          <w:color w:val="auto"/>
          <w:szCs w:val="21"/>
        </w:rPr>
        <w:t>2</w:t>
      </w:r>
      <w:r>
        <w:rPr>
          <w:rFonts w:hint="eastAsia" w:ascii="宋体" w:hAnsi="宋体" w:cs="宋体"/>
          <w:color w:val="auto"/>
          <w:szCs w:val="21"/>
        </w:rPr>
        <w:t>个工作日内，采购代理机构在本项目招标公告媒体公告</w:t>
      </w:r>
      <w:r>
        <w:rPr>
          <w:rFonts w:hint="eastAsia" w:ascii="宋体" w:hAnsi="宋体"/>
          <w:color w:val="auto"/>
        </w:rPr>
        <w:t>中标结果，招标文件随中标结果同时公告</w:t>
      </w:r>
      <w:r>
        <w:rPr>
          <w:rFonts w:hint="eastAsia" w:ascii="宋体" w:hAnsi="宋体" w:cs="宋体"/>
          <w:color w:val="auto"/>
          <w:szCs w:val="21"/>
        </w:rPr>
        <w:t>。</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（三）在中标通知书发出前，采购人或采购代理机构应当对中标人信用进行查询，如中标人</w:t>
      </w:r>
      <w:r>
        <w:rPr>
          <w:rFonts w:hint="eastAsia" w:ascii="宋体" w:hAnsi="宋体" w:cs="宋体"/>
          <w:color w:val="auto"/>
        </w:rPr>
        <w:t>被列入失信被执行人、重大税收违法案件当事人名单、政府采购严重违法失信行为记录名单，则将被取消中标资格。</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（四）</w:t>
      </w:r>
      <w:r>
        <w:rPr>
          <w:rFonts w:hint="eastAsia" w:ascii="宋体" w:hAnsi="宋体"/>
          <w:color w:val="auto"/>
        </w:rPr>
        <w:t>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（五）投标人认为中标结果使自己的权益受到损害的，应当在中标结果公告期限</w:t>
      </w:r>
      <w:r>
        <w:rPr>
          <w:rFonts w:hint="eastAsia" w:ascii="宋体" w:hAnsi="宋体" w:cs="宋体"/>
          <w:bCs/>
          <w:color w:val="auto"/>
        </w:rPr>
        <w:t>（中标结果公告期限为</w:t>
      </w:r>
      <w:r>
        <w:rPr>
          <w:rFonts w:ascii="宋体" w:hAnsi="宋体" w:cs="宋体"/>
          <w:bCs/>
          <w:color w:val="auto"/>
        </w:rPr>
        <w:t>1</w:t>
      </w:r>
      <w:r>
        <w:rPr>
          <w:rFonts w:hint="eastAsia" w:ascii="宋体" w:hAnsi="宋体" w:cs="宋体"/>
          <w:bCs/>
          <w:color w:val="auto"/>
        </w:rPr>
        <w:t>个工作日）</w:t>
      </w:r>
      <w:r>
        <w:rPr>
          <w:rFonts w:hint="eastAsia" w:ascii="宋体" w:hAnsi="宋体" w:cs="宋体"/>
          <w:color w:val="auto"/>
          <w:szCs w:val="21"/>
        </w:rPr>
        <w:t>届满之日起</w:t>
      </w:r>
      <w:r>
        <w:rPr>
          <w:rFonts w:ascii="宋体" w:hAnsi="宋体" w:cs="宋体"/>
          <w:color w:val="auto"/>
          <w:szCs w:val="21"/>
        </w:rPr>
        <w:t>7</w:t>
      </w:r>
      <w:r>
        <w:rPr>
          <w:rFonts w:hint="eastAsia" w:ascii="宋体" w:hAnsi="宋体" w:cs="宋体"/>
          <w:color w:val="auto"/>
          <w:szCs w:val="21"/>
        </w:rPr>
        <w:t>个工作日内，以书面形式向采购代理机构提出质疑，并及时索要书面回执。</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（六）采购代理机构应当按照有关规定就采购人委托授权范围内的事项在收到投标人的书面质疑后</w:t>
      </w:r>
      <w:r>
        <w:rPr>
          <w:rFonts w:ascii="宋体" w:hAnsi="宋体" w:cs="宋体"/>
          <w:color w:val="auto"/>
          <w:szCs w:val="21"/>
        </w:rPr>
        <w:t>7</w:t>
      </w:r>
      <w:r>
        <w:rPr>
          <w:rFonts w:hint="eastAsia" w:ascii="宋体" w:hAnsi="宋体" w:cs="宋体"/>
          <w:color w:val="auto"/>
          <w:szCs w:val="21"/>
        </w:rPr>
        <w:t>个工作日内做出答复，但答复的内容不得涉及商业秘密。</w:t>
      </w:r>
    </w:p>
    <w:p>
      <w:pPr>
        <w:snapToGrid w:val="0"/>
        <w:spacing w:line="400" w:lineRule="exact"/>
        <w:ind w:firstLine="422" w:firstLineChars="200"/>
        <w:rPr>
          <w:rFonts w:ascii="宋体"/>
          <w:color w:val="auto"/>
        </w:rPr>
      </w:pPr>
      <w:r>
        <w:rPr>
          <w:rFonts w:hint="eastAsia" w:ascii="宋体" w:hAnsi="宋体" w:cs="宋体"/>
          <w:b/>
          <w:color w:val="auto"/>
        </w:rPr>
        <w:t>七、</w:t>
      </w:r>
      <w:bookmarkStart w:id="294" w:name="_Toc254970688"/>
      <w:bookmarkStart w:id="295" w:name="_Toc254970547"/>
      <w:bookmarkStart w:id="296" w:name="_Toc400465716"/>
      <w:bookmarkStart w:id="297" w:name="_Toc293863056"/>
      <w:bookmarkStart w:id="298" w:name="_Toc482865155"/>
      <w:bookmarkStart w:id="299" w:name="_Toc448421145"/>
      <w:bookmarkStart w:id="300" w:name="_Toc482864554"/>
      <w:bookmarkStart w:id="301" w:name="_Toc482865325"/>
      <w:bookmarkStart w:id="302" w:name="_Toc293863323"/>
      <w:bookmarkStart w:id="303" w:name="_Toc308018680"/>
      <w:bookmarkStart w:id="304" w:name="_Toc445223683"/>
      <w:bookmarkStart w:id="305" w:name="_Toc483327814"/>
      <w:r>
        <w:rPr>
          <w:rFonts w:hint="eastAsia" w:ascii="宋体" w:hAnsi="宋体"/>
          <w:b/>
          <w:bCs/>
          <w:color w:val="auto"/>
        </w:rPr>
        <w:t>合同</w:t>
      </w:r>
      <w:bookmarkEnd w:id="294"/>
      <w:bookmarkEnd w:id="295"/>
      <w:r>
        <w:rPr>
          <w:rFonts w:hint="eastAsia" w:ascii="宋体" w:hAnsi="宋体"/>
          <w:b/>
          <w:bCs/>
          <w:color w:val="auto"/>
        </w:rPr>
        <w:t>签订</w:t>
      </w:r>
      <w:bookmarkEnd w:id="296"/>
      <w:bookmarkEnd w:id="297"/>
      <w:bookmarkEnd w:id="298"/>
      <w:bookmarkEnd w:id="299"/>
      <w:bookmarkEnd w:id="300"/>
      <w:bookmarkEnd w:id="301"/>
      <w:bookmarkEnd w:id="302"/>
      <w:bookmarkEnd w:id="303"/>
      <w:bookmarkEnd w:id="304"/>
      <w:bookmarkEnd w:id="305"/>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（一）合同授予标准</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合同将授予被确定实质上响应招标文件要求，具备履行合同能力，综合评分排名第一的投标人。</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（二）履约保证金</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）中标人须于签订合同前按投标人须知前附表第</w:t>
      </w:r>
      <w:r>
        <w:rPr>
          <w:rFonts w:ascii="宋体" w:hAnsi="宋体" w:cs="宋体"/>
          <w:bCs/>
          <w:color w:val="auto"/>
          <w:szCs w:val="21"/>
        </w:rPr>
        <w:t>12</w:t>
      </w:r>
      <w:r>
        <w:rPr>
          <w:rFonts w:hint="eastAsia" w:ascii="宋体" w:hAnsi="宋体" w:cs="宋体"/>
          <w:bCs/>
          <w:color w:val="auto"/>
          <w:szCs w:val="21"/>
        </w:rPr>
        <w:t>条规定的金额及递交方式将履约保证金直接缴入指定账户。否则</w:t>
      </w:r>
      <w:r>
        <w:rPr>
          <w:rFonts w:ascii="宋体" w:cs="宋体"/>
          <w:bCs/>
          <w:color w:val="auto"/>
          <w:szCs w:val="21"/>
        </w:rPr>
        <w:t>,</w:t>
      </w:r>
      <w:r>
        <w:rPr>
          <w:rFonts w:hint="eastAsia" w:ascii="宋体" w:hAnsi="宋体" w:cs="宋体"/>
          <w:bCs/>
          <w:color w:val="auto"/>
          <w:szCs w:val="21"/>
        </w:rPr>
        <w:t>不予办理领取中标通知书。</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）签订合同后，如中标人不按双方签订的合同规定履约，则其全部履约保证金不予退还，履约保证金不足以赔偿损失的，按实际损失赔偿。</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）中标人按合同约定交货验收合格后，提交政府采购项目合同验收报告（格式见附表</w:t>
      </w:r>
      <w:r>
        <w:rPr>
          <w:rFonts w:ascii="宋体" w:hAnsi="宋体" w:cs="宋体"/>
          <w:bCs/>
          <w:color w:val="auto"/>
          <w:szCs w:val="21"/>
        </w:rPr>
        <w:t>1</w:t>
      </w:r>
      <w:r>
        <w:rPr>
          <w:rFonts w:hint="eastAsia" w:ascii="宋体" w:hAnsi="宋体" w:cs="宋体"/>
          <w:bCs/>
          <w:color w:val="auto"/>
          <w:szCs w:val="21"/>
        </w:rPr>
        <w:t>），填写履约保证金退付意见书（格式见附表</w:t>
      </w:r>
      <w:r>
        <w:rPr>
          <w:rFonts w:ascii="宋体" w:hAnsi="宋体" w:cs="宋体"/>
          <w:bCs/>
          <w:color w:val="auto"/>
          <w:szCs w:val="21"/>
        </w:rPr>
        <w:t>2</w:t>
      </w:r>
      <w:r>
        <w:rPr>
          <w:rFonts w:hint="eastAsia" w:ascii="宋体" w:hAnsi="宋体" w:cs="宋体"/>
          <w:bCs/>
          <w:color w:val="auto"/>
          <w:szCs w:val="21"/>
        </w:rPr>
        <w:t>）并经采购人确认后，履约保证金以银行转帐方式按履约保证金退付意见书上双方明确的金额退还（不计利息）。</w:t>
      </w:r>
    </w:p>
    <w:p>
      <w:pPr>
        <w:snapToGrid w:val="0"/>
        <w:spacing w:line="400" w:lineRule="exact"/>
        <w:ind w:right="-231" w:rightChars="-110"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）在履约保证金退还日期前，若中标人的开户名称、开户银行、帐号有变动的，请以书面形式通知采购人，否则由此产生的后果由中标人自负。</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（三）签订合同</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）投标人接到中标通知书后，应按中标通知书规定的时间、地点与采购人签订合同。（投标人中标后可以由项目所在地分公司在总公司授权下签订合同，相应的法律责任由总公司承担。）</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）如中标人不按中标通知书的规定签订合同，则按中标人违约处理。</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）中标人因不可抗力或者自身原因不能履行采购合同的，采购人可以与中标人之后排名第一的中标候选人签订采购合同，以此类推。</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5</w:t>
      </w:r>
      <w:r>
        <w:rPr>
          <w:rFonts w:hint="eastAsia" w:ascii="宋体" w:hAnsi="宋体" w:cs="宋体"/>
          <w:bCs/>
          <w:color w:val="auto"/>
          <w:szCs w:val="21"/>
        </w:rPr>
        <w:t>）政府采购合同公告</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根据《中华人民共和国政府采购法实施条例》第五十条规定，采购人应当自政府采购合同签订之日起</w:t>
      </w:r>
      <w:r>
        <w:rPr>
          <w:rFonts w:ascii="宋体" w:hAnsi="宋体" w:cs="宋体"/>
          <w:bCs/>
          <w:color w:val="auto"/>
          <w:szCs w:val="21"/>
        </w:rPr>
        <w:t>2</w:t>
      </w:r>
      <w:r>
        <w:rPr>
          <w:rFonts w:hint="eastAsia" w:ascii="宋体" w:hAnsi="宋体" w:cs="宋体"/>
          <w:bCs/>
          <w:color w:val="auto"/>
          <w:szCs w:val="21"/>
        </w:rPr>
        <w:t>个工作日内，将政府采购合同在省级以上人民政府财政部门指定的媒体上公告，但政府采购合同中涉及国家秘密、商业秘密的内容除外。</w:t>
      </w:r>
    </w:p>
    <w:p>
      <w:pPr>
        <w:pStyle w:val="23"/>
        <w:snapToGrid w:val="0"/>
        <w:spacing w:line="400" w:lineRule="exact"/>
        <w:outlineLvl w:val="1"/>
        <w:rPr>
          <w:rFonts w:hAnsi="宋体" w:cs="宋体"/>
          <w:b/>
          <w:bCs/>
          <w:color w:val="auto"/>
          <w:sz w:val="21"/>
        </w:rPr>
      </w:pPr>
      <w:bookmarkStart w:id="306" w:name="_Toc400465717"/>
      <w:bookmarkStart w:id="307" w:name="_Toc482864555"/>
      <w:bookmarkStart w:id="308" w:name="_Toc308018681"/>
      <w:bookmarkStart w:id="309" w:name="_Toc483327815"/>
      <w:bookmarkStart w:id="310" w:name="_Toc445223684"/>
      <w:bookmarkStart w:id="311" w:name="_Toc293863057"/>
      <w:bookmarkStart w:id="312" w:name="_Toc482865326"/>
      <w:bookmarkStart w:id="313" w:name="_Toc1191"/>
      <w:bookmarkStart w:id="314" w:name="_Toc482865156"/>
      <w:bookmarkStart w:id="315" w:name="_Toc293863324"/>
      <w:bookmarkStart w:id="316" w:name="_Toc448421146"/>
      <w:r>
        <w:rPr>
          <w:rFonts w:hint="eastAsia" w:hAnsi="宋体" w:cs="宋体"/>
          <w:b/>
          <w:bCs/>
          <w:color w:val="auto"/>
          <w:sz w:val="21"/>
        </w:rPr>
        <w:t>八、其它事项</w:t>
      </w:r>
      <w:bookmarkEnd w:id="306"/>
      <w:bookmarkEnd w:id="307"/>
      <w:bookmarkEnd w:id="308"/>
      <w:bookmarkEnd w:id="309"/>
      <w:bookmarkEnd w:id="310"/>
      <w:bookmarkEnd w:id="311"/>
      <w:bookmarkEnd w:id="312"/>
      <w:bookmarkEnd w:id="313"/>
      <w:bookmarkEnd w:id="314"/>
      <w:bookmarkEnd w:id="315"/>
      <w:bookmarkEnd w:id="316"/>
    </w:p>
    <w:p>
      <w:pPr>
        <w:pStyle w:val="23"/>
        <w:snapToGrid w:val="0"/>
        <w:spacing w:line="400" w:lineRule="exact"/>
        <w:ind w:firstLine="420" w:firstLineChars="200"/>
        <w:outlineLvl w:val="1"/>
        <w:rPr>
          <w:rFonts w:hAnsi="宋体" w:cs="宋体"/>
          <w:bCs/>
          <w:color w:val="auto"/>
          <w:sz w:val="21"/>
        </w:rPr>
      </w:pPr>
      <w:bookmarkStart w:id="317" w:name="_Toc482865327"/>
      <w:bookmarkStart w:id="318" w:name="_Toc448421147"/>
      <w:bookmarkStart w:id="319" w:name="_Toc293863325"/>
      <w:bookmarkStart w:id="320" w:name="_Toc482865157"/>
      <w:bookmarkStart w:id="321" w:name="_Toc293863058"/>
      <w:bookmarkStart w:id="322" w:name="_Toc483327816"/>
      <w:bookmarkStart w:id="323" w:name="_Toc23316"/>
      <w:bookmarkStart w:id="324" w:name="_Toc482864556"/>
      <w:bookmarkStart w:id="325" w:name="_Toc400465718"/>
      <w:bookmarkStart w:id="326" w:name="_Toc308018682"/>
      <w:r>
        <w:rPr>
          <w:rFonts w:hint="eastAsia" w:hAnsi="宋体" w:cs="宋体"/>
          <w:bCs/>
          <w:color w:val="auto"/>
          <w:sz w:val="21"/>
        </w:rPr>
        <w:t>签订合同前，中标人应向采购代理机构一次付清中标服务费。中标服务费收取按投标人须知前附表第</w:t>
      </w:r>
      <w:r>
        <w:rPr>
          <w:rFonts w:hAnsi="宋体" w:cs="宋体"/>
          <w:bCs/>
          <w:color w:val="auto"/>
          <w:sz w:val="21"/>
        </w:rPr>
        <w:t>2</w:t>
      </w:r>
      <w:r>
        <w:rPr>
          <w:rFonts w:hint="eastAsia" w:hAnsi="宋体" w:cs="宋体"/>
          <w:bCs/>
          <w:color w:val="auto"/>
          <w:sz w:val="21"/>
        </w:rPr>
        <w:t>条规定执行。</w:t>
      </w:r>
      <w:bookmarkEnd w:id="317"/>
      <w:bookmarkEnd w:id="318"/>
      <w:bookmarkEnd w:id="319"/>
      <w:bookmarkEnd w:id="320"/>
      <w:bookmarkEnd w:id="321"/>
      <w:bookmarkEnd w:id="322"/>
      <w:bookmarkEnd w:id="323"/>
      <w:bookmarkEnd w:id="324"/>
      <w:bookmarkEnd w:id="325"/>
      <w:bookmarkEnd w:id="326"/>
    </w:p>
    <w:p>
      <w:pPr>
        <w:pStyle w:val="23"/>
        <w:snapToGrid w:val="0"/>
        <w:spacing w:line="400" w:lineRule="exact"/>
        <w:ind w:firstLine="420" w:firstLineChars="200"/>
        <w:outlineLvl w:val="1"/>
        <w:rPr>
          <w:rFonts w:hAnsi="宋体" w:cs="宋体"/>
          <w:bCs/>
          <w:color w:val="auto"/>
          <w:sz w:val="21"/>
        </w:rPr>
      </w:pPr>
      <w:bookmarkStart w:id="327" w:name="_Toc15904"/>
      <w:r>
        <w:rPr>
          <w:rFonts w:hint="eastAsia" w:hAnsi="宋体" w:cs="宋体"/>
          <w:bCs/>
          <w:color w:val="auto"/>
          <w:sz w:val="21"/>
        </w:rPr>
        <w:t>代理服务收费标准：</w:t>
      </w:r>
      <w:bookmarkEnd w:id="327"/>
    </w:p>
    <w:tbl>
      <w:tblPr>
        <w:tblStyle w:val="4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998"/>
        <w:gridCol w:w="1988"/>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720" w:type="dxa"/>
          </w:tcPr>
          <w:p>
            <w:pPr>
              <w:pStyle w:val="23"/>
              <w:snapToGrid w:val="0"/>
              <w:spacing w:line="400" w:lineRule="exact"/>
              <w:ind w:firstLine="800" w:firstLineChars="400"/>
              <w:outlineLvl w:val="1"/>
              <w:rPr>
                <w:rFonts w:hAnsi="宋体" w:cs="宋体"/>
                <w:bCs/>
                <w:color w:val="auto"/>
                <w:sz w:val="21"/>
              </w:rPr>
            </w:pPr>
            <w:bookmarkStart w:id="328" w:name="_Toc24175"/>
            <w:r>
              <w:rPr>
                <w:color w:val="auto"/>
              </w:rPr>
              <w:pict>
                <v:line id="_x0000_s1028" o:spid="_x0000_s1028" o:spt="20" style="position:absolute;left:0pt;margin-left:-3.1pt;margin-top:6.8pt;height:31.2pt;width:135pt;z-index:251659264;mso-width-relative:page;mso-height-relative:page;" coordsize="21600,21600" o:gfxdata="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UmwD/WAAAACAEAAA8AAAAAAAAAAQAgAAAA&#10;IgAAAGRycy9kb3ducmV2LnhtbFBLAQIUABQAAAAIAIdO4kDddaIy1AEAAJIDAAAOAAAAAAAAAAEA&#10;IAAAACUBAABkcnMvZTJvRG9jLnhtbFBLBQYAAAAABgAGAFkBAABrBQAAAAA=&#10;">
                  <v:path arrowok="t"/>
                  <v:fill focussize="0,0"/>
                  <v:stroke/>
                  <v:imagedata o:title=""/>
                  <o:lock v:ext="edit"/>
                </v:line>
              </w:pict>
            </w:r>
            <w:r>
              <w:rPr>
                <w:rFonts w:hint="eastAsia" w:hAnsi="宋体" w:cs="宋体"/>
                <w:bCs/>
                <w:color w:val="auto"/>
                <w:sz w:val="21"/>
              </w:rPr>
              <w:t>费率</w:t>
            </w:r>
            <w:r>
              <w:rPr>
                <w:rFonts w:hAnsi="宋体" w:cs="宋体"/>
                <w:bCs/>
                <w:color w:val="auto"/>
                <w:sz w:val="21"/>
              </w:rPr>
              <w:t xml:space="preserve">   </w:t>
            </w:r>
            <w:r>
              <w:rPr>
                <w:rFonts w:hint="eastAsia" w:hAnsi="宋体" w:cs="宋体"/>
                <w:bCs/>
                <w:color w:val="auto"/>
                <w:sz w:val="21"/>
              </w:rPr>
              <w:t>服务类型</w:t>
            </w:r>
            <w:bookmarkEnd w:id="328"/>
          </w:p>
          <w:p>
            <w:pPr>
              <w:pStyle w:val="23"/>
              <w:snapToGrid w:val="0"/>
              <w:spacing w:line="400" w:lineRule="exact"/>
              <w:ind w:firstLine="420" w:firstLineChars="200"/>
              <w:outlineLvl w:val="1"/>
              <w:rPr>
                <w:rFonts w:hAnsi="宋体" w:cs="宋体"/>
                <w:bCs/>
                <w:color w:val="auto"/>
                <w:sz w:val="21"/>
              </w:rPr>
            </w:pPr>
            <w:bookmarkStart w:id="329" w:name="_Toc27610"/>
            <w:r>
              <w:rPr>
                <w:rFonts w:hint="eastAsia" w:hAnsi="宋体" w:cs="宋体"/>
                <w:bCs/>
                <w:color w:val="auto"/>
                <w:sz w:val="21"/>
              </w:rPr>
              <w:t>中标金额（万元）</w:t>
            </w:r>
            <w:bookmarkEnd w:id="329"/>
          </w:p>
        </w:tc>
        <w:tc>
          <w:tcPr>
            <w:tcW w:w="1998" w:type="dxa"/>
            <w:vAlign w:val="center"/>
          </w:tcPr>
          <w:p>
            <w:pPr>
              <w:pStyle w:val="23"/>
              <w:snapToGrid w:val="0"/>
              <w:spacing w:line="400" w:lineRule="exact"/>
              <w:ind w:firstLine="420" w:firstLineChars="200"/>
              <w:outlineLvl w:val="1"/>
              <w:rPr>
                <w:rFonts w:hAnsi="宋体" w:cs="宋体"/>
                <w:bCs/>
                <w:color w:val="auto"/>
                <w:sz w:val="21"/>
              </w:rPr>
            </w:pPr>
            <w:bookmarkStart w:id="330" w:name="_Toc22660"/>
            <w:r>
              <w:rPr>
                <w:rFonts w:hint="eastAsia" w:hAnsi="宋体" w:cs="宋体"/>
                <w:bCs/>
                <w:color w:val="auto"/>
                <w:sz w:val="21"/>
              </w:rPr>
              <w:t>货物招标</w:t>
            </w:r>
            <w:bookmarkEnd w:id="330"/>
          </w:p>
        </w:tc>
        <w:tc>
          <w:tcPr>
            <w:tcW w:w="1988" w:type="dxa"/>
            <w:vAlign w:val="center"/>
          </w:tcPr>
          <w:p>
            <w:pPr>
              <w:pStyle w:val="23"/>
              <w:snapToGrid w:val="0"/>
              <w:spacing w:line="400" w:lineRule="exact"/>
              <w:ind w:firstLine="420" w:firstLineChars="200"/>
              <w:outlineLvl w:val="1"/>
              <w:rPr>
                <w:rFonts w:hAnsi="宋体" w:cs="宋体"/>
                <w:bCs/>
                <w:color w:val="auto"/>
                <w:sz w:val="21"/>
              </w:rPr>
            </w:pPr>
            <w:bookmarkStart w:id="331" w:name="_Toc29687"/>
            <w:r>
              <w:rPr>
                <w:rFonts w:hint="eastAsia" w:hAnsi="宋体" w:cs="宋体"/>
                <w:bCs/>
                <w:color w:val="auto"/>
                <w:sz w:val="21"/>
              </w:rPr>
              <w:t>服务招标</w:t>
            </w:r>
            <w:bookmarkEnd w:id="331"/>
          </w:p>
        </w:tc>
        <w:tc>
          <w:tcPr>
            <w:tcW w:w="2292" w:type="dxa"/>
            <w:vAlign w:val="center"/>
          </w:tcPr>
          <w:p>
            <w:pPr>
              <w:pStyle w:val="23"/>
              <w:snapToGrid w:val="0"/>
              <w:spacing w:line="400" w:lineRule="exact"/>
              <w:ind w:firstLine="420" w:firstLineChars="200"/>
              <w:outlineLvl w:val="1"/>
              <w:rPr>
                <w:rFonts w:hAnsi="宋体" w:cs="宋体"/>
                <w:bCs/>
                <w:color w:val="auto"/>
                <w:sz w:val="21"/>
              </w:rPr>
            </w:pPr>
            <w:bookmarkStart w:id="332" w:name="_Toc23739"/>
            <w:r>
              <w:rPr>
                <w:rFonts w:hint="eastAsia" w:hAnsi="宋体" w:cs="宋体"/>
                <w:bCs/>
                <w:color w:val="auto"/>
                <w:sz w:val="21"/>
              </w:rPr>
              <w:t>工程招标</w:t>
            </w:r>
            <w:bookmarkEnd w:id="3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33" w:name="_Toc4809"/>
            <w:r>
              <w:rPr>
                <w:rFonts w:hAnsi="宋体" w:cs="宋体"/>
                <w:bCs/>
                <w:color w:val="auto"/>
                <w:sz w:val="21"/>
              </w:rPr>
              <w:t>100</w:t>
            </w:r>
            <w:r>
              <w:rPr>
                <w:rFonts w:hint="eastAsia" w:hAnsi="宋体" w:cs="宋体"/>
                <w:bCs/>
                <w:color w:val="auto"/>
                <w:sz w:val="21"/>
              </w:rPr>
              <w:t>以下</w:t>
            </w:r>
            <w:bookmarkEnd w:id="333"/>
          </w:p>
        </w:tc>
        <w:tc>
          <w:tcPr>
            <w:tcW w:w="1998" w:type="dxa"/>
          </w:tcPr>
          <w:p>
            <w:pPr>
              <w:pStyle w:val="23"/>
              <w:snapToGrid w:val="0"/>
              <w:spacing w:line="400" w:lineRule="exact"/>
              <w:ind w:firstLine="420" w:firstLineChars="200"/>
              <w:outlineLvl w:val="1"/>
              <w:rPr>
                <w:rFonts w:hAnsi="宋体" w:cs="宋体"/>
                <w:bCs/>
                <w:color w:val="auto"/>
                <w:sz w:val="21"/>
              </w:rPr>
            </w:pPr>
            <w:bookmarkStart w:id="334" w:name="_Toc31361"/>
            <w:r>
              <w:rPr>
                <w:rFonts w:hAnsi="宋体" w:cs="宋体"/>
                <w:bCs/>
                <w:color w:val="auto"/>
                <w:sz w:val="21"/>
              </w:rPr>
              <w:t>1.5%</w:t>
            </w:r>
            <w:bookmarkEnd w:id="334"/>
          </w:p>
        </w:tc>
        <w:tc>
          <w:tcPr>
            <w:tcW w:w="1988" w:type="dxa"/>
          </w:tcPr>
          <w:p>
            <w:pPr>
              <w:pStyle w:val="23"/>
              <w:snapToGrid w:val="0"/>
              <w:spacing w:line="400" w:lineRule="exact"/>
              <w:ind w:firstLine="420" w:firstLineChars="200"/>
              <w:outlineLvl w:val="1"/>
              <w:rPr>
                <w:rFonts w:hAnsi="宋体" w:cs="宋体"/>
                <w:bCs/>
                <w:color w:val="auto"/>
                <w:sz w:val="21"/>
              </w:rPr>
            </w:pPr>
            <w:bookmarkStart w:id="335" w:name="_Toc21731"/>
            <w:r>
              <w:rPr>
                <w:rFonts w:hAnsi="宋体" w:cs="宋体"/>
                <w:bCs/>
                <w:color w:val="auto"/>
                <w:sz w:val="21"/>
              </w:rPr>
              <w:t>1.5%</w:t>
            </w:r>
            <w:bookmarkEnd w:id="335"/>
          </w:p>
        </w:tc>
        <w:tc>
          <w:tcPr>
            <w:tcW w:w="2292" w:type="dxa"/>
          </w:tcPr>
          <w:p>
            <w:pPr>
              <w:pStyle w:val="23"/>
              <w:snapToGrid w:val="0"/>
              <w:spacing w:line="400" w:lineRule="exact"/>
              <w:ind w:firstLine="420" w:firstLineChars="200"/>
              <w:outlineLvl w:val="1"/>
              <w:rPr>
                <w:rFonts w:hAnsi="宋体" w:cs="宋体"/>
                <w:bCs/>
                <w:color w:val="auto"/>
                <w:sz w:val="21"/>
              </w:rPr>
            </w:pPr>
            <w:bookmarkStart w:id="336" w:name="_Toc17294"/>
            <w:r>
              <w:rPr>
                <w:rFonts w:hAnsi="宋体" w:cs="宋体"/>
                <w:bCs/>
                <w:color w:val="auto"/>
                <w:sz w:val="21"/>
              </w:rPr>
              <w:t>1.0%</w:t>
            </w:r>
            <w:bookmarkEnd w:id="3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37" w:name="_Toc9927"/>
            <w:r>
              <w:rPr>
                <w:rFonts w:hAnsi="宋体" w:cs="宋体"/>
                <w:bCs/>
                <w:color w:val="auto"/>
                <w:sz w:val="21"/>
              </w:rPr>
              <w:t>100-500</w:t>
            </w:r>
            <w:bookmarkEnd w:id="337"/>
          </w:p>
        </w:tc>
        <w:tc>
          <w:tcPr>
            <w:tcW w:w="1998" w:type="dxa"/>
          </w:tcPr>
          <w:p>
            <w:pPr>
              <w:pStyle w:val="23"/>
              <w:snapToGrid w:val="0"/>
              <w:spacing w:line="400" w:lineRule="exact"/>
              <w:ind w:firstLine="420" w:firstLineChars="200"/>
              <w:outlineLvl w:val="1"/>
              <w:rPr>
                <w:rFonts w:hAnsi="宋体" w:cs="宋体"/>
                <w:bCs/>
                <w:color w:val="auto"/>
                <w:sz w:val="21"/>
              </w:rPr>
            </w:pPr>
            <w:bookmarkStart w:id="338" w:name="_Toc13666"/>
            <w:r>
              <w:rPr>
                <w:rFonts w:hAnsi="宋体" w:cs="宋体"/>
                <w:bCs/>
                <w:color w:val="auto"/>
                <w:sz w:val="21"/>
              </w:rPr>
              <w:t>1.1%</w:t>
            </w:r>
            <w:bookmarkEnd w:id="338"/>
          </w:p>
        </w:tc>
        <w:tc>
          <w:tcPr>
            <w:tcW w:w="1988" w:type="dxa"/>
          </w:tcPr>
          <w:p>
            <w:pPr>
              <w:pStyle w:val="23"/>
              <w:snapToGrid w:val="0"/>
              <w:spacing w:line="400" w:lineRule="exact"/>
              <w:ind w:firstLine="420" w:firstLineChars="200"/>
              <w:outlineLvl w:val="1"/>
              <w:rPr>
                <w:rFonts w:hAnsi="宋体" w:cs="宋体"/>
                <w:bCs/>
                <w:color w:val="auto"/>
                <w:sz w:val="21"/>
              </w:rPr>
            </w:pPr>
            <w:bookmarkStart w:id="339" w:name="_Toc20207"/>
            <w:r>
              <w:rPr>
                <w:rFonts w:hAnsi="宋体" w:cs="宋体"/>
                <w:bCs/>
                <w:color w:val="auto"/>
                <w:sz w:val="21"/>
              </w:rPr>
              <w:t>0.8%</w:t>
            </w:r>
            <w:bookmarkEnd w:id="339"/>
          </w:p>
        </w:tc>
        <w:tc>
          <w:tcPr>
            <w:tcW w:w="2292" w:type="dxa"/>
          </w:tcPr>
          <w:p>
            <w:pPr>
              <w:pStyle w:val="23"/>
              <w:snapToGrid w:val="0"/>
              <w:spacing w:line="400" w:lineRule="exact"/>
              <w:ind w:firstLine="420" w:firstLineChars="200"/>
              <w:outlineLvl w:val="1"/>
              <w:rPr>
                <w:rFonts w:hAnsi="宋体" w:cs="宋体"/>
                <w:bCs/>
                <w:color w:val="auto"/>
                <w:sz w:val="21"/>
              </w:rPr>
            </w:pPr>
            <w:bookmarkStart w:id="340" w:name="_Toc10140"/>
            <w:r>
              <w:rPr>
                <w:rFonts w:hAnsi="宋体" w:cs="宋体"/>
                <w:bCs/>
                <w:color w:val="auto"/>
                <w:sz w:val="21"/>
              </w:rPr>
              <w:t>0.7%</w:t>
            </w:r>
            <w:bookmarkEnd w:id="3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41" w:name="_Toc3400"/>
            <w:r>
              <w:rPr>
                <w:rFonts w:hAnsi="宋体" w:cs="宋体"/>
                <w:bCs/>
                <w:color w:val="auto"/>
                <w:sz w:val="21"/>
              </w:rPr>
              <w:t>500-1000</w:t>
            </w:r>
            <w:bookmarkEnd w:id="341"/>
          </w:p>
        </w:tc>
        <w:tc>
          <w:tcPr>
            <w:tcW w:w="1998" w:type="dxa"/>
          </w:tcPr>
          <w:p>
            <w:pPr>
              <w:pStyle w:val="23"/>
              <w:snapToGrid w:val="0"/>
              <w:spacing w:line="400" w:lineRule="exact"/>
              <w:ind w:firstLine="420" w:firstLineChars="200"/>
              <w:outlineLvl w:val="1"/>
              <w:rPr>
                <w:rFonts w:hAnsi="宋体" w:cs="宋体"/>
                <w:bCs/>
                <w:color w:val="auto"/>
                <w:sz w:val="21"/>
              </w:rPr>
            </w:pPr>
            <w:bookmarkStart w:id="342" w:name="_Toc11801"/>
            <w:r>
              <w:rPr>
                <w:rFonts w:hAnsi="宋体" w:cs="宋体"/>
                <w:bCs/>
                <w:color w:val="auto"/>
                <w:sz w:val="21"/>
              </w:rPr>
              <w:t>0.8%</w:t>
            </w:r>
            <w:bookmarkEnd w:id="342"/>
          </w:p>
        </w:tc>
        <w:tc>
          <w:tcPr>
            <w:tcW w:w="1988" w:type="dxa"/>
          </w:tcPr>
          <w:p>
            <w:pPr>
              <w:pStyle w:val="23"/>
              <w:snapToGrid w:val="0"/>
              <w:spacing w:line="400" w:lineRule="exact"/>
              <w:ind w:firstLine="420" w:firstLineChars="200"/>
              <w:outlineLvl w:val="1"/>
              <w:rPr>
                <w:rFonts w:hAnsi="宋体" w:cs="宋体"/>
                <w:bCs/>
                <w:color w:val="auto"/>
                <w:sz w:val="21"/>
              </w:rPr>
            </w:pPr>
            <w:bookmarkStart w:id="343" w:name="_Toc13144"/>
            <w:r>
              <w:rPr>
                <w:rFonts w:hAnsi="宋体" w:cs="宋体"/>
                <w:bCs/>
                <w:color w:val="auto"/>
                <w:sz w:val="21"/>
              </w:rPr>
              <w:t>0.45%</w:t>
            </w:r>
            <w:bookmarkEnd w:id="343"/>
          </w:p>
        </w:tc>
        <w:tc>
          <w:tcPr>
            <w:tcW w:w="2292" w:type="dxa"/>
          </w:tcPr>
          <w:p>
            <w:pPr>
              <w:pStyle w:val="23"/>
              <w:snapToGrid w:val="0"/>
              <w:spacing w:line="400" w:lineRule="exact"/>
              <w:ind w:firstLine="420" w:firstLineChars="200"/>
              <w:outlineLvl w:val="1"/>
              <w:rPr>
                <w:rFonts w:hAnsi="宋体" w:cs="宋体"/>
                <w:bCs/>
                <w:color w:val="auto"/>
                <w:sz w:val="21"/>
              </w:rPr>
            </w:pPr>
            <w:bookmarkStart w:id="344" w:name="_Toc5372"/>
            <w:r>
              <w:rPr>
                <w:rFonts w:hAnsi="宋体" w:cs="宋体"/>
                <w:bCs/>
                <w:color w:val="auto"/>
                <w:sz w:val="21"/>
              </w:rPr>
              <w:t>0.55%</w:t>
            </w:r>
            <w:bookmarkEnd w:id="3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45" w:name="_Toc25241"/>
            <w:r>
              <w:rPr>
                <w:rFonts w:hAnsi="宋体" w:cs="宋体"/>
                <w:bCs/>
                <w:color w:val="auto"/>
                <w:sz w:val="21"/>
              </w:rPr>
              <w:t>1000-5000</w:t>
            </w:r>
            <w:bookmarkEnd w:id="345"/>
          </w:p>
        </w:tc>
        <w:tc>
          <w:tcPr>
            <w:tcW w:w="1998" w:type="dxa"/>
          </w:tcPr>
          <w:p>
            <w:pPr>
              <w:pStyle w:val="23"/>
              <w:snapToGrid w:val="0"/>
              <w:spacing w:line="400" w:lineRule="exact"/>
              <w:ind w:firstLine="420" w:firstLineChars="200"/>
              <w:outlineLvl w:val="1"/>
              <w:rPr>
                <w:rFonts w:hAnsi="宋体" w:cs="宋体"/>
                <w:bCs/>
                <w:color w:val="auto"/>
                <w:sz w:val="21"/>
              </w:rPr>
            </w:pPr>
            <w:bookmarkStart w:id="346" w:name="_Toc3602"/>
            <w:r>
              <w:rPr>
                <w:rFonts w:hAnsi="宋体" w:cs="宋体"/>
                <w:bCs/>
                <w:color w:val="auto"/>
                <w:sz w:val="21"/>
              </w:rPr>
              <w:t>0.5%</w:t>
            </w:r>
            <w:bookmarkEnd w:id="346"/>
          </w:p>
        </w:tc>
        <w:tc>
          <w:tcPr>
            <w:tcW w:w="1988" w:type="dxa"/>
          </w:tcPr>
          <w:p>
            <w:pPr>
              <w:pStyle w:val="23"/>
              <w:snapToGrid w:val="0"/>
              <w:spacing w:line="400" w:lineRule="exact"/>
              <w:ind w:firstLine="420" w:firstLineChars="200"/>
              <w:outlineLvl w:val="1"/>
              <w:rPr>
                <w:rFonts w:hAnsi="宋体" w:cs="宋体"/>
                <w:bCs/>
                <w:color w:val="auto"/>
                <w:sz w:val="21"/>
              </w:rPr>
            </w:pPr>
            <w:bookmarkStart w:id="347" w:name="_Toc19171"/>
            <w:r>
              <w:rPr>
                <w:rFonts w:hAnsi="宋体" w:cs="宋体"/>
                <w:bCs/>
                <w:color w:val="auto"/>
                <w:sz w:val="21"/>
              </w:rPr>
              <w:t>0.25%</w:t>
            </w:r>
            <w:bookmarkEnd w:id="347"/>
          </w:p>
        </w:tc>
        <w:tc>
          <w:tcPr>
            <w:tcW w:w="2292" w:type="dxa"/>
          </w:tcPr>
          <w:p>
            <w:pPr>
              <w:pStyle w:val="23"/>
              <w:snapToGrid w:val="0"/>
              <w:spacing w:line="400" w:lineRule="exact"/>
              <w:ind w:firstLine="420" w:firstLineChars="200"/>
              <w:outlineLvl w:val="1"/>
              <w:rPr>
                <w:rFonts w:hAnsi="宋体" w:cs="宋体"/>
                <w:bCs/>
                <w:color w:val="auto"/>
                <w:sz w:val="21"/>
              </w:rPr>
            </w:pPr>
            <w:bookmarkStart w:id="348" w:name="_Toc8748"/>
            <w:r>
              <w:rPr>
                <w:rFonts w:hAnsi="宋体" w:cs="宋体"/>
                <w:bCs/>
                <w:color w:val="auto"/>
                <w:sz w:val="21"/>
              </w:rPr>
              <w:t>0.35%</w:t>
            </w:r>
            <w:bookmarkEnd w:id="3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49" w:name="_Toc20687"/>
            <w:r>
              <w:rPr>
                <w:rFonts w:hAnsi="宋体" w:cs="宋体"/>
                <w:bCs/>
                <w:color w:val="auto"/>
                <w:sz w:val="21"/>
              </w:rPr>
              <w:t>5000-10000</w:t>
            </w:r>
            <w:bookmarkEnd w:id="349"/>
          </w:p>
        </w:tc>
        <w:tc>
          <w:tcPr>
            <w:tcW w:w="1998" w:type="dxa"/>
          </w:tcPr>
          <w:p>
            <w:pPr>
              <w:pStyle w:val="23"/>
              <w:snapToGrid w:val="0"/>
              <w:spacing w:line="400" w:lineRule="exact"/>
              <w:ind w:firstLine="420" w:firstLineChars="200"/>
              <w:outlineLvl w:val="1"/>
              <w:rPr>
                <w:rFonts w:hAnsi="宋体" w:cs="宋体"/>
                <w:bCs/>
                <w:color w:val="auto"/>
                <w:sz w:val="21"/>
              </w:rPr>
            </w:pPr>
            <w:bookmarkStart w:id="350" w:name="_Toc20063"/>
            <w:r>
              <w:rPr>
                <w:rFonts w:hAnsi="宋体" w:cs="宋体"/>
                <w:bCs/>
                <w:color w:val="auto"/>
                <w:sz w:val="21"/>
              </w:rPr>
              <w:t>0.25%</w:t>
            </w:r>
            <w:bookmarkEnd w:id="350"/>
          </w:p>
        </w:tc>
        <w:tc>
          <w:tcPr>
            <w:tcW w:w="1988" w:type="dxa"/>
          </w:tcPr>
          <w:p>
            <w:pPr>
              <w:pStyle w:val="23"/>
              <w:snapToGrid w:val="0"/>
              <w:spacing w:line="400" w:lineRule="exact"/>
              <w:ind w:firstLine="420" w:firstLineChars="200"/>
              <w:outlineLvl w:val="1"/>
              <w:rPr>
                <w:rFonts w:hAnsi="宋体" w:cs="宋体"/>
                <w:bCs/>
                <w:color w:val="auto"/>
                <w:sz w:val="21"/>
              </w:rPr>
            </w:pPr>
            <w:bookmarkStart w:id="351" w:name="_Toc1140"/>
            <w:r>
              <w:rPr>
                <w:rFonts w:hAnsi="宋体" w:cs="宋体"/>
                <w:bCs/>
                <w:color w:val="auto"/>
                <w:sz w:val="21"/>
              </w:rPr>
              <w:t>0.1%</w:t>
            </w:r>
            <w:bookmarkEnd w:id="351"/>
          </w:p>
        </w:tc>
        <w:tc>
          <w:tcPr>
            <w:tcW w:w="2292" w:type="dxa"/>
          </w:tcPr>
          <w:p>
            <w:pPr>
              <w:pStyle w:val="23"/>
              <w:snapToGrid w:val="0"/>
              <w:spacing w:line="400" w:lineRule="exact"/>
              <w:ind w:firstLine="420" w:firstLineChars="200"/>
              <w:outlineLvl w:val="1"/>
              <w:rPr>
                <w:rFonts w:hAnsi="宋体" w:cs="宋体"/>
                <w:bCs/>
                <w:color w:val="auto"/>
                <w:sz w:val="21"/>
              </w:rPr>
            </w:pPr>
            <w:bookmarkStart w:id="352" w:name="_Toc13398"/>
            <w:r>
              <w:rPr>
                <w:rFonts w:hAnsi="宋体" w:cs="宋体"/>
                <w:bCs/>
                <w:color w:val="auto"/>
                <w:sz w:val="21"/>
              </w:rPr>
              <w:t>0.2%</w:t>
            </w:r>
            <w:bookmarkEnd w:id="3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353" w:name="_Toc21246"/>
            <w:r>
              <w:rPr>
                <w:rFonts w:hAnsi="宋体" w:cs="宋体"/>
                <w:bCs/>
                <w:color w:val="auto"/>
                <w:sz w:val="21"/>
              </w:rPr>
              <w:t>10000-100000</w:t>
            </w:r>
            <w:bookmarkEnd w:id="353"/>
          </w:p>
        </w:tc>
        <w:tc>
          <w:tcPr>
            <w:tcW w:w="1998" w:type="dxa"/>
          </w:tcPr>
          <w:p>
            <w:pPr>
              <w:pStyle w:val="23"/>
              <w:snapToGrid w:val="0"/>
              <w:spacing w:line="400" w:lineRule="exact"/>
              <w:ind w:firstLine="420" w:firstLineChars="200"/>
              <w:outlineLvl w:val="1"/>
              <w:rPr>
                <w:rFonts w:hAnsi="宋体" w:cs="宋体"/>
                <w:bCs/>
                <w:color w:val="auto"/>
                <w:sz w:val="21"/>
              </w:rPr>
            </w:pPr>
            <w:bookmarkStart w:id="354" w:name="_Toc15891"/>
            <w:r>
              <w:rPr>
                <w:rFonts w:hAnsi="宋体" w:cs="宋体"/>
                <w:bCs/>
                <w:color w:val="auto"/>
                <w:sz w:val="21"/>
              </w:rPr>
              <w:t>0.05%</w:t>
            </w:r>
            <w:bookmarkEnd w:id="354"/>
          </w:p>
        </w:tc>
        <w:tc>
          <w:tcPr>
            <w:tcW w:w="1988" w:type="dxa"/>
          </w:tcPr>
          <w:p>
            <w:pPr>
              <w:pStyle w:val="23"/>
              <w:snapToGrid w:val="0"/>
              <w:spacing w:line="400" w:lineRule="exact"/>
              <w:ind w:firstLine="420" w:firstLineChars="200"/>
              <w:outlineLvl w:val="1"/>
              <w:rPr>
                <w:rFonts w:hAnsi="宋体" w:cs="宋体"/>
                <w:bCs/>
                <w:color w:val="auto"/>
                <w:sz w:val="21"/>
              </w:rPr>
            </w:pPr>
            <w:bookmarkStart w:id="355" w:name="_Toc29149"/>
            <w:r>
              <w:rPr>
                <w:rFonts w:hAnsi="宋体" w:cs="宋体"/>
                <w:bCs/>
                <w:color w:val="auto"/>
                <w:sz w:val="21"/>
              </w:rPr>
              <w:t>0.05%</w:t>
            </w:r>
            <w:bookmarkEnd w:id="355"/>
          </w:p>
        </w:tc>
        <w:tc>
          <w:tcPr>
            <w:tcW w:w="2292" w:type="dxa"/>
          </w:tcPr>
          <w:p>
            <w:pPr>
              <w:pStyle w:val="23"/>
              <w:snapToGrid w:val="0"/>
              <w:spacing w:line="400" w:lineRule="exact"/>
              <w:ind w:firstLine="420" w:firstLineChars="200"/>
              <w:outlineLvl w:val="1"/>
              <w:rPr>
                <w:rFonts w:hAnsi="宋体" w:cs="宋体"/>
                <w:bCs/>
                <w:color w:val="auto"/>
                <w:sz w:val="21"/>
              </w:rPr>
            </w:pPr>
            <w:bookmarkStart w:id="356" w:name="_Toc22737"/>
            <w:r>
              <w:rPr>
                <w:rFonts w:hAnsi="宋体" w:cs="宋体"/>
                <w:bCs/>
                <w:color w:val="auto"/>
                <w:sz w:val="21"/>
              </w:rPr>
              <w:t>0.05%</w:t>
            </w:r>
            <w:bookmarkEnd w:id="356"/>
          </w:p>
        </w:tc>
      </w:tr>
    </w:tbl>
    <w:p>
      <w:pPr>
        <w:pStyle w:val="23"/>
        <w:snapToGrid w:val="0"/>
        <w:spacing w:line="400" w:lineRule="exact"/>
        <w:ind w:firstLine="420" w:firstLineChars="200"/>
        <w:outlineLvl w:val="1"/>
        <w:rPr>
          <w:rFonts w:hAnsi="宋体" w:cs="宋体"/>
          <w:bCs/>
          <w:color w:val="auto"/>
          <w:sz w:val="21"/>
        </w:rPr>
      </w:pPr>
      <w:bookmarkStart w:id="357" w:name="_Toc14507"/>
      <w:r>
        <w:rPr>
          <w:rFonts w:hint="eastAsia" w:hAnsi="宋体" w:cs="宋体"/>
          <w:bCs/>
          <w:color w:val="auto"/>
          <w:sz w:val="21"/>
        </w:rPr>
        <w:t>注：招标代理服务收费按差额定率累进法计算。</w:t>
      </w:r>
      <w:bookmarkEnd w:id="357"/>
    </w:p>
    <w:p>
      <w:pPr>
        <w:pStyle w:val="23"/>
        <w:numPr>
          <w:ilvl w:val="0"/>
          <w:numId w:val="11"/>
        </w:numPr>
        <w:snapToGrid w:val="0"/>
        <w:spacing w:line="400" w:lineRule="exact"/>
        <w:ind w:firstLine="422" w:firstLineChars="200"/>
        <w:outlineLvl w:val="1"/>
        <w:rPr>
          <w:rFonts w:hAnsi="宋体" w:cs="宋体"/>
          <w:b/>
          <w:color w:val="auto"/>
          <w:sz w:val="21"/>
        </w:rPr>
      </w:pPr>
      <w:bookmarkStart w:id="358" w:name="_Toc18411"/>
      <w:r>
        <w:rPr>
          <w:rFonts w:hint="eastAsia" w:hAnsi="宋体" w:cs="宋体"/>
          <w:b/>
          <w:color w:val="auto"/>
          <w:sz w:val="21"/>
        </w:rPr>
        <w:t>有关事宜</w:t>
      </w:r>
      <w:bookmarkEnd w:id="358"/>
    </w:p>
    <w:p>
      <w:pPr>
        <w:snapToGrid w:val="0"/>
        <w:spacing w:line="360" w:lineRule="exact"/>
        <w:ind w:firstLine="411" w:firstLineChars="196"/>
        <w:rPr>
          <w:rFonts w:ascii="宋体" w:cs="宋体"/>
          <w:bCs/>
          <w:color w:val="auto"/>
          <w:szCs w:val="21"/>
        </w:rPr>
      </w:pPr>
      <w:r>
        <w:rPr>
          <w:rFonts w:ascii="宋体" w:hAnsi="宋体" w:cs="宋体"/>
          <w:bCs/>
          <w:color w:val="auto"/>
          <w:szCs w:val="21"/>
        </w:rPr>
        <w:t>1</w:t>
      </w:r>
      <w:r>
        <w:rPr>
          <w:rFonts w:hint="eastAsia" w:ascii="宋体" w:hAnsi="宋体" w:cs="宋体"/>
          <w:bCs/>
          <w:color w:val="auto"/>
          <w:szCs w:val="21"/>
        </w:rPr>
        <w:t>、所有与本招标文件有关的函电请按下列通讯地址联系：</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lang w:eastAsia="zh-CN"/>
        </w:rPr>
        <w:t>广西建设工程项目管理中心有限责任公司</w:t>
      </w:r>
      <w:r>
        <w:rPr>
          <w:rFonts w:hint="eastAsia" w:ascii="宋体" w:hAnsi="宋体" w:cs="宋体"/>
          <w:bCs/>
          <w:color w:val="auto"/>
          <w:szCs w:val="21"/>
        </w:rPr>
        <w:t>防城港分公司</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通讯地址：</w:t>
      </w:r>
      <w:r>
        <w:rPr>
          <w:rFonts w:hint="eastAsia" w:ascii="宋体" w:hAnsi="宋体" w:cs="宋体"/>
          <w:bCs/>
          <w:color w:val="auto"/>
          <w:szCs w:val="21"/>
          <w:lang w:eastAsia="zh-CN"/>
        </w:rPr>
        <w:t>防城港市港口区西湾广场财苑小区3栋2楼</w:t>
      </w:r>
      <w:r>
        <w:rPr>
          <w:rFonts w:ascii="宋体" w:hAnsi="宋体" w:cs="宋体"/>
          <w:bCs/>
          <w:color w:val="auto"/>
          <w:szCs w:val="21"/>
        </w:rPr>
        <w:t xml:space="preserve">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邮政编码：</w:t>
      </w:r>
      <w:r>
        <w:rPr>
          <w:rFonts w:ascii="宋体" w:hAnsi="宋体" w:cs="宋体"/>
          <w:bCs/>
          <w:color w:val="auto"/>
          <w:szCs w:val="21"/>
        </w:rPr>
        <w:t xml:space="preserve">538001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电</w:t>
      </w:r>
      <w:r>
        <w:rPr>
          <w:rFonts w:ascii="宋体" w:hAnsi="宋体" w:cs="宋体"/>
          <w:bCs/>
          <w:color w:val="auto"/>
          <w:szCs w:val="21"/>
        </w:rPr>
        <w:t xml:space="preserve">    </w:t>
      </w:r>
      <w:r>
        <w:rPr>
          <w:rFonts w:hint="eastAsia" w:ascii="宋体" w:hAnsi="宋体" w:cs="宋体"/>
          <w:bCs/>
          <w:color w:val="auto"/>
          <w:szCs w:val="21"/>
        </w:rPr>
        <w:t>话：</w:t>
      </w:r>
      <w:r>
        <w:rPr>
          <w:rFonts w:hint="eastAsia" w:ascii="宋体" w:hAnsi="宋体" w:cs="宋体"/>
          <w:bCs/>
          <w:color w:val="auto"/>
          <w:szCs w:val="21"/>
          <w:lang w:eastAsia="zh-CN"/>
        </w:rPr>
        <w:t>0770-2882029</w:t>
      </w:r>
      <w:r>
        <w:rPr>
          <w:rFonts w:ascii="宋体" w:hAnsi="宋体" w:cs="宋体"/>
          <w:bCs/>
          <w:color w:val="auto"/>
          <w:szCs w:val="21"/>
        </w:rPr>
        <w:t xml:space="preserve">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开户名称：</w:t>
      </w:r>
      <w:r>
        <w:rPr>
          <w:rFonts w:hint="eastAsia" w:ascii="宋体" w:hAnsi="宋体" w:cs="宋体"/>
          <w:bCs/>
          <w:color w:val="auto"/>
          <w:szCs w:val="21"/>
          <w:lang w:eastAsia="zh-CN"/>
        </w:rPr>
        <w:t>广西建设工程项目管理中心有限责任公司</w:t>
      </w:r>
      <w:r>
        <w:rPr>
          <w:rFonts w:hint="eastAsia" w:ascii="宋体" w:hAnsi="宋体" w:cs="宋体"/>
          <w:bCs/>
          <w:color w:val="auto"/>
          <w:szCs w:val="21"/>
        </w:rPr>
        <w:t>防城港分公司</w:t>
      </w:r>
      <w:r>
        <w:rPr>
          <w:rFonts w:ascii="宋体" w:hAnsi="宋体" w:cs="宋体"/>
          <w:bCs/>
          <w:color w:val="auto"/>
          <w:szCs w:val="21"/>
        </w:rPr>
        <w:t xml:space="preserve">   </w:t>
      </w:r>
    </w:p>
    <w:p>
      <w:pPr>
        <w:snapToGrid w:val="0"/>
        <w:spacing w:line="360" w:lineRule="exact"/>
        <w:ind w:firstLine="411" w:firstLineChars="196"/>
        <w:rPr>
          <w:rFonts w:hint="eastAsia" w:ascii="宋体" w:eastAsia="宋体" w:cs="宋体"/>
          <w:bCs/>
          <w:color w:val="auto"/>
          <w:szCs w:val="21"/>
          <w:lang w:eastAsia="zh-CN"/>
        </w:rPr>
      </w:pPr>
      <w:r>
        <w:rPr>
          <w:rFonts w:hint="eastAsia" w:ascii="宋体" w:hAnsi="宋体" w:cs="宋体"/>
          <w:bCs/>
          <w:color w:val="auto"/>
          <w:szCs w:val="21"/>
        </w:rPr>
        <w:t>开户银行：</w:t>
      </w:r>
      <w:r>
        <w:rPr>
          <w:rFonts w:hint="eastAsia" w:ascii="宋体" w:hAnsi="宋体" w:cs="宋体"/>
          <w:bCs/>
          <w:color w:val="auto"/>
          <w:szCs w:val="21"/>
          <w:lang w:eastAsia="zh-CN"/>
        </w:rPr>
        <w:t>中国建设银行股份有限公司防城港桃花湾广场支行</w:t>
      </w:r>
    </w:p>
    <w:p>
      <w:pPr>
        <w:snapToGrid w:val="0"/>
        <w:spacing w:line="400" w:lineRule="exact"/>
        <w:ind w:firstLine="411" w:firstLineChars="196"/>
        <w:rPr>
          <w:rFonts w:hint="eastAsia" w:ascii="宋体" w:hAnsi="宋体" w:eastAsia="宋体" w:cs="宋体"/>
          <w:bCs/>
          <w:color w:val="auto"/>
          <w:szCs w:val="21"/>
          <w:lang w:eastAsia="zh-CN"/>
        </w:rPr>
      </w:pPr>
      <w:r>
        <w:rPr>
          <w:rFonts w:hint="eastAsia" w:ascii="宋体" w:hAnsi="宋体" w:cs="宋体"/>
          <w:bCs/>
          <w:color w:val="auto"/>
          <w:szCs w:val="21"/>
        </w:rPr>
        <w:t>帐</w:t>
      </w:r>
      <w:r>
        <w:rPr>
          <w:rFonts w:ascii="宋体" w:hAnsi="宋体" w:cs="宋体"/>
          <w:bCs/>
          <w:color w:val="auto"/>
          <w:szCs w:val="21"/>
        </w:rPr>
        <w:t xml:space="preserve">    </w:t>
      </w:r>
      <w:r>
        <w:rPr>
          <w:rFonts w:hint="eastAsia" w:ascii="宋体" w:hAnsi="宋体" w:cs="宋体"/>
          <w:bCs/>
          <w:color w:val="auto"/>
          <w:szCs w:val="21"/>
        </w:rPr>
        <w:t>号：</w:t>
      </w:r>
      <w:bookmarkStart w:id="359" w:name="_Toc1780"/>
      <w:r>
        <w:rPr>
          <w:rFonts w:hint="eastAsia" w:ascii="宋体" w:hAnsi="宋体" w:cs="宋体"/>
          <w:bCs/>
          <w:color w:val="auto"/>
          <w:szCs w:val="21"/>
          <w:lang w:eastAsia="zh-CN"/>
        </w:rPr>
        <w:t>4500 1659 5420 5070 4676</w:t>
      </w:r>
    </w:p>
    <w:p>
      <w:pPr>
        <w:pStyle w:val="10"/>
        <w:rPr>
          <w:rFonts w:ascii="宋体" w:hAnsi="宋体" w:cs="宋体"/>
          <w:bCs/>
          <w:color w:val="auto"/>
          <w:szCs w:val="21"/>
        </w:rPr>
      </w:pPr>
    </w:p>
    <w:p>
      <w:pPr>
        <w:pStyle w:val="10"/>
        <w:rPr>
          <w:rFonts w:ascii="宋体" w:hAnsi="宋体" w:cs="宋体"/>
          <w:bCs/>
          <w:color w:val="auto"/>
          <w:szCs w:val="21"/>
        </w:rPr>
      </w:pPr>
    </w:p>
    <w:p>
      <w:pPr>
        <w:pStyle w:val="10"/>
        <w:rPr>
          <w:rFonts w:ascii="宋体" w:hAnsi="宋体" w:cs="宋体"/>
          <w:bCs/>
          <w:color w:val="auto"/>
          <w:szCs w:val="21"/>
        </w:rPr>
      </w:pPr>
    </w:p>
    <w:p>
      <w:pPr>
        <w:pStyle w:val="10"/>
        <w:rPr>
          <w:rFonts w:ascii="宋体" w:hAnsi="宋体" w:cs="宋体"/>
          <w:bCs/>
          <w:color w:val="auto"/>
          <w:szCs w:val="21"/>
        </w:rPr>
      </w:pPr>
    </w:p>
    <w:p>
      <w:pPr>
        <w:pStyle w:val="10"/>
        <w:rPr>
          <w:rFonts w:ascii="宋体" w:hAnsi="宋体" w:cs="宋体"/>
          <w:bCs/>
          <w:color w:val="auto"/>
          <w:szCs w:val="21"/>
        </w:rPr>
      </w:pPr>
    </w:p>
    <w:p>
      <w:pPr>
        <w:pStyle w:val="10"/>
        <w:rPr>
          <w:rFonts w:ascii="宋体" w:hAnsi="宋体" w:cs="宋体"/>
          <w:bCs/>
          <w:color w:val="auto"/>
          <w:szCs w:val="21"/>
        </w:rPr>
      </w:pPr>
    </w:p>
    <w:p>
      <w:pPr>
        <w:pStyle w:val="10"/>
        <w:rPr>
          <w:rFonts w:ascii="宋体" w:hAnsi="宋体" w:cs="宋体"/>
          <w:bCs/>
          <w:color w:val="auto"/>
          <w:szCs w:val="21"/>
        </w:rPr>
      </w:pPr>
    </w:p>
    <w:p>
      <w:pPr>
        <w:pStyle w:val="10"/>
        <w:ind w:left="0" w:leftChars="0" w:firstLine="0" w:firstLineChars="0"/>
        <w:rPr>
          <w:rFonts w:ascii="宋体" w:hAnsi="宋体" w:cs="宋体"/>
          <w:bCs/>
          <w:color w:val="auto"/>
          <w:szCs w:val="21"/>
        </w:rPr>
      </w:pPr>
    </w:p>
    <w:p>
      <w:pPr>
        <w:pStyle w:val="23"/>
        <w:snapToGrid w:val="0"/>
        <w:spacing w:line="400" w:lineRule="exact"/>
        <w:outlineLvl w:val="1"/>
        <w:rPr>
          <w:rFonts w:hAnsi="宋体" w:cs="宋体"/>
          <w:bCs/>
          <w:color w:val="auto"/>
          <w:sz w:val="21"/>
        </w:rPr>
      </w:pPr>
      <w:r>
        <w:rPr>
          <w:rFonts w:hint="eastAsia" w:hAnsi="宋体" w:cs="宋体"/>
          <w:bCs/>
          <w:color w:val="auto"/>
          <w:sz w:val="21"/>
        </w:rPr>
        <w:t>附表一：</w:t>
      </w:r>
      <w:bookmarkEnd w:id="359"/>
    </w:p>
    <w:p>
      <w:pPr>
        <w:jc w:val="center"/>
        <w:rPr>
          <w:rFonts w:ascii="黑体" w:eastAsia="黑体"/>
          <w:color w:val="auto"/>
          <w:sz w:val="44"/>
          <w:szCs w:val="44"/>
        </w:rPr>
      </w:pPr>
      <w:r>
        <w:rPr>
          <w:rFonts w:hint="eastAsia" w:ascii="黑体" w:eastAsia="黑体"/>
          <w:color w:val="auto"/>
          <w:sz w:val="44"/>
          <w:szCs w:val="44"/>
        </w:rPr>
        <w:t>防城港市本级政府采购项目验收报告</w:t>
      </w:r>
    </w:p>
    <w:tbl>
      <w:tblPr>
        <w:tblStyle w:val="40"/>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3392"/>
        <w:gridCol w:w="752"/>
        <w:gridCol w:w="141"/>
        <w:gridCol w:w="709"/>
        <w:gridCol w:w="137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4" w:type="dxa"/>
            <w:vAlign w:val="center"/>
          </w:tcPr>
          <w:p>
            <w:pPr>
              <w:jc w:val="center"/>
              <w:rPr>
                <w:rFonts w:ascii="宋体"/>
                <w:color w:val="auto"/>
                <w:szCs w:val="21"/>
              </w:rPr>
            </w:pPr>
            <w:r>
              <w:rPr>
                <w:rFonts w:hint="eastAsia" w:ascii="宋体" w:hAnsi="宋体"/>
                <w:color w:val="auto"/>
                <w:szCs w:val="21"/>
              </w:rPr>
              <w:t>采购单位</w:t>
            </w:r>
          </w:p>
        </w:tc>
        <w:tc>
          <w:tcPr>
            <w:tcW w:w="4285" w:type="dxa"/>
            <w:gridSpan w:val="3"/>
            <w:vAlign w:val="center"/>
          </w:tcPr>
          <w:p>
            <w:pPr>
              <w:jc w:val="center"/>
              <w:rPr>
                <w:rFonts w:ascii="黑体" w:eastAsia="黑体"/>
                <w:color w:val="auto"/>
                <w:szCs w:val="21"/>
              </w:rPr>
            </w:pPr>
          </w:p>
        </w:tc>
        <w:tc>
          <w:tcPr>
            <w:tcW w:w="2083" w:type="dxa"/>
            <w:gridSpan w:val="2"/>
            <w:vMerge w:val="restart"/>
            <w:vAlign w:val="center"/>
          </w:tcPr>
          <w:p>
            <w:pPr>
              <w:jc w:val="center"/>
              <w:rPr>
                <w:rFonts w:ascii="宋体"/>
                <w:color w:val="auto"/>
                <w:szCs w:val="21"/>
              </w:rPr>
            </w:pPr>
            <w:r>
              <w:rPr>
                <w:rFonts w:hint="eastAsia" w:ascii="宋体" w:hAnsi="宋体"/>
                <w:color w:val="auto"/>
                <w:szCs w:val="21"/>
              </w:rPr>
              <w:t>合同编号</w:t>
            </w:r>
          </w:p>
        </w:tc>
        <w:tc>
          <w:tcPr>
            <w:tcW w:w="1625" w:type="dxa"/>
            <w:vMerge w:val="restart"/>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4" w:type="dxa"/>
            <w:vAlign w:val="center"/>
          </w:tcPr>
          <w:p>
            <w:pPr>
              <w:jc w:val="center"/>
              <w:rPr>
                <w:rFonts w:ascii="宋体"/>
                <w:color w:val="auto"/>
                <w:szCs w:val="21"/>
              </w:rPr>
            </w:pPr>
            <w:r>
              <w:rPr>
                <w:rFonts w:hint="eastAsia" w:ascii="宋体" w:hAnsi="宋体"/>
                <w:color w:val="auto"/>
                <w:szCs w:val="21"/>
              </w:rPr>
              <w:t>供应商</w:t>
            </w:r>
          </w:p>
        </w:tc>
        <w:tc>
          <w:tcPr>
            <w:tcW w:w="4285" w:type="dxa"/>
            <w:gridSpan w:val="3"/>
            <w:vAlign w:val="center"/>
          </w:tcPr>
          <w:p>
            <w:pPr>
              <w:jc w:val="center"/>
              <w:rPr>
                <w:rFonts w:ascii="黑体" w:eastAsia="黑体"/>
                <w:color w:val="auto"/>
                <w:szCs w:val="21"/>
              </w:rPr>
            </w:pPr>
          </w:p>
        </w:tc>
        <w:tc>
          <w:tcPr>
            <w:tcW w:w="2083" w:type="dxa"/>
            <w:gridSpan w:val="2"/>
            <w:vMerge w:val="continue"/>
            <w:vAlign w:val="center"/>
          </w:tcPr>
          <w:p>
            <w:pPr>
              <w:jc w:val="center"/>
              <w:rPr>
                <w:rFonts w:ascii="宋体"/>
                <w:color w:val="auto"/>
                <w:szCs w:val="21"/>
              </w:rPr>
            </w:pPr>
          </w:p>
        </w:tc>
        <w:tc>
          <w:tcPr>
            <w:tcW w:w="1625" w:type="dxa"/>
            <w:vMerge w:val="continue"/>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4" w:type="dxa"/>
            <w:vAlign w:val="center"/>
          </w:tcPr>
          <w:p>
            <w:pPr>
              <w:jc w:val="center"/>
              <w:rPr>
                <w:rFonts w:ascii="宋体"/>
                <w:color w:val="auto"/>
                <w:szCs w:val="21"/>
              </w:rPr>
            </w:pPr>
            <w:r>
              <w:rPr>
                <w:rFonts w:hint="eastAsia" w:ascii="宋体" w:hAnsi="宋体"/>
                <w:color w:val="auto"/>
                <w:szCs w:val="21"/>
              </w:rPr>
              <w:t>项目名称</w:t>
            </w:r>
          </w:p>
        </w:tc>
        <w:tc>
          <w:tcPr>
            <w:tcW w:w="4285" w:type="dxa"/>
            <w:gridSpan w:val="3"/>
            <w:vAlign w:val="center"/>
          </w:tcPr>
          <w:p>
            <w:pPr>
              <w:jc w:val="center"/>
              <w:rPr>
                <w:rFonts w:ascii="宋体"/>
                <w:color w:val="auto"/>
                <w:szCs w:val="21"/>
              </w:rPr>
            </w:pPr>
          </w:p>
        </w:tc>
        <w:tc>
          <w:tcPr>
            <w:tcW w:w="2083" w:type="dxa"/>
            <w:gridSpan w:val="2"/>
            <w:vAlign w:val="center"/>
          </w:tcPr>
          <w:p>
            <w:pPr>
              <w:jc w:val="center"/>
              <w:rPr>
                <w:rFonts w:ascii="宋体"/>
                <w:color w:val="auto"/>
                <w:szCs w:val="21"/>
              </w:rPr>
            </w:pPr>
            <w:r>
              <w:rPr>
                <w:rFonts w:hint="eastAsia" w:ascii="宋体" w:hAnsi="宋体"/>
                <w:color w:val="auto"/>
                <w:szCs w:val="21"/>
              </w:rPr>
              <w:t>验收日期</w:t>
            </w: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4" w:type="dxa"/>
            <w:vAlign w:val="center"/>
          </w:tcPr>
          <w:p>
            <w:pPr>
              <w:jc w:val="center"/>
              <w:rPr>
                <w:rFonts w:ascii="宋体"/>
                <w:color w:val="auto"/>
                <w:szCs w:val="21"/>
              </w:rPr>
            </w:pPr>
            <w:r>
              <w:rPr>
                <w:rFonts w:hint="eastAsia" w:ascii="宋体" w:hAnsi="宋体"/>
                <w:color w:val="auto"/>
                <w:szCs w:val="21"/>
              </w:rPr>
              <w:t>验收地点</w:t>
            </w:r>
          </w:p>
        </w:tc>
        <w:tc>
          <w:tcPr>
            <w:tcW w:w="7993" w:type="dxa"/>
            <w:gridSpan w:val="6"/>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4" w:type="dxa"/>
            <w:vAlign w:val="center"/>
          </w:tcPr>
          <w:p>
            <w:pPr>
              <w:jc w:val="center"/>
              <w:rPr>
                <w:rFonts w:ascii="宋体"/>
                <w:color w:val="auto"/>
                <w:szCs w:val="21"/>
              </w:rPr>
            </w:pPr>
            <w:r>
              <w:rPr>
                <w:rFonts w:hint="eastAsia" w:ascii="宋体" w:hAnsi="宋体"/>
                <w:color w:val="auto"/>
                <w:szCs w:val="21"/>
              </w:rPr>
              <w:t>项目内容</w:t>
            </w:r>
          </w:p>
        </w:tc>
        <w:tc>
          <w:tcPr>
            <w:tcW w:w="3392" w:type="dxa"/>
            <w:vAlign w:val="center"/>
          </w:tcPr>
          <w:p>
            <w:pPr>
              <w:jc w:val="center"/>
              <w:rPr>
                <w:rFonts w:ascii="宋体"/>
                <w:color w:val="auto"/>
                <w:szCs w:val="21"/>
              </w:rPr>
            </w:pPr>
            <w:r>
              <w:rPr>
                <w:rFonts w:hint="eastAsia" w:ascii="宋体" w:hAnsi="宋体"/>
                <w:color w:val="auto"/>
                <w:szCs w:val="21"/>
              </w:rPr>
              <w:t>货物内容</w:t>
            </w:r>
          </w:p>
        </w:tc>
        <w:tc>
          <w:tcPr>
            <w:tcW w:w="752" w:type="dxa"/>
            <w:vAlign w:val="center"/>
          </w:tcPr>
          <w:p>
            <w:pPr>
              <w:jc w:val="center"/>
              <w:rPr>
                <w:rFonts w:ascii="宋体"/>
                <w:color w:val="auto"/>
                <w:szCs w:val="21"/>
              </w:rPr>
            </w:pPr>
            <w:r>
              <w:rPr>
                <w:rFonts w:hint="eastAsia" w:ascii="宋体" w:hAnsi="宋体"/>
                <w:color w:val="auto"/>
                <w:szCs w:val="21"/>
              </w:rPr>
              <w:t>单位</w:t>
            </w:r>
          </w:p>
        </w:tc>
        <w:tc>
          <w:tcPr>
            <w:tcW w:w="850" w:type="dxa"/>
            <w:gridSpan w:val="2"/>
            <w:vAlign w:val="center"/>
          </w:tcPr>
          <w:p>
            <w:pPr>
              <w:jc w:val="center"/>
              <w:rPr>
                <w:rFonts w:ascii="宋体"/>
                <w:color w:val="auto"/>
                <w:szCs w:val="21"/>
              </w:rPr>
            </w:pPr>
            <w:r>
              <w:rPr>
                <w:rFonts w:hint="eastAsia" w:ascii="宋体" w:hAnsi="宋体"/>
                <w:color w:val="auto"/>
                <w:szCs w:val="21"/>
              </w:rPr>
              <w:t>数量</w:t>
            </w:r>
          </w:p>
        </w:tc>
        <w:tc>
          <w:tcPr>
            <w:tcW w:w="1374" w:type="dxa"/>
            <w:vAlign w:val="center"/>
          </w:tcPr>
          <w:p>
            <w:pPr>
              <w:jc w:val="center"/>
              <w:rPr>
                <w:rFonts w:ascii="宋体"/>
                <w:color w:val="auto"/>
                <w:szCs w:val="21"/>
              </w:rPr>
            </w:pPr>
            <w:r>
              <w:rPr>
                <w:rFonts w:hint="eastAsia" w:ascii="宋体" w:hAnsi="宋体"/>
                <w:color w:val="auto"/>
                <w:szCs w:val="21"/>
              </w:rPr>
              <w:t>单价</w:t>
            </w:r>
          </w:p>
        </w:tc>
        <w:tc>
          <w:tcPr>
            <w:tcW w:w="1625" w:type="dxa"/>
            <w:vAlign w:val="center"/>
          </w:tcPr>
          <w:p>
            <w:pPr>
              <w:jc w:val="center"/>
              <w:rPr>
                <w:rFonts w:ascii="宋体"/>
                <w:color w:val="auto"/>
                <w:szCs w:val="21"/>
              </w:rPr>
            </w:pPr>
            <w:r>
              <w:rPr>
                <w:rFonts w:hint="eastAsia" w:ascii="宋体" w:hAnsi="宋体"/>
                <w:color w:val="auto"/>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237" w:type="dxa"/>
            <w:gridSpan w:val="7"/>
            <w:vAlign w:val="center"/>
          </w:tcPr>
          <w:p>
            <w:pPr>
              <w:rPr>
                <w:rFonts w:ascii="宋体"/>
                <w:color w:val="auto"/>
                <w:szCs w:val="21"/>
              </w:rPr>
            </w:pPr>
            <w:r>
              <w:rPr>
                <w:rFonts w:hint="eastAsia" w:ascii="宋体" w:hAnsi="宋体"/>
                <w:color w:val="auto"/>
                <w:szCs w:val="21"/>
              </w:rPr>
              <w:t>总价共计人民币（大写）：</w:t>
            </w: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9237" w:type="dxa"/>
            <w:gridSpan w:val="7"/>
            <w:vAlign w:val="center"/>
          </w:tcPr>
          <w:p>
            <w:pPr>
              <w:rPr>
                <w:rFonts w:ascii="宋体"/>
                <w:color w:val="auto"/>
                <w:szCs w:val="21"/>
              </w:rPr>
            </w:pPr>
            <w:r>
              <w:rPr>
                <w:color w:val="auto"/>
              </w:rPr>
              <w:pict>
                <v:rect id="矩形 7" o:spid="_x0000_s1029" o:spt="1" style="position:absolute;left:0pt;margin-left:285.15pt;margin-top:0.85pt;height:21.25pt;width:28.1pt;z-index:251658240;mso-width-relative:page;mso-height-relative:page;" coordsize="21600,21600" o:gfxdata="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sMZK&#10;1wAAAAgBAAAPAAAAAAAAAAEAIAAAACIAAABkcnMvZG93bnJldi54bWxQSwECFAAUAAAACACHTuJA&#10;zjExv+kBAADdAwAADgAAAAAAAAABACAAAAAmAQAAZHJzL2Uyb0RvYy54bWxQSwUGAAAAAAYABgBZ&#10;AQAAgQUAAAAA&#10;">
                  <v:path/>
                  <v:fill focussize="0,0"/>
                  <v:stroke/>
                  <v:imagedata o:title=""/>
                  <o:lock v:ext="edit"/>
                  <v:textbox>
                    <w:txbxContent>
                      <w:p/>
                    </w:txbxContent>
                  </v:textbox>
                </v:rect>
              </w:pict>
            </w:r>
            <w:r>
              <w:rPr>
                <w:color w:val="auto"/>
              </w:rPr>
              <w:pict>
                <v:rect id="矩形 8" o:spid="_x0000_s1030" o:spt="1" style="position:absolute;left:0pt;margin-left:194.35pt;margin-top:0.3pt;height:21.95pt;width:29.25pt;z-index:251657216;mso-width-relative:page;mso-height-relative:page;" coordsize="21600,21600" o:gfxdata="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1Mt6XW&#10;AAAABwEAAA8AAAAAAAAAAQAgAAAAIgAAAGRycy9kb3ducmV2LnhtbFBLAQIUABQAAAAIAIdO4kCo&#10;Arev6QEAAN0DAAAOAAAAAAAAAAEAIAAAACUBAABkcnMvZTJvRG9jLnhtbFBLBQYAAAAABgAGAFkB&#10;AACABQAAAAA=&#10;">
                  <v:path/>
                  <v:fill focussize="0,0"/>
                  <v:stroke/>
                  <v:imagedata o:title=""/>
                  <o:lock v:ext="edit"/>
                  <v:textbox>
                    <w:txbxContent>
                      <w:p/>
                    </w:txbxContent>
                  </v:textbox>
                </v:rect>
              </w:pict>
            </w:r>
            <w:r>
              <w:rPr>
                <w:color w:val="auto"/>
              </w:rPr>
              <w:pict>
                <v:rect id="矩形 9" o:spid="_x0000_s1031" o:spt="1" style="position:absolute;left:0pt;margin-left:89.45pt;margin-top:0.9pt;height:21.35pt;width:26.8pt;z-index:251656192;mso-width-relative:page;mso-height-relative:page;" coordsize="21600,21600" o:gfxdata="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9ffN&#10;1wAAAAgBAAAPAAAAAAAAAAEAIAAAACIAAABkcnMvZG93bnJldi54bWxQSwECFAAUAAAACACHTuJA&#10;wPzwG+kBAADdAwAADgAAAAAAAAABACAAAAAmAQAAZHJzL2Uyb0RvYy54bWxQSwUGAAAAAAYABgBZ&#10;AQAAgQUAAAAA&#10;">
                  <v:path/>
                  <v:fill focussize="0,0"/>
                  <v:stroke/>
                  <v:imagedata o:title=""/>
                  <o:lock v:ext="edit"/>
                  <v:textbox>
                    <w:txbxContent>
                      <w:p/>
                    </w:txbxContent>
                  </v:textbox>
                </v:rect>
              </w:pict>
            </w:r>
            <w:r>
              <w:rPr>
                <w:rFonts w:hint="eastAsia" w:ascii="宋体" w:hAnsi="宋体"/>
                <w:color w:val="auto"/>
                <w:szCs w:val="21"/>
              </w:rPr>
              <w:t>总体评价：满意</w:t>
            </w:r>
            <w:r>
              <w:rPr>
                <w:rFonts w:ascii="宋体" w:hAnsi="宋体"/>
                <w:color w:val="auto"/>
                <w:szCs w:val="21"/>
              </w:rPr>
              <w:t xml:space="preserve">          </w:t>
            </w:r>
            <w:r>
              <w:rPr>
                <w:rFonts w:hint="eastAsia" w:ascii="宋体" w:hAnsi="宋体"/>
                <w:color w:val="auto"/>
                <w:szCs w:val="21"/>
              </w:rPr>
              <w:t>比较满意</w:t>
            </w:r>
            <w:r>
              <w:rPr>
                <w:rFonts w:ascii="宋体" w:hAnsi="宋体"/>
                <w:color w:val="auto"/>
                <w:szCs w:val="21"/>
              </w:rPr>
              <w:t xml:space="preserve">           </w:t>
            </w:r>
            <w:r>
              <w:rPr>
                <w:rFonts w:hint="eastAsia" w:ascii="宋体" w:hAnsi="宋体"/>
                <w:color w:val="auto"/>
                <w:szCs w:val="21"/>
              </w:rPr>
              <w:t>不满意</w:t>
            </w:r>
          </w:p>
          <w:p>
            <w:pPr>
              <w:rPr>
                <w:rFonts w:ascii="宋体"/>
                <w:color w:val="auto"/>
                <w:szCs w:val="21"/>
              </w:rPr>
            </w:pPr>
          </w:p>
          <w:p>
            <w:pPr>
              <w:rPr>
                <w:rFonts w:ascii="宋体"/>
                <w:color w:val="auto"/>
                <w:szCs w:val="21"/>
              </w:rPr>
            </w:pPr>
            <w:r>
              <w:rPr>
                <w:rFonts w:hint="eastAsia" w:ascii="宋体" w:hAnsi="宋体"/>
                <w:color w:val="auto"/>
                <w:szCs w:val="21"/>
              </w:rPr>
              <w:t>理由：</w:t>
            </w:r>
          </w:p>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636" w:type="dxa"/>
            <w:gridSpan w:val="2"/>
          </w:tcPr>
          <w:p>
            <w:pPr>
              <w:rPr>
                <w:rFonts w:ascii="宋体"/>
                <w:color w:val="auto"/>
                <w:szCs w:val="21"/>
              </w:rPr>
            </w:pPr>
            <w:r>
              <w:rPr>
                <w:rFonts w:hint="eastAsia" w:ascii="宋体" w:hAnsi="宋体"/>
                <w:color w:val="auto"/>
                <w:szCs w:val="21"/>
              </w:rPr>
              <w:t>采购单位验收负责人（签字）：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601" w:type="dxa"/>
            <w:gridSpan w:val="5"/>
          </w:tcPr>
          <w:p>
            <w:pPr>
              <w:rPr>
                <w:rFonts w:ascii="宋体"/>
                <w:color w:val="auto"/>
                <w:szCs w:val="21"/>
              </w:rPr>
            </w:pPr>
            <w:r>
              <w:rPr>
                <w:rFonts w:hint="eastAsia" w:ascii="宋体" w:hAnsi="宋体"/>
                <w:color w:val="auto"/>
                <w:szCs w:val="21"/>
              </w:rPr>
              <w:t>采购单位其他验收成员（签字）：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636" w:type="dxa"/>
            <w:gridSpan w:val="2"/>
          </w:tcPr>
          <w:p>
            <w:pPr>
              <w:rPr>
                <w:rFonts w:ascii="宋体"/>
                <w:color w:val="auto"/>
                <w:szCs w:val="21"/>
              </w:rPr>
            </w:pPr>
            <w:r>
              <w:rPr>
                <w:rFonts w:hint="eastAsia" w:ascii="宋体" w:hAnsi="宋体"/>
                <w:color w:val="auto"/>
                <w:szCs w:val="21"/>
              </w:rPr>
              <w:t>采购单位负责人：</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2415" w:firstLineChars="11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601" w:type="dxa"/>
            <w:gridSpan w:val="5"/>
          </w:tcPr>
          <w:p>
            <w:pPr>
              <w:rPr>
                <w:rFonts w:ascii="宋体"/>
                <w:color w:val="auto"/>
                <w:szCs w:val="21"/>
              </w:rPr>
            </w:pPr>
            <w:r>
              <w:rPr>
                <w:rFonts w:hint="eastAsia" w:ascii="宋体" w:hAnsi="宋体"/>
                <w:color w:val="auto"/>
                <w:szCs w:val="21"/>
              </w:rPr>
              <w:t>供应商授权代表：</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1785" w:firstLineChars="8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ind w:firstLine="1575" w:firstLineChars="750"/>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bl>
    <w:p>
      <w:pPr>
        <w:ind w:left="206" w:leftChars="-202" w:hanging="630" w:hangingChars="300"/>
        <w:rPr>
          <w:rFonts w:ascii="宋体"/>
          <w:color w:val="auto"/>
          <w:szCs w:val="21"/>
        </w:rPr>
      </w:pPr>
      <w:r>
        <w:rPr>
          <w:rFonts w:hint="eastAsia" w:ascii="宋体" w:hAnsi="宋体"/>
          <w:color w:val="auto"/>
          <w:szCs w:val="21"/>
        </w:rPr>
        <w:t>注：</w:t>
      </w:r>
      <w:r>
        <w:rPr>
          <w:rFonts w:ascii="宋体" w:hAnsi="宋体"/>
          <w:color w:val="auto"/>
          <w:szCs w:val="21"/>
        </w:rPr>
        <w:t xml:space="preserve">1. </w:t>
      </w:r>
      <w:r>
        <w:rPr>
          <w:rFonts w:hint="eastAsia" w:ascii="宋体" w:hAnsi="宋体"/>
          <w:color w:val="auto"/>
          <w:szCs w:val="21"/>
        </w:rPr>
        <w:t>本表需验收成员两人以上签字，并经采购单位盖章有效；</w:t>
      </w:r>
      <w:r>
        <w:rPr>
          <w:rFonts w:ascii="宋体" w:hAnsi="宋体"/>
          <w:color w:val="auto"/>
          <w:szCs w:val="21"/>
        </w:rPr>
        <w:t xml:space="preserve">               </w:t>
      </w:r>
    </w:p>
    <w:p>
      <w:pPr>
        <w:ind w:left="265" w:leftChars="26" w:hanging="210" w:hangingChars="100"/>
        <w:rPr>
          <w:rFonts w:ascii="宋体"/>
          <w:color w:val="auto"/>
          <w:szCs w:val="21"/>
        </w:rPr>
      </w:pPr>
      <w:r>
        <w:rPr>
          <w:rFonts w:ascii="宋体" w:hAnsi="宋体"/>
          <w:color w:val="auto"/>
          <w:szCs w:val="21"/>
        </w:rPr>
        <w:t>2</w:t>
      </w:r>
      <w:r>
        <w:rPr>
          <w:rFonts w:hint="eastAsia" w:ascii="宋体" w:hAnsi="宋体"/>
          <w:color w:val="auto"/>
          <w:szCs w:val="21"/>
        </w:rPr>
        <w:t>．本表总体评价采购单位必须填写；</w:t>
      </w:r>
    </w:p>
    <w:p>
      <w:pPr>
        <w:ind w:left="265" w:leftChars="26" w:hanging="210" w:hangingChars="100"/>
        <w:rPr>
          <w:rFonts w:ascii="宋体"/>
          <w:color w:val="auto"/>
          <w:szCs w:val="21"/>
        </w:rPr>
      </w:pPr>
      <w:r>
        <w:rPr>
          <w:rFonts w:ascii="宋体" w:hAnsi="宋体"/>
          <w:color w:val="auto"/>
          <w:szCs w:val="21"/>
        </w:rPr>
        <w:t>3</w:t>
      </w:r>
      <w:r>
        <w:rPr>
          <w:rFonts w:hint="eastAsia" w:ascii="宋体" w:hAnsi="宋体"/>
          <w:color w:val="auto"/>
          <w:szCs w:val="21"/>
        </w:rPr>
        <w:t>．本表一式三份，采购单位、供应商、采购办各一份。</w:t>
      </w:r>
    </w:p>
    <w:p>
      <w:pPr>
        <w:ind w:left="265" w:leftChars="26" w:hanging="210" w:hangingChars="100"/>
        <w:rPr>
          <w:rFonts w:ascii="宋体"/>
          <w:color w:val="auto"/>
          <w:szCs w:val="21"/>
        </w:rPr>
      </w:pPr>
    </w:p>
    <w:p>
      <w:pPr>
        <w:pStyle w:val="23"/>
        <w:snapToGrid w:val="0"/>
        <w:spacing w:line="400" w:lineRule="exact"/>
        <w:outlineLvl w:val="1"/>
        <w:rPr>
          <w:rFonts w:hint="eastAsia" w:hAnsi="宋体" w:cs="宋体"/>
          <w:bCs/>
          <w:color w:val="auto"/>
          <w:sz w:val="21"/>
        </w:rPr>
      </w:pPr>
      <w:bookmarkStart w:id="360" w:name="_Toc22507"/>
      <w:r>
        <w:rPr>
          <w:rFonts w:hint="eastAsia" w:hAnsi="宋体" w:cs="宋体"/>
          <w:bCs/>
          <w:color w:val="auto"/>
          <w:sz w:val="21"/>
        </w:rPr>
        <w:t>附表</w:t>
      </w:r>
      <w:r>
        <w:rPr>
          <w:rFonts w:hint="eastAsia" w:hAnsi="宋体" w:cs="宋体"/>
          <w:bCs/>
          <w:color w:val="auto"/>
          <w:sz w:val="21"/>
          <w:lang w:eastAsia="zh-CN"/>
        </w:rPr>
        <w:t>二</w:t>
      </w:r>
      <w:r>
        <w:rPr>
          <w:rFonts w:hint="eastAsia" w:hAnsi="宋体" w:cs="宋体"/>
          <w:bCs/>
          <w:color w:val="auto"/>
          <w:sz w:val="21"/>
        </w:rPr>
        <w:t>：</w:t>
      </w:r>
    </w:p>
    <w:p>
      <w:pPr>
        <w:jc w:val="center"/>
        <w:rPr>
          <w:rFonts w:hint="eastAsia" w:ascii="宋体" w:hAnsi="宋体" w:eastAsia="宋体" w:cs="宋体"/>
          <w:sz w:val="48"/>
        </w:rPr>
      </w:pPr>
      <w:r>
        <w:rPr>
          <w:rFonts w:hint="eastAsia" w:ascii="黑体" w:hAnsi="Times New Roman" w:eastAsia="黑体" w:cs="Times New Roman"/>
          <w:color w:val="auto"/>
          <w:sz w:val="44"/>
          <w:szCs w:val="44"/>
        </w:rPr>
        <w:t>政府采购项目履约保证金退付意见书</w:t>
      </w:r>
    </w:p>
    <w:tbl>
      <w:tblPr>
        <w:tblStyle w:val="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供</w:t>
            </w:r>
          </w:p>
          <w:p>
            <w:pPr>
              <w:jc w:val="center"/>
              <w:rPr>
                <w:rFonts w:hint="eastAsia" w:ascii="宋体" w:hAnsi="宋体" w:eastAsia="宋体" w:cs="宋体"/>
                <w:sz w:val="24"/>
              </w:rPr>
            </w:pPr>
            <w:r>
              <w:rPr>
                <w:rFonts w:hint="eastAsia" w:ascii="宋体" w:hAnsi="宋体" w:eastAsia="宋体" w:cs="宋体"/>
                <w:sz w:val="24"/>
              </w:rPr>
              <w:t>应</w:t>
            </w:r>
          </w:p>
          <w:p>
            <w:pPr>
              <w:jc w:val="center"/>
              <w:rPr>
                <w:rFonts w:hint="eastAsia" w:ascii="宋体" w:hAnsi="宋体" w:eastAsia="宋体" w:cs="宋体"/>
                <w:sz w:val="24"/>
              </w:rPr>
            </w:pPr>
            <w:r>
              <w:rPr>
                <w:rFonts w:hint="eastAsia" w:ascii="宋体" w:hAnsi="宋体" w:eastAsia="宋体" w:cs="宋体"/>
                <w:sz w:val="24"/>
              </w:rPr>
              <w:t>商</w:t>
            </w:r>
          </w:p>
          <w:p>
            <w:pPr>
              <w:jc w:val="center"/>
              <w:rPr>
                <w:rFonts w:hint="eastAsia" w:ascii="宋体" w:hAnsi="宋体" w:eastAsia="宋体" w:cs="宋体"/>
                <w:sz w:val="24"/>
              </w:rPr>
            </w:pPr>
            <w:r>
              <w:rPr>
                <w:rFonts w:hint="eastAsia" w:ascii="宋体" w:hAnsi="宋体" w:eastAsia="宋体" w:cs="宋体"/>
                <w:sz w:val="24"/>
              </w:rPr>
              <w:t>申</w:t>
            </w:r>
          </w:p>
          <w:p>
            <w:pPr>
              <w:jc w:val="center"/>
              <w:rPr>
                <w:rFonts w:hint="eastAsia" w:ascii="宋体" w:hAnsi="宋体" w:eastAsia="宋体" w:cs="宋体"/>
                <w:sz w:val="24"/>
              </w:rPr>
            </w:pPr>
            <w:r>
              <w:rPr>
                <w:rFonts w:hint="eastAsia" w:ascii="宋体" w:hAnsi="宋体" w:eastAsia="宋体" w:cs="宋体"/>
                <w:sz w:val="24"/>
              </w:rPr>
              <w:t>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r>
              <w:rPr>
                <w:rFonts w:hint="eastAsia" w:ascii="宋体" w:hAnsi="宋体" w:eastAsia="宋体" w:cs="宋体"/>
                <w:sz w:val="24"/>
              </w:rPr>
              <w:t>采购编号：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c>
          <w:tcPr>
            <w:tcW w:w="86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r>
              <w:rPr>
                <w:rFonts w:hint="eastAsia" w:ascii="宋体" w:hAnsi="宋体" w:eastAsia="宋体" w:cs="宋体"/>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r>
              <w:rPr>
                <w:rFonts w:hint="eastAsia" w:ascii="宋体" w:hAnsi="宋体" w:eastAsia="宋体" w:cs="宋体"/>
                <w:sz w:val="24"/>
              </w:rPr>
              <w:t xml:space="preserve">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该项目已于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日验收并交付使用。根据合同规定，该项目的履约保证金期限于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日已满，请将履约保证金</w:t>
            </w:r>
          </w:p>
          <w:p>
            <w:pPr>
              <w:spacing w:line="400" w:lineRule="exact"/>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（大写）￥</w:t>
            </w:r>
            <w:r>
              <w:rPr>
                <w:rFonts w:hint="eastAsia" w:ascii="宋体" w:hAnsi="宋体" w:eastAsia="宋体" w:cs="宋体"/>
                <w:sz w:val="24"/>
                <w:u w:val="single"/>
              </w:rPr>
              <w:t xml:space="preserve">          </w:t>
            </w:r>
            <w:r>
              <w:rPr>
                <w:rFonts w:hint="eastAsia" w:ascii="宋体" w:hAnsi="宋体" w:eastAsia="宋体" w:cs="宋体"/>
                <w:sz w:val="24"/>
              </w:rPr>
              <w:t>（小写）退付到达以下帐户。</w:t>
            </w:r>
          </w:p>
          <w:p>
            <w:pPr>
              <w:spacing w:line="400" w:lineRule="exact"/>
              <w:ind w:firstLine="705"/>
              <w:rPr>
                <w:rFonts w:hint="eastAsia" w:ascii="宋体" w:hAnsi="宋体" w:eastAsia="宋体" w:cs="宋体"/>
                <w:sz w:val="24"/>
              </w:rPr>
            </w:pPr>
            <w:r>
              <w:rPr>
                <w:rFonts w:hint="eastAsia" w:ascii="宋体" w:hAnsi="宋体" w:eastAsia="宋体" w:cs="宋体"/>
                <w:sz w:val="24"/>
              </w:rPr>
              <w:t>单位名称：</w:t>
            </w:r>
          </w:p>
          <w:p>
            <w:pPr>
              <w:spacing w:line="400" w:lineRule="exact"/>
              <w:ind w:firstLine="705"/>
              <w:rPr>
                <w:rFonts w:hint="eastAsia" w:ascii="宋体" w:hAnsi="宋体" w:eastAsia="宋体" w:cs="宋体"/>
                <w:sz w:val="24"/>
              </w:rPr>
            </w:pPr>
            <w:r>
              <w:rPr>
                <w:rFonts w:hint="eastAsia" w:ascii="宋体" w:hAnsi="宋体" w:eastAsia="宋体" w:cs="宋体"/>
                <w:sz w:val="24"/>
              </w:rPr>
              <w:t>开户银行：</w:t>
            </w:r>
          </w:p>
          <w:p>
            <w:pPr>
              <w:spacing w:line="400" w:lineRule="exact"/>
              <w:ind w:firstLine="705"/>
              <w:rPr>
                <w:rFonts w:hint="eastAsia" w:ascii="宋体" w:hAnsi="宋体" w:eastAsia="宋体" w:cs="宋体"/>
                <w:sz w:val="24"/>
              </w:rPr>
            </w:pPr>
            <w:r>
              <w:rPr>
                <w:rFonts w:hint="eastAsia" w:ascii="宋体" w:hAnsi="宋体" w:eastAsia="宋体" w:cs="宋体"/>
                <w:sz w:val="24"/>
              </w:rPr>
              <w:t>帐   号：</w:t>
            </w:r>
          </w:p>
          <w:p>
            <w:pPr>
              <w:spacing w:line="400" w:lineRule="exact"/>
              <w:rPr>
                <w:rFonts w:hint="eastAsia" w:ascii="宋体" w:hAnsi="宋体" w:eastAsia="宋体" w:cs="宋体"/>
                <w:sz w:val="24"/>
              </w:rPr>
            </w:pPr>
            <w:r>
              <w:rPr>
                <w:rFonts w:hint="eastAsia" w:ascii="宋体" w:hAnsi="宋体" w:eastAsia="宋体" w:cs="宋体"/>
                <w:sz w:val="24"/>
              </w:rPr>
              <w:t>联系人及电话：</w:t>
            </w:r>
          </w:p>
          <w:p>
            <w:pPr>
              <w:spacing w:line="400" w:lineRule="exact"/>
              <w:rPr>
                <w:rFonts w:hint="eastAsia" w:ascii="宋体" w:hAnsi="宋体" w:eastAsia="宋体" w:cs="宋体"/>
                <w:sz w:val="24"/>
              </w:rPr>
            </w:pPr>
          </w:p>
          <w:p>
            <w:pPr>
              <w:spacing w:line="520" w:lineRule="exact"/>
              <w:jc w:val="center"/>
              <w:rPr>
                <w:rFonts w:hint="eastAsia" w:ascii="宋体" w:hAnsi="宋体" w:eastAsia="宋体" w:cs="宋体"/>
                <w:sz w:val="24"/>
              </w:rPr>
            </w:pPr>
            <w:r>
              <w:rPr>
                <w:rFonts w:hint="eastAsia" w:ascii="宋体" w:hAnsi="宋体" w:eastAsia="宋体" w:cs="宋体"/>
                <w:sz w:val="24"/>
              </w:rPr>
              <w:t xml:space="preserve">                                     供应商签章：</w:t>
            </w:r>
          </w:p>
          <w:p>
            <w:pPr>
              <w:spacing w:line="520" w:lineRule="exact"/>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采</w:t>
            </w:r>
          </w:p>
          <w:p>
            <w:pPr>
              <w:jc w:val="center"/>
              <w:rPr>
                <w:rFonts w:hint="eastAsia" w:ascii="宋体" w:hAnsi="宋体" w:eastAsia="宋体" w:cs="宋体"/>
                <w:sz w:val="24"/>
              </w:rPr>
            </w:pPr>
            <w:r>
              <w:rPr>
                <w:rFonts w:hint="eastAsia" w:ascii="宋体" w:hAnsi="宋体" w:eastAsia="宋体" w:cs="宋体"/>
                <w:sz w:val="24"/>
              </w:rPr>
              <w:t>购</w:t>
            </w:r>
          </w:p>
          <w:p>
            <w:pPr>
              <w:jc w:val="center"/>
              <w:rPr>
                <w:rFonts w:hint="eastAsia" w:ascii="宋体" w:hAnsi="宋体" w:eastAsia="宋体" w:cs="宋体"/>
                <w:sz w:val="24"/>
              </w:rPr>
            </w:pPr>
            <w:r>
              <w:rPr>
                <w:rFonts w:hint="eastAsia" w:ascii="宋体" w:hAnsi="宋体" w:eastAsia="宋体" w:cs="宋体"/>
                <w:sz w:val="24"/>
              </w:rPr>
              <w:t>单</w:t>
            </w:r>
          </w:p>
          <w:p>
            <w:pPr>
              <w:jc w:val="center"/>
              <w:rPr>
                <w:rFonts w:hint="eastAsia" w:ascii="宋体" w:hAnsi="宋体" w:eastAsia="宋体" w:cs="宋体"/>
                <w:sz w:val="24"/>
              </w:rPr>
            </w:pPr>
            <w:r>
              <w:rPr>
                <w:rFonts w:hint="eastAsia" w:ascii="宋体" w:hAnsi="宋体" w:eastAsia="宋体" w:cs="宋体"/>
                <w:sz w:val="24"/>
              </w:rPr>
              <w:t>位</w:t>
            </w:r>
          </w:p>
          <w:p>
            <w:pPr>
              <w:jc w:val="center"/>
              <w:rPr>
                <w:rFonts w:hint="eastAsia" w:ascii="宋体" w:hAnsi="宋体" w:eastAsia="宋体" w:cs="宋体"/>
                <w:sz w:val="24"/>
              </w:rPr>
            </w:pPr>
            <w:r>
              <w:rPr>
                <w:rFonts w:hint="eastAsia" w:ascii="宋体" w:hAnsi="宋体" w:eastAsia="宋体" w:cs="宋体"/>
                <w:sz w:val="24"/>
              </w:rPr>
              <w:t>意</w:t>
            </w:r>
          </w:p>
          <w:p>
            <w:pPr>
              <w:jc w:val="center"/>
              <w:rPr>
                <w:rFonts w:hint="eastAsia" w:ascii="宋体" w:hAnsi="宋体" w:eastAsia="宋体" w:cs="宋体"/>
                <w:sz w:val="24"/>
              </w:rPr>
            </w:pPr>
            <w:r>
              <w:rPr>
                <w:rFonts w:hint="eastAsia" w:ascii="宋体" w:hAnsi="宋体" w:eastAsia="宋体" w:cs="宋体"/>
                <w:sz w:val="24"/>
              </w:rPr>
              <w:t>见</w:t>
            </w:r>
          </w:p>
        </w:tc>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退付意见：是否同意退付履约保证金及退付金额</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负责人审核意见：</w:t>
            </w:r>
          </w:p>
          <w:p>
            <w:pPr>
              <w:spacing w:line="520" w:lineRule="exact"/>
              <w:rPr>
                <w:rFonts w:hint="eastAsia" w:ascii="宋体" w:hAnsi="宋体" w:eastAsia="宋体" w:cs="宋体"/>
                <w:sz w:val="24"/>
              </w:rPr>
            </w:pPr>
          </w:p>
          <w:p>
            <w:pPr>
              <w:spacing w:line="520" w:lineRule="exact"/>
              <w:rPr>
                <w:rFonts w:hint="eastAsia" w:ascii="宋体" w:hAnsi="宋体" w:eastAsia="宋体" w:cs="宋体"/>
                <w:sz w:val="24"/>
              </w:rPr>
            </w:pPr>
            <w:r>
              <w:rPr>
                <w:rFonts w:hint="eastAsia" w:ascii="宋体" w:hAnsi="宋体" w:eastAsia="宋体" w:cs="宋体"/>
                <w:sz w:val="24"/>
              </w:rPr>
              <w:t>负责人及电话：                                 采购单位签章</w:t>
            </w:r>
          </w:p>
          <w:p>
            <w:pPr>
              <w:spacing w:line="520" w:lineRule="exact"/>
              <w:jc w:val="center"/>
              <w:rPr>
                <w:rFonts w:hint="eastAsia" w:ascii="宋体" w:hAnsi="宋体" w:eastAsia="宋体" w:cs="宋体"/>
                <w:sz w:val="24"/>
              </w:rPr>
            </w:pPr>
            <w:r>
              <w:rPr>
                <w:rFonts w:hint="eastAsia" w:ascii="宋体" w:hAnsi="宋体" w:eastAsia="宋体" w:cs="宋体"/>
                <w:sz w:val="24"/>
              </w:rPr>
              <w:t xml:space="preserve">                                        年    月     日</w:t>
            </w:r>
          </w:p>
        </w:tc>
      </w:tr>
    </w:tbl>
    <w:p>
      <w:pPr>
        <w:pStyle w:val="23"/>
        <w:spacing w:line="288" w:lineRule="auto"/>
        <w:ind w:firstLine="400" w:firstLineChars="200"/>
        <w:rPr>
          <w:rFonts w:hint="eastAsia" w:ascii="宋体" w:hAnsi="宋体" w:eastAsia="宋体" w:cs="宋体"/>
        </w:rPr>
      </w:pPr>
      <w:r>
        <w:rPr>
          <w:rFonts w:hint="eastAsia" w:ascii="宋体" w:hAnsi="宋体" w:eastAsia="宋体" w:cs="宋体"/>
        </w:rPr>
        <w:t>注：中标单位凭此退付意见书到采购单位办理履约保证金退付事宜。</w:t>
      </w:r>
    </w:p>
    <w:p>
      <w:pPr>
        <w:pStyle w:val="23"/>
        <w:spacing w:line="288" w:lineRule="auto"/>
        <w:ind w:firstLine="400" w:firstLineChars="200"/>
        <w:rPr>
          <w:rFonts w:hint="eastAsia" w:ascii="宋体" w:hAnsi="宋体" w:eastAsia="宋体" w:cs="宋体"/>
        </w:rPr>
      </w:pPr>
    </w:p>
    <w:p>
      <w:pPr>
        <w:pStyle w:val="23"/>
        <w:spacing w:line="288" w:lineRule="auto"/>
        <w:ind w:firstLine="400" w:firstLineChars="200"/>
        <w:rPr>
          <w:rFonts w:hint="eastAsia" w:ascii="宋体" w:hAnsi="宋体" w:eastAsia="宋体" w:cs="宋体"/>
        </w:rPr>
      </w:pPr>
    </w:p>
    <w:p>
      <w:pPr>
        <w:pStyle w:val="23"/>
        <w:spacing w:line="288" w:lineRule="auto"/>
        <w:ind w:firstLine="400" w:firstLineChars="200"/>
        <w:rPr>
          <w:rFonts w:hint="eastAsia" w:ascii="宋体" w:hAnsi="宋体" w:eastAsia="宋体" w:cs="宋体"/>
        </w:rPr>
      </w:pPr>
    </w:p>
    <w:p>
      <w:pPr>
        <w:pStyle w:val="5"/>
        <w:spacing w:line="240" w:lineRule="auto"/>
        <w:jc w:val="center"/>
        <w:rPr>
          <w:color w:val="auto"/>
          <w:sz w:val="36"/>
          <w:szCs w:val="36"/>
        </w:rPr>
      </w:pPr>
      <w:r>
        <w:rPr>
          <w:rFonts w:hint="eastAsia"/>
          <w:color w:val="auto"/>
          <w:sz w:val="36"/>
          <w:szCs w:val="36"/>
        </w:rPr>
        <w:t>第四章</w:t>
      </w:r>
      <w:r>
        <w:rPr>
          <w:color w:val="auto"/>
          <w:sz w:val="36"/>
          <w:szCs w:val="36"/>
        </w:rPr>
        <w:t xml:space="preserve">  </w:t>
      </w:r>
      <w:r>
        <w:rPr>
          <w:rFonts w:hint="eastAsia"/>
          <w:color w:val="auto"/>
          <w:sz w:val="36"/>
          <w:szCs w:val="36"/>
        </w:rPr>
        <w:t>评标办法及评分标准</w:t>
      </w:r>
      <w:bookmarkEnd w:id="46"/>
      <w:bookmarkEnd w:id="47"/>
      <w:bookmarkEnd w:id="48"/>
      <w:bookmarkEnd w:id="360"/>
    </w:p>
    <w:p>
      <w:pPr>
        <w:pStyle w:val="23"/>
        <w:spacing w:line="360" w:lineRule="exact"/>
        <w:ind w:firstLine="420"/>
        <w:rPr>
          <w:rFonts w:hAnsi="宋体"/>
          <w:b/>
          <w:bCs/>
          <w:color w:val="auto"/>
          <w:sz w:val="21"/>
        </w:rPr>
      </w:pPr>
      <w:r>
        <w:rPr>
          <w:rFonts w:hint="eastAsia" w:hAnsi="宋体"/>
          <w:b/>
          <w:bCs/>
          <w:color w:val="auto"/>
          <w:sz w:val="21"/>
        </w:rPr>
        <w:t>一、评标原则</w:t>
      </w:r>
    </w:p>
    <w:p>
      <w:pPr>
        <w:pStyle w:val="23"/>
        <w:spacing w:line="360" w:lineRule="exact"/>
        <w:ind w:firstLine="420"/>
        <w:rPr>
          <w:rFonts w:hAnsi="宋体"/>
          <w:bCs/>
          <w:color w:val="auto"/>
          <w:sz w:val="21"/>
        </w:rPr>
      </w:pPr>
      <w:r>
        <w:rPr>
          <w:rFonts w:hAnsi="宋体"/>
          <w:bCs/>
          <w:color w:val="auto"/>
          <w:sz w:val="21"/>
        </w:rPr>
        <w:t>(</w:t>
      </w:r>
      <w:r>
        <w:rPr>
          <w:rFonts w:hint="eastAsia" w:hAnsi="宋体"/>
          <w:bCs/>
          <w:color w:val="auto"/>
          <w:sz w:val="21"/>
        </w:rPr>
        <w:t>一</w:t>
      </w:r>
      <w:r>
        <w:rPr>
          <w:rFonts w:hAnsi="宋体"/>
          <w:bCs/>
          <w:color w:val="auto"/>
          <w:sz w:val="21"/>
        </w:rPr>
        <w:t>)</w:t>
      </w:r>
      <w:r>
        <w:rPr>
          <w:rFonts w:hint="eastAsia" w:hAnsi="宋体"/>
          <w:bCs/>
          <w:color w:val="auto"/>
          <w:sz w:val="21"/>
        </w:rPr>
        <w:t>评委构成：本招标采购项目的评委由采购人代表、政府采购评审专家库中随机抽取的专家共</w:t>
      </w:r>
      <w:r>
        <w:rPr>
          <w:rFonts w:hAnsi="宋体"/>
          <w:bCs/>
          <w:color w:val="auto"/>
          <w:sz w:val="21"/>
        </w:rPr>
        <w:t>5</w:t>
      </w:r>
      <w:r>
        <w:rPr>
          <w:rFonts w:hint="eastAsia" w:hAnsi="宋体"/>
          <w:bCs/>
          <w:color w:val="auto"/>
          <w:sz w:val="21"/>
        </w:rPr>
        <w:t>人以上（含</w:t>
      </w:r>
      <w:r>
        <w:rPr>
          <w:rFonts w:hAnsi="宋体"/>
          <w:bCs/>
          <w:color w:val="auto"/>
          <w:sz w:val="21"/>
        </w:rPr>
        <w:t>5</w:t>
      </w:r>
      <w:r>
        <w:rPr>
          <w:rFonts w:hint="eastAsia" w:hAnsi="宋体"/>
          <w:bCs/>
          <w:color w:val="auto"/>
          <w:sz w:val="21"/>
        </w:rPr>
        <w:t>人）单数构成，其中专家人数不少于成员总数的三分之二。</w:t>
      </w:r>
    </w:p>
    <w:p>
      <w:pPr>
        <w:pStyle w:val="23"/>
        <w:spacing w:line="360" w:lineRule="exact"/>
        <w:ind w:firstLine="420" w:firstLineChars="200"/>
        <w:rPr>
          <w:rFonts w:hAnsi="宋体"/>
          <w:bCs/>
          <w:color w:val="auto"/>
          <w:sz w:val="21"/>
        </w:rPr>
      </w:pPr>
      <w:r>
        <w:rPr>
          <w:rFonts w:hAnsi="宋体"/>
          <w:bCs/>
          <w:color w:val="auto"/>
          <w:sz w:val="21"/>
        </w:rPr>
        <w:t>(</w:t>
      </w:r>
      <w:r>
        <w:rPr>
          <w:rFonts w:hint="eastAsia" w:hAnsi="宋体"/>
          <w:bCs/>
          <w:color w:val="auto"/>
          <w:sz w:val="21"/>
        </w:rPr>
        <w:t>二</w:t>
      </w:r>
      <w:r>
        <w:rPr>
          <w:rFonts w:hAnsi="宋体"/>
          <w:bCs/>
          <w:color w:val="auto"/>
          <w:sz w:val="21"/>
        </w:rPr>
        <w:t>)</w:t>
      </w:r>
      <w:r>
        <w:rPr>
          <w:rFonts w:hint="eastAsia" w:hAnsi="宋体"/>
          <w:bCs/>
          <w:color w:val="auto"/>
          <w:sz w:val="21"/>
        </w:rPr>
        <w:t>评标依据：评委将以招投标文件为评标依据，对投标人的投标报价、技术性能及配置、售后服务、信誉及业绩等四方面内容按百分制打分。其中价格分</w:t>
      </w:r>
      <w:r>
        <w:rPr>
          <w:rFonts w:hAnsi="宋体"/>
          <w:bCs/>
          <w:color w:val="auto"/>
          <w:sz w:val="21"/>
        </w:rPr>
        <w:t>30</w:t>
      </w:r>
      <w:r>
        <w:rPr>
          <w:rFonts w:hint="eastAsia" w:hAnsi="宋体"/>
          <w:bCs/>
          <w:color w:val="auto"/>
          <w:sz w:val="21"/>
        </w:rPr>
        <w:t>分；技术分</w:t>
      </w:r>
      <w:r>
        <w:rPr>
          <w:rFonts w:hAnsi="宋体"/>
          <w:bCs/>
          <w:color w:val="auto"/>
          <w:sz w:val="21"/>
        </w:rPr>
        <w:t>32</w:t>
      </w:r>
      <w:r>
        <w:rPr>
          <w:rFonts w:hint="eastAsia" w:hAnsi="宋体"/>
          <w:bCs/>
          <w:color w:val="auto"/>
          <w:sz w:val="21"/>
        </w:rPr>
        <w:t>分；业绩分</w:t>
      </w:r>
      <w:r>
        <w:rPr>
          <w:rFonts w:hAnsi="宋体"/>
          <w:bCs/>
          <w:color w:val="auto"/>
          <w:sz w:val="21"/>
        </w:rPr>
        <w:t>14</w:t>
      </w:r>
      <w:r>
        <w:rPr>
          <w:rFonts w:hint="eastAsia" w:hAnsi="宋体"/>
          <w:bCs/>
          <w:color w:val="auto"/>
          <w:sz w:val="21"/>
        </w:rPr>
        <w:t>分；售后服务分</w:t>
      </w:r>
      <w:r>
        <w:rPr>
          <w:rFonts w:hAnsi="宋体"/>
          <w:bCs/>
          <w:color w:val="auto"/>
          <w:sz w:val="21"/>
        </w:rPr>
        <w:t>21</w:t>
      </w:r>
      <w:r>
        <w:rPr>
          <w:rFonts w:hint="eastAsia" w:hAnsi="宋体"/>
          <w:bCs/>
          <w:color w:val="auto"/>
          <w:sz w:val="21"/>
        </w:rPr>
        <w:t>分；政策功能分</w:t>
      </w:r>
      <w:r>
        <w:rPr>
          <w:rFonts w:hAnsi="宋体"/>
          <w:bCs/>
          <w:color w:val="auto"/>
          <w:sz w:val="21"/>
        </w:rPr>
        <w:t>3</w:t>
      </w:r>
      <w:r>
        <w:rPr>
          <w:rFonts w:hint="eastAsia" w:hAnsi="宋体"/>
          <w:bCs/>
          <w:color w:val="auto"/>
          <w:sz w:val="21"/>
        </w:rPr>
        <w:t>分。</w:t>
      </w:r>
    </w:p>
    <w:p>
      <w:pPr>
        <w:pStyle w:val="23"/>
        <w:spacing w:line="360" w:lineRule="exact"/>
        <w:ind w:firstLine="420"/>
        <w:rPr>
          <w:rFonts w:hAnsi="宋体"/>
          <w:b/>
          <w:bCs/>
          <w:color w:val="auto"/>
          <w:sz w:val="21"/>
        </w:rPr>
      </w:pPr>
      <w:r>
        <w:rPr>
          <w:rFonts w:hint="eastAsia" w:hAnsi="宋体"/>
          <w:b/>
          <w:bCs/>
          <w:color w:val="auto"/>
          <w:sz w:val="21"/>
        </w:rPr>
        <w:t>二、评标方法</w:t>
      </w:r>
    </w:p>
    <w:p>
      <w:pPr>
        <w:pStyle w:val="23"/>
        <w:spacing w:line="360" w:lineRule="exact"/>
        <w:ind w:firstLine="420"/>
        <w:rPr>
          <w:rFonts w:hAnsi="宋体"/>
          <w:b/>
          <w:bCs/>
          <w:color w:val="auto"/>
          <w:sz w:val="21"/>
        </w:rPr>
      </w:pPr>
      <w:r>
        <w:rPr>
          <w:rFonts w:hint="eastAsia" w:hAnsi="宋体"/>
          <w:b/>
          <w:bCs/>
          <w:color w:val="auto"/>
          <w:sz w:val="21"/>
        </w:rPr>
        <w:t>（一）对进入详评的，采用百分制综合评分法。</w:t>
      </w:r>
    </w:p>
    <w:p>
      <w:pPr>
        <w:pStyle w:val="23"/>
        <w:spacing w:line="360" w:lineRule="exact"/>
        <w:ind w:firstLine="420"/>
        <w:rPr>
          <w:rFonts w:hAnsi="宋体"/>
          <w:b/>
          <w:bCs/>
          <w:color w:val="auto"/>
          <w:sz w:val="21"/>
        </w:rPr>
      </w:pPr>
      <w:r>
        <w:rPr>
          <w:rFonts w:hint="eastAsia" w:hAnsi="宋体"/>
          <w:b/>
          <w:bCs/>
          <w:color w:val="auto"/>
          <w:sz w:val="21"/>
        </w:rPr>
        <w:t>（二）计分办法（按四舍五入取至百分位）：</w:t>
      </w:r>
    </w:p>
    <w:p>
      <w:pPr>
        <w:pStyle w:val="23"/>
        <w:spacing w:line="420" w:lineRule="exact"/>
        <w:ind w:firstLine="420"/>
        <w:rPr>
          <w:rFonts w:hAnsi="宋体"/>
          <w:b/>
          <w:color w:val="auto"/>
          <w:sz w:val="21"/>
        </w:rPr>
      </w:pPr>
      <w:r>
        <w:rPr>
          <w:rFonts w:hAnsi="宋体"/>
          <w:b/>
          <w:color w:val="auto"/>
          <w:sz w:val="21"/>
        </w:rPr>
        <w:t>1.</w:t>
      </w:r>
      <w:r>
        <w:rPr>
          <w:rFonts w:hint="eastAsia" w:hAnsi="宋体"/>
          <w:b/>
          <w:color w:val="auto"/>
          <w:sz w:val="21"/>
        </w:rPr>
        <w:t>价格分……………………………………………………………………………</w:t>
      </w:r>
      <w:r>
        <w:rPr>
          <w:rFonts w:hAnsi="宋体"/>
          <w:b/>
          <w:color w:val="auto"/>
          <w:sz w:val="21"/>
        </w:rPr>
        <w:t>30</w:t>
      </w:r>
      <w:r>
        <w:rPr>
          <w:rFonts w:hint="eastAsia" w:hAnsi="宋体"/>
          <w:b/>
          <w:color w:val="auto"/>
          <w:sz w:val="21"/>
        </w:rPr>
        <w:t>分</w:t>
      </w:r>
    </w:p>
    <w:p>
      <w:pPr>
        <w:pStyle w:val="23"/>
        <w:spacing w:line="420" w:lineRule="exact"/>
        <w:ind w:firstLine="420"/>
        <w:rPr>
          <w:rFonts w:hAnsi="宋体"/>
          <w:b/>
          <w:color w:val="auto"/>
          <w:sz w:val="21"/>
        </w:rPr>
      </w:pPr>
      <w:r>
        <w:rPr>
          <w:rFonts w:hAnsi="宋体"/>
          <w:b/>
          <w:color w:val="auto"/>
          <w:sz w:val="21"/>
        </w:rPr>
        <w:t xml:space="preserve"> </w:t>
      </w:r>
      <w:r>
        <w:rPr>
          <w:rFonts w:hint="eastAsia" w:hAnsi="宋体"/>
          <w:b/>
          <w:color w:val="auto"/>
          <w:sz w:val="21"/>
        </w:rPr>
        <w:t>（</w:t>
      </w:r>
      <w:r>
        <w:rPr>
          <w:rFonts w:hAnsi="宋体"/>
          <w:b/>
          <w:color w:val="auto"/>
          <w:sz w:val="21"/>
        </w:rPr>
        <w:t>1</w:t>
      </w:r>
      <w:r>
        <w:rPr>
          <w:rFonts w:hint="eastAsia" w:hAnsi="宋体"/>
          <w:b/>
          <w:color w:val="auto"/>
          <w:sz w:val="21"/>
        </w:rPr>
        <w:t>）以进入评标的最低评标报价为</w:t>
      </w:r>
      <w:r>
        <w:rPr>
          <w:rFonts w:hAnsi="宋体"/>
          <w:b/>
          <w:color w:val="auto"/>
          <w:sz w:val="21"/>
        </w:rPr>
        <w:t>30</w:t>
      </w:r>
      <w:r>
        <w:rPr>
          <w:rFonts w:hint="eastAsia" w:hAnsi="宋体"/>
          <w:b/>
          <w:color w:val="auto"/>
          <w:sz w:val="21"/>
        </w:rPr>
        <w:t>分。</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w:t>
      </w:r>
      <w:r>
        <w:rPr>
          <w:rFonts w:hAnsi="宋体" w:cs="宋体"/>
          <w:bCs/>
          <w:color w:val="auto"/>
          <w:sz w:val="21"/>
        </w:rPr>
        <w:t>2</w:t>
      </w:r>
      <w:r>
        <w:rPr>
          <w:rFonts w:hint="eastAsia" w:hAnsi="宋体" w:cs="宋体"/>
          <w:bCs/>
          <w:color w:val="auto"/>
          <w:sz w:val="21"/>
        </w:rPr>
        <w:t>）按照《政府采购促进中小企业发展暂行办法》（财库</w:t>
      </w:r>
      <w:r>
        <w:rPr>
          <w:rFonts w:hAnsi="宋体" w:cs="宋体"/>
          <w:bCs/>
          <w:color w:val="auto"/>
          <w:sz w:val="21"/>
        </w:rPr>
        <w:t>[2011]181</w:t>
      </w:r>
      <w:r>
        <w:rPr>
          <w:rFonts w:hint="eastAsia" w:hAnsi="宋体" w:cs="宋体"/>
          <w:bCs/>
          <w:color w:val="auto"/>
          <w:sz w:val="21"/>
        </w:rPr>
        <w:t>号），投标单位认定为小型和微型企业的（以投标文件提供的符合规定的有关证明材料为准</w:t>
      </w:r>
      <w:r>
        <w:rPr>
          <w:rFonts w:hAnsi="宋体" w:cs="宋体"/>
          <w:bCs/>
          <w:color w:val="auto"/>
          <w:sz w:val="21"/>
        </w:rPr>
        <w:t>)</w:t>
      </w:r>
      <w:r>
        <w:rPr>
          <w:rFonts w:hint="eastAsia" w:hAnsi="宋体" w:cs="宋体"/>
          <w:bCs/>
          <w:color w:val="auto"/>
          <w:sz w:val="21"/>
        </w:rPr>
        <w:t>，并提供本企业制造的货物，由本企业承担工程、提供服务，或者提供其他小型、微型企业制造的货物的（不包括使用大型企业注册商标的货物），对投标价给予</w:t>
      </w:r>
      <w:r>
        <w:rPr>
          <w:rFonts w:hint="eastAsia" w:hAnsi="宋体" w:cs="宋体"/>
          <w:bCs/>
          <w:color w:val="auto"/>
          <w:sz w:val="21"/>
          <w:lang w:val="en-US" w:eastAsia="zh-CN"/>
        </w:rPr>
        <w:t>10</w:t>
      </w:r>
      <w:r>
        <w:rPr>
          <w:rFonts w:hAnsi="宋体" w:cs="宋体"/>
          <w:bCs/>
          <w:color w:val="auto"/>
          <w:sz w:val="21"/>
        </w:rPr>
        <w:t>%</w:t>
      </w:r>
      <w:r>
        <w:rPr>
          <w:rFonts w:hint="eastAsia" w:hAnsi="宋体" w:cs="宋体"/>
          <w:bCs/>
          <w:color w:val="auto"/>
          <w:sz w:val="21"/>
        </w:rPr>
        <w:t>的扣除，扣除后的价格为评标报价，即评标报价</w:t>
      </w:r>
      <w:r>
        <w:rPr>
          <w:rFonts w:hAnsi="宋体" w:cs="宋体"/>
          <w:bCs/>
          <w:color w:val="auto"/>
          <w:sz w:val="21"/>
        </w:rPr>
        <w:t>=</w:t>
      </w:r>
      <w:r>
        <w:rPr>
          <w:rFonts w:hint="eastAsia" w:hAnsi="宋体" w:cs="宋体"/>
          <w:bCs/>
          <w:color w:val="auto"/>
          <w:sz w:val="21"/>
        </w:rPr>
        <w:t>投标价×（</w:t>
      </w:r>
      <w:r>
        <w:rPr>
          <w:rFonts w:hAnsi="宋体" w:cs="宋体"/>
          <w:bCs/>
          <w:color w:val="auto"/>
          <w:sz w:val="21"/>
        </w:rPr>
        <w:t>1-</w:t>
      </w:r>
      <w:r>
        <w:rPr>
          <w:rFonts w:hint="eastAsia" w:hAnsi="宋体" w:cs="宋体"/>
          <w:bCs/>
          <w:color w:val="auto"/>
          <w:sz w:val="21"/>
          <w:lang w:val="en-US" w:eastAsia="zh-CN"/>
        </w:rPr>
        <w:t>10</w:t>
      </w:r>
      <w:r>
        <w:rPr>
          <w:rFonts w:hAnsi="宋体" w:cs="宋体"/>
          <w:bCs/>
          <w:color w:val="auto"/>
          <w:sz w:val="21"/>
        </w:rPr>
        <w:t>%</w:t>
      </w:r>
      <w:r>
        <w:rPr>
          <w:rFonts w:hint="eastAsia" w:hAnsi="宋体" w:cs="宋体"/>
          <w:bCs/>
          <w:color w:val="auto"/>
          <w:sz w:val="21"/>
        </w:rPr>
        <w:t>）；大中型企业与小型、微型企业组成联合体投标，其中小型、微型企业的协议合同金额占到联合体协议合同总金额</w:t>
      </w:r>
      <w:r>
        <w:rPr>
          <w:rFonts w:hAnsi="宋体" w:cs="宋体"/>
          <w:bCs/>
          <w:color w:val="auto"/>
          <w:sz w:val="21"/>
        </w:rPr>
        <w:t>30%</w:t>
      </w:r>
      <w:r>
        <w:rPr>
          <w:rFonts w:hint="eastAsia" w:hAnsi="宋体" w:cs="宋体"/>
          <w:bCs/>
          <w:color w:val="auto"/>
          <w:sz w:val="21"/>
        </w:rPr>
        <w:t>以上的，联合体投标价给予</w:t>
      </w:r>
      <w:r>
        <w:rPr>
          <w:rFonts w:hAnsi="宋体" w:cs="宋体"/>
          <w:bCs/>
          <w:color w:val="auto"/>
          <w:sz w:val="21"/>
        </w:rPr>
        <w:t>2%</w:t>
      </w:r>
      <w:r>
        <w:rPr>
          <w:rFonts w:hint="eastAsia" w:hAnsi="宋体" w:cs="宋体"/>
          <w:bCs/>
          <w:color w:val="auto"/>
          <w:sz w:val="21"/>
        </w:rPr>
        <w:t>的扣除，扣除后的价格为评标价，即评标报价</w:t>
      </w:r>
      <w:r>
        <w:rPr>
          <w:rFonts w:hAnsi="宋体" w:cs="宋体"/>
          <w:bCs/>
          <w:color w:val="auto"/>
          <w:sz w:val="21"/>
        </w:rPr>
        <w:t>=</w:t>
      </w:r>
      <w:r>
        <w:rPr>
          <w:rFonts w:hint="eastAsia" w:hAnsi="宋体" w:cs="宋体"/>
          <w:bCs/>
          <w:color w:val="auto"/>
          <w:sz w:val="21"/>
        </w:rPr>
        <w:t>投标价×（</w:t>
      </w:r>
      <w:r>
        <w:rPr>
          <w:rFonts w:hAnsi="宋体" w:cs="宋体"/>
          <w:bCs/>
          <w:color w:val="auto"/>
          <w:sz w:val="21"/>
        </w:rPr>
        <w:t>1-2%</w:t>
      </w:r>
      <w:r>
        <w:rPr>
          <w:rFonts w:hint="eastAsia" w:hAnsi="宋体" w:cs="宋体"/>
          <w:bCs/>
          <w:color w:val="auto"/>
          <w:sz w:val="21"/>
        </w:rPr>
        <w:t>）；</w:t>
      </w:r>
    </w:p>
    <w:p>
      <w:pPr>
        <w:spacing w:line="410" w:lineRule="exact"/>
        <w:ind w:firstLine="420" w:firstLineChars="200"/>
        <w:rPr>
          <w:rFonts w:ascii="宋体"/>
          <w:color w:val="auto"/>
          <w:szCs w:val="21"/>
        </w:rPr>
      </w:pPr>
      <w:r>
        <w:rPr>
          <w:rFonts w:hint="eastAsia" w:ascii="宋体" w:hAnsi="宋体"/>
          <w:color w:val="auto"/>
          <w:szCs w:val="21"/>
        </w:rPr>
        <w:t>投标产品提供企业按《关于政府采购支持监狱企业发展有关问题的通知》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[2014]68</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投标产品提供单位按《关于促进残疾人就业政府采购政策的通知》</w:t>
      </w:r>
      <w:r>
        <w:rPr>
          <w:rFonts w:hAnsi="宋体" w:cs="宋体"/>
          <w:bCs/>
          <w:color w:val="auto"/>
          <w:sz w:val="21"/>
        </w:rPr>
        <w:t>(</w:t>
      </w:r>
      <w:r>
        <w:rPr>
          <w:rFonts w:hint="eastAsia" w:hAnsi="宋体" w:cs="宋体"/>
          <w:bCs/>
          <w:color w:val="auto"/>
          <w:sz w:val="21"/>
        </w:rPr>
        <w:t>财库〔</w:t>
      </w:r>
      <w:r>
        <w:rPr>
          <w:rFonts w:hAnsi="宋体" w:cs="宋体"/>
          <w:bCs/>
          <w:color w:val="auto"/>
          <w:sz w:val="21"/>
        </w:rPr>
        <w:t>2017</w:t>
      </w:r>
      <w:r>
        <w:rPr>
          <w:rFonts w:hint="eastAsia" w:hAnsi="宋体" w:cs="宋体"/>
          <w:bCs/>
          <w:color w:val="auto"/>
          <w:sz w:val="21"/>
        </w:rPr>
        <w:t>〕</w:t>
      </w:r>
      <w:r>
        <w:rPr>
          <w:rFonts w:hAnsi="宋体" w:cs="宋体"/>
          <w:bCs/>
          <w:color w:val="auto"/>
          <w:sz w:val="21"/>
        </w:rPr>
        <w:t>141</w:t>
      </w:r>
      <w:r>
        <w:rPr>
          <w:rFonts w:hint="eastAsia" w:hAnsi="宋体" w:cs="宋体"/>
          <w:bCs/>
          <w:color w:val="auto"/>
          <w:sz w:val="21"/>
        </w:rPr>
        <w:t>号</w:t>
      </w:r>
      <w:r>
        <w:rPr>
          <w:rFonts w:hAnsi="宋体" w:cs="宋体"/>
          <w:bCs/>
          <w:color w:val="auto"/>
          <w:sz w:val="21"/>
        </w:rPr>
        <w:t>)</w:t>
      </w:r>
      <w:r>
        <w:rPr>
          <w:rFonts w:hint="eastAsia" w:hAnsi="宋体" w:cs="宋体"/>
          <w:bCs/>
          <w:color w:val="auto"/>
          <w:sz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除上述情况外，评标报价</w:t>
      </w:r>
      <w:r>
        <w:rPr>
          <w:rFonts w:hAnsi="宋体" w:cs="宋体"/>
          <w:bCs/>
          <w:color w:val="auto"/>
          <w:sz w:val="21"/>
        </w:rPr>
        <w:t>=</w:t>
      </w:r>
      <w:r>
        <w:rPr>
          <w:rFonts w:hint="eastAsia" w:hAnsi="宋体" w:cs="宋体"/>
          <w:bCs/>
          <w:color w:val="auto"/>
          <w:sz w:val="21"/>
        </w:rPr>
        <w:t>投标价。</w:t>
      </w:r>
    </w:p>
    <w:p>
      <w:pPr>
        <w:spacing w:line="440" w:lineRule="exact"/>
        <w:ind w:firstLine="420" w:firstLineChars="200"/>
        <w:rPr>
          <w:rFonts w:hAnsi="宋体" w:cs="宋体"/>
          <w:bCs/>
          <w:color w:val="auto"/>
          <w:szCs w:val="21"/>
        </w:rPr>
      </w:pPr>
      <w:r>
        <w:rPr>
          <w:rFonts w:hint="eastAsia" w:hAnsi="宋体" w:cs="宋体"/>
          <w:bCs/>
          <w:color w:val="auto"/>
          <w:szCs w:val="21"/>
        </w:rPr>
        <w:t>（</w:t>
      </w:r>
      <w:r>
        <w:rPr>
          <w:rFonts w:hAnsi="宋体" w:cs="宋体"/>
          <w:bCs/>
          <w:color w:val="auto"/>
          <w:szCs w:val="21"/>
        </w:rPr>
        <w:t>3</w:t>
      </w:r>
      <w:r>
        <w:rPr>
          <w:rFonts w:hint="eastAsia" w:hAnsi="宋体" w:cs="宋体"/>
          <w:bCs/>
          <w:color w:val="auto"/>
          <w:szCs w:val="21"/>
        </w:rPr>
        <w:t>）某投标人价格分</w:t>
      </w:r>
      <w:r>
        <w:rPr>
          <w:rFonts w:hAnsi="宋体" w:cs="宋体"/>
          <w:bCs/>
          <w:color w:val="auto"/>
          <w:szCs w:val="21"/>
        </w:rPr>
        <w:t xml:space="preserve"> =</w:t>
      </w:r>
      <w:r>
        <w:rPr>
          <w:rFonts w:hint="eastAsia" w:hAnsi="宋体" w:cs="宋体"/>
          <w:bCs/>
          <w:color w:val="auto"/>
          <w:szCs w:val="21"/>
        </w:rPr>
        <w:t>（投标人最低评标报价÷某投标人评标报价）×</w:t>
      </w:r>
      <w:r>
        <w:rPr>
          <w:rFonts w:hAnsi="宋体" w:cs="宋体"/>
          <w:bCs/>
          <w:color w:val="auto"/>
          <w:szCs w:val="21"/>
        </w:rPr>
        <w:t>30</w:t>
      </w:r>
      <w:r>
        <w:rPr>
          <w:rFonts w:hint="eastAsia" w:hAnsi="宋体" w:cs="宋体"/>
          <w:bCs/>
          <w:color w:val="auto"/>
          <w:szCs w:val="21"/>
        </w:rPr>
        <w:t>分。</w:t>
      </w:r>
    </w:p>
    <w:p>
      <w:pPr>
        <w:pStyle w:val="23"/>
        <w:spacing w:line="380" w:lineRule="exact"/>
        <w:ind w:firstLine="420" w:firstLineChars="200"/>
        <w:rPr>
          <w:rFonts w:hAnsi="宋体" w:cs="宋体"/>
          <w:b/>
          <w:bCs/>
          <w:color w:val="auto"/>
          <w:sz w:val="21"/>
        </w:rPr>
      </w:pPr>
      <w:r>
        <w:rPr>
          <w:color w:val="auto"/>
          <w:sz w:val="21"/>
        </w:rPr>
        <w:t xml:space="preserve"> </w:t>
      </w:r>
      <w:r>
        <w:rPr>
          <w:b/>
          <w:color w:val="auto"/>
          <w:sz w:val="21"/>
        </w:rPr>
        <w:t xml:space="preserve"> </w:t>
      </w:r>
      <w:r>
        <w:rPr>
          <w:rFonts w:hAnsi="宋体"/>
          <w:b/>
          <w:color w:val="auto"/>
          <w:sz w:val="21"/>
        </w:rPr>
        <w:t>2</w:t>
      </w:r>
      <w:r>
        <w:rPr>
          <w:rFonts w:hint="eastAsia" w:hAnsi="宋体"/>
          <w:b/>
          <w:color w:val="auto"/>
          <w:sz w:val="21"/>
        </w:rPr>
        <w:t>、</w:t>
      </w:r>
      <w:r>
        <w:rPr>
          <w:rFonts w:hint="eastAsia" w:hAnsi="宋体" w:cs="宋体"/>
          <w:b/>
          <w:bCs/>
          <w:color w:val="auto"/>
          <w:sz w:val="21"/>
        </w:rPr>
        <w:t>技术分……………………………………………………</w:t>
      </w:r>
      <w:r>
        <w:rPr>
          <w:rFonts w:hint="eastAsia" w:hAnsi="宋体" w:cs="宋体"/>
          <w:b/>
          <w:color w:val="auto"/>
          <w:sz w:val="21"/>
        </w:rPr>
        <w:t>…………</w:t>
      </w:r>
      <w:r>
        <w:rPr>
          <w:rFonts w:hint="eastAsia" w:hAnsi="宋体" w:cs="宋体"/>
          <w:b/>
          <w:bCs/>
          <w:color w:val="auto"/>
          <w:sz w:val="21"/>
        </w:rPr>
        <w:t>…………</w:t>
      </w:r>
      <w:r>
        <w:rPr>
          <w:rFonts w:hAnsi="宋体" w:cs="宋体"/>
          <w:b/>
          <w:bCs/>
          <w:color w:val="auto"/>
          <w:sz w:val="21"/>
        </w:rPr>
        <w:t>32</w:t>
      </w:r>
      <w:r>
        <w:rPr>
          <w:rFonts w:hint="eastAsia" w:hAnsi="宋体" w:cs="宋体"/>
          <w:b/>
          <w:bCs/>
          <w:color w:val="auto"/>
          <w:sz w:val="21"/>
        </w:rPr>
        <w:t>分</w:t>
      </w:r>
      <w:r>
        <w:rPr>
          <w:rFonts w:hAnsi="宋体" w:cs="宋体"/>
          <w:b/>
          <w:bCs/>
          <w:color w:val="auto"/>
          <w:sz w:val="21"/>
        </w:rPr>
        <w:t xml:space="preserve">  </w:t>
      </w:r>
    </w:p>
    <w:p>
      <w:pPr>
        <w:pStyle w:val="23"/>
        <w:spacing w:line="380" w:lineRule="exact"/>
        <w:ind w:firstLine="420" w:firstLineChars="200"/>
        <w:rPr>
          <w:rFonts w:hAnsi="宋体" w:cs="宋体"/>
          <w:color w:val="auto"/>
          <w:sz w:val="21"/>
        </w:rPr>
      </w:pPr>
      <w:r>
        <w:rPr>
          <w:rFonts w:hAnsi="宋体" w:cs="宋体"/>
          <w:color w:val="auto"/>
          <w:sz w:val="21"/>
        </w:rPr>
        <w:t xml:space="preserve"> </w:t>
      </w:r>
      <w:r>
        <w:rPr>
          <w:rFonts w:hint="eastAsia" w:hAnsi="宋体" w:cs="宋体"/>
          <w:color w:val="auto"/>
          <w:sz w:val="21"/>
        </w:rPr>
        <w:t>（</w:t>
      </w:r>
      <w:r>
        <w:rPr>
          <w:rFonts w:hAnsi="宋体" w:cs="宋体"/>
          <w:color w:val="auto"/>
          <w:sz w:val="21"/>
        </w:rPr>
        <w:t>1</w:t>
      </w:r>
      <w:r>
        <w:rPr>
          <w:rFonts w:hint="eastAsia" w:hAnsi="宋体" w:cs="宋体"/>
          <w:color w:val="auto"/>
          <w:sz w:val="21"/>
        </w:rPr>
        <w:t>）未标注★号的其他项为“普通技术参数”，如投标文件未响应或负偏离，技术分得</w:t>
      </w:r>
      <w:r>
        <w:rPr>
          <w:rFonts w:hAnsi="宋体" w:cs="宋体"/>
          <w:color w:val="auto"/>
          <w:sz w:val="21"/>
        </w:rPr>
        <w:t>0</w:t>
      </w:r>
      <w:r>
        <w:rPr>
          <w:rFonts w:hint="eastAsia" w:hAnsi="宋体" w:cs="宋体"/>
          <w:color w:val="auto"/>
          <w:sz w:val="21"/>
        </w:rPr>
        <w:t>分；所有参数全部响应且未出现负偏离得</w:t>
      </w:r>
      <w:r>
        <w:rPr>
          <w:rFonts w:hAnsi="宋体" w:cs="宋体"/>
          <w:color w:val="auto"/>
          <w:sz w:val="21"/>
        </w:rPr>
        <w:t>6</w:t>
      </w:r>
      <w:r>
        <w:rPr>
          <w:rFonts w:hint="eastAsia" w:hAnsi="宋体" w:cs="宋体"/>
          <w:color w:val="auto"/>
          <w:sz w:val="21"/>
        </w:rPr>
        <w:t>分。</w:t>
      </w:r>
    </w:p>
    <w:p>
      <w:pPr>
        <w:pStyle w:val="23"/>
        <w:spacing w:line="38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2</w:t>
      </w:r>
      <w:r>
        <w:rPr>
          <w:rFonts w:hint="eastAsia" w:hAnsi="宋体" w:cs="宋体"/>
          <w:color w:val="auto"/>
          <w:sz w:val="21"/>
        </w:rPr>
        <w:t>）所有参数全部响应且未出现负偏离，技术参数优于招标文件需求且评标时被评标委员会接受的，每有一项正偏离加</w:t>
      </w:r>
      <w:r>
        <w:rPr>
          <w:rFonts w:hAnsi="宋体" w:cs="宋体"/>
          <w:color w:val="auto"/>
          <w:sz w:val="21"/>
        </w:rPr>
        <w:t>2</w:t>
      </w:r>
      <w:r>
        <w:rPr>
          <w:rFonts w:hint="eastAsia" w:hAnsi="宋体" w:cs="宋体"/>
          <w:color w:val="auto"/>
          <w:sz w:val="21"/>
        </w:rPr>
        <w:t>分，满分</w:t>
      </w:r>
      <w:r>
        <w:rPr>
          <w:rFonts w:hAnsi="宋体" w:cs="宋体"/>
          <w:color w:val="auto"/>
          <w:sz w:val="21"/>
        </w:rPr>
        <w:t>20</w:t>
      </w:r>
      <w:r>
        <w:rPr>
          <w:rFonts w:hint="eastAsia" w:hAnsi="宋体" w:cs="宋体"/>
          <w:color w:val="auto"/>
          <w:sz w:val="21"/>
        </w:rPr>
        <w:t>分。</w:t>
      </w:r>
    </w:p>
    <w:p>
      <w:pPr>
        <w:pStyle w:val="23"/>
        <w:spacing w:line="380" w:lineRule="exact"/>
        <w:ind w:firstLine="420" w:firstLineChars="200"/>
        <w:rPr>
          <w:rFonts w:hAnsi="宋体"/>
          <w:bCs/>
          <w:color w:val="auto"/>
          <w:sz w:val="21"/>
        </w:rPr>
      </w:pPr>
      <w:r>
        <w:rPr>
          <w:rFonts w:hint="eastAsia" w:hAnsi="宋体" w:cs="宋体"/>
          <w:color w:val="auto"/>
          <w:sz w:val="21"/>
        </w:rPr>
        <w:t>（</w:t>
      </w:r>
      <w:r>
        <w:rPr>
          <w:rFonts w:hAnsi="宋体" w:cs="宋体"/>
          <w:color w:val="auto"/>
          <w:sz w:val="21"/>
        </w:rPr>
        <w:t>3</w:t>
      </w:r>
      <w:r>
        <w:rPr>
          <w:rFonts w:hint="eastAsia" w:hAnsi="宋体" w:cs="宋体"/>
          <w:color w:val="auto"/>
          <w:sz w:val="21"/>
        </w:rPr>
        <w:t>）所有参数全部响应且未出现负偏离，能提供核心产品货物生产商编写的、完整的、中文版的、清晰的、有性能参数描述的产品彩页或说明文件，并加盖生产厂家或者产品代理商公章，得</w:t>
      </w:r>
      <w:r>
        <w:rPr>
          <w:rFonts w:hAnsi="宋体" w:cs="宋体"/>
          <w:color w:val="auto"/>
          <w:sz w:val="21"/>
        </w:rPr>
        <w:t>6</w:t>
      </w:r>
      <w:r>
        <w:rPr>
          <w:rFonts w:hint="eastAsia" w:hAnsi="宋体" w:cs="宋体"/>
          <w:color w:val="auto"/>
          <w:sz w:val="21"/>
        </w:rPr>
        <w:t>分。</w:t>
      </w:r>
    </w:p>
    <w:p>
      <w:pPr>
        <w:spacing w:line="440" w:lineRule="exact"/>
        <w:ind w:firstLine="398" w:firstLineChars="196"/>
        <w:rPr>
          <w:rFonts w:ascii="宋体"/>
          <w:b/>
          <w:bCs/>
          <w:color w:val="auto"/>
          <w:spacing w:val="-4"/>
          <w:szCs w:val="21"/>
        </w:rPr>
      </w:pPr>
      <w:r>
        <w:rPr>
          <w:rFonts w:ascii="宋体" w:hAnsi="宋体"/>
          <w:b/>
          <w:bCs/>
          <w:color w:val="auto"/>
          <w:spacing w:val="-4"/>
          <w:szCs w:val="21"/>
        </w:rPr>
        <w:t>3</w:t>
      </w:r>
      <w:r>
        <w:rPr>
          <w:rFonts w:hint="eastAsia" w:ascii="宋体" w:hAnsi="宋体"/>
          <w:b/>
          <w:bCs/>
          <w:color w:val="auto"/>
          <w:spacing w:val="-4"/>
          <w:szCs w:val="21"/>
        </w:rPr>
        <w:t>、售后服务方案分……………………………………………………………</w:t>
      </w:r>
      <w:r>
        <w:rPr>
          <w:rFonts w:ascii="宋体" w:hAnsi="宋体"/>
          <w:b/>
          <w:bCs/>
          <w:color w:val="auto"/>
          <w:spacing w:val="-4"/>
          <w:szCs w:val="21"/>
        </w:rPr>
        <w:t>21</w:t>
      </w:r>
      <w:r>
        <w:rPr>
          <w:rFonts w:hint="eastAsia" w:ascii="宋体" w:hAnsi="宋体"/>
          <w:b/>
          <w:bCs/>
          <w:color w:val="auto"/>
          <w:spacing w:val="-4"/>
          <w:szCs w:val="21"/>
        </w:rPr>
        <w:t>分</w:t>
      </w:r>
    </w:p>
    <w:p>
      <w:pPr>
        <w:spacing w:line="360" w:lineRule="exact"/>
        <w:ind w:firstLine="406" w:firstLineChars="200"/>
        <w:rPr>
          <w:rFonts w:ascii="宋体"/>
          <w:b/>
          <w:bCs/>
          <w:color w:val="auto"/>
          <w:spacing w:val="-4"/>
          <w:szCs w:val="21"/>
        </w:rPr>
      </w:pPr>
      <w:r>
        <w:rPr>
          <w:rFonts w:hint="eastAsia" w:ascii="宋体" w:hAnsi="宋体"/>
          <w:b/>
          <w:bCs/>
          <w:color w:val="auto"/>
          <w:spacing w:val="-4"/>
          <w:szCs w:val="21"/>
        </w:rPr>
        <w:t>（</w:t>
      </w:r>
      <w:r>
        <w:rPr>
          <w:rFonts w:ascii="宋体" w:hAnsi="宋体"/>
          <w:b/>
          <w:bCs/>
          <w:color w:val="auto"/>
          <w:spacing w:val="-4"/>
          <w:szCs w:val="21"/>
        </w:rPr>
        <w:t>1</w:t>
      </w:r>
      <w:r>
        <w:rPr>
          <w:rFonts w:hint="eastAsia" w:ascii="宋体" w:hAnsi="宋体"/>
          <w:b/>
          <w:bCs/>
          <w:color w:val="auto"/>
          <w:spacing w:val="-4"/>
          <w:szCs w:val="21"/>
        </w:rPr>
        <w:t>）售后服务方案分（满分</w:t>
      </w:r>
      <w:r>
        <w:rPr>
          <w:rFonts w:ascii="宋体" w:hAnsi="宋体"/>
          <w:b/>
          <w:bCs/>
          <w:color w:val="auto"/>
          <w:spacing w:val="-4"/>
          <w:szCs w:val="21"/>
        </w:rPr>
        <w:t>21</w:t>
      </w:r>
      <w:r>
        <w:rPr>
          <w:rFonts w:hint="eastAsia" w:ascii="宋体" w:hAnsi="宋体"/>
          <w:b/>
          <w:bCs/>
          <w:color w:val="auto"/>
          <w:spacing w:val="-4"/>
          <w:szCs w:val="21"/>
        </w:rPr>
        <w:t>分）</w:t>
      </w:r>
    </w:p>
    <w:p>
      <w:pPr>
        <w:spacing w:line="360" w:lineRule="exact"/>
        <w:ind w:firstLine="404" w:firstLineChars="200"/>
        <w:rPr>
          <w:rFonts w:ascii="宋体"/>
          <w:bCs/>
          <w:color w:val="auto"/>
          <w:spacing w:val="-4"/>
          <w:szCs w:val="21"/>
        </w:rPr>
      </w:pPr>
      <w:r>
        <w:rPr>
          <w:rFonts w:hint="eastAsia" w:ascii="宋体" w:hAnsi="宋体"/>
          <w:bCs/>
          <w:color w:val="auto"/>
          <w:spacing w:val="-4"/>
          <w:szCs w:val="21"/>
        </w:rPr>
        <w:t>由评委根据下述标准进行独立评审，并独立打分。</w:t>
      </w:r>
    </w:p>
    <w:p>
      <w:pPr>
        <w:spacing w:line="360" w:lineRule="exact"/>
        <w:ind w:firstLine="420" w:firstLineChars="200"/>
        <w:rPr>
          <w:rFonts w:ascii="宋体"/>
          <w:bCs/>
          <w:color w:val="auto"/>
          <w:spacing w:val="-4"/>
          <w:szCs w:val="21"/>
        </w:rPr>
      </w:pPr>
      <w:r>
        <w:rPr>
          <w:rFonts w:hint="eastAsia" w:hAnsi="宋体"/>
          <w:color w:val="auto"/>
          <w:szCs w:val="21"/>
          <w:lang w:val="zh-CN"/>
        </w:rPr>
        <w:t>一档（</w:t>
      </w:r>
      <w:r>
        <w:rPr>
          <w:rFonts w:hAnsi="宋体"/>
          <w:color w:val="auto"/>
          <w:szCs w:val="21"/>
        </w:rPr>
        <w:t>5</w:t>
      </w:r>
      <w:r>
        <w:rPr>
          <w:rFonts w:hint="eastAsia" w:hAnsi="宋体"/>
          <w:color w:val="auto"/>
          <w:szCs w:val="21"/>
          <w:lang w:val="zh-CN"/>
        </w:rPr>
        <w:t>分）：</w:t>
      </w:r>
      <w:r>
        <w:rPr>
          <w:rFonts w:hint="eastAsia" w:ascii="宋体" w:hAnsi="宋体"/>
          <w:bCs/>
          <w:color w:val="auto"/>
          <w:spacing w:val="-4"/>
          <w:szCs w:val="21"/>
        </w:rPr>
        <w:t>投标人提供有售后服务方案</w:t>
      </w:r>
      <w:r>
        <w:rPr>
          <w:rFonts w:hint="eastAsia" w:hAnsi="宋体"/>
          <w:color w:val="auto"/>
          <w:szCs w:val="21"/>
          <w:lang w:val="zh-CN"/>
        </w:rPr>
        <w:t>，方案包含有项目售后维护和应急保障方案，方案简单、操作性一般；有承诺服务响应时间、定期回访等内容，提供的服务仅满足采购文件基本需求。</w:t>
      </w:r>
    </w:p>
    <w:p>
      <w:pPr>
        <w:spacing w:line="360" w:lineRule="exact"/>
        <w:ind w:firstLine="420" w:firstLineChars="200"/>
        <w:rPr>
          <w:rFonts w:ascii="宋体"/>
          <w:bCs/>
          <w:color w:val="auto"/>
          <w:spacing w:val="-4"/>
          <w:szCs w:val="21"/>
        </w:rPr>
      </w:pPr>
      <w:r>
        <w:rPr>
          <w:rFonts w:hint="eastAsia" w:hAnsi="宋体"/>
          <w:color w:val="auto"/>
          <w:szCs w:val="21"/>
          <w:lang w:val="zh-CN"/>
        </w:rPr>
        <w:t>二档（</w:t>
      </w:r>
      <w:r>
        <w:rPr>
          <w:rFonts w:hAnsi="宋体"/>
          <w:color w:val="auto"/>
          <w:szCs w:val="21"/>
        </w:rPr>
        <w:t>10</w:t>
      </w:r>
      <w:r>
        <w:rPr>
          <w:rFonts w:hint="eastAsia" w:hAnsi="宋体"/>
          <w:color w:val="auto"/>
          <w:szCs w:val="21"/>
          <w:lang w:val="zh-CN"/>
        </w:rPr>
        <w:t>分）：</w:t>
      </w:r>
      <w:r>
        <w:rPr>
          <w:rFonts w:hint="eastAsia" w:ascii="宋体" w:hAnsi="宋体"/>
          <w:bCs/>
          <w:color w:val="auto"/>
          <w:spacing w:val="-4"/>
          <w:szCs w:val="21"/>
        </w:rPr>
        <w:t>投标人提供的售后服务方案简单，有一定操作性，满足项目要求，</w:t>
      </w:r>
      <w:r>
        <w:rPr>
          <w:rFonts w:hint="eastAsia" w:hAnsi="宋体"/>
          <w:color w:val="auto"/>
          <w:szCs w:val="21"/>
          <w:lang w:val="zh-CN"/>
        </w:rPr>
        <w:t>方案中项目售后维护和应急保障方案较好，</w:t>
      </w:r>
      <w:r>
        <w:rPr>
          <w:rFonts w:hint="eastAsia" w:ascii="宋体" w:hAnsi="宋体"/>
          <w:bCs/>
          <w:color w:val="auto"/>
          <w:spacing w:val="-4"/>
          <w:szCs w:val="21"/>
        </w:rPr>
        <w:t>有承诺服务响应时间、定期回访、问题产品替换方案等内容，得</w:t>
      </w:r>
      <w:r>
        <w:rPr>
          <w:rFonts w:ascii="宋体" w:hAnsi="宋体"/>
          <w:bCs/>
          <w:color w:val="auto"/>
          <w:spacing w:val="-4"/>
          <w:szCs w:val="21"/>
        </w:rPr>
        <w:t>10</w:t>
      </w:r>
      <w:r>
        <w:rPr>
          <w:rFonts w:hint="eastAsia" w:ascii="宋体" w:hAnsi="宋体"/>
          <w:bCs/>
          <w:color w:val="auto"/>
          <w:spacing w:val="-4"/>
          <w:szCs w:val="21"/>
        </w:rPr>
        <w:t>分；</w:t>
      </w:r>
    </w:p>
    <w:p>
      <w:pPr>
        <w:spacing w:line="440" w:lineRule="exact"/>
        <w:ind w:firstLine="395" w:firstLineChars="196"/>
        <w:rPr>
          <w:rFonts w:ascii="宋体"/>
          <w:bCs/>
          <w:color w:val="auto"/>
          <w:spacing w:val="-4"/>
          <w:szCs w:val="21"/>
        </w:rPr>
      </w:pPr>
      <w:r>
        <w:rPr>
          <w:rFonts w:hint="eastAsia" w:ascii="宋体" w:hAnsi="宋体"/>
          <w:bCs/>
          <w:color w:val="auto"/>
          <w:spacing w:val="-4"/>
          <w:szCs w:val="21"/>
        </w:rPr>
        <w:t>三档（</w:t>
      </w:r>
      <w:r>
        <w:rPr>
          <w:rFonts w:ascii="宋体" w:hAnsi="宋体"/>
          <w:bCs/>
          <w:color w:val="auto"/>
          <w:spacing w:val="-4"/>
          <w:szCs w:val="21"/>
        </w:rPr>
        <w:t>15</w:t>
      </w:r>
      <w:r>
        <w:rPr>
          <w:rFonts w:hint="eastAsia" w:ascii="宋体" w:hAnsi="宋体"/>
          <w:bCs/>
          <w:color w:val="auto"/>
          <w:spacing w:val="-4"/>
          <w:szCs w:val="21"/>
        </w:rPr>
        <w:t>分）：投标人提供的售后服务方案合理，有一定操作性，较好的满足项目要求，</w:t>
      </w:r>
      <w:r>
        <w:rPr>
          <w:rFonts w:hint="eastAsia" w:hAnsi="宋体"/>
          <w:color w:val="auto"/>
          <w:szCs w:val="21"/>
          <w:lang w:val="zh-CN"/>
        </w:rPr>
        <w:t>方案中项目售后维护和应急保障方案良好，</w:t>
      </w:r>
      <w:r>
        <w:rPr>
          <w:rFonts w:hint="eastAsia" w:ascii="宋体" w:hAnsi="宋体"/>
          <w:bCs/>
          <w:color w:val="auto"/>
          <w:spacing w:val="-4"/>
          <w:szCs w:val="21"/>
        </w:rPr>
        <w:t>承诺服务响应时间较短、定期回访、问题产品替换方案等内容，得</w:t>
      </w:r>
      <w:r>
        <w:rPr>
          <w:rFonts w:ascii="宋体" w:hAnsi="宋体"/>
          <w:bCs/>
          <w:color w:val="auto"/>
          <w:spacing w:val="-4"/>
          <w:szCs w:val="21"/>
        </w:rPr>
        <w:t>15</w:t>
      </w:r>
      <w:r>
        <w:rPr>
          <w:rFonts w:hint="eastAsia" w:ascii="宋体" w:hAnsi="宋体"/>
          <w:bCs/>
          <w:color w:val="auto"/>
          <w:spacing w:val="-4"/>
          <w:szCs w:val="21"/>
        </w:rPr>
        <w:t>分；</w:t>
      </w:r>
    </w:p>
    <w:p>
      <w:pPr>
        <w:spacing w:line="440" w:lineRule="exact"/>
        <w:ind w:firstLine="395" w:firstLineChars="196"/>
        <w:rPr>
          <w:color w:val="auto"/>
          <w:szCs w:val="21"/>
        </w:rPr>
      </w:pPr>
      <w:r>
        <w:rPr>
          <w:rFonts w:hint="eastAsia" w:ascii="宋体" w:hAnsi="宋体"/>
          <w:bCs/>
          <w:color w:val="auto"/>
          <w:spacing w:val="-4"/>
          <w:szCs w:val="21"/>
        </w:rPr>
        <w:t>四档（</w:t>
      </w:r>
      <w:r>
        <w:rPr>
          <w:rFonts w:ascii="宋体" w:hAnsi="宋体"/>
          <w:bCs/>
          <w:color w:val="auto"/>
          <w:spacing w:val="-4"/>
          <w:szCs w:val="21"/>
        </w:rPr>
        <w:t>21</w:t>
      </w:r>
      <w:r>
        <w:rPr>
          <w:rFonts w:hint="eastAsia" w:ascii="宋体" w:hAnsi="宋体"/>
          <w:bCs/>
          <w:color w:val="auto"/>
          <w:spacing w:val="-4"/>
          <w:szCs w:val="21"/>
        </w:rPr>
        <w:t>分）：投标人提供的售后服务方案详细，合理，操作性强，优于项目需求，承诺的服务</w:t>
      </w:r>
      <w:r>
        <w:rPr>
          <w:rFonts w:hint="eastAsia" w:ascii="宋体" w:hAnsi="宋体"/>
          <w:bCs/>
          <w:color w:val="auto"/>
          <w:spacing w:val="-4"/>
          <w:szCs w:val="21"/>
          <w:lang w:val="en-GB"/>
        </w:rPr>
        <w:t>响应时间短、快捷、迅速</w:t>
      </w:r>
      <w:r>
        <w:rPr>
          <w:rFonts w:hint="eastAsia" w:ascii="宋体" w:hAnsi="宋体"/>
          <w:bCs/>
          <w:color w:val="auto"/>
          <w:spacing w:val="-4"/>
          <w:szCs w:val="21"/>
        </w:rPr>
        <w:t>，每季度定期回访、问题产品替换方案、应急事故处理方案等服务保障条件很好，</w:t>
      </w:r>
      <w:r>
        <w:rPr>
          <w:rFonts w:hint="eastAsia" w:hAnsi="宋体" w:cs="宋体"/>
          <w:bCs/>
          <w:color w:val="auto"/>
          <w:szCs w:val="21"/>
          <w:lang w:val="en-GB"/>
        </w:rPr>
        <w:t>服务承诺和保障措施考虑周全完整</w:t>
      </w:r>
      <w:r>
        <w:rPr>
          <w:rFonts w:hint="eastAsia" w:ascii="宋体" w:hAnsi="宋体"/>
          <w:bCs/>
          <w:color w:val="auto"/>
          <w:spacing w:val="-4"/>
          <w:szCs w:val="21"/>
        </w:rPr>
        <w:t>，得</w:t>
      </w:r>
      <w:r>
        <w:rPr>
          <w:rFonts w:ascii="宋体" w:hAnsi="宋体"/>
          <w:bCs/>
          <w:color w:val="auto"/>
          <w:spacing w:val="-4"/>
          <w:szCs w:val="21"/>
        </w:rPr>
        <w:t>21</w:t>
      </w:r>
      <w:r>
        <w:rPr>
          <w:rFonts w:hint="eastAsia" w:ascii="宋体" w:hAnsi="宋体"/>
          <w:bCs/>
          <w:color w:val="auto"/>
          <w:spacing w:val="-4"/>
          <w:szCs w:val="21"/>
        </w:rPr>
        <w:t>分。</w:t>
      </w:r>
    </w:p>
    <w:p>
      <w:pPr>
        <w:spacing w:line="360" w:lineRule="exact"/>
        <w:ind w:firstLine="406" w:firstLineChars="200"/>
        <w:rPr>
          <w:rFonts w:ascii="宋体"/>
          <w:b/>
          <w:bCs/>
          <w:color w:val="auto"/>
          <w:spacing w:val="-4"/>
          <w:szCs w:val="21"/>
        </w:rPr>
      </w:pPr>
      <w:r>
        <w:rPr>
          <w:rFonts w:ascii="宋体" w:hAnsi="宋体"/>
          <w:b/>
          <w:bCs/>
          <w:color w:val="auto"/>
          <w:spacing w:val="-4"/>
          <w:szCs w:val="21"/>
        </w:rPr>
        <w:t>4</w:t>
      </w:r>
      <w:r>
        <w:rPr>
          <w:rFonts w:hint="eastAsia" w:ascii="宋体" w:hAnsi="宋体"/>
          <w:b/>
          <w:bCs/>
          <w:color w:val="auto"/>
          <w:spacing w:val="-4"/>
          <w:szCs w:val="21"/>
        </w:rPr>
        <w:t>、业绩分…………………………………………………………………………</w:t>
      </w:r>
      <w:r>
        <w:rPr>
          <w:rFonts w:ascii="宋体" w:hAnsi="宋体"/>
          <w:b/>
          <w:bCs/>
          <w:color w:val="auto"/>
          <w:spacing w:val="-4"/>
          <w:szCs w:val="21"/>
        </w:rPr>
        <w:t>14</w:t>
      </w:r>
      <w:r>
        <w:rPr>
          <w:rFonts w:hint="eastAsia" w:ascii="宋体" w:hAnsi="宋体"/>
          <w:b/>
          <w:bCs/>
          <w:color w:val="auto"/>
          <w:spacing w:val="-4"/>
          <w:szCs w:val="21"/>
        </w:rPr>
        <w:t>分</w:t>
      </w:r>
    </w:p>
    <w:p>
      <w:pPr>
        <w:pStyle w:val="23"/>
        <w:spacing w:line="360" w:lineRule="exact"/>
        <w:ind w:firstLine="315"/>
        <w:rPr>
          <w:color w:val="auto"/>
          <w:sz w:val="21"/>
        </w:rPr>
      </w:pPr>
      <w:r>
        <w:rPr>
          <w:rFonts w:hint="eastAsia" w:hAnsi="宋体"/>
          <w:bCs/>
          <w:color w:val="auto"/>
          <w:sz w:val="21"/>
        </w:rPr>
        <w:t>（</w:t>
      </w:r>
      <w:r>
        <w:rPr>
          <w:rFonts w:hAnsi="宋体"/>
          <w:bCs/>
          <w:color w:val="auto"/>
          <w:sz w:val="21"/>
        </w:rPr>
        <w:t>1</w:t>
      </w:r>
      <w:r>
        <w:rPr>
          <w:rFonts w:hint="eastAsia" w:hAnsi="宋体"/>
          <w:bCs/>
          <w:color w:val="auto"/>
          <w:sz w:val="21"/>
        </w:rPr>
        <w:t>）投标人</w:t>
      </w:r>
      <w:r>
        <w:rPr>
          <w:rFonts w:hAnsi="宋体"/>
          <w:bCs/>
          <w:color w:val="auto"/>
          <w:sz w:val="21"/>
        </w:rPr>
        <w:t>2017</w:t>
      </w:r>
      <w:r>
        <w:rPr>
          <w:rFonts w:hint="eastAsia" w:hAnsi="宋体"/>
          <w:bCs/>
          <w:color w:val="auto"/>
          <w:sz w:val="21"/>
        </w:rPr>
        <w:t>年以来具有同类型的采购项目业绩（以合同复印件或中标通知书复印件为准，复印件加盖公章），每个得</w:t>
      </w:r>
      <w:r>
        <w:rPr>
          <w:rFonts w:hAnsi="宋体"/>
          <w:bCs/>
          <w:color w:val="auto"/>
          <w:sz w:val="21"/>
        </w:rPr>
        <w:t>2</w:t>
      </w:r>
      <w:r>
        <w:rPr>
          <w:rFonts w:hint="eastAsia" w:hAnsi="宋体"/>
          <w:bCs/>
          <w:color w:val="auto"/>
          <w:sz w:val="21"/>
        </w:rPr>
        <w:t>分，满分</w:t>
      </w:r>
      <w:r>
        <w:rPr>
          <w:rFonts w:hAnsi="宋体"/>
          <w:bCs/>
          <w:color w:val="auto"/>
          <w:sz w:val="21"/>
        </w:rPr>
        <w:t>14</w:t>
      </w:r>
      <w:r>
        <w:rPr>
          <w:rFonts w:hint="eastAsia" w:hAnsi="宋体"/>
          <w:bCs/>
          <w:color w:val="auto"/>
          <w:sz w:val="21"/>
        </w:rPr>
        <w:t>分。</w:t>
      </w:r>
    </w:p>
    <w:p>
      <w:pPr>
        <w:pStyle w:val="23"/>
        <w:adjustRightInd w:val="0"/>
        <w:spacing w:line="380" w:lineRule="exact"/>
        <w:ind w:firstLine="417" w:firstLineChars="198"/>
        <w:contextualSpacing/>
        <w:rPr>
          <w:rFonts w:hAnsi="宋体" w:cs="宋体"/>
          <w:b/>
          <w:bCs/>
          <w:color w:val="auto"/>
          <w:sz w:val="21"/>
        </w:rPr>
      </w:pPr>
      <w:r>
        <w:rPr>
          <w:rFonts w:hAnsi="宋体"/>
          <w:b/>
          <w:color w:val="auto"/>
          <w:sz w:val="21"/>
        </w:rPr>
        <w:t>5</w:t>
      </w:r>
      <w:r>
        <w:rPr>
          <w:rFonts w:hint="eastAsia" w:hAnsi="宋体"/>
          <w:b/>
          <w:color w:val="auto"/>
          <w:sz w:val="21"/>
        </w:rPr>
        <w:t>、</w:t>
      </w:r>
      <w:r>
        <w:rPr>
          <w:rFonts w:hint="eastAsia" w:hAnsi="宋体" w:cs="宋体"/>
          <w:b/>
          <w:bCs/>
          <w:color w:val="auto"/>
          <w:sz w:val="21"/>
        </w:rPr>
        <w:t>政策功能分</w:t>
      </w:r>
      <w:r>
        <w:rPr>
          <w:rFonts w:hAnsi="宋体" w:cs="宋体"/>
          <w:b/>
          <w:bCs/>
          <w:color w:val="auto"/>
          <w:sz w:val="21"/>
        </w:rPr>
        <w:t>(</w:t>
      </w:r>
      <w:r>
        <w:rPr>
          <w:rFonts w:hint="eastAsia" w:hAnsi="宋体" w:cs="宋体"/>
          <w:b/>
          <w:bCs/>
          <w:color w:val="auto"/>
          <w:sz w:val="21"/>
        </w:rPr>
        <w:t>节能、环保、广西工业产品等</w:t>
      </w:r>
      <w:r>
        <w:rPr>
          <w:rFonts w:hAnsi="宋体" w:cs="宋体"/>
          <w:b/>
          <w:bCs/>
          <w:color w:val="auto"/>
          <w:sz w:val="21"/>
        </w:rPr>
        <w:t>)</w:t>
      </w:r>
      <w:r>
        <w:rPr>
          <w:rFonts w:hint="eastAsia" w:hAnsi="宋体" w:cs="宋体"/>
          <w:b/>
          <w:bCs/>
          <w:color w:val="auto"/>
          <w:sz w:val="21"/>
        </w:rPr>
        <w:t>…………………………………</w:t>
      </w:r>
      <w:r>
        <w:rPr>
          <w:rFonts w:hAnsi="宋体" w:cs="宋体"/>
          <w:b/>
          <w:bCs/>
          <w:color w:val="auto"/>
          <w:sz w:val="21"/>
        </w:rPr>
        <w:t>3</w:t>
      </w:r>
      <w:r>
        <w:rPr>
          <w:rFonts w:hint="eastAsia" w:hAnsi="宋体" w:cs="宋体"/>
          <w:b/>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(1)</w:t>
      </w:r>
      <w:r>
        <w:rPr>
          <w:rFonts w:hint="eastAsia" w:hAnsi="宋体" w:cs="宋体"/>
          <w:bCs/>
          <w:color w:val="auto"/>
          <w:sz w:val="21"/>
        </w:rPr>
        <w:t>投标核心产品列入财政部、国家发展和改革委员会制定和公布的最新一期《节能产品政府采购清单》每项得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Ansi="宋体" w:cs="宋体"/>
          <w:bCs/>
          <w:color w:val="auto"/>
          <w:sz w:val="21"/>
        </w:rPr>
        <w:t>1</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(2)</w:t>
      </w:r>
      <w:r>
        <w:rPr>
          <w:rFonts w:hint="eastAsia" w:hAnsi="宋体" w:cs="宋体"/>
          <w:bCs/>
          <w:color w:val="auto"/>
          <w:sz w:val="21"/>
        </w:rPr>
        <w:t>投标核心产品列入财政部、国家环保总局制定和公布最新一期《环境标志产品政府采购清单》的每项得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Ansi="宋体" w:cs="宋体"/>
          <w:bCs/>
          <w:color w:val="auto"/>
          <w:sz w:val="21"/>
        </w:rPr>
        <w:t>1</w:t>
      </w:r>
      <w:r>
        <w:rPr>
          <w:rFonts w:hint="eastAsia" w:hAnsi="宋体" w:cs="宋体"/>
          <w:bCs/>
          <w:color w:val="auto"/>
          <w:sz w:val="21"/>
        </w:rPr>
        <w:t>分。</w:t>
      </w:r>
    </w:p>
    <w:p>
      <w:pPr>
        <w:pStyle w:val="23"/>
        <w:tabs>
          <w:tab w:val="left" w:pos="630"/>
        </w:tabs>
        <w:spacing w:line="380" w:lineRule="exact"/>
        <w:ind w:firstLine="420"/>
        <w:rPr>
          <w:rFonts w:hAnsi="宋体" w:cs="宋体"/>
          <w:bCs/>
          <w:color w:val="auto"/>
          <w:sz w:val="21"/>
        </w:rPr>
      </w:pPr>
      <w:r>
        <w:rPr>
          <w:rFonts w:hAnsi="宋体" w:cs="宋体"/>
          <w:bCs/>
          <w:color w:val="auto"/>
          <w:sz w:val="21"/>
        </w:rPr>
        <w:t>(3)</w:t>
      </w:r>
      <w:r>
        <w:rPr>
          <w:rFonts w:hint="eastAsia" w:hAnsi="宋体" w:cs="宋体"/>
          <w:bCs/>
          <w:color w:val="auto"/>
          <w:sz w:val="21"/>
        </w:rPr>
        <w:t>采用广西工业产品的金额占本次投标总金额的</w:t>
      </w:r>
      <w:r>
        <w:rPr>
          <w:rFonts w:hAnsi="宋体" w:cs="宋体"/>
          <w:bCs/>
          <w:color w:val="auto"/>
          <w:sz w:val="21"/>
        </w:rPr>
        <w:t>80%</w:t>
      </w:r>
      <w:r>
        <w:rPr>
          <w:rFonts w:hint="eastAsia" w:hAnsi="宋体" w:cs="宋体"/>
          <w:bCs/>
          <w:color w:val="auto"/>
          <w:sz w:val="21"/>
        </w:rPr>
        <w:t>以上（含）的加</w:t>
      </w:r>
      <w:r>
        <w:rPr>
          <w:rFonts w:hAnsi="宋体" w:cs="宋体"/>
          <w:bCs/>
          <w:color w:val="auto"/>
          <w:sz w:val="21"/>
        </w:rPr>
        <w:t>1</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备注：根据《广西壮族自治区人民政府办公厅关于印发招标采购促进广西工业产品产销对接实施细则的通知》【桂政办发（</w:t>
      </w:r>
      <w:r>
        <w:rPr>
          <w:rFonts w:hAnsi="宋体" w:cs="宋体"/>
          <w:bCs/>
          <w:color w:val="auto"/>
          <w:sz w:val="21"/>
        </w:rPr>
        <w:t>2015</w:t>
      </w:r>
      <w:r>
        <w:rPr>
          <w:rFonts w:hint="eastAsia" w:hAnsi="宋体" w:cs="宋体"/>
          <w:bCs/>
          <w:color w:val="auto"/>
          <w:sz w:val="21"/>
        </w:rPr>
        <w:t>）</w:t>
      </w:r>
      <w:r>
        <w:rPr>
          <w:rFonts w:hAnsi="宋体" w:cs="宋体"/>
          <w:bCs/>
          <w:color w:val="auto"/>
          <w:sz w:val="21"/>
        </w:rPr>
        <w:t>78</w:t>
      </w:r>
      <w:r>
        <w:rPr>
          <w:rFonts w:hint="eastAsia" w:hAnsi="宋体" w:cs="宋体"/>
          <w:bCs/>
          <w:color w:val="auto"/>
          <w:sz w:val="21"/>
        </w:rPr>
        <w:t>号文】的规定，“广西工业产品”是指广西境内生产的工业产品，具体以生产企业的工商营业执照注册所在地为准。“使用广西工业产品</w:t>
      </w:r>
      <w:r>
        <w:rPr>
          <w:rFonts w:hAnsi="宋体" w:cs="宋体"/>
          <w:bCs/>
          <w:color w:val="auto"/>
          <w:sz w:val="21"/>
        </w:rPr>
        <w:t>80%</w:t>
      </w:r>
      <w:r>
        <w:rPr>
          <w:rFonts w:hint="eastAsia" w:hAnsi="宋体" w:cs="宋体"/>
          <w:bCs/>
          <w:color w:val="auto"/>
          <w:sz w:val="21"/>
        </w:rPr>
        <w:t>以上”是指参加政府采购项目或招标项目时供货范围中采用广西工业产品的金额占本次投标总金额的</w:t>
      </w:r>
      <w:r>
        <w:rPr>
          <w:rFonts w:hAnsi="宋体" w:cs="宋体"/>
          <w:bCs/>
          <w:color w:val="auto"/>
          <w:sz w:val="21"/>
        </w:rPr>
        <w:t>80%</w:t>
      </w:r>
      <w:r>
        <w:rPr>
          <w:rFonts w:hint="eastAsia" w:hAnsi="宋体" w:cs="宋体"/>
          <w:bCs/>
          <w:color w:val="auto"/>
          <w:sz w:val="21"/>
        </w:rPr>
        <w:t>以上（含）。</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（三）总得分</w:t>
      </w:r>
      <w:r>
        <w:rPr>
          <w:rFonts w:hAnsi="宋体" w:cs="宋体"/>
          <w:bCs/>
          <w:color w:val="auto"/>
          <w:sz w:val="21"/>
        </w:rPr>
        <w:t>=1+2+3+4+5</w:t>
      </w:r>
      <w:r>
        <w:rPr>
          <w:rFonts w:hint="eastAsia" w:hAnsi="宋体" w:cs="宋体"/>
          <w:bCs/>
          <w:color w:val="auto"/>
          <w:sz w:val="21"/>
        </w:rPr>
        <w:t>。</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三、中标候选人推荐原则</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hAnsi="宋体"/>
          <w:color w:val="auto"/>
          <w:sz w:val="21"/>
          <w:shd w:val="clear" w:color="auto" w:fill="FFFFFF"/>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四、特别说明</w:t>
      </w:r>
    </w:p>
    <w:p>
      <w:pPr>
        <w:pStyle w:val="23"/>
        <w:spacing w:line="340" w:lineRule="exact"/>
        <w:ind w:firstLine="420" w:firstLineChars="200"/>
        <w:rPr>
          <w:color w:val="auto"/>
          <w:sz w:val="21"/>
        </w:rPr>
      </w:pPr>
      <w:r>
        <w:rPr>
          <w:rFonts w:hint="eastAsia" w:hAnsi="宋体" w:cs="宋体"/>
          <w:bCs/>
          <w:color w:val="auto"/>
          <w:sz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bookmarkStart w:id="361" w:name="_Toc327735683"/>
    </w:p>
    <w:p>
      <w:pPr>
        <w:pStyle w:val="37"/>
        <w:rPr>
          <w:rStyle w:val="55"/>
          <w:rFonts w:cs="Times New Roman"/>
          <w:b/>
          <w:color w:val="auto"/>
          <w:sz w:val="21"/>
          <w:szCs w:val="21"/>
        </w:rPr>
      </w:pPr>
      <w:bookmarkStart w:id="362" w:name="_Toc32131"/>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rPr>
          <w:rFonts w:ascii="宋体"/>
          <w:b w:val="0"/>
          <w:bCs w:val="0"/>
          <w:color w:val="auto"/>
        </w:rPr>
      </w:pPr>
      <w:r>
        <w:rPr>
          <w:rStyle w:val="55"/>
          <w:rFonts w:hint="eastAsia" w:cs="Times New Roman"/>
          <w:b/>
          <w:color w:val="auto"/>
          <w:sz w:val="36"/>
          <w:szCs w:val="36"/>
        </w:rPr>
        <w:t>第五章</w:t>
      </w:r>
      <w:r>
        <w:rPr>
          <w:rStyle w:val="55"/>
          <w:rFonts w:cs="Times New Roman"/>
          <w:b/>
          <w:color w:val="auto"/>
          <w:sz w:val="36"/>
          <w:szCs w:val="36"/>
        </w:rPr>
        <w:t xml:space="preserve">  </w:t>
      </w:r>
      <w:r>
        <w:rPr>
          <w:rStyle w:val="55"/>
          <w:rFonts w:hint="eastAsia" w:cs="Times New Roman"/>
          <w:b/>
          <w:color w:val="auto"/>
          <w:sz w:val="36"/>
          <w:szCs w:val="36"/>
        </w:rPr>
        <w:t>合同主要条款格式</w:t>
      </w:r>
      <w:bookmarkEnd w:id="361"/>
      <w:bookmarkEnd w:id="362"/>
      <w:r>
        <w:rPr>
          <w:rStyle w:val="55"/>
          <w:rFonts w:cs="Times New Roman"/>
          <w:b/>
          <w:color w:val="auto"/>
          <w:sz w:val="36"/>
          <w:szCs w:val="36"/>
        </w:rPr>
        <w:t xml:space="preserve"> </w:t>
      </w:r>
      <w:r>
        <w:rPr>
          <w:rFonts w:ascii="宋体" w:hAnsi="宋体"/>
          <w:b w:val="0"/>
          <w:bCs w:val="0"/>
          <w:color w:val="auto"/>
        </w:rPr>
        <w:t xml:space="preserve">                         </w:t>
      </w:r>
    </w:p>
    <w:p>
      <w:pPr>
        <w:spacing w:line="360" w:lineRule="auto"/>
        <w:jc w:val="center"/>
        <w:rPr>
          <w:color w:val="auto"/>
          <w:sz w:val="22"/>
          <w:szCs w:val="22"/>
        </w:rPr>
      </w:pPr>
      <w:r>
        <w:rPr>
          <w:rFonts w:ascii="仿宋_GB2312" w:eastAsia="仿宋_GB2312"/>
          <w:bCs/>
          <w:color w:val="auto"/>
          <w:sz w:val="24"/>
        </w:rPr>
        <w:t xml:space="preserve">                                                                                                </w:t>
      </w:r>
      <w:bookmarkStart w:id="363" w:name="_Toc327735684"/>
      <w:bookmarkStart w:id="364" w:name="_Toc15156"/>
    </w:p>
    <w:p>
      <w:pPr>
        <w:snapToGrid w:val="0"/>
        <w:spacing w:line="480" w:lineRule="auto"/>
        <w:jc w:val="center"/>
        <w:rPr>
          <w:rFonts w:ascii="宋体" w:cs="宋体"/>
          <w:b/>
          <w:color w:val="auto"/>
          <w:sz w:val="32"/>
          <w:szCs w:val="32"/>
        </w:rPr>
      </w:pPr>
      <w:r>
        <w:rPr>
          <w:rFonts w:hint="eastAsia" w:ascii="宋体" w:hAnsi="宋体" w:cs="宋体"/>
          <w:b/>
          <w:bCs/>
          <w:color w:val="auto"/>
          <w:sz w:val="32"/>
          <w:szCs w:val="32"/>
        </w:rPr>
        <w:t>《广西壮族自治区政府采购合同》</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采购单位（甲方）</w:t>
      </w:r>
      <w:r>
        <w:rPr>
          <w:rFonts w:ascii="宋体" w:hAnsi="宋体" w:cs="宋体"/>
          <w:color w:val="auto"/>
          <w:sz w:val="22"/>
          <w:szCs w:val="22"/>
          <w:u w:val="single"/>
        </w:rPr>
        <w:t xml:space="preserve">                            </w:t>
      </w:r>
      <w:r>
        <w:rPr>
          <w:rFonts w:ascii="宋体" w:hAnsi="宋体" w:cs="宋体"/>
          <w:color w:val="auto"/>
          <w:spacing w:val="-20"/>
          <w:sz w:val="22"/>
          <w:szCs w:val="22"/>
        </w:rPr>
        <w:t xml:space="preserve">  </w:t>
      </w:r>
      <w:r>
        <w:rPr>
          <w:rFonts w:hint="eastAsia" w:ascii="宋体" w:hAnsi="宋体" w:cs="宋体"/>
          <w:color w:val="auto"/>
          <w:spacing w:val="-20"/>
          <w:sz w:val="22"/>
          <w:szCs w:val="22"/>
        </w:rPr>
        <w:t>采</w:t>
      </w:r>
      <w:r>
        <w:rPr>
          <w:rFonts w:ascii="宋体" w:hAnsi="宋体" w:cs="宋体"/>
          <w:color w:val="auto"/>
          <w:spacing w:val="-20"/>
          <w:sz w:val="22"/>
          <w:szCs w:val="22"/>
        </w:rPr>
        <w:t xml:space="preserve"> </w:t>
      </w:r>
      <w:r>
        <w:rPr>
          <w:rFonts w:hint="eastAsia" w:ascii="宋体" w:hAnsi="宋体" w:cs="宋体"/>
          <w:color w:val="auto"/>
          <w:spacing w:val="-20"/>
          <w:sz w:val="22"/>
          <w:szCs w:val="22"/>
        </w:rPr>
        <w:t>购</w:t>
      </w:r>
      <w:r>
        <w:rPr>
          <w:rFonts w:ascii="宋体" w:hAnsi="宋体" w:cs="宋体"/>
          <w:color w:val="auto"/>
          <w:spacing w:val="-20"/>
          <w:sz w:val="22"/>
          <w:szCs w:val="22"/>
        </w:rPr>
        <w:t xml:space="preserve"> </w:t>
      </w:r>
      <w:r>
        <w:rPr>
          <w:rFonts w:hint="eastAsia" w:ascii="宋体" w:hAnsi="宋体" w:cs="宋体"/>
          <w:color w:val="auto"/>
          <w:spacing w:val="-20"/>
          <w:sz w:val="22"/>
          <w:szCs w:val="22"/>
        </w:rPr>
        <w:t>计</w:t>
      </w:r>
      <w:r>
        <w:rPr>
          <w:rFonts w:ascii="宋体" w:hAnsi="宋体" w:cs="宋体"/>
          <w:color w:val="auto"/>
          <w:spacing w:val="-20"/>
          <w:sz w:val="22"/>
          <w:szCs w:val="22"/>
        </w:rPr>
        <w:t xml:space="preserve"> </w:t>
      </w:r>
      <w:r>
        <w:rPr>
          <w:rFonts w:hint="eastAsia" w:ascii="宋体" w:hAnsi="宋体" w:cs="宋体"/>
          <w:color w:val="auto"/>
          <w:spacing w:val="-20"/>
          <w:sz w:val="22"/>
          <w:szCs w:val="22"/>
        </w:rPr>
        <w:t>划</w:t>
      </w:r>
      <w:r>
        <w:rPr>
          <w:rFonts w:ascii="宋体" w:hAnsi="宋体" w:cs="宋体"/>
          <w:color w:val="auto"/>
          <w:spacing w:val="-20"/>
          <w:sz w:val="22"/>
          <w:szCs w:val="22"/>
        </w:rPr>
        <w:t xml:space="preserve"> </w:t>
      </w:r>
      <w:r>
        <w:rPr>
          <w:rFonts w:hint="eastAsia" w:ascii="宋体" w:hAnsi="宋体" w:cs="宋体"/>
          <w:color w:val="auto"/>
          <w:spacing w:val="-20"/>
          <w:sz w:val="22"/>
          <w:szCs w:val="22"/>
        </w:rPr>
        <w:t>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供</w:t>
      </w:r>
      <w:r>
        <w:rPr>
          <w:rFonts w:ascii="宋体" w:hAnsi="宋体" w:cs="宋体"/>
          <w:color w:val="auto"/>
          <w:sz w:val="22"/>
          <w:szCs w:val="22"/>
        </w:rPr>
        <w:t xml:space="preserve"> </w:t>
      </w:r>
      <w:r>
        <w:rPr>
          <w:rFonts w:hint="eastAsia" w:ascii="宋体" w:hAnsi="宋体" w:cs="宋体"/>
          <w:color w:val="auto"/>
          <w:sz w:val="22"/>
          <w:szCs w:val="22"/>
        </w:rPr>
        <w:t>应</w:t>
      </w:r>
      <w:r>
        <w:rPr>
          <w:rFonts w:ascii="宋体" w:hAnsi="宋体" w:cs="宋体"/>
          <w:color w:val="auto"/>
          <w:sz w:val="22"/>
          <w:szCs w:val="22"/>
        </w:rPr>
        <w:t xml:space="preserve"> </w:t>
      </w:r>
      <w:r>
        <w:rPr>
          <w:rFonts w:hint="eastAsia" w:ascii="宋体" w:hAnsi="宋体" w:cs="宋体"/>
          <w:color w:val="auto"/>
          <w:sz w:val="22"/>
          <w:szCs w:val="22"/>
        </w:rPr>
        <w:t>商（乙方）</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pacing w:val="-20"/>
          <w:sz w:val="22"/>
          <w:szCs w:val="22"/>
        </w:rPr>
        <w:t>项目名称和编号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地</w:t>
      </w:r>
      <w:r>
        <w:rPr>
          <w:rFonts w:ascii="宋体" w:hAnsi="宋体" w:cs="宋体"/>
          <w:color w:val="auto"/>
          <w:sz w:val="22"/>
          <w:szCs w:val="22"/>
        </w:rPr>
        <w:t xml:space="preserve">  </w:t>
      </w:r>
      <w:r>
        <w:rPr>
          <w:rFonts w:hint="eastAsia" w:ascii="宋体" w:hAnsi="宋体" w:cs="宋体"/>
          <w:color w:val="auto"/>
          <w:sz w:val="22"/>
          <w:szCs w:val="22"/>
        </w:rPr>
        <w:t>点</w:t>
      </w:r>
      <w:r>
        <w:rPr>
          <w:rFonts w:ascii="宋体" w:hAnsi="宋体" w:cs="宋体"/>
          <w:color w:val="auto"/>
          <w:sz w:val="22"/>
          <w:szCs w:val="22"/>
        </w:rPr>
        <w:t xml:space="preserve">  </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时</w:t>
      </w:r>
      <w:r>
        <w:rPr>
          <w:rFonts w:ascii="宋体" w:hAnsi="宋体" w:cs="宋体"/>
          <w:color w:val="auto"/>
          <w:sz w:val="22"/>
          <w:szCs w:val="22"/>
        </w:rPr>
        <w:t xml:space="preserve"> </w:t>
      </w:r>
      <w:r>
        <w:rPr>
          <w:rFonts w:hint="eastAsia" w:ascii="宋体" w:hAnsi="宋体" w:cs="宋体"/>
          <w:color w:val="auto"/>
          <w:sz w:val="22"/>
          <w:szCs w:val="22"/>
        </w:rPr>
        <w:t>间</w:t>
      </w:r>
      <w:r>
        <w:rPr>
          <w:rFonts w:ascii="宋体" w:hAnsi="宋体" w:cs="宋体"/>
          <w:color w:val="auto"/>
          <w:sz w:val="22"/>
          <w:szCs w:val="22"/>
        </w:rPr>
        <w:t xml:space="preserve"> </w:t>
      </w:r>
      <w:r>
        <w:rPr>
          <w:rFonts w:ascii="宋体" w:hAnsi="宋体" w:cs="宋体"/>
          <w:color w:val="auto"/>
          <w:sz w:val="22"/>
          <w:szCs w:val="22"/>
          <w:u w:val="single"/>
        </w:rPr>
        <w:t xml:space="preserve">            </w:t>
      </w:r>
    </w:p>
    <w:p>
      <w:pPr>
        <w:snapToGrid w:val="0"/>
        <w:spacing w:line="320" w:lineRule="exact"/>
        <w:ind w:firstLine="440" w:firstLineChars="200"/>
        <w:rPr>
          <w:rFonts w:ascii="宋体" w:cs="宋体"/>
          <w:color w:val="auto"/>
          <w:sz w:val="22"/>
          <w:szCs w:val="22"/>
        </w:rPr>
      </w:pPr>
    </w:p>
    <w:p>
      <w:pPr>
        <w:snapToGrid w:val="0"/>
        <w:spacing w:line="320" w:lineRule="exact"/>
        <w:ind w:firstLine="440" w:firstLineChars="200"/>
        <w:rPr>
          <w:rFonts w:ascii="宋体" w:cs="宋体"/>
          <w:color w:val="auto"/>
          <w:sz w:val="22"/>
          <w:szCs w:val="22"/>
        </w:rPr>
      </w:pPr>
      <w:r>
        <w:rPr>
          <w:rFonts w:hint="eastAsia" w:ascii="宋体" w:hAnsi="宋体" w:cs="宋体"/>
          <w:color w:val="auto"/>
          <w:sz w:val="22"/>
          <w:szCs w:val="22"/>
        </w:rPr>
        <w:t>根据《中华人民共和国政府采购法》、《中华人民共和国合同法》等法律、法规规定，按照招标文件规定条款和中标供应商承诺，甲乙双方签订本合同。</w:t>
      </w:r>
    </w:p>
    <w:p>
      <w:pPr>
        <w:snapToGrid w:val="0"/>
        <w:spacing w:line="320" w:lineRule="exact"/>
        <w:ind w:firstLine="550" w:firstLineChars="249"/>
        <w:rPr>
          <w:rFonts w:ascii="宋体" w:cs="宋体"/>
          <w:color w:val="auto"/>
          <w:sz w:val="22"/>
          <w:szCs w:val="22"/>
        </w:rPr>
      </w:pPr>
      <w:r>
        <w:rPr>
          <w:rFonts w:hint="eastAsia" w:ascii="宋体" w:hAnsi="宋体" w:cs="宋体"/>
          <w:b/>
          <w:color w:val="auto"/>
          <w:sz w:val="22"/>
          <w:szCs w:val="22"/>
        </w:rPr>
        <w:t>第一条</w:t>
      </w:r>
      <w:r>
        <w:rPr>
          <w:rFonts w:ascii="宋体" w:hAnsi="宋体" w:cs="宋体"/>
          <w:b/>
          <w:color w:val="auto"/>
          <w:sz w:val="22"/>
          <w:szCs w:val="22"/>
        </w:rPr>
        <w:t xml:space="preserve">  </w:t>
      </w:r>
      <w:r>
        <w:rPr>
          <w:rFonts w:hint="eastAsia" w:ascii="宋体" w:hAnsi="宋体" w:cs="宋体"/>
          <w:b/>
          <w:color w:val="auto"/>
          <w:sz w:val="22"/>
          <w:szCs w:val="22"/>
        </w:rPr>
        <w:t>合同标的</w:t>
      </w:r>
    </w:p>
    <w:p>
      <w:pPr>
        <w:snapToGrid w:val="0"/>
        <w:spacing w:line="320" w:lineRule="exact"/>
        <w:ind w:firstLine="440" w:firstLineChars="200"/>
        <w:rPr>
          <w:rFonts w:ascii="宋体" w:cs="宋体"/>
          <w:color w:val="auto"/>
          <w:sz w:val="22"/>
          <w:szCs w:val="22"/>
        </w:rPr>
      </w:pPr>
      <w:r>
        <w:rPr>
          <w:rFonts w:ascii="宋体" w:hAnsi="宋体" w:cs="宋体"/>
          <w:color w:val="auto"/>
          <w:sz w:val="22"/>
          <w:szCs w:val="22"/>
        </w:rPr>
        <w:t>1.</w:t>
      </w:r>
      <w:r>
        <w:rPr>
          <w:rFonts w:hint="eastAsia" w:ascii="宋体" w:hAnsi="宋体" w:cs="宋体"/>
          <w:color w:val="auto"/>
          <w:sz w:val="22"/>
          <w:szCs w:val="22"/>
        </w:rPr>
        <w:t>根据中标通知书的中标内容，合同的总金额为（大写）：人民币</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hint="eastAsia" w:ascii="宋体" w:hAnsi="宋体" w:cs="宋体"/>
          <w:color w:val="auto"/>
          <w:sz w:val="22"/>
          <w:szCs w:val="22"/>
        </w:rPr>
        <w:t>。</w:t>
      </w:r>
    </w:p>
    <w:p>
      <w:pPr>
        <w:snapToGrid w:val="0"/>
        <w:spacing w:line="320" w:lineRule="exact"/>
        <w:ind w:firstLine="440" w:firstLineChars="200"/>
        <w:rPr>
          <w:rFonts w:ascii="宋体" w:cs="宋体"/>
          <w:color w:val="auto"/>
          <w:sz w:val="22"/>
          <w:szCs w:val="22"/>
        </w:rPr>
      </w:pPr>
      <w:r>
        <w:rPr>
          <w:rFonts w:ascii="宋体" w:hAnsi="宋体" w:cs="宋体"/>
          <w:color w:val="auto"/>
          <w:sz w:val="22"/>
          <w:szCs w:val="22"/>
        </w:rPr>
        <w:t>2.</w:t>
      </w:r>
      <w:r>
        <w:rPr>
          <w:rFonts w:hint="eastAsia" w:ascii="宋体" w:hAnsi="宋体" w:cs="宋体"/>
          <w:color w:val="auto"/>
          <w:sz w:val="22"/>
          <w:szCs w:val="22"/>
        </w:rPr>
        <w:t>货物一览表</w:t>
      </w:r>
    </w:p>
    <w:tbl>
      <w:tblPr>
        <w:tblStyle w:val="4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099"/>
        <w:gridCol w:w="1100"/>
        <w:gridCol w:w="1100"/>
        <w:gridCol w:w="1099"/>
        <w:gridCol w:w="1100"/>
        <w:gridCol w:w="1100"/>
        <w:gridCol w:w="110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92" w:type="dxa"/>
            <w:vAlign w:val="center"/>
          </w:tcPr>
          <w:p>
            <w:pPr>
              <w:snapToGrid w:val="0"/>
              <w:jc w:val="center"/>
              <w:rPr>
                <w:rFonts w:ascii="宋体" w:cs="宋体"/>
                <w:color w:val="auto"/>
              </w:rPr>
            </w:pPr>
            <w:r>
              <w:rPr>
                <w:rFonts w:hint="eastAsia" w:ascii="宋体" w:hAnsi="宋体" w:cs="宋体"/>
                <w:color w:val="auto"/>
              </w:rPr>
              <w:t>序号</w:t>
            </w:r>
          </w:p>
        </w:tc>
        <w:tc>
          <w:tcPr>
            <w:tcW w:w="1099" w:type="dxa"/>
            <w:vAlign w:val="center"/>
          </w:tcPr>
          <w:p>
            <w:pPr>
              <w:snapToGrid w:val="0"/>
              <w:jc w:val="center"/>
              <w:rPr>
                <w:rFonts w:ascii="宋体" w:cs="宋体"/>
                <w:color w:val="auto"/>
              </w:rPr>
            </w:pPr>
            <w:r>
              <w:rPr>
                <w:rFonts w:hint="eastAsia" w:ascii="宋体" w:hAnsi="宋体" w:cs="宋体"/>
                <w:color w:val="auto"/>
              </w:rPr>
              <w:t>产品名称</w:t>
            </w:r>
          </w:p>
        </w:tc>
        <w:tc>
          <w:tcPr>
            <w:tcW w:w="1100" w:type="dxa"/>
            <w:vAlign w:val="center"/>
          </w:tcPr>
          <w:p>
            <w:pPr>
              <w:snapToGrid w:val="0"/>
              <w:jc w:val="center"/>
              <w:rPr>
                <w:rFonts w:ascii="宋体" w:cs="宋体"/>
                <w:color w:val="auto"/>
              </w:rPr>
            </w:pPr>
            <w:r>
              <w:rPr>
                <w:rFonts w:hint="eastAsia" w:ascii="宋体" w:hAnsi="宋体" w:cs="宋体"/>
                <w:color w:val="auto"/>
              </w:rPr>
              <w:t>商标品牌</w:t>
            </w:r>
          </w:p>
        </w:tc>
        <w:tc>
          <w:tcPr>
            <w:tcW w:w="1100" w:type="dxa"/>
            <w:vAlign w:val="center"/>
          </w:tcPr>
          <w:p>
            <w:pPr>
              <w:snapToGrid w:val="0"/>
              <w:jc w:val="center"/>
              <w:rPr>
                <w:rFonts w:ascii="宋体" w:cs="宋体"/>
                <w:color w:val="auto"/>
              </w:rPr>
            </w:pPr>
            <w:r>
              <w:rPr>
                <w:rFonts w:hint="eastAsia" w:ascii="宋体" w:hAnsi="宋体" w:cs="宋体"/>
                <w:color w:val="auto"/>
              </w:rPr>
              <w:t>规格型号</w:t>
            </w:r>
          </w:p>
        </w:tc>
        <w:tc>
          <w:tcPr>
            <w:tcW w:w="1099" w:type="dxa"/>
            <w:vAlign w:val="center"/>
          </w:tcPr>
          <w:p>
            <w:pPr>
              <w:snapToGrid w:val="0"/>
              <w:jc w:val="center"/>
              <w:rPr>
                <w:rFonts w:ascii="宋体" w:cs="宋体"/>
                <w:color w:val="auto"/>
              </w:rPr>
            </w:pPr>
            <w:r>
              <w:rPr>
                <w:rFonts w:hint="eastAsia" w:ascii="宋体" w:hAnsi="宋体" w:cs="宋体"/>
                <w:color w:val="auto"/>
              </w:rPr>
              <w:t>生产厂家</w:t>
            </w:r>
          </w:p>
        </w:tc>
        <w:tc>
          <w:tcPr>
            <w:tcW w:w="1100" w:type="dxa"/>
            <w:vAlign w:val="center"/>
          </w:tcPr>
          <w:p>
            <w:pPr>
              <w:snapToGrid w:val="0"/>
              <w:jc w:val="center"/>
              <w:rPr>
                <w:rFonts w:ascii="宋体" w:cs="宋体"/>
                <w:color w:val="auto"/>
              </w:rPr>
            </w:pPr>
            <w:r>
              <w:rPr>
                <w:rFonts w:hint="eastAsia" w:ascii="宋体" w:hAnsi="宋体" w:cs="宋体"/>
                <w:color w:val="auto"/>
              </w:rPr>
              <w:t>数</w:t>
            </w:r>
            <w:r>
              <w:rPr>
                <w:rFonts w:ascii="宋体" w:hAnsi="宋体" w:cs="宋体"/>
                <w:color w:val="auto"/>
              </w:rPr>
              <w:t xml:space="preserve">  </w:t>
            </w:r>
            <w:r>
              <w:rPr>
                <w:rFonts w:hint="eastAsia" w:ascii="宋体" w:hAnsi="宋体" w:cs="宋体"/>
                <w:color w:val="auto"/>
              </w:rPr>
              <w:t>量</w:t>
            </w:r>
          </w:p>
        </w:tc>
        <w:tc>
          <w:tcPr>
            <w:tcW w:w="1100" w:type="dxa"/>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位</w:t>
            </w:r>
          </w:p>
        </w:tc>
        <w:tc>
          <w:tcPr>
            <w:tcW w:w="1100" w:type="dxa"/>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价</w:t>
            </w:r>
          </w:p>
          <w:p>
            <w:pPr>
              <w:snapToGrid w:val="0"/>
              <w:jc w:val="center"/>
              <w:rPr>
                <w:rFonts w:ascii="宋体" w:cs="宋体"/>
                <w:color w:val="auto"/>
              </w:rPr>
            </w:pPr>
            <w:r>
              <w:rPr>
                <w:rFonts w:hint="eastAsia" w:ascii="宋体" w:hAnsi="宋体" w:cs="宋体"/>
                <w:color w:val="auto"/>
              </w:rPr>
              <w:t>（元）</w:t>
            </w:r>
          </w:p>
        </w:tc>
        <w:tc>
          <w:tcPr>
            <w:tcW w:w="1102" w:type="dxa"/>
            <w:vAlign w:val="center"/>
          </w:tcPr>
          <w:p>
            <w:pPr>
              <w:snapToGrid w:val="0"/>
              <w:jc w:val="center"/>
              <w:rPr>
                <w:rFonts w:ascii="宋体" w:cs="宋体"/>
                <w:color w:val="auto"/>
              </w:rPr>
            </w:pPr>
            <w:r>
              <w:rPr>
                <w:rFonts w:hint="eastAsia" w:ascii="宋体" w:hAnsi="宋体" w:cs="宋体"/>
                <w:color w:val="auto"/>
              </w:rPr>
              <w:t>金</w:t>
            </w:r>
            <w:r>
              <w:rPr>
                <w:rFonts w:ascii="宋体" w:hAnsi="宋体" w:cs="宋体"/>
                <w:color w:val="auto"/>
              </w:rPr>
              <w:t xml:space="preserve">  </w:t>
            </w:r>
            <w:r>
              <w:rPr>
                <w:rFonts w:hint="eastAsia" w:ascii="宋体" w:hAnsi="宋体" w:cs="宋体"/>
                <w:color w:val="auto"/>
              </w:rPr>
              <w:t>额</w:t>
            </w:r>
          </w:p>
          <w:p>
            <w:pPr>
              <w:snapToGrid w:val="0"/>
              <w:jc w:val="center"/>
              <w:rPr>
                <w:rFonts w:ascii="宋体" w:cs="宋体"/>
                <w:color w:val="auto"/>
              </w:rPr>
            </w:pPr>
            <w:r>
              <w:rPr>
                <w:rFonts w:hint="eastAsia" w:ascii="宋体" w:hAnsi="宋体" w:cs="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cs="宋体"/>
                <w:color w:val="auto"/>
              </w:rPr>
            </w:pPr>
            <w:r>
              <w:rPr>
                <w:rFonts w:ascii="宋体" w:hAnsi="宋体" w:cs="宋体"/>
                <w:color w:val="auto"/>
              </w:rPr>
              <w:t>1</w:t>
            </w:r>
          </w:p>
        </w:tc>
        <w:tc>
          <w:tcPr>
            <w:tcW w:w="1099"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099"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2"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cs="宋体"/>
                <w:color w:val="auto"/>
              </w:rPr>
            </w:pPr>
            <w:r>
              <w:rPr>
                <w:rFonts w:ascii="宋体" w:hAnsi="宋体" w:cs="宋体"/>
                <w:color w:val="auto"/>
              </w:rPr>
              <w:t>2</w:t>
            </w:r>
          </w:p>
        </w:tc>
        <w:tc>
          <w:tcPr>
            <w:tcW w:w="1099"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099"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2"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cs="宋体"/>
                <w:color w:val="auto"/>
              </w:rPr>
            </w:pPr>
            <w:r>
              <w:rPr>
                <w:rFonts w:ascii="宋体" w:hAnsi="宋体" w:cs="宋体"/>
                <w:color w:val="auto"/>
              </w:rPr>
              <w:t>3</w:t>
            </w:r>
          </w:p>
        </w:tc>
        <w:tc>
          <w:tcPr>
            <w:tcW w:w="1099"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099"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tcPr>
          <w:p>
            <w:pPr>
              <w:snapToGrid w:val="0"/>
              <w:jc w:val="center"/>
              <w:rPr>
                <w:rFonts w:ascii="宋体" w:cs="宋体"/>
                <w:color w:val="auto"/>
              </w:rPr>
            </w:pPr>
          </w:p>
        </w:tc>
        <w:tc>
          <w:tcPr>
            <w:tcW w:w="1100" w:type="dxa"/>
            <w:vAlign w:val="center"/>
          </w:tcPr>
          <w:p>
            <w:pPr>
              <w:snapToGrid w:val="0"/>
              <w:jc w:val="center"/>
              <w:rPr>
                <w:rFonts w:ascii="宋体" w:cs="宋体"/>
                <w:color w:val="auto"/>
              </w:rPr>
            </w:pPr>
          </w:p>
        </w:tc>
        <w:tc>
          <w:tcPr>
            <w:tcW w:w="1102"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9192" w:type="dxa"/>
            <w:gridSpan w:val="9"/>
            <w:vAlign w:val="center"/>
          </w:tcPr>
          <w:p>
            <w:pPr>
              <w:snapToGrid w:val="0"/>
              <w:rPr>
                <w:rFonts w:ascii="宋体" w:cs="宋体"/>
                <w:color w:val="auto"/>
              </w:rPr>
            </w:pPr>
            <w:r>
              <w:rPr>
                <w:rFonts w:hint="eastAsia" w:ascii="宋体" w:hAnsi="宋体" w:cs="宋体"/>
                <w:color w:val="auto"/>
              </w:rPr>
              <w:t>人民币合计金额（大写）</w:t>
            </w:r>
            <w:r>
              <w:rPr>
                <w:rFonts w:ascii="宋体" w:hAnsi="宋体" w:cs="宋体"/>
                <w:color w:val="auto"/>
              </w:rPr>
              <w:t xml:space="preserve">                            </w:t>
            </w:r>
            <w:r>
              <w:rPr>
                <w:rFonts w:hint="eastAsia" w:ascii="宋体" w:hAnsi="宋体" w:cs="宋体"/>
                <w:color w:val="auto"/>
              </w:rPr>
              <w:t>（小写）</w:t>
            </w:r>
          </w:p>
        </w:tc>
      </w:tr>
    </w:tbl>
    <w:p>
      <w:pPr>
        <w:snapToGrid w:val="0"/>
        <w:spacing w:line="320" w:lineRule="exact"/>
        <w:ind w:right="420" w:firstLine="456" w:firstLineChars="200"/>
        <w:rPr>
          <w:rFonts w:ascii="宋体" w:cs="宋体"/>
          <w:color w:val="auto"/>
          <w:spacing w:val="4"/>
          <w:sz w:val="22"/>
          <w:szCs w:val="22"/>
        </w:rPr>
      </w:pPr>
    </w:p>
    <w:p>
      <w:pPr>
        <w:snapToGrid w:val="0"/>
        <w:spacing w:line="320" w:lineRule="exact"/>
        <w:ind w:right="420"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合同合计金额包括货物价款、备件、专用工具、安装、检验、技术资料和包装、运输等全部费用。如招标文件对其另有规定的，从其规定。</w:t>
      </w:r>
    </w:p>
    <w:p>
      <w:pPr>
        <w:snapToGrid w:val="0"/>
        <w:spacing w:line="320" w:lineRule="exact"/>
        <w:ind w:right="525" w:firstLine="687" w:firstLineChars="300"/>
        <w:rPr>
          <w:rFonts w:ascii="宋体" w:cs="宋体"/>
          <w:color w:val="auto"/>
          <w:spacing w:val="4"/>
          <w:sz w:val="22"/>
          <w:szCs w:val="22"/>
        </w:rPr>
      </w:pPr>
      <w:r>
        <w:rPr>
          <w:rFonts w:hint="eastAsia" w:ascii="宋体" w:hAnsi="宋体" w:cs="宋体"/>
          <w:b/>
          <w:bCs/>
          <w:color w:val="auto"/>
          <w:spacing w:val="4"/>
          <w:sz w:val="22"/>
          <w:szCs w:val="22"/>
        </w:rPr>
        <w:t>第二条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质量保证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乙方所提供的货物规格、技术标准、材料等质量必须与招标文件、投标文件和承诺相一致。乙方提供的自主创新产品、节能和环保产品必须是列入政府采购清单的产品。</w:t>
      </w:r>
    </w:p>
    <w:p>
      <w:pPr>
        <w:snapToGrid w:val="0"/>
        <w:spacing w:line="320" w:lineRule="exact"/>
        <w:ind w:firstLine="456" w:firstLineChars="200"/>
        <w:jc w:val="left"/>
        <w:rPr>
          <w:rFonts w:ascii="宋体" w:cs="宋体"/>
          <w:color w:val="auto"/>
          <w:spacing w:val="4"/>
          <w:sz w:val="22"/>
          <w:szCs w:val="22"/>
          <w:u w:val="single"/>
        </w:rPr>
      </w:pPr>
      <w:r>
        <w:rPr>
          <w:rFonts w:ascii="宋体" w:hAnsi="宋体" w:cs="宋体"/>
          <w:color w:val="auto"/>
          <w:spacing w:val="4"/>
          <w:sz w:val="22"/>
          <w:szCs w:val="22"/>
        </w:rPr>
        <w:t>2.</w:t>
      </w:r>
      <w:r>
        <w:rPr>
          <w:rFonts w:hint="eastAsia" w:ascii="宋体" w:hAnsi="宋体" w:cs="宋体"/>
          <w:color w:val="auto"/>
          <w:spacing w:val="4"/>
          <w:sz w:val="22"/>
          <w:szCs w:val="22"/>
        </w:rPr>
        <w:t>乙方所提供的货物必须是全新、未使用的产品，且在正常使用条件下，其使用寿命应达到承诺年限。</w:t>
      </w:r>
    </w:p>
    <w:p>
      <w:pPr>
        <w:snapToGrid w:val="0"/>
        <w:spacing w:line="320" w:lineRule="exact"/>
        <w:ind w:firstLine="682" w:firstLineChars="298"/>
        <w:rPr>
          <w:rFonts w:ascii="宋体" w:cs="宋体"/>
          <w:color w:val="auto"/>
          <w:spacing w:val="4"/>
          <w:sz w:val="22"/>
          <w:szCs w:val="22"/>
        </w:rPr>
      </w:pPr>
      <w:r>
        <w:rPr>
          <w:rFonts w:hint="eastAsia" w:ascii="宋体" w:hAnsi="宋体" w:cs="宋体"/>
          <w:b/>
          <w:bCs/>
          <w:color w:val="auto"/>
          <w:spacing w:val="4"/>
          <w:sz w:val="22"/>
          <w:szCs w:val="22"/>
        </w:rPr>
        <w:t>第三条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权力保证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乙方应保证所提供货物在使用时不会侵犯任何第三方的专利权、商标权、工业设计权或其他权利。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乙方应按招标文件规定的时间向甲方提供使用货物的有关技术资料。</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乙方保证所交付的货物的所有权完全属于乙方且无任何抵押、质押、查封等产权瑕疵。</w:t>
      </w:r>
    </w:p>
    <w:p>
      <w:pPr>
        <w:snapToGrid w:val="0"/>
        <w:spacing w:line="320" w:lineRule="exact"/>
        <w:ind w:firstLine="673" w:firstLineChars="294"/>
        <w:rPr>
          <w:rFonts w:ascii="宋体" w:cs="宋体"/>
          <w:b/>
          <w:bCs/>
          <w:color w:val="auto"/>
          <w:spacing w:val="4"/>
          <w:sz w:val="22"/>
          <w:szCs w:val="22"/>
        </w:rPr>
      </w:pPr>
      <w:r>
        <w:rPr>
          <w:rFonts w:hint="eastAsia" w:ascii="宋体" w:hAnsi="宋体" w:cs="宋体"/>
          <w:b/>
          <w:bCs/>
          <w:color w:val="auto"/>
          <w:spacing w:val="4"/>
          <w:sz w:val="22"/>
          <w:szCs w:val="22"/>
        </w:rPr>
        <w:t>第四条</w:t>
      </w:r>
      <w:r>
        <w:rPr>
          <w:rFonts w:ascii="宋体" w:hAnsi="宋体" w:cs="宋体"/>
          <w:b/>
          <w:bCs/>
          <w:color w:val="auto"/>
          <w:spacing w:val="4"/>
          <w:sz w:val="22"/>
          <w:szCs w:val="22"/>
        </w:rPr>
        <w:t xml:space="preserve">  </w:t>
      </w:r>
      <w:r>
        <w:rPr>
          <w:rFonts w:hint="eastAsia" w:ascii="宋体" w:hAnsi="宋体" w:cs="宋体"/>
          <w:b/>
          <w:bCs/>
          <w:color w:val="auto"/>
          <w:spacing w:val="4"/>
          <w:sz w:val="22"/>
          <w:szCs w:val="22"/>
        </w:rPr>
        <w:t>包装和运输</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乙方提供的货物均应按招标文件要求的包装材料、包装标准、包装方式进行包装，每一包装单元内应附详细的装箱单和质量合格证。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乙方负责货物运输，货物的运输方式：</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rPr>
        <w:t>乙方自行负责</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682" w:firstLineChars="298"/>
        <w:rPr>
          <w:rFonts w:ascii="宋体" w:cs="宋体"/>
          <w:b/>
          <w:color w:val="auto"/>
          <w:spacing w:val="4"/>
          <w:sz w:val="22"/>
          <w:szCs w:val="22"/>
        </w:rPr>
      </w:pPr>
      <w:r>
        <w:rPr>
          <w:rFonts w:hint="eastAsia" w:ascii="宋体" w:hAnsi="宋体" w:cs="宋体"/>
          <w:b/>
          <w:color w:val="auto"/>
          <w:spacing w:val="4"/>
          <w:sz w:val="22"/>
          <w:szCs w:val="22"/>
        </w:rPr>
        <w:t>第五条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交付和验收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交货时间：</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rPr>
        <w:t>自合同签订之日起</w:t>
      </w:r>
      <w:r>
        <w:rPr>
          <w:rFonts w:hint="eastAsia" w:ascii="宋体" w:hAnsi="宋体" w:cs="宋体"/>
          <w:color w:val="auto"/>
          <w:spacing w:val="4"/>
          <w:sz w:val="22"/>
          <w:szCs w:val="22"/>
          <w:u w:val="single"/>
          <w:lang w:val="en-US" w:eastAsia="zh-CN"/>
        </w:rPr>
        <w:t>90</w:t>
      </w:r>
      <w:r>
        <w:rPr>
          <w:rFonts w:hint="eastAsia" w:ascii="宋体" w:hAnsi="宋体" w:cs="宋体"/>
          <w:color w:val="auto"/>
          <w:spacing w:val="4"/>
          <w:sz w:val="22"/>
          <w:szCs w:val="22"/>
          <w:u w:val="single"/>
        </w:rPr>
        <w:t>天内交付使用</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，地点：</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lang w:val="en-US" w:eastAsia="zh-CN"/>
        </w:rPr>
        <w:t xml:space="preserve">    </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乙方提供的货物、基础、安装不符合</w:t>
      </w:r>
      <w:r>
        <w:rPr>
          <w:rFonts w:hint="eastAsia" w:ascii="宋体" w:hAnsi="宋体" w:cs="宋体"/>
          <w:color w:val="auto"/>
          <w:sz w:val="22"/>
          <w:szCs w:val="22"/>
        </w:rPr>
        <w:t>招标文件、投标文件</w:t>
      </w:r>
      <w:r>
        <w:rPr>
          <w:rFonts w:hint="eastAsia" w:ascii="宋体" w:hAnsi="宋体" w:cs="宋体"/>
          <w:color w:val="auto"/>
          <w:spacing w:val="4"/>
          <w:sz w:val="22"/>
          <w:szCs w:val="22"/>
        </w:rPr>
        <w:t>和本合同规定的，甲方有权拒绝接受。</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乙方应将所提供货物的装箱清单、用户手册、原厂保修卡、随机资料、工具和备品、备件等交付给甲方，如有缺失应及时补齐，否则视为逾期交货。</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乙方应按照甲方的要求，在</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前交货验收完毕并承担验收相关费用。</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甲方应当在货物到货</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天内进行验收，逾期不验收的，乙方可视同验收合格。验收合格后由甲乙双方签署货物验收单并加盖采购单位公章，甲乙双方各执一份。</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甲方对验收有异议的，在验收后五个工作日内以书面形式向乙方提出，乙方应自收到甲方书面异议后</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日内及时予以解决。</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8.</w:t>
      </w:r>
      <w:r>
        <w:rPr>
          <w:rFonts w:hint="eastAsia" w:ascii="宋体" w:hAnsi="宋体" w:cs="宋体"/>
          <w:color w:val="auto"/>
          <w:spacing w:val="4"/>
          <w:sz w:val="22"/>
          <w:szCs w:val="22"/>
        </w:rPr>
        <w:t>项目验收要符合招标文件中的验收</w:t>
      </w:r>
      <w:r>
        <w:rPr>
          <w:rFonts w:hint="eastAsia" w:ascii="宋体" w:hAnsi="宋体" w:cs="宋体"/>
          <w:color w:val="auto"/>
          <w:sz w:val="22"/>
          <w:szCs w:val="22"/>
        </w:rPr>
        <w:t>技术标准和规范</w:t>
      </w:r>
      <w:r>
        <w:rPr>
          <w:rFonts w:hint="eastAsia" w:ascii="宋体" w:hAnsi="宋体" w:cs="宋体"/>
          <w:color w:val="auto"/>
          <w:spacing w:val="4"/>
          <w:sz w:val="22"/>
          <w:szCs w:val="22"/>
        </w:rPr>
        <w:t>、图纸及工程量清单的要求</w:t>
      </w:r>
      <w:r>
        <w:rPr>
          <w:rFonts w:hint="eastAsia" w:ascii="宋体" w:hAnsi="宋体" w:cs="宋体"/>
          <w:color w:val="auto"/>
          <w:sz w:val="22"/>
          <w:szCs w:val="22"/>
        </w:rPr>
        <w:t>。</w:t>
      </w:r>
    </w:p>
    <w:p>
      <w:pPr>
        <w:snapToGrid w:val="0"/>
        <w:spacing w:line="320" w:lineRule="exact"/>
        <w:ind w:firstLine="561" w:firstLineChars="245"/>
        <w:rPr>
          <w:rFonts w:ascii="宋体" w:cs="宋体"/>
          <w:color w:val="auto"/>
          <w:spacing w:val="4"/>
          <w:sz w:val="22"/>
          <w:szCs w:val="22"/>
        </w:rPr>
      </w:pPr>
      <w:r>
        <w:rPr>
          <w:rFonts w:hint="eastAsia" w:ascii="宋体" w:hAnsi="宋体" w:cs="宋体"/>
          <w:b/>
          <w:color w:val="auto"/>
          <w:spacing w:val="4"/>
          <w:sz w:val="22"/>
          <w:szCs w:val="22"/>
        </w:rPr>
        <w:t>第六条</w:t>
      </w:r>
      <w:r>
        <w:rPr>
          <w:rFonts w:ascii="宋体" w:hAnsi="宋体" w:cs="宋体"/>
          <w:b/>
          <w:color w:val="auto"/>
          <w:spacing w:val="4"/>
          <w:sz w:val="22"/>
          <w:szCs w:val="22"/>
        </w:rPr>
        <w:t xml:space="preserve">  </w:t>
      </w:r>
      <w:r>
        <w:rPr>
          <w:rFonts w:hint="eastAsia" w:ascii="宋体" w:hAnsi="宋体" w:cs="宋体"/>
          <w:color w:val="auto"/>
          <w:spacing w:val="4"/>
          <w:sz w:val="22"/>
          <w:szCs w:val="22"/>
        </w:rPr>
        <w:t>定做货物图纸提供方法及要求：</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568" w:firstLineChars="248"/>
        <w:rPr>
          <w:rFonts w:ascii="宋体" w:cs="宋体"/>
          <w:b/>
          <w:color w:val="auto"/>
          <w:spacing w:val="4"/>
          <w:sz w:val="22"/>
          <w:szCs w:val="22"/>
        </w:rPr>
      </w:pPr>
      <w:r>
        <w:rPr>
          <w:rFonts w:hint="eastAsia" w:ascii="宋体" w:hAnsi="宋体" w:cs="宋体"/>
          <w:b/>
          <w:bCs/>
          <w:color w:val="auto"/>
          <w:spacing w:val="4"/>
          <w:sz w:val="22"/>
          <w:szCs w:val="22"/>
        </w:rPr>
        <w:t>第七条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售后服务、保修期（质量保证期）</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乙方应按照国家有关法律法规和“三包”规定以及招标文件、投标文件和本合同所附的《服务承诺》，为甲方提供售后服务。</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 xml:space="preserve">2. </w:t>
      </w:r>
      <w:r>
        <w:rPr>
          <w:rFonts w:hint="eastAsia" w:ascii="宋体" w:hAnsi="宋体" w:cs="宋体"/>
          <w:color w:val="auto"/>
          <w:spacing w:val="4"/>
          <w:sz w:val="22"/>
          <w:szCs w:val="22"/>
        </w:rPr>
        <w:t>货物保修期：</w:t>
      </w:r>
      <w:r>
        <w:rPr>
          <w:rFonts w:hint="eastAsia" w:ascii="宋体" w:hAnsi="宋体" w:cs="宋体"/>
          <w:color w:val="auto"/>
          <w:spacing w:val="4"/>
          <w:sz w:val="22"/>
          <w:szCs w:val="22"/>
          <w:u w:val="single"/>
        </w:rPr>
        <w:t>按乙方投标文件中所承诺的期限</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乙方提供的服务承诺和售后服务及保修期责任等其它具体约定事项。（见合同附件）</w:t>
      </w:r>
    </w:p>
    <w:p>
      <w:pPr>
        <w:snapToGrid w:val="0"/>
        <w:spacing w:line="320" w:lineRule="exact"/>
        <w:ind w:firstLine="526" w:firstLineChars="230"/>
        <w:rPr>
          <w:rFonts w:ascii="宋体" w:cs="宋体"/>
          <w:color w:val="auto"/>
          <w:spacing w:val="4"/>
          <w:sz w:val="22"/>
          <w:szCs w:val="22"/>
        </w:rPr>
      </w:pPr>
      <w:r>
        <w:rPr>
          <w:rFonts w:hint="eastAsia" w:ascii="宋体" w:hAnsi="宋体" w:cs="宋体"/>
          <w:b/>
          <w:bCs/>
          <w:color w:val="auto"/>
          <w:spacing w:val="4"/>
          <w:sz w:val="22"/>
          <w:szCs w:val="22"/>
        </w:rPr>
        <w:t>第八条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付款方式和保证金</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1.</w:t>
      </w:r>
      <w:r>
        <w:rPr>
          <w:rFonts w:hint="eastAsia" w:ascii="宋体" w:hAnsi="宋体" w:cs="宋体"/>
          <w:color w:val="auto"/>
          <w:spacing w:val="4"/>
          <w:sz w:val="22"/>
          <w:szCs w:val="22"/>
        </w:rPr>
        <w:t>资金性质：一般公共预算。</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付款方式：</w:t>
      </w:r>
      <w:r>
        <w:rPr>
          <w:rFonts w:hint="eastAsia" w:ascii="宋体" w:hAnsi="宋体"/>
          <w:color w:val="auto"/>
          <w:sz w:val="22"/>
          <w:szCs w:val="22"/>
        </w:rPr>
        <w:t>甲乙双方合同签订后，甲方即申请财政拨款支付合同金额的</w:t>
      </w:r>
      <w:r>
        <w:rPr>
          <w:rFonts w:ascii="宋体" w:hAnsi="宋体"/>
          <w:color w:val="auto"/>
          <w:sz w:val="22"/>
          <w:szCs w:val="22"/>
        </w:rPr>
        <w:t>30%</w:t>
      </w:r>
      <w:r>
        <w:rPr>
          <w:rFonts w:hint="eastAsia" w:ascii="宋体" w:hAnsi="宋体"/>
          <w:color w:val="auto"/>
          <w:sz w:val="22"/>
          <w:szCs w:val="22"/>
        </w:rPr>
        <w:t>款项给乙方，</w:t>
      </w:r>
      <w:r>
        <w:rPr>
          <w:rFonts w:hint="eastAsia" w:ascii="宋体" w:hAnsi="宋体"/>
          <w:color w:val="auto"/>
          <w:sz w:val="22"/>
          <w:szCs w:val="22"/>
          <w:lang w:val="en-US" w:eastAsia="zh-CN"/>
        </w:rPr>
        <w:t>剩余</w:t>
      </w:r>
      <w:r>
        <w:rPr>
          <w:rFonts w:hint="eastAsia" w:ascii="宋体" w:hAnsi="宋体"/>
          <w:color w:val="auto"/>
          <w:sz w:val="22"/>
          <w:szCs w:val="22"/>
        </w:rPr>
        <w:t>合同款在货物验收合格后，</w:t>
      </w:r>
      <w:r>
        <w:rPr>
          <w:rFonts w:hint="eastAsia" w:ascii="宋体" w:hAnsi="宋体"/>
          <w:color w:val="auto"/>
          <w:sz w:val="22"/>
          <w:szCs w:val="22"/>
          <w:lang w:val="en-US" w:eastAsia="zh-CN"/>
        </w:rPr>
        <w:t>由</w:t>
      </w:r>
      <w:r>
        <w:rPr>
          <w:rFonts w:hint="eastAsia" w:ascii="宋体" w:hAnsi="宋体"/>
          <w:color w:val="auto"/>
          <w:sz w:val="22"/>
          <w:szCs w:val="22"/>
        </w:rPr>
        <w:t>甲方</w:t>
      </w:r>
      <w:r>
        <w:rPr>
          <w:rFonts w:hint="eastAsia" w:ascii="宋体" w:hAnsi="宋体"/>
          <w:color w:val="auto"/>
          <w:sz w:val="22"/>
          <w:szCs w:val="22"/>
          <w:lang w:val="en-US" w:eastAsia="zh-CN"/>
        </w:rPr>
        <w:t>向</w:t>
      </w:r>
      <w:r>
        <w:rPr>
          <w:rFonts w:hint="eastAsia" w:ascii="宋体" w:hAnsi="宋体"/>
          <w:color w:val="auto"/>
          <w:sz w:val="22"/>
          <w:szCs w:val="22"/>
        </w:rPr>
        <w:t>财政申请拨</w:t>
      </w:r>
      <w:r>
        <w:rPr>
          <w:rFonts w:hint="eastAsia" w:ascii="宋体" w:hAnsi="宋体"/>
          <w:color w:val="auto"/>
          <w:sz w:val="22"/>
          <w:szCs w:val="22"/>
          <w:lang w:val="en-US" w:eastAsia="zh-CN"/>
        </w:rPr>
        <w:t>付</w:t>
      </w:r>
      <w:r>
        <w:rPr>
          <w:rFonts w:hint="eastAsia" w:ascii="宋体" w:hAnsi="宋体"/>
          <w:color w:val="auto"/>
          <w:sz w:val="22"/>
          <w:szCs w:val="22"/>
        </w:rPr>
        <w:t>，然后每个月按合同款的</w:t>
      </w:r>
      <w:r>
        <w:rPr>
          <w:rFonts w:ascii="宋体" w:hAnsi="宋体"/>
          <w:color w:val="auto"/>
          <w:sz w:val="22"/>
          <w:szCs w:val="22"/>
        </w:rPr>
        <w:t>10%</w:t>
      </w:r>
      <w:r>
        <w:rPr>
          <w:rFonts w:hint="eastAsia" w:ascii="宋体" w:hAnsi="宋体"/>
          <w:color w:val="auto"/>
          <w:sz w:val="22"/>
          <w:szCs w:val="22"/>
        </w:rPr>
        <w:t>支付</w:t>
      </w:r>
      <w:r>
        <w:rPr>
          <w:rFonts w:hint="eastAsia" w:ascii="宋体" w:hAnsi="宋体"/>
          <w:color w:val="auto"/>
          <w:sz w:val="22"/>
          <w:szCs w:val="22"/>
          <w:lang w:val="en-US" w:eastAsia="zh-CN"/>
        </w:rPr>
        <w:t>给乙方</w:t>
      </w:r>
      <w:r>
        <w:rPr>
          <w:rFonts w:hint="eastAsia" w:ascii="宋体" w:hAnsi="宋体"/>
          <w:color w:val="auto"/>
          <w:sz w:val="22"/>
          <w:szCs w:val="22"/>
        </w:rPr>
        <w:t>（不计利息），直至剩余合同款</w:t>
      </w:r>
      <w:r>
        <w:rPr>
          <w:rFonts w:ascii="宋体" w:hAnsi="宋体"/>
          <w:color w:val="auto"/>
          <w:sz w:val="22"/>
          <w:szCs w:val="22"/>
        </w:rPr>
        <w:t xml:space="preserve">5% </w:t>
      </w:r>
      <w:r>
        <w:rPr>
          <w:rFonts w:hint="eastAsia" w:ascii="宋体" w:hAnsi="宋体"/>
          <w:color w:val="auto"/>
          <w:sz w:val="22"/>
          <w:szCs w:val="22"/>
        </w:rPr>
        <w:t>作质保金，质保金在合同签订日起满一年后，甲方在</w:t>
      </w:r>
      <w:r>
        <w:rPr>
          <w:rFonts w:ascii="宋体" w:hAnsi="宋体"/>
          <w:color w:val="auto"/>
          <w:sz w:val="22"/>
          <w:szCs w:val="22"/>
        </w:rPr>
        <w:t>30</w:t>
      </w:r>
      <w:r>
        <w:rPr>
          <w:rFonts w:hint="eastAsia" w:ascii="宋体" w:hAnsi="宋体"/>
          <w:color w:val="auto"/>
          <w:sz w:val="22"/>
          <w:szCs w:val="22"/>
        </w:rPr>
        <w:t>个工作日内支付。在合同期限内出现违约责任的，违约处罚金额按照合同执行，并从合同余款中扣除相应的违约金。乙方自收到首笔款项之日起</w:t>
      </w:r>
      <w:r>
        <w:rPr>
          <w:rFonts w:ascii="宋体" w:hAnsi="宋体"/>
          <w:color w:val="auto"/>
          <w:sz w:val="22"/>
          <w:szCs w:val="22"/>
        </w:rPr>
        <w:t>7</w:t>
      </w:r>
      <w:r>
        <w:rPr>
          <w:rFonts w:hint="eastAsia" w:ascii="宋体" w:hAnsi="宋体"/>
          <w:color w:val="auto"/>
          <w:sz w:val="22"/>
          <w:szCs w:val="22"/>
        </w:rPr>
        <w:t>个工作日内开具合同金额全额发票给甲方。</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第九条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合同的变更、终止与转让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除《中华人民共和国政府采购法》第五十条规定的情形外，本合同一经签订，甲乙双方不得擅自变更、中止或终止。</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乙方不得擅自转让其应履行的合同义务。</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违约责任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违约金并赔偿甲方经济损失。</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乙方提供的货物如侵犯第三方合法权益而引发的任何纠纷或诉讼，均由乙方负责交涉并承担全部责任。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因包装、运输引起的货物损坏，按质量不合格处罚。</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甲方无故延期接收货物、乙方逾期交货的，每天向对方偿付违约货款额</w:t>
      </w:r>
      <w:r>
        <w:rPr>
          <w:rFonts w:ascii="宋体" w:hAnsi="宋体" w:cs="宋体"/>
          <w:color w:val="auto"/>
          <w:spacing w:val="4"/>
          <w:sz w:val="22"/>
          <w:szCs w:val="22"/>
        </w:rPr>
        <w:t>3</w:t>
      </w:r>
      <w:r>
        <w:rPr>
          <w:rFonts w:hint="eastAsia" w:ascii="宋体" w:hAnsi="宋体" w:cs="宋体"/>
          <w:color w:val="auto"/>
          <w:spacing w:val="4"/>
          <w:sz w:val="22"/>
          <w:szCs w:val="22"/>
        </w:rPr>
        <w:t>‰违约金，但违约金累计不得超过违约货款额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，超过</w:t>
      </w:r>
      <w:r>
        <w:rPr>
          <w:rFonts w:ascii="宋体" w:hAnsi="宋体" w:cs="宋体"/>
          <w:color w:val="auto"/>
          <w:spacing w:val="4"/>
          <w:sz w:val="22"/>
          <w:szCs w:val="22"/>
          <w:u w:val="single"/>
        </w:rPr>
        <w:t>15</w:t>
      </w:r>
      <w:r>
        <w:rPr>
          <w:rFonts w:hint="eastAsia" w:ascii="宋体" w:hAnsi="宋体" w:cs="宋体"/>
          <w:color w:val="auto"/>
          <w:spacing w:val="4"/>
          <w:sz w:val="22"/>
          <w:szCs w:val="22"/>
        </w:rPr>
        <w:t>天对方有权解除合同，违约方承担因此给对方造成经济损失；在财政资金拨付到位前提下，甲方延期付货款的，每天向乙方偿付延期货款额</w:t>
      </w:r>
      <w:r>
        <w:rPr>
          <w:rFonts w:ascii="宋体" w:hAnsi="宋体" w:cs="宋体"/>
          <w:color w:val="auto"/>
          <w:spacing w:val="4"/>
          <w:sz w:val="22"/>
          <w:szCs w:val="22"/>
        </w:rPr>
        <w:t>3</w:t>
      </w:r>
      <w:r>
        <w:rPr>
          <w:rFonts w:hint="eastAsia" w:ascii="宋体" w:hAnsi="宋体" w:cs="宋体"/>
          <w:color w:val="auto"/>
          <w:spacing w:val="4"/>
          <w:sz w:val="22"/>
          <w:szCs w:val="22"/>
        </w:rPr>
        <w:t>‰滞纳金，但滞纳金累计不得超过延期货款额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乙方未按本合同和投标文件中规定的服务承诺提供售后服务的，乙方应按本合同合计金额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向甲方支付违约金。</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乙方提供的货物在质量保证期内，因设计、工艺或材料的缺陷和其它质量原因造成的问题，由乙方负责，费用从质量保证金中扣除，</w:t>
      </w:r>
      <w:r>
        <w:rPr>
          <w:rFonts w:hint="eastAsia" w:ascii="宋体" w:hAnsi="宋体" w:cs="宋体"/>
          <w:color w:val="auto"/>
          <w:sz w:val="22"/>
          <w:szCs w:val="22"/>
        </w:rPr>
        <w:t>不足部分需补交</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其它违约行为按违约货款额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收取违约金并赔偿经济损失。</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第十一条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解决合同争议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因货物质量问题发生争议的，应邀请国家认可的质量检测机构对货物质量进行鉴定。货物符合标准的，鉴定费由甲方承担；货物不符合标准的，鉴定费由乙方承担。</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因履行本合同引起的或与本合同有关的争议，甲乙双方应首先通过友好协商解决，如果协商不能解决，可向仲裁委员会申请仲裁或向人民法院提起诉讼。</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诉讼期间，本合同继续履行。</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第十二条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签订本合同依据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政府采购招标文件；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乙方提供的投标文件；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服务承诺书；</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4.</w:t>
      </w:r>
      <w:r>
        <w:rPr>
          <w:rFonts w:hint="eastAsia" w:ascii="宋体" w:hAnsi="宋体" w:cs="宋体"/>
          <w:color w:val="auto"/>
          <w:spacing w:val="4"/>
          <w:sz w:val="22"/>
          <w:szCs w:val="22"/>
        </w:rPr>
        <w:t>中标通知书。</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第十三条</w:t>
      </w:r>
      <w:r>
        <w:rPr>
          <w:rFonts w:ascii="宋体" w:hAnsi="宋体" w:cs="宋体"/>
          <w:b/>
          <w:color w:val="auto"/>
          <w:spacing w:val="4"/>
          <w:sz w:val="22"/>
          <w:szCs w:val="22"/>
        </w:rPr>
        <w:t xml:space="preserve">  </w:t>
      </w:r>
      <w:r>
        <w:rPr>
          <w:rFonts w:hint="eastAsia" w:ascii="宋体" w:hAnsi="宋体" w:cs="宋体"/>
          <w:color w:val="auto"/>
          <w:spacing w:val="4"/>
          <w:sz w:val="22"/>
          <w:szCs w:val="22"/>
        </w:rPr>
        <w:t>本合同一式四份，财政部门（政府采购监管部门）、采购代理机构各一份，甲乙双方各一份。（可根据需要另增加）</w:t>
      </w:r>
    </w:p>
    <w:p>
      <w:pPr>
        <w:snapToGrid w:val="0"/>
        <w:spacing w:line="320" w:lineRule="exact"/>
        <w:ind w:firstLine="456" w:firstLineChars="200"/>
        <w:rPr>
          <w:rFonts w:ascii="宋体" w:cs="宋体"/>
          <w:color w:val="auto"/>
          <w:spacing w:val="4"/>
          <w:sz w:val="22"/>
          <w:szCs w:val="22"/>
        </w:rPr>
      </w:pPr>
      <w:r>
        <w:rPr>
          <w:rFonts w:hint="eastAsia" w:ascii="宋体" w:hAnsi="宋体" w:cs="宋体"/>
          <w:color w:val="auto"/>
          <w:spacing w:val="4"/>
          <w:sz w:val="22"/>
          <w:szCs w:val="22"/>
        </w:rPr>
        <w:t>本合同甲乙双方签字盖章后生效，自签订之日起七个工作日内，采购人或采购代理机构应当将本合同副本报同级财政部门备案。</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甲方（章）</w:t>
            </w:r>
            <w:r>
              <w:rPr>
                <w:rFonts w:ascii="宋体" w:hAnsi="宋体" w:cs="宋体"/>
                <w:color w:val="auto"/>
                <w:sz w:val="22"/>
                <w:szCs w:val="22"/>
              </w:rPr>
              <w:t xml:space="preserve">        </w:t>
            </w:r>
          </w:p>
          <w:p>
            <w:pPr>
              <w:snapToGrid w:val="0"/>
              <w:spacing w:line="320" w:lineRule="exact"/>
              <w:ind w:firstLine="660" w:firstLineChars="300"/>
              <w:jc w:val="righ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乙方（章）</w:t>
            </w:r>
          </w:p>
          <w:p>
            <w:pPr>
              <w:snapToGrid w:val="0"/>
              <w:spacing w:line="320" w:lineRule="exac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9138" w:type="dxa"/>
            <w:gridSpan w:val="2"/>
          </w:tcPr>
          <w:p>
            <w:pPr>
              <w:snapToGrid w:val="0"/>
              <w:spacing w:line="320" w:lineRule="exact"/>
              <w:rPr>
                <w:rFonts w:ascii="宋体" w:cs="宋体"/>
                <w:color w:val="auto"/>
                <w:sz w:val="22"/>
                <w:szCs w:val="22"/>
              </w:rPr>
            </w:pPr>
            <w:r>
              <w:rPr>
                <w:rFonts w:hint="eastAsia" w:ascii="宋体" w:hAnsi="宋体" w:cs="宋体"/>
                <w:color w:val="auto"/>
                <w:sz w:val="22"/>
                <w:szCs w:val="22"/>
              </w:rPr>
              <w:t>经办人：</w:t>
            </w:r>
          </w:p>
          <w:p>
            <w:pPr>
              <w:snapToGrid w:val="0"/>
              <w:spacing w:line="320" w:lineRule="exact"/>
              <w:rPr>
                <w:rFonts w:ascii="宋体" w:cs="宋体"/>
                <w:color w:val="auto"/>
                <w:sz w:val="22"/>
                <w:szCs w:val="22"/>
              </w:rPr>
            </w:pPr>
            <w:r>
              <w:rPr>
                <w:rFonts w:ascii="宋体" w:hAnsi="宋体" w:cs="宋体"/>
                <w:color w:val="auto"/>
                <w:sz w:val="22"/>
                <w:szCs w:val="22"/>
              </w:rPr>
              <w:t xml:space="preserve">                          </w:t>
            </w:r>
          </w:p>
          <w:p>
            <w:pPr>
              <w:snapToGrid w:val="0"/>
              <w:spacing w:line="320" w:lineRule="exact"/>
              <w:ind w:firstLine="880" w:firstLineChars="400"/>
              <w:jc w:val="right"/>
              <w:rPr>
                <w:rFonts w:ascii="宋体" w:cs="宋体"/>
                <w:color w:val="auto"/>
                <w:sz w:val="22"/>
                <w:szCs w:val="22"/>
              </w:rPr>
            </w:pP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r>
              <w:rPr>
                <w:rFonts w:ascii="宋体" w:hAnsi="宋体" w:cs="宋体"/>
                <w:color w:val="auto"/>
                <w:sz w:val="22"/>
                <w:szCs w:val="22"/>
              </w:rPr>
              <w:t xml:space="preserve"> </w:t>
            </w:r>
          </w:p>
        </w:tc>
      </w:tr>
    </w:tbl>
    <w:p>
      <w:pPr>
        <w:snapToGrid w:val="0"/>
        <w:jc w:val="both"/>
        <w:rPr>
          <w:rFonts w:ascii="宋体" w:cs="宋体"/>
          <w:b/>
          <w:color w:val="auto"/>
          <w:sz w:val="28"/>
          <w:szCs w:val="28"/>
        </w:rPr>
      </w:pPr>
    </w:p>
    <w:p>
      <w:pPr>
        <w:snapToGrid w:val="0"/>
        <w:jc w:val="center"/>
        <w:rPr>
          <w:rFonts w:ascii="宋体" w:cs="宋体"/>
          <w:b/>
          <w:color w:val="auto"/>
          <w:sz w:val="28"/>
          <w:szCs w:val="28"/>
        </w:rPr>
      </w:pPr>
      <w:r>
        <w:rPr>
          <w:rFonts w:hint="eastAsia" w:ascii="宋体" w:hAnsi="宋体" w:cs="宋体"/>
          <w:b/>
          <w:color w:val="auto"/>
          <w:sz w:val="28"/>
          <w:szCs w:val="28"/>
        </w:rPr>
        <w:t>合</w:t>
      </w:r>
      <w:r>
        <w:rPr>
          <w:rFonts w:ascii="宋体" w:hAnsi="宋体" w:cs="宋体"/>
          <w:b/>
          <w:color w:val="auto"/>
          <w:sz w:val="28"/>
          <w:szCs w:val="28"/>
        </w:rPr>
        <w:t xml:space="preserve"> </w:t>
      </w:r>
      <w:r>
        <w:rPr>
          <w:rFonts w:hint="eastAsia" w:ascii="宋体" w:hAnsi="宋体" w:cs="宋体"/>
          <w:b/>
          <w:color w:val="auto"/>
          <w:sz w:val="28"/>
          <w:szCs w:val="28"/>
        </w:rPr>
        <w:t>同</w:t>
      </w:r>
      <w:r>
        <w:rPr>
          <w:rFonts w:ascii="宋体" w:hAnsi="宋体" w:cs="宋体"/>
          <w:b/>
          <w:color w:val="auto"/>
          <w:sz w:val="28"/>
          <w:szCs w:val="28"/>
        </w:rPr>
        <w:t xml:space="preserve"> </w:t>
      </w:r>
      <w:r>
        <w:rPr>
          <w:rFonts w:hint="eastAsia" w:ascii="宋体" w:hAnsi="宋体" w:cs="宋体"/>
          <w:b/>
          <w:color w:val="auto"/>
          <w:sz w:val="28"/>
          <w:szCs w:val="28"/>
        </w:rPr>
        <w:t>附</w:t>
      </w:r>
      <w:r>
        <w:rPr>
          <w:rFonts w:ascii="宋体" w:hAnsi="宋体" w:cs="宋体"/>
          <w:b/>
          <w:color w:val="auto"/>
          <w:sz w:val="28"/>
          <w:szCs w:val="28"/>
        </w:rPr>
        <w:t xml:space="preserve"> </w:t>
      </w:r>
      <w:r>
        <w:rPr>
          <w:rFonts w:hint="eastAsia" w:ascii="宋体" w:hAnsi="宋体" w:cs="宋体"/>
          <w:b/>
          <w:color w:val="auto"/>
          <w:sz w:val="28"/>
          <w:szCs w:val="28"/>
        </w:rPr>
        <w:t>件</w:t>
      </w:r>
    </w:p>
    <w:tbl>
      <w:tblPr>
        <w:tblStyle w:val="40"/>
        <w:tblW w:w="0" w:type="auto"/>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1</w:t>
            </w:r>
            <w:r>
              <w:rPr>
                <w:rFonts w:hint="eastAsia" w:ascii="宋体" w:hAnsi="宋体" w:cs="宋体"/>
                <w:b/>
                <w:color w:val="auto"/>
                <w:sz w:val="24"/>
              </w:rPr>
              <w:t>．供应商承诺具体事项：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2</w:t>
            </w:r>
            <w:r>
              <w:rPr>
                <w:rFonts w:hint="eastAsia" w:ascii="宋体" w:hAnsi="宋体" w:cs="宋体"/>
                <w:b/>
                <w:color w:val="auto"/>
                <w:sz w:val="24"/>
              </w:rPr>
              <w:t>．售后服务具体事项：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3</w:t>
            </w:r>
            <w:r>
              <w:rPr>
                <w:rFonts w:hint="eastAsia" w:ascii="宋体" w:hAnsi="宋体" w:cs="宋体"/>
                <w:b/>
                <w:color w:val="auto"/>
                <w:sz w:val="24"/>
              </w:rPr>
              <w:t>．保修期责任：</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4</w:t>
            </w:r>
            <w:r>
              <w:rPr>
                <w:rFonts w:hint="eastAsia" w:ascii="宋体" w:hAnsi="宋体" w:cs="宋体"/>
                <w:b/>
                <w:color w:val="auto"/>
                <w:sz w:val="24"/>
              </w:rPr>
              <w:t>．其他具体事项：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1992"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甲方（章）</w:t>
            </w: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r>
              <w:rPr>
                <w:rFonts w:ascii="宋体" w:hAnsi="宋体" w:cs="宋体"/>
                <w:b/>
                <w:color w:val="auto"/>
                <w:sz w:val="24"/>
              </w:rPr>
              <w:t xml:space="preserve">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乙方（章）</w:t>
            </w:r>
          </w:p>
          <w:p>
            <w:pPr>
              <w:snapToGrid w:val="0"/>
              <w:spacing w:line="400" w:lineRule="exact"/>
              <w:rPr>
                <w:rFonts w:ascii="宋体" w:cs="宋体"/>
                <w:b/>
                <w:color w:val="auto"/>
                <w:sz w:val="24"/>
              </w:rPr>
            </w:pP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p>
        </w:tc>
      </w:tr>
    </w:tbl>
    <w:p>
      <w:pPr>
        <w:snapToGrid w:val="0"/>
        <w:jc w:val="left"/>
        <w:rPr>
          <w:rFonts w:ascii="宋体" w:cs="宋体"/>
          <w:color w:val="auto"/>
          <w:sz w:val="22"/>
          <w:szCs w:val="22"/>
        </w:rPr>
      </w:pPr>
      <w:r>
        <w:rPr>
          <w:rFonts w:ascii="宋体" w:hAnsi="宋体" w:cs="宋体"/>
          <w:color w:val="auto"/>
        </w:rPr>
        <w:t xml:space="preserve">    </w:t>
      </w:r>
      <w:r>
        <w:rPr>
          <w:rFonts w:hint="eastAsia" w:ascii="宋体" w:hAnsi="宋体" w:cs="宋体"/>
          <w:color w:val="auto"/>
          <w:sz w:val="22"/>
          <w:szCs w:val="22"/>
        </w:rPr>
        <w:t>注：售后服务事项填不下时可另加附页</w:t>
      </w:r>
    </w:p>
    <w:p>
      <w:pPr>
        <w:pStyle w:val="37"/>
        <w:jc w:val="both"/>
        <w:rPr>
          <w:rFonts w:ascii="宋体" w:cs="宋体"/>
          <w:color w:val="auto"/>
        </w:rPr>
      </w:pPr>
      <w:r>
        <w:rPr>
          <w:rFonts w:ascii="宋体" w:hAnsi="宋体" w:cs="宋体"/>
          <w:color w:val="auto"/>
        </w:rPr>
        <w:t xml:space="preserve">   </w:t>
      </w:r>
    </w:p>
    <w:p>
      <w:pPr>
        <w:pStyle w:val="37"/>
        <w:jc w:val="both"/>
        <w:rPr>
          <w:rFonts w:ascii="宋体" w:cs="宋体"/>
          <w:color w:val="auto"/>
        </w:rPr>
      </w:pPr>
    </w:p>
    <w:p>
      <w:pPr>
        <w:pStyle w:val="84"/>
        <w:rPr>
          <w:color w:val="auto"/>
          <w:sz w:val="22"/>
          <w:szCs w:val="22"/>
        </w:rPr>
      </w:pPr>
    </w:p>
    <w:p>
      <w:pPr>
        <w:pStyle w:val="5"/>
        <w:spacing w:line="240" w:lineRule="auto"/>
        <w:jc w:val="center"/>
        <w:rPr>
          <w:rFonts w:hAnsi="宋体"/>
          <w:b w:val="0"/>
          <w:color w:val="auto"/>
        </w:rPr>
      </w:pPr>
      <w:r>
        <w:rPr>
          <w:rFonts w:hint="eastAsia"/>
          <w:color w:val="auto"/>
          <w:sz w:val="36"/>
          <w:szCs w:val="36"/>
        </w:rPr>
        <w:t>第六章　投标文件格式</w:t>
      </w:r>
      <w:bookmarkEnd w:id="363"/>
      <w:bookmarkEnd w:id="364"/>
    </w:p>
    <w:p>
      <w:pPr>
        <w:snapToGrid w:val="0"/>
        <w:spacing w:before="50" w:after="50"/>
        <w:outlineLvl w:val="1"/>
        <w:rPr>
          <w:rFonts w:ascii="宋体"/>
          <w:color w:val="auto"/>
          <w:sz w:val="32"/>
          <w:szCs w:val="20"/>
        </w:rPr>
      </w:pPr>
    </w:p>
    <w:p>
      <w:pPr>
        <w:pStyle w:val="23"/>
        <w:snapToGrid w:val="0"/>
        <w:spacing w:before="120" w:after="120"/>
        <w:outlineLvl w:val="0"/>
        <w:rPr>
          <w:rFonts w:hAnsi="宋体" w:cs="宋体"/>
          <w:b/>
          <w:color w:val="auto"/>
        </w:rPr>
      </w:pPr>
      <w:bookmarkStart w:id="365" w:name="_Toc308018688"/>
      <w:bookmarkStart w:id="366" w:name="_Toc400465724"/>
      <w:bookmarkStart w:id="367" w:name="_Toc482865161"/>
      <w:bookmarkStart w:id="368" w:name="_Toc448421151"/>
      <w:bookmarkStart w:id="369" w:name="_Toc482864560"/>
      <w:bookmarkStart w:id="370" w:name="_Toc445223691"/>
      <w:bookmarkStart w:id="371" w:name="_Toc482865331"/>
      <w:bookmarkStart w:id="372" w:name="_Toc483327820"/>
      <w:bookmarkStart w:id="373" w:name="_Toc20200"/>
      <w:r>
        <w:rPr>
          <w:rFonts w:hint="eastAsia" w:hAnsi="宋体" w:cs="宋体"/>
          <w:b/>
          <w:color w:val="auto"/>
        </w:rPr>
        <w:t>一、投标文件外层包装封面格式</w:t>
      </w:r>
      <w:bookmarkEnd w:id="365"/>
      <w:bookmarkEnd w:id="366"/>
      <w:bookmarkEnd w:id="367"/>
      <w:bookmarkEnd w:id="368"/>
      <w:bookmarkEnd w:id="369"/>
      <w:bookmarkEnd w:id="370"/>
      <w:bookmarkEnd w:id="371"/>
      <w:bookmarkEnd w:id="372"/>
      <w:bookmarkEnd w:id="373"/>
    </w:p>
    <w:p>
      <w:pPr>
        <w:pStyle w:val="23"/>
        <w:snapToGrid w:val="0"/>
        <w:spacing w:before="120" w:after="120"/>
        <w:outlineLvl w:val="0"/>
        <w:rPr>
          <w:rFonts w:hAnsi="宋体" w:cs="宋体"/>
          <w:b/>
          <w:color w:val="auto"/>
        </w:rPr>
      </w:pPr>
    </w:p>
    <w:p>
      <w:pPr>
        <w:snapToGrid w:val="0"/>
        <w:spacing w:beforeLines="50" w:after="50"/>
        <w:rPr>
          <w:rFonts w:ascii="宋体" w:cs="宋体"/>
          <w:color w:val="auto"/>
          <w:sz w:val="24"/>
          <w:szCs w:val="20"/>
        </w:rPr>
      </w:pPr>
    </w:p>
    <w:p>
      <w:pPr>
        <w:snapToGrid w:val="0"/>
        <w:spacing w:beforeLines="50" w:after="50"/>
        <w:jc w:val="center"/>
        <w:rPr>
          <w:rFonts w:ascii="宋体" w:cs="宋体"/>
          <w:bCs/>
          <w:color w:val="auto"/>
          <w:sz w:val="24"/>
          <w:szCs w:val="20"/>
        </w:rPr>
      </w:pPr>
    </w:p>
    <w:p>
      <w:pPr>
        <w:snapToGrid w:val="0"/>
        <w:spacing w:beforeLines="50" w:after="50"/>
        <w:jc w:val="center"/>
        <w:rPr>
          <w:rFonts w:ascii="宋体" w:cs="宋体"/>
          <w:b/>
          <w:bCs/>
          <w:color w:val="auto"/>
          <w:sz w:val="52"/>
          <w:szCs w:val="52"/>
        </w:rPr>
      </w:pPr>
      <w:r>
        <w:rPr>
          <w:rFonts w:hint="eastAsia" w:ascii="宋体" w:hAnsi="宋体" w:cs="宋体"/>
          <w:b/>
          <w:bCs/>
          <w:color w:val="auto"/>
          <w:sz w:val="52"/>
          <w:szCs w:val="52"/>
        </w:rPr>
        <w:t>投</w:t>
      </w:r>
      <w:r>
        <w:rPr>
          <w:rFonts w:ascii="宋体" w:hAnsi="宋体" w:cs="宋体"/>
          <w:b/>
          <w:bCs/>
          <w:color w:val="auto"/>
          <w:sz w:val="52"/>
          <w:szCs w:val="52"/>
        </w:rPr>
        <w:t xml:space="preserve"> </w:t>
      </w:r>
      <w:r>
        <w:rPr>
          <w:rFonts w:hint="eastAsia" w:ascii="宋体" w:hAnsi="宋体" w:cs="宋体"/>
          <w:b/>
          <w:bCs/>
          <w:color w:val="auto"/>
          <w:sz w:val="52"/>
          <w:szCs w:val="52"/>
        </w:rPr>
        <w:t>标</w:t>
      </w:r>
      <w:r>
        <w:rPr>
          <w:rFonts w:ascii="宋体" w:hAnsi="宋体" w:cs="宋体"/>
          <w:b/>
          <w:bCs/>
          <w:color w:val="auto"/>
          <w:sz w:val="52"/>
          <w:szCs w:val="52"/>
        </w:rPr>
        <w:t xml:space="preserve"> </w:t>
      </w:r>
      <w:r>
        <w:rPr>
          <w:rFonts w:hint="eastAsia" w:ascii="宋体" w:hAnsi="宋体" w:cs="宋体"/>
          <w:b/>
          <w:bCs/>
          <w:color w:val="auto"/>
          <w:sz w:val="52"/>
          <w:szCs w:val="52"/>
        </w:rPr>
        <w:t>文</w:t>
      </w:r>
      <w:r>
        <w:rPr>
          <w:rFonts w:ascii="宋体" w:hAnsi="宋体" w:cs="宋体"/>
          <w:b/>
          <w:bCs/>
          <w:color w:val="auto"/>
          <w:sz w:val="52"/>
          <w:szCs w:val="52"/>
        </w:rPr>
        <w:t xml:space="preserve"> </w:t>
      </w:r>
      <w:r>
        <w:rPr>
          <w:rFonts w:hint="eastAsia" w:ascii="宋体" w:hAnsi="宋体" w:cs="宋体"/>
          <w:b/>
          <w:bCs/>
          <w:color w:val="auto"/>
          <w:sz w:val="52"/>
          <w:szCs w:val="52"/>
        </w:rPr>
        <w:t>件</w:t>
      </w:r>
    </w:p>
    <w:p>
      <w:pPr>
        <w:snapToGrid w:val="0"/>
        <w:spacing w:beforeLines="50" w:after="50" w:line="360" w:lineRule="auto"/>
        <w:rPr>
          <w:rFonts w:ascii="宋体" w:cs="宋体"/>
          <w:bCs/>
          <w:color w:val="auto"/>
          <w:sz w:val="24"/>
          <w:szCs w:val="20"/>
        </w:rPr>
      </w:pP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943" w:firstLineChars="393"/>
        <w:rPr>
          <w:rFonts w:ascii="宋体" w:cs="宋体"/>
          <w:bCs/>
          <w:color w:val="auto"/>
          <w:sz w:val="24"/>
        </w:rPr>
      </w:pPr>
      <w:r>
        <w:rPr>
          <w:rFonts w:ascii="宋体" w:hAnsi="宋体" w:cs="宋体"/>
          <w:bCs/>
          <w:color w:val="auto"/>
          <w:sz w:val="24"/>
        </w:rPr>
        <w:t xml:space="preserve">     </w:t>
      </w: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项目编号：</w:t>
      </w:r>
      <w:r>
        <w:rPr>
          <w:rFonts w:ascii="宋体" w:hAnsi="宋体" w:cs="宋体"/>
          <w:bCs/>
          <w:color w:val="auto"/>
          <w:sz w:val="24"/>
        </w:rPr>
        <w:t xml:space="preserve"> </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投标人地址：</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开</w:t>
      </w:r>
      <w:r>
        <w:rPr>
          <w:rFonts w:ascii="宋体" w:hAnsi="宋体" w:cs="宋体"/>
          <w:bCs/>
          <w:color w:val="auto"/>
          <w:sz w:val="24"/>
          <w:szCs w:val="24"/>
        </w:rPr>
        <w:t xml:space="preserve"> </w:t>
      </w:r>
      <w:r>
        <w:rPr>
          <w:rFonts w:hint="eastAsia" w:ascii="宋体" w:hAnsi="宋体" w:cs="宋体"/>
          <w:bCs/>
          <w:color w:val="auto"/>
          <w:sz w:val="24"/>
          <w:szCs w:val="24"/>
        </w:rPr>
        <w:t>标</w:t>
      </w:r>
      <w:r>
        <w:rPr>
          <w:rFonts w:ascii="宋体" w:hAnsi="宋体" w:cs="宋体"/>
          <w:bCs/>
          <w:color w:val="auto"/>
          <w:sz w:val="24"/>
          <w:szCs w:val="24"/>
        </w:rPr>
        <w:t xml:space="preserve"> </w:t>
      </w:r>
      <w:r>
        <w:rPr>
          <w:rFonts w:hint="eastAsia" w:ascii="宋体" w:hAnsi="宋体" w:cs="宋体"/>
          <w:bCs/>
          <w:color w:val="auto"/>
          <w:sz w:val="24"/>
          <w:szCs w:val="24"/>
        </w:rPr>
        <w:t>时</w:t>
      </w:r>
      <w:r>
        <w:rPr>
          <w:rFonts w:ascii="宋体" w:hAnsi="宋体" w:cs="宋体"/>
          <w:bCs/>
          <w:color w:val="auto"/>
          <w:sz w:val="24"/>
          <w:szCs w:val="24"/>
        </w:rPr>
        <w:t xml:space="preserve"> </w:t>
      </w:r>
      <w:r>
        <w:rPr>
          <w:rFonts w:hint="eastAsia" w:ascii="宋体" w:hAnsi="宋体" w:cs="宋体"/>
          <w:bCs/>
          <w:color w:val="auto"/>
          <w:sz w:val="24"/>
          <w:szCs w:val="24"/>
        </w:rPr>
        <w:t>启</w:t>
      </w:r>
      <w:r>
        <w:rPr>
          <w:rFonts w:ascii="宋体" w:hAnsi="宋体" w:cs="宋体"/>
          <w:bCs/>
          <w:color w:val="auto"/>
          <w:sz w:val="24"/>
          <w:szCs w:val="24"/>
        </w:rPr>
        <w:t xml:space="preserve"> </w:t>
      </w:r>
      <w:r>
        <w:rPr>
          <w:rFonts w:hint="eastAsia" w:ascii="宋体" w:hAnsi="宋体" w:cs="宋体"/>
          <w:bCs/>
          <w:color w:val="auto"/>
          <w:sz w:val="24"/>
          <w:szCs w:val="24"/>
        </w:rPr>
        <w:t>封</w:t>
      </w:r>
    </w:p>
    <w:p>
      <w:pPr>
        <w:snapToGrid w:val="0"/>
        <w:spacing w:beforeLines="50" w:after="50" w:line="360" w:lineRule="auto"/>
        <w:ind w:firstLine="4080" w:firstLineChars="1700"/>
        <w:rPr>
          <w:rFonts w:ascii="宋体" w:cs="宋体"/>
          <w:bCs/>
          <w:color w:val="auto"/>
          <w:sz w:val="24"/>
          <w:szCs w:val="20"/>
        </w:rPr>
      </w:pPr>
    </w:p>
    <w:p>
      <w:pPr>
        <w:snapToGrid w:val="0"/>
        <w:spacing w:beforeLines="50" w:after="50" w:line="360" w:lineRule="auto"/>
        <w:ind w:firstLine="645"/>
        <w:jc w:val="center"/>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pStyle w:val="84"/>
        <w:rPr>
          <w:color w:val="auto"/>
        </w:rPr>
      </w:pPr>
    </w:p>
    <w:p>
      <w:pPr>
        <w:snapToGrid w:val="0"/>
        <w:spacing w:beforeLines="50" w:after="50"/>
        <w:jc w:val="center"/>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s="宋体"/>
          <w:b/>
          <w:bCs/>
          <w:color w:val="auto"/>
          <w:szCs w:val="21"/>
        </w:rPr>
      </w:pPr>
      <w:bookmarkStart w:id="374" w:name="_Toc482865334"/>
      <w:bookmarkStart w:id="375" w:name="_Toc25830"/>
      <w:bookmarkStart w:id="376" w:name="_Toc482865164"/>
      <w:bookmarkStart w:id="377" w:name="_Toc308018691"/>
      <w:bookmarkStart w:id="378" w:name="_Toc482864563"/>
      <w:bookmarkStart w:id="379" w:name="_Toc448421154"/>
      <w:bookmarkStart w:id="380" w:name="_Toc400465727"/>
      <w:bookmarkStart w:id="381" w:name="_Toc483327823"/>
      <w:bookmarkStart w:id="382" w:name="_Toc445223694"/>
      <w:r>
        <w:rPr>
          <w:rFonts w:hint="eastAsia" w:ascii="宋体" w:hAnsi="宋体" w:cs="宋体"/>
          <w:b/>
          <w:bCs/>
          <w:color w:val="auto"/>
          <w:szCs w:val="21"/>
        </w:rPr>
        <w:t>二、资格部分格式</w:t>
      </w:r>
      <w:bookmarkEnd w:id="374"/>
      <w:bookmarkEnd w:id="375"/>
      <w:bookmarkEnd w:id="376"/>
      <w:bookmarkEnd w:id="377"/>
      <w:bookmarkEnd w:id="378"/>
      <w:bookmarkEnd w:id="379"/>
      <w:bookmarkEnd w:id="380"/>
      <w:bookmarkEnd w:id="381"/>
      <w:bookmarkEnd w:id="382"/>
    </w:p>
    <w:p>
      <w:pPr>
        <w:snapToGrid w:val="0"/>
        <w:spacing w:beforeLines="50" w:after="50"/>
        <w:outlineLvl w:val="1"/>
        <w:rPr>
          <w:rFonts w:ascii="宋体" w:cs="宋体"/>
          <w:b/>
          <w:bCs/>
          <w:color w:val="auto"/>
          <w:szCs w:val="21"/>
        </w:rPr>
      </w:pPr>
    </w:p>
    <w:p>
      <w:pPr>
        <w:snapToGrid w:val="0"/>
        <w:spacing w:before="50" w:after="50"/>
        <w:rPr>
          <w:rFonts w:ascii="宋体" w:cs="宋体"/>
          <w:b/>
          <w:color w:val="auto"/>
          <w:szCs w:val="21"/>
        </w:rPr>
      </w:pPr>
      <w:r>
        <w:rPr>
          <w:rFonts w:ascii="宋体" w:hAnsi="宋体" w:cs="宋体"/>
          <w:b/>
          <w:color w:val="auto"/>
          <w:szCs w:val="21"/>
        </w:rPr>
        <w:t>2.1</w:t>
      </w:r>
      <w:r>
        <w:rPr>
          <w:rFonts w:hint="eastAsia" w:ascii="宋体" w:hAnsi="宋体" w:cs="宋体"/>
          <w:b/>
          <w:color w:val="auto"/>
          <w:szCs w:val="21"/>
        </w:rPr>
        <w:t>资格部分封面格式：</w:t>
      </w:r>
      <w:r>
        <w:rPr>
          <w:rFonts w:ascii="宋体" w:hAnsi="宋体" w:cs="宋体"/>
          <w:b/>
          <w:color w:val="auto"/>
          <w:szCs w:val="21"/>
        </w:rPr>
        <w:t xml:space="preserve"> </w:t>
      </w:r>
    </w:p>
    <w:p>
      <w:pPr>
        <w:snapToGrid w:val="0"/>
        <w:spacing w:beforeLines="50" w:after="50" w:line="360" w:lineRule="auto"/>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line="360" w:lineRule="auto"/>
        <w:jc w:val="center"/>
        <w:rPr>
          <w:rFonts w:ascii="宋体" w:cs="宋体"/>
          <w:b/>
          <w:bCs/>
          <w:color w:val="auto"/>
          <w:sz w:val="28"/>
          <w:szCs w:val="28"/>
        </w:rPr>
      </w:pPr>
      <w:r>
        <w:rPr>
          <w:rFonts w:hint="eastAsia" w:ascii="宋体" w:hAnsi="宋体" w:cs="宋体"/>
          <w:b/>
          <w:bCs/>
          <w:color w:val="auto"/>
          <w:sz w:val="48"/>
          <w:szCs w:val="48"/>
        </w:rPr>
        <w:t>投标文件（资格部分）</w:t>
      </w:r>
    </w:p>
    <w:p>
      <w:pPr>
        <w:snapToGrid w:val="0"/>
        <w:spacing w:beforeLines="50" w:after="50" w:line="360" w:lineRule="auto"/>
        <w:jc w:val="center"/>
        <w:rPr>
          <w:rFonts w:ascii="宋体" w:cs="宋体"/>
          <w:b/>
          <w:bCs/>
          <w:color w:val="auto"/>
          <w:sz w:val="28"/>
          <w:szCs w:val="28"/>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50" w:after="50"/>
        <w:rPr>
          <w:rFonts w:ascii="宋体" w:cs="宋体"/>
          <w:b/>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2.2 </w:t>
      </w:r>
      <w:r>
        <w:rPr>
          <w:rFonts w:hint="eastAsia" w:ascii="宋体" w:hAnsi="宋体" w:cs="宋体"/>
          <w:b/>
          <w:bCs/>
          <w:color w:val="auto"/>
          <w:szCs w:val="21"/>
        </w:rPr>
        <w:t>资格部分目录</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）投标人具有医疗器械生产许可证复印件或医疗器械经营许可证复印件或第二类医疗器械经营备案凭证复印件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）法定代表人完整有效的身份证复印件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）法定代表人授权委托书和委托代理人完整有效的身份证复印件</w:t>
      </w:r>
    </w:p>
    <w:p>
      <w:pPr>
        <w:snapToGrid w:val="0"/>
        <w:spacing w:line="400" w:lineRule="exact"/>
        <w:ind w:firstLine="42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）截标时间前半年内，连续三个月投标人依法缴纳税收的凭证复印件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）截标时间前半年内，连续三个月投标人依法缴纳社会保障资金的凭证复印件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）投标人近期财务状况报告</w:t>
      </w:r>
    </w:p>
    <w:p>
      <w:pPr>
        <w:snapToGrid w:val="0"/>
        <w:spacing w:beforeLines="50" w:after="50" w:line="300" w:lineRule="exact"/>
        <w:rPr>
          <w:rFonts w:ascii="宋体" w:cs="宋体"/>
          <w:b/>
          <w:color w:val="auto"/>
          <w:szCs w:val="21"/>
        </w:rPr>
      </w:pPr>
    </w:p>
    <w:p>
      <w:pPr>
        <w:pStyle w:val="8"/>
        <w:rPr>
          <w:rFonts w:ascii="宋体" w:eastAsia="宋体" w:cs="宋体"/>
          <w:b w:val="0"/>
          <w:color w:val="auto"/>
          <w:szCs w:val="21"/>
        </w:rPr>
      </w:pPr>
    </w:p>
    <w:p>
      <w:pPr>
        <w:rPr>
          <w:rFonts w:ascii="宋体" w:cs="宋体"/>
          <w:b/>
          <w:color w:val="auto"/>
          <w:szCs w:val="21"/>
        </w:rPr>
      </w:pPr>
    </w:p>
    <w:p>
      <w:pPr>
        <w:pStyle w:val="84"/>
        <w:rPr>
          <w:color w:val="auto"/>
        </w:rPr>
      </w:pPr>
    </w:p>
    <w:p>
      <w:pPr>
        <w:rPr>
          <w:color w:val="auto"/>
        </w:rPr>
      </w:pPr>
    </w:p>
    <w:p>
      <w:pPr>
        <w:snapToGrid w:val="0"/>
        <w:spacing w:beforeLines="50" w:after="50" w:line="300" w:lineRule="exact"/>
        <w:rPr>
          <w:rFonts w:ascii="宋体" w:cs="宋体"/>
          <w:b/>
          <w:color w:val="auto"/>
          <w:szCs w:val="21"/>
        </w:rPr>
      </w:pPr>
      <w:r>
        <w:rPr>
          <w:rFonts w:ascii="宋体" w:hAnsi="宋体" w:cs="宋体"/>
          <w:b/>
          <w:color w:val="auto"/>
          <w:szCs w:val="21"/>
        </w:rPr>
        <w:t>2.2.1</w:t>
      </w:r>
      <w:r>
        <w:rPr>
          <w:rFonts w:hint="eastAsia" w:ascii="宋体" w:hAnsi="宋体" w:cs="宋体"/>
          <w:b/>
          <w:color w:val="auto"/>
          <w:szCs w:val="21"/>
        </w:rPr>
        <w:t>有效的营业执照副本复印件（必须提供，同时要加盖单位公章，不是三证合一的营业执照还必须提供有效的组织机构代码证副本、税务登记证副本复印件）；</w:t>
      </w:r>
    </w:p>
    <w:p>
      <w:pPr>
        <w:snapToGrid w:val="0"/>
        <w:spacing w:line="300" w:lineRule="exact"/>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color w:val="auto"/>
          <w:sz w:val="21"/>
          <w:szCs w:val="21"/>
        </w:rPr>
      </w:pPr>
      <w:r>
        <w:rPr>
          <w:rFonts w:ascii="宋体" w:hAnsi="宋体" w:cs="宋体"/>
          <w:b/>
          <w:bCs w:val="0"/>
          <w:color w:val="auto"/>
          <w:spacing w:val="0"/>
          <w:kern w:val="2"/>
          <w:sz w:val="21"/>
          <w:szCs w:val="21"/>
        </w:rPr>
        <w:t xml:space="preserve">2.2.2  </w:t>
      </w:r>
      <w:r>
        <w:rPr>
          <w:rFonts w:hint="eastAsia" w:ascii="宋体" w:hAnsi="宋体" w:cs="宋体"/>
          <w:b/>
          <w:color w:val="auto"/>
          <w:sz w:val="21"/>
          <w:szCs w:val="21"/>
        </w:rPr>
        <w:t>投标人具有医疗器械生产许可证复印件或医疗器械经营许可证复印件或第二类医疗器械经营备案凭证复印件；</w:t>
      </w:r>
    </w:p>
    <w:p>
      <w:pPr>
        <w:pStyle w:val="84"/>
        <w:rPr>
          <w:rFonts w:ascii="宋体" w:cs="宋体"/>
          <w:b/>
          <w:bCs w:val="0"/>
          <w:color w:val="auto"/>
          <w:spacing w:val="0"/>
          <w:kern w:val="2"/>
          <w:sz w:val="21"/>
          <w:szCs w:val="21"/>
        </w:rPr>
      </w:pPr>
    </w:p>
    <w:p>
      <w:pPr>
        <w:pStyle w:val="84"/>
        <w:rPr>
          <w:rFonts w:ascii="宋体" w:cs="宋体"/>
          <w:b/>
          <w:bCs w:val="0"/>
          <w:color w:val="auto"/>
          <w:spacing w:val="0"/>
          <w:kern w:val="2"/>
          <w:sz w:val="21"/>
          <w:szCs w:val="21"/>
        </w:rPr>
      </w:pPr>
    </w:p>
    <w:p>
      <w:pPr>
        <w:pStyle w:val="8"/>
        <w:rPr>
          <w:color w:val="auto"/>
        </w:rPr>
      </w:pPr>
    </w:p>
    <w:p>
      <w:pPr>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2.2.3  </w:t>
      </w:r>
      <w:r>
        <w:rPr>
          <w:rFonts w:hint="eastAsia" w:ascii="宋体" w:hAnsi="宋体" w:cs="宋体"/>
          <w:b/>
          <w:color w:val="auto"/>
          <w:szCs w:val="21"/>
        </w:rPr>
        <w:t>法定代表人完整有效的身份证复印件（第二代身份证必须提供正反面复印件，同时要加盖单位公章）；</w:t>
      </w: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 xml:space="preserve">2.2.4  </w:t>
      </w:r>
      <w:r>
        <w:rPr>
          <w:rFonts w:hint="eastAsia" w:ascii="宋体" w:hAnsi="宋体" w:cs="宋体"/>
          <w:b/>
          <w:color w:val="auto"/>
          <w:szCs w:val="21"/>
        </w:rPr>
        <w:t>法定代表人授权委托书和委托代理人完整有效的身份证复印件（委托代理时必须提供。第二代身份证必须提供正反面复印件，同时要加盖单位公章）；</w:t>
      </w:r>
    </w:p>
    <w:p>
      <w:pPr>
        <w:snapToGrid w:val="0"/>
        <w:spacing w:beforeLines="50" w:after="50"/>
        <w:rPr>
          <w:rFonts w:ascii="宋体" w:cs="宋体"/>
          <w:b/>
          <w:color w:val="auto"/>
          <w:szCs w:val="21"/>
        </w:rPr>
      </w:pPr>
      <w:r>
        <w:rPr>
          <w:rFonts w:ascii="宋体" w:hAnsi="宋体" w:cs="宋体"/>
          <w:b/>
          <w:color w:val="auto"/>
          <w:szCs w:val="21"/>
        </w:rPr>
        <w:t xml:space="preserve">2.2.5-1  </w:t>
      </w:r>
      <w:r>
        <w:rPr>
          <w:rFonts w:hint="eastAsia" w:ascii="宋体" w:hAnsi="宋体" w:cs="宋体"/>
          <w:b/>
          <w:color w:val="auto"/>
          <w:szCs w:val="21"/>
        </w:rPr>
        <w:t>法定代表人授权委托书格式：</w:t>
      </w:r>
    </w:p>
    <w:p>
      <w:pPr>
        <w:snapToGrid w:val="0"/>
        <w:spacing w:beforeLines="50" w:after="50"/>
        <w:rPr>
          <w:rFonts w:ascii="宋体" w:cs="宋体"/>
          <w:color w:val="auto"/>
          <w:szCs w:val="21"/>
        </w:rPr>
      </w:pPr>
    </w:p>
    <w:p>
      <w:pPr>
        <w:snapToGrid w:val="0"/>
        <w:spacing w:beforeLines="50" w:after="50" w:line="360" w:lineRule="auto"/>
        <w:jc w:val="center"/>
        <w:rPr>
          <w:rFonts w:ascii="宋体" w:cs="宋体"/>
          <w:bCs/>
          <w:color w:val="auto"/>
          <w:szCs w:val="21"/>
        </w:rPr>
      </w:pPr>
      <w:r>
        <w:rPr>
          <w:rFonts w:hint="eastAsia" w:ascii="宋体" w:hAnsi="宋体" w:cs="宋体"/>
          <w:b/>
          <w:color w:val="auto"/>
          <w:sz w:val="28"/>
          <w:szCs w:val="28"/>
        </w:rPr>
        <w:t>法定代表人授权委托书</w:t>
      </w:r>
    </w:p>
    <w:p>
      <w:pPr>
        <w:snapToGrid w:val="0"/>
        <w:spacing w:beforeLines="50" w:after="50" w:line="360" w:lineRule="auto"/>
        <w:rPr>
          <w:rFonts w:ascii="宋体" w:cs="宋体"/>
          <w:b/>
          <w:bCs/>
          <w:color w:val="auto"/>
          <w:szCs w:val="21"/>
        </w:rPr>
      </w:pPr>
      <w:r>
        <w:rPr>
          <w:rFonts w:hint="eastAsia" w:ascii="宋体" w:hAnsi="宋体" w:cs="宋体"/>
          <w:bCs/>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after="50" w:line="360" w:lineRule="auto"/>
        <w:ind w:firstLine="630" w:firstLineChars="300"/>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（姓名）以我方的名义参加</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）的投标活动，并代表我方全权办理针对上述项目的投标、开标、评标、签约等具体事务和签署相关文件。</w:t>
      </w:r>
    </w:p>
    <w:p>
      <w:pPr>
        <w:snapToGrid w:val="0"/>
        <w:spacing w:beforeLines="50" w:after="50"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我方对被授权人的签名事项负全部责任。</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rPr>
        <w:t>被授权人无转委托权，特此委托。</w:t>
      </w:r>
    </w:p>
    <w:p>
      <w:pPr>
        <w:snapToGrid w:val="0"/>
        <w:spacing w:beforeLines="50" w:after="50" w:line="360" w:lineRule="auto"/>
        <w:rPr>
          <w:rFonts w:ascii="宋体" w:cs="宋体"/>
          <w:color w:val="auto"/>
          <w:szCs w:val="21"/>
          <w:u w:val="single"/>
        </w:rPr>
      </w:pPr>
      <w:r>
        <w:rPr>
          <w:rFonts w:hint="eastAsia" w:ascii="宋体" w:hAnsi="宋体" w:cs="宋体"/>
          <w:color w:val="auto"/>
          <w:szCs w:val="21"/>
        </w:rPr>
        <w:t>被授权人签名：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法定代表人签名：</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所在部门职务：</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w:t>
      </w:r>
      <w:r>
        <w:rPr>
          <w:rFonts w:ascii="宋体" w:hAnsi="宋体" w:cs="宋体"/>
          <w:color w:val="auto"/>
          <w:szCs w:val="21"/>
        </w:rPr>
        <w:t xml:space="preserve">  </w:t>
      </w:r>
      <w:r>
        <w:rPr>
          <w:rFonts w:hint="eastAsia" w:ascii="宋体" w:hAnsi="宋体" w:cs="宋体"/>
          <w:color w:val="auto"/>
          <w:szCs w:val="21"/>
        </w:rPr>
        <w:t>务：</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被授权人身份证号码：</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Lines="50" w:after="50" w:line="360" w:lineRule="auto"/>
        <w:ind w:firstLine="5880" w:firstLineChars="28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投标人公章：</w:t>
      </w:r>
    </w:p>
    <w:p>
      <w:pPr>
        <w:snapToGrid w:val="0"/>
        <w:spacing w:beforeLines="50" w:after="50" w:line="360" w:lineRule="auto"/>
        <w:jc w:val="center"/>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84"/>
        <w:rPr>
          <w:color w:val="auto"/>
        </w:rPr>
      </w:pPr>
    </w:p>
    <w:p>
      <w:pPr>
        <w:snapToGrid w:val="0"/>
        <w:spacing w:line="420" w:lineRule="exact"/>
        <w:jc w:val="left"/>
        <w:rPr>
          <w:rFonts w:ascii="宋体" w:cs="宋体"/>
          <w:b/>
          <w:color w:val="auto"/>
          <w:szCs w:val="21"/>
        </w:rPr>
      </w:pPr>
      <w:r>
        <w:rPr>
          <w:rFonts w:ascii="宋体" w:hAnsi="宋体" w:cs="宋体"/>
          <w:b/>
          <w:color w:val="auto"/>
          <w:szCs w:val="21"/>
        </w:rPr>
        <w:t>2.2.4-2</w:t>
      </w:r>
      <w:r>
        <w:rPr>
          <w:rFonts w:hint="eastAsia" w:ascii="宋体" w:hAnsi="宋体" w:cs="宋体"/>
          <w:b/>
          <w:color w:val="auto"/>
          <w:szCs w:val="21"/>
        </w:rPr>
        <w:t>委托代理人完整有效的身份证复印件（委托代理时必须提供。第二代身份证必须提供正反面复印件，同时要加盖单位公章，否则其投标无效）；</w:t>
      </w:r>
    </w:p>
    <w:p>
      <w:pPr>
        <w:tabs>
          <w:tab w:val="left" w:pos="606"/>
        </w:tabs>
        <w:rPr>
          <w:rFonts w:ascii="宋体"/>
          <w:b/>
          <w:color w:val="auto"/>
          <w:spacing w:val="20"/>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tabs>
          <w:tab w:val="left" w:pos="2730"/>
        </w:tabs>
        <w:snapToGrid w:val="0"/>
        <w:spacing w:beforeLines="50" w:line="420" w:lineRule="exact"/>
        <w:rPr>
          <w:rFonts w:ascii="宋体" w:cs="宋体"/>
          <w:b/>
          <w:color w:val="auto"/>
          <w:szCs w:val="21"/>
        </w:rPr>
      </w:pPr>
      <w:r>
        <w:rPr>
          <w:rFonts w:ascii="宋体" w:hAnsi="宋体" w:cs="宋体"/>
          <w:b/>
          <w:color w:val="auto"/>
          <w:szCs w:val="21"/>
        </w:rPr>
        <w:t xml:space="preserve">2.2.5   </w:t>
      </w:r>
      <w:r>
        <w:rPr>
          <w:rFonts w:hint="eastAsia" w:ascii="宋体" w:hAnsi="宋体" w:cs="宋体"/>
          <w:b/>
          <w:color w:val="auto"/>
          <w:szCs w:val="21"/>
        </w:rPr>
        <w:t>截标时间前半年内，连续三个月依法缴纳税费的凭证（复印件，格式略），无纳税记录的，应提供由投标人所在地主管税务部门出具的《依法缴纳税费或依法免缴税费证明》（格式自拟），《依法缴纳税费或依法免缴税费证明》原件一年内均保持有效。</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bCs w:val="0"/>
          <w:color w:val="auto"/>
          <w:spacing w:val="0"/>
          <w:kern w:val="2"/>
          <w:sz w:val="21"/>
          <w:szCs w:val="21"/>
        </w:rPr>
      </w:pPr>
    </w:p>
    <w:p>
      <w:pPr>
        <w:pStyle w:val="84"/>
        <w:rPr>
          <w:rFonts w:ascii="宋体" w:cs="宋体"/>
          <w:b/>
          <w:bCs w:val="0"/>
          <w:color w:val="auto"/>
          <w:spacing w:val="0"/>
          <w:kern w:val="2"/>
          <w:sz w:val="21"/>
          <w:szCs w:val="21"/>
        </w:rPr>
      </w:pPr>
      <w:r>
        <w:rPr>
          <w:rFonts w:ascii="宋体" w:hAnsi="宋体" w:cs="宋体"/>
          <w:b/>
          <w:bCs w:val="0"/>
          <w:color w:val="auto"/>
          <w:spacing w:val="0"/>
          <w:kern w:val="2"/>
          <w:sz w:val="21"/>
          <w:szCs w:val="21"/>
        </w:rPr>
        <w:t xml:space="preserve">2.2.6  </w:t>
      </w:r>
      <w:r>
        <w:rPr>
          <w:rFonts w:hint="eastAsia" w:ascii="宋体" w:hAnsi="宋体" w:cs="宋体"/>
          <w:b/>
          <w:bCs w:val="0"/>
          <w:color w:val="auto"/>
          <w:spacing w:val="0"/>
          <w:kern w:val="2"/>
          <w:sz w:val="21"/>
          <w:szCs w:val="21"/>
        </w:rPr>
        <w:t>截标时间前半年内，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84"/>
        <w:rPr>
          <w:rFonts w:ascii="宋体" w:cs="宋体"/>
          <w:b/>
          <w:bCs w:val="0"/>
          <w:color w:val="auto"/>
          <w:spacing w:val="0"/>
          <w:kern w:val="2"/>
          <w:sz w:val="21"/>
          <w:szCs w:val="21"/>
        </w:rPr>
      </w:pPr>
    </w:p>
    <w:p>
      <w:pPr>
        <w:snapToGrid w:val="0"/>
        <w:spacing w:beforeLines="50" w:line="420" w:lineRule="exact"/>
        <w:rPr>
          <w:rFonts w:ascii="宋体" w:cs="宋体"/>
          <w:b/>
          <w:color w:val="auto"/>
          <w:szCs w:val="21"/>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snapToGrid w:val="0"/>
        <w:spacing w:beforeLines="50" w:line="420" w:lineRule="exact"/>
        <w:rPr>
          <w:rFonts w:ascii="宋体" w:cs="宋体"/>
          <w:b/>
          <w:color w:val="auto"/>
          <w:spacing w:val="20"/>
          <w:szCs w:val="21"/>
          <w:u w:val="single"/>
        </w:rPr>
      </w:pPr>
      <w:r>
        <w:rPr>
          <w:rFonts w:ascii="宋体" w:hAnsi="宋体" w:cs="宋体"/>
          <w:b/>
          <w:color w:val="auto"/>
          <w:szCs w:val="21"/>
        </w:rPr>
        <w:t xml:space="preserve">2.2.7  </w:t>
      </w:r>
      <w:r>
        <w:rPr>
          <w:rFonts w:hint="eastAsia" w:ascii="宋体" w:hAnsi="宋体" w:cs="宋体"/>
          <w:b/>
          <w:color w:val="auto"/>
          <w:szCs w:val="21"/>
        </w:rPr>
        <w:t>参加政府采购活动前</w:t>
      </w:r>
      <w:r>
        <w:rPr>
          <w:rFonts w:ascii="宋体" w:hAnsi="宋体" w:cs="宋体"/>
          <w:b/>
          <w:color w:val="auto"/>
          <w:szCs w:val="21"/>
        </w:rPr>
        <w:t>3</w:t>
      </w:r>
      <w:r>
        <w:rPr>
          <w:rFonts w:hint="eastAsia" w:ascii="宋体" w:hAnsi="宋体" w:cs="宋体"/>
          <w:b/>
          <w:color w:val="auto"/>
          <w:szCs w:val="21"/>
        </w:rPr>
        <w:t>年内在经营活动中没有重大违法记录的书面声明；</w:t>
      </w:r>
    </w:p>
    <w:p>
      <w:pPr>
        <w:pStyle w:val="84"/>
        <w:rPr>
          <w:color w:val="auto"/>
        </w:rPr>
      </w:pPr>
    </w:p>
    <w:p>
      <w:pPr>
        <w:pStyle w:val="84"/>
        <w:rPr>
          <w:color w:val="auto"/>
        </w:rPr>
      </w:pPr>
    </w:p>
    <w:p>
      <w:pPr>
        <w:pStyle w:val="23"/>
        <w:spacing w:line="420" w:lineRule="exact"/>
        <w:jc w:val="center"/>
        <w:rPr>
          <w:rFonts w:hint="eastAsia" w:hAnsi="宋体" w:cs="宋体"/>
          <w:b/>
          <w:color w:val="auto"/>
          <w:sz w:val="28"/>
          <w:szCs w:val="28"/>
        </w:rPr>
      </w:pPr>
      <w:r>
        <w:rPr>
          <w:rFonts w:hint="eastAsia" w:hAnsi="宋体" w:cs="宋体"/>
          <w:b/>
          <w:color w:val="auto"/>
          <w:sz w:val="28"/>
          <w:szCs w:val="28"/>
        </w:rPr>
        <w:t>参加政府采购活动前</w:t>
      </w:r>
      <w:r>
        <w:rPr>
          <w:rFonts w:hAnsi="宋体" w:cs="宋体"/>
          <w:b/>
          <w:color w:val="auto"/>
          <w:sz w:val="28"/>
          <w:szCs w:val="28"/>
        </w:rPr>
        <w:t>3</w:t>
      </w:r>
      <w:r>
        <w:rPr>
          <w:rFonts w:hint="eastAsia" w:hAnsi="宋体" w:cs="宋体"/>
          <w:b/>
          <w:color w:val="auto"/>
          <w:sz w:val="28"/>
          <w:szCs w:val="28"/>
        </w:rPr>
        <w:t>年内在经营活动中没有重大违法记录的</w:t>
      </w:r>
    </w:p>
    <w:p>
      <w:pPr>
        <w:pStyle w:val="23"/>
        <w:spacing w:line="420" w:lineRule="exact"/>
        <w:jc w:val="center"/>
        <w:rPr>
          <w:rFonts w:hAnsi="宋体" w:cs="宋体"/>
          <w:b/>
          <w:color w:val="auto"/>
          <w:sz w:val="28"/>
          <w:szCs w:val="28"/>
        </w:rPr>
      </w:pPr>
      <w:r>
        <w:rPr>
          <w:rFonts w:hint="eastAsia" w:hAnsi="宋体" w:cs="宋体"/>
          <w:b/>
          <w:color w:val="auto"/>
          <w:sz w:val="28"/>
          <w:szCs w:val="28"/>
        </w:rPr>
        <w:t>书面声明（格式）</w:t>
      </w:r>
    </w:p>
    <w:p>
      <w:pPr>
        <w:tabs>
          <w:tab w:val="left" w:pos="7200"/>
        </w:tabs>
        <w:spacing w:line="420" w:lineRule="exact"/>
        <w:jc w:val="left"/>
        <w:rPr>
          <w:rFonts w:ascii="宋体" w:cs="宋体"/>
          <w:color w:val="auto"/>
        </w:rPr>
      </w:pPr>
    </w:p>
    <w:p>
      <w:pPr>
        <w:spacing w:line="400" w:lineRule="exact"/>
        <w:rPr>
          <w:rFonts w:ascii="新宋体" w:hAnsi="新宋体" w:eastAsia="新宋体"/>
          <w:color w:val="auto"/>
          <w:szCs w:val="21"/>
          <w:u w:val="single"/>
        </w:rPr>
      </w:pPr>
      <w:r>
        <w:rPr>
          <w:rStyle w:val="114"/>
          <w:rFonts w:hint="eastAsia" w:ascii="新宋体" w:hAnsi="新宋体" w:eastAsia="新宋体"/>
          <w:color w:val="auto"/>
          <w:szCs w:val="21"/>
        </w:rPr>
        <w:t>致：</w:t>
      </w:r>
      <w:r>
        <w:rPr>
          <w:rStyle w:val="114"/>
          <w:rFonts w:hint="eastAsia" w:ascii="新宋体" w:hAnsi="新宋体" w:eastAsia="新宋体"/>
          <w:color w:val="auto"/>
          <w:szCs w:val="21"/>
          <w:u w:val="single"/>
          <w:lang w:eastAsia="zh-CN"/>
        </w:rPr>
        <w:t>广西建设工程项目管理中心有限责任公司</w:t>
      </w:r>
      <w:r>
        <w:rPr>
          <w:rFonts w:hint="eastAsia" w:ascii="宋体" w:hAnsi="宋体" w:cs="宋体"/>
          <w:color w:val="auto"/>
          <w:szCs w:val="21"/>
          <w:u w:val="single"/>
        </w:rPr>
        <w:t>（采购代理机构名称）</w:t>
      </w:r>
    </w:p>
    <w:p>
      <w:pPr>
        <w:spacing w:line="400" w:lineRule="exact"/>
        <w:ind w:firstLine="420" w:firstLineChars="200"/>
        <w:rPr>
          <w:rStyle w:val="114"/>
          <w:rFonts w:ascii="新宋体" w:hAnsi="新宋体" w:eastAsia="新宋体"/>
          <w:color w:val="auto"/>
          <w:szCs w:val="21"/>
        </w:rPr>
      </w:pPr>
      <w:r>
        <w:rPr>
          <w:rStyle w:val="114"/>
          <w:rFonts w:hint="eastAsia" w:ascii="新宋体" w:hAnsi="新宋体" w:eastAsia="新宋体"/>
          <w:color w:val="auto"/>
          <w:szCs w:val="21"/>
        </w:rPr>
        <w:t>我公司参加贵公司组织</w:t>
      </w:r>
      <w:r>
        <w:rPr>
          <w:rStyle w:val="114"/>
          <w:rFonts w:ascii="新宋体" w:hAnsi="新宋体" w:eastAsia="新宋体"/>
          <w:color w:val="auto"/>
          <w:szCs w:val="21"/>
          <w:u w:val="single"/>
        </w:rPr>
        <w:t xml:space="preserve">           </w:t>
      </w:r>
      <w:r>
        <w:rPr>
          <w:rStyle w:val="114"/>
          <w:rFonts w:hint="eastAsia" w:ascii="新宋体" w:hAnsi="新宋体" w:eastAsia="新宋体"/>
          <w:color w:val="auto"/>
          <w:szCs w:val="21"/>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20" w:firstLineChars="200"/>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以上事项如有虚假或隐瞒，我方愿意承担一切后果，并不再寻求任何旨在减轻或免除法律责任的辩解。</w:t>
      </w:r>
    </w:p>
    <w:p>
      <w:pPr>
        <w:spacing w:line="400" w:lineRule="exact"/>
        <w:ind w:firstLine="630" w:firstLineChars="300"/>
        <w:rPr>
          <w:rFonts w:ascii="新宋体" w:hAnsi="新宋体" w:eastAsia="新宋体"/>
          <w:color w:val="auto"/>
          <w:szCs w:val="21"/>
        </w:rPr>
      </w:pPr>
      <w:r>
        <w:rPr>
          <w:rStyle w:val="114"/>
          <w:rFonts w:hint="eastAsia" w:ascii="新宋体" w:hAnsi="新宋体" w:eastAsia="新宋体"/>
          <w:color w:val="auto"/>
          <w:szCs w:val="21"/>
        </w:rPr>
        <w:t>特此承诺。</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投标人公章：</w:t>
      </w:r>
      <w:r>
        <w:rPr>
          <w:rStyle w:val="114"/>
          <w:rFonts w:ascii="新宋体" w:hAnsi="新宋体" w:eastAsia="新宋体"/>
          <w:color w:val="auto"/>
          <w:szCs w:val="21"/>
        </w:rPr>
        <w:t xml:space="preserve">  </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法定代表人或委托代理人签字：</w:t>
      </w:r>
      <w:r>
        <w:rPr>
          <w:rStyle w:val="114"/>
          <w:rFonts w:ascii="新宋体" w:hAnsi="新宋体" w:eastAsia="新宋体"/>
          <w:color w:val="auto"/>
          <w:szCs w:val="21"/>
        </w:rPr>
        <w:t>   </w:t>
      </w:r>
    </w:p>
    <w:p>
      <w:pPr>
        <w:spacing w:line="400" w:lineRule="exact"/>
        <w:ind w:firstLine="420" w:firstLineChars="200"/>
        <w:jc w:val="right"/>
        <w:rPr>
          <w:rFonts w:ascii="宋体" w:cs="宋体"/>
          <w:color w:val="auto"/>
        </w:rPr>
      </w:pPr>
      <w:r>
        <w:rPr>
          <w:rStyle w:val="114"/>
          <w:rFonts w:hint="eastAsia" w:ascii="新宋体" w:hAnsi="新宋体" w:eastAsia="新宋体"/>
          <w:color w:val="auto"/>
          <w:szCs w:val="21"/>
        </w:rPr>
        <w:t>日期：</w:t>
      </w:r>
      <w:r>
        <w:rPr>
          <w:rStyle w:val="114"/>
          <w:rFonts w:ascii="新宋体" w:hAnsi="新宋体" w:eastAsia="新宋体"/>
          <w:color w:val="auto"/>
          <w:szCs w:val="21"/>
        </w:rPr>
        <w:t>  </w:t>
      </w:r>
      <w:r>
        <w:rPr>
          <w:rStyle w:val="114"/>
          <w:rFonts w:hint="eastAsia" w:ascii="新宋体" w:hAnsi="新宋体" w:eastAsia="新宋体"/>
          <w:color w:val="auto"/>
          <w:szCs w:val="21"/>
        </w:rPr>
        <w:t>年</w:t>
      </w:r>
      <w:r>
        <w:rPr>
          <w:rStyle w:val="114"/>
          <w:rFonts w:ascii="新宋体" w:hAnsi="新宋体" w:eastAsia="新宋体"/>
          <w:color w:val="auto"/>
          <w:szCs w:val="21"/>
        </w:rPr>
        <w:t>    </w:t>
      </w:r>
      <w:r>
        <w:rPr>
          <w:rStyle w:val="114"/>
          <w:rFonts w:hint="eastAsia" w:ascii="新宋体" w:hAnsi="新宋体" w:eastAsia="新宋体"/>
          <w:color w:val="auto"/>
          <w:szCs w:val="21"/>
        </w:rPr>
        <w:t>月</w:t>
      </w:r>
      <w:r>
        <w:rPr>
          <w:rStyle w:val="114"/>
          <w:rFonts w:ascii="新宋体" w:hAnsi="新宋体" w:eastAsia="新宋体"/>
          <w:color w:val="auto"/>
          <w:szCs w:val="21"/>
        </w:rPr>
        <w:t>  </w:t>
      </w:r>
      <w:r>
        <w:rPr>
          <w:rStyle w:val="114"/>
          <w:rFonts w:hint="eastAsia" w:ascii="新宋体" w:hAnsi="新宋体" w:eastAsia="新宋体"/>
          <w:color w:val="auto"/>
          <w:szCs w:val="21"/>
        </w:rPr>
        <w:t>日</w:t>
      </w:r>
    </w:p>
    <w:p>
      <w:pPr>
        <w:pStyle w:val="84"/>
        <w:rPr>
          <w:rFonts w:ascii="宋体" w:cs="宋体"/>
          <w:color w:val="auto"/>
        </w:rPr>
      </w:pPr>
    </w:p>
    <w:p>
      <w:pPr>
        <w:pStyle w:val="84"/>
        <w:rPr>
          <w:color w:val="auto"/>
        </w:rPr>
      </w:pPr>
    </w:p>
    <w:p>
      <w:pPr>
        <w:pStyle w:val="84"/>
        <w:rPr>
          <w:color w:val="auto"/>
        </w:rPr>
      </w:pPr>
    </w:p>
    <w:p>
      <w:pPr>
        <w:pStyle w:val="84"/>
        <w:rPr>
          <w:color w:val="auto"/>
        </w:rPr>
      </w:pPr>
    </w:p>
    <w:p>
      <w:pPr>
        <w:tabs>
          <w:tab w:val="left" w:pos="7200"/>
        </w:tabs>
        <w:spacing w:line="420" w:lineRule="exact"/>
        <w:jc w:val="left"/>
        <w:rPr>
          <w:rFonts w:ascii="宋体" w:cs="宋体"/>
          <w:b/>
          <w:color w:val="auto"/>
          <w:szCs w:val="21"/>
        </w:rPr>
      </w:pPr>
      <w:r>
        <w:rPr>
          <w:rFonts w:ascii="宋体" w:hAnsi="宋体" w:cs="宋体"/>
          <w:b/>
          <w:color w:val="auto"/>
          <w:szCs w:val="21"/>
        </w:rPr>
        <w:t xml:space="preserve">2.2.8  </w:t>
      </w:r>
      <w:r>
        <w:rPr>
          <w:rFonts w:hint="eastAsia" w:ascii="宋体" w:hAnsi="宋体" w:cs="宋体"/>
          <w:b/>
          <w:color w:val="auto"/>
          <w:spacing w:val="20"/>
        </w:rPr>
        <w:t>投标人近期财务状况报告（上一年度经第三方审计的财务报告；或截标时间前半年内能反映财务状况的报表；或投标人自拟的截标时间前半年内的财务情况说明）</w:t>
      </w: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widowControl/>
        <w:jc w:val="left"/>
        <w:rPr>
          <w:rFonts w:ascii="宋体" w:cs="宋体"/>
          <w:b/>
          <w:color w:val="auto"/>
          <w:szCs w:val="21"/>
        </w:rPr>
      </w:pPr>
      <w:r>
        <w:rPr>
          <w:rFonts w:hint="eastAsia" w:ascii="宋体" w:hAnsi="宋体" w:cs="宋体"/>
          <w:b/>
          <w:color w:val="auto"/>
          <w:szCs w:val="21"/>
        </w:rPr>
        <w:t>三、投标文件（商务及技术部分、报价部分）格式</w:t>
      </w:r>
    </w:p>
    <w:p>
      <w:pPr>
        <w:snapToGrid w:val="0"/>
        <w:spacing w:beforeLines="50" w:after="50"/>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jc w:val="center"/>
        <w:rPr>
          <w:rFonts w:ascii="宋体" w:cs="宋体"/>
          <w:b/>
          <w:bCs/>
          <w:color w:val="auto"/>
          <w:sz w:val="48"/>
          <w:szCs w:val="48"/>
        </w:rPr>
      </w:pP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投标文件</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（商务及技术部分、报价部分）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pStyle w:val="10"/>
        <w:snapToGrid w:val="0"/>
        <w:spacing w:before="50" w:after="50"/>
        <w:ind w:firstLine="0"/>
        <w:rPr>
          <w:rFonts w:ascii="宋体" w:cs="宋体"/>
          <w:bCs/>
          <w:color w:val="auto"/>
          <w:szCs w:val="21"/>
        </w:rPr>
      </w:pPr>
    </w:p>
    <w:p>
      <w:pPr>
        <w:pStyle w:val="10"/>
        <w:snapToGrid w:val="0"/>
        <w:spacing w:before="50" w:after="50"/>
        <w:ind w:firstLine="873" w:firstLineChars="416"/>
        <w:rPr>
          <w:rFonts w:ascii="宋体" w:cs="宋体"/>
          <w:bCs/>
          <w:color w:val="auto"/>
          <w:szCs w:val="21"/>
        </w:rPr>
      </w:pPr>
    </w:p>
    <w:p>
      <w:pPr>
        <w:widowControl/>
        <w:jc w:val="left"/>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84"/>
        <w:rPr>
          <w:color w:val="auto"/>
        </w:rPr>
      </w:pPr>
    </w:p>
    <w:p>
      <w:pPr>
        <w:snapToGrid w:val="0"/>
        <w:spacing w:beforeLines="50" w:after="50"/>
        <w:rPr>
          <w:rFonts w:ascii="宋体" w:cs="宋体"/>
          <w:color w:val="auto"/>
          <w:sz w:val="24"/>
        </w:rPr>
      </w:pPr>
      <w:r>
        <w:rPr>
          <w:rFonts w:ascii="宋体" w:hAnsi="宋体" w:cs="宋体"/>
          <w:b/>
          <w:color w:val="auto"/>
          <w:szCs w:val="21"/>
        </w:rPr>
        <w:t xml:space="preserve">3.1 </w:t>
      </w:r>
      <w:r>
        <w:rPr>
          <w:rFonts w:hint="eastAsia" w:ascii="宋体" w:hAnsi="宋体" w:cs="宋体"/>
          <w:b/>
          <w:color w:val="auto"/>
          <w:szCs w:val="21"/>
        </w:rPr>
        <w:t>商务及技术部分内封面格式：</w:t>
      </w:r>
      <w:r>
        <w:rPr>
          <w:rFonts w:ascii="宋体" w:hAnsi="宋体" w:cs="宋体"/>
          <w:b/>
          <w:color w:val="auto"/>
          <w:szCs w:val="21"/>
        </w:rPr>
        <w:t xml:space="preserve"> </w:t>
      </w:r>
      <w:r>
        <w:rPr>
          <w:rFonts w:ascii="宋体" w:hAnsi="宋体" w:cs="宋体"/>
          <w:color w:val="auto"/>
          <w:sz w:val="24"/>
        </w:rPr>
        <w:t xml:space="preserve">                </w:t>
      </w:r>
    </w:p>
    <w:p>
      <w:pPr>
        <w:snapToGrid w:val="0"/>
        <w:spacing w:beforeLines="50" w:after="50"/>
        <w:rPr>
          <w:rFonts w:ascii="宋体" w:cs="宋体"/>
          <w:color w:val="auto"/>
          <w:sz w:val="24"/>
          <w:szCs w:val="20"/>
        </w:rPr>
      </w:pPr>
      <w:r>
        <w:rPr>
          <w:rFonts w:ascii="宋体" w:hAnsi="宋体" w:cs="宋体"/>
          <w:color w:val="auto"/>
          <w:sz w:val="24"/>
        </w:rPr>
        <w:t xml:space="preserve">                                    </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50" w:after="50"/>
        <w:rPr>
          <w:rFonts w:ascii="宋体"/>
          <w:color w:val="auto"/>
          <w:sz w:val="22"/>
          <w:szCs w:val="22"/>
        </w:rPr>
      </w:pPr>
    </w:p>
    <w:p>
      <w:pPr>
        <w:snapToGrid w:val="0"/>
        <w:spacing w:before="50" w:after="50" w:line="420" w:lineRule="exact"/>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pStyle w:val="10"/>
        <w:rPr>
          <w:rFonts w:ascii="宋体" w:cs="宋体"/>
          <w:b/>
          <w:color w:val="auto"/>
          <w:szCs w:val="21"/>
        </w:rPr>
      </w:pPr>
    </w:p>
    <w:p>
      <w:pPr>
        <w:snapToGrid w:val="0"/>
        <w:spacing w:before="50" w:after="50" w:line="420" w:lineRule="exac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部分目录</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）投标人的类似成功案例的业绩证明文件；</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投标人符合中小企业划型标准的，按《政府采购促进中小企业发展暂行办法》（财库〔2011〕181号）要求，提供中小企业声明函。监狱企业参加政府采购活动时，应当提供由省级以上监狱管理局、戒毒管理局（含新疆生产建设兵团）出具的属于监狱企业的证明文件。；</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napToGrid w:val="0"/>
        <w:spacing w:line="400" w:lineRule="exact"/>
        <w:ind w:firstLine="413" w:firstLineChars="196"/>
        <w:jc w:val="left"/>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部分目录</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）售后服务方案；；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）产品出厂标准、质量检测报告</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）投标人需要说明的其他文件和说明。</w:t>
      </w:r>
    </w:p>
    <w:p>
      <w:pPr>
        <w:snapToGrid w:val="0"/>
        <w:spacing w:line="400" w:lineRule="exact"/>
        <w:ind w:firstLine="630" w:firstLineChars="300"/>
        <w:jc w:val="left"/>
        <w:rPr>
          <w:rFonts w:ascii="宋体" w:cs="宋体"/>
          <w:color w:val="auto"/>
        </w:rPr>
      </w:pPr>
    </w:p>
    <w:p>
      <w:pPr>
        <w:snapToGrid w:val="0"/>
        <w:spacing w:line="400" w:lineRule="exact"/>
        <w:ind w:firstLine="621" w:firstLineChars="296"/>
        <w:jc w:val="left"/>
        <w:rPr>
          <w:rFonts w:ascii="宋体" w:cs="宋体"/>
          <w:color w:val="auto"/>
        </w:rPr>
      </w:pPr>
    </w:p>
    <w:p>
      <w:pPr>
        <w:pStyle w:val="84"/>
        <w:rPr>
          <w:rFonts w:ascii="宋体" w:cs="宋体"/>
          <w:b/>
          <w:color w:val="auto"/>
          <w:szCs w:val="21"/>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snapToGrid w:val="0"/>
        <w:spacing w:before="50" w:after="50"/>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pStyle w:val="84"/>
        <w:rPr>
          <w:rFonts w:ascii="宋体"/>
          <w:color w:val="auto"/>
          <w:spacing w:val="20"/>
          <w:sz w:val="22"/>
          <w:szCs w:val="22"/>
          <w:u w:val="single"/>
        </w:rPr>
      </w:pPr>
    </w:p>
    <w:p>
      <w:pPr>
        <w:snapToGrid w:val="0"/>
        <w:spacing w:line="420" w:lineRule="exact"/>
        <w:jc w:val="lef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w:t>
      </w:r>
    </w:p>
    <w:p>
      <w:pPr>
        <w:snapToGrid w:val="0"/>
        <w:spacing w:line="420" w:lineRule="exact"/>
        <w:jc w:val="left"/>
        <w:rPr>
          <w:rFonts w:ascii="宋体" w:cs="宋体"/>
          <w:b/>
          <w:color w:val="auto"/>
          <w:szCs w:val="21"/>
        </w:rPr>
      </w:pPr>
    </w:p>
    <w:p>
      <w:pPr>
        <w:snapToGrid w:val="0"/>
        <w:spacing w:before="50" w:afterLines="50" w:line="340" w:lineRule="exact"/>
        <w:jc w:val="left"/>
        <w:rPr>
          <w:rFonts w:ascii="宋体" w:cs="宋体"/>
          <w:b/>
          <w:color w:val="auto"/>
          <w:szCs w:val="21"/>
        </w:rPr>
      </w:pPr>
      <w:r>
        <w:rPr>
          <w:rFonts w:ascii="宋体" w:hAnsi="宋体" w:cs="宋体"/>
          <w:b/>
          <w:color w:val="auto"/>
          <w:szCs w:val="21"/>
        </w:rPr>
        <w:t xml:space="preserve">3.2.1  </w:t>
      </w:r>
      <w:r>
        <w:rPr>
          <w:rFonts w:hint="eastAsia" w:ascii="宋体" w:hAnsi="宋体" w:cs="宋体"/>
          <w:b/>
          <w:color w:val="auto"/>
          <w:szCs w:val="21"/>
        </w:rPr>
        <w:t>投标声明书格式：</w:t>
      </w:r>
    </w:p>
    <w:p>
      <w:pPr>
        <w:snapToGrid w:val="0"/>
        <w:spacing w:before="50" w:afterLines="50" w:line="340" w:lineRule="exact"/>
        <w:jc w:val="left"/>
        <w:rPr>
          <w:rFonts w:ascii="宋体" w:cs="宋体"/>
          <w:color w:val="auto"/>
          <w:szCs w:val="21"/>
        </w:rPr>
      </w:pPr>
    </w:p>
    <w:p>
      <w:pPr>
        <w:snapToGrid w:val="0"/>
        <w:spacing w:beforeLines="50" w:line="400" w:lineRule="exact"/>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声</w:t>
      </w:r>
      <w:r>
        <w:rPr>
          <w:rFonts w:ascii="宋体" w:hAnsi="宋体" w:cs="宋体"/>
          <w:b/>
          <w:color w:val="auto"/>
          <w:sz w:val="28"/>
          <w:szCs w:val="28"/>
        </w:rPr>
        <w:t xml:space="preserve"> </w:t>
      </w:r>
      <w:r>
        <w:rPr>
          <w:rFonts w:hint="eastAsia" w:ascii="宋体" w:hAnsi="宋体" w:cs="宋体"/>
          <w:b/>
          <w:color w:val="auto"/>
          <w:sz w:val="28"/>
          <w:szCs w:val="28"/>
        </w:rPr>
        <w:t>明</w:t>
      </w:r>
      <w:r>
        <w:rPr>
          <w:rFonts w:ascii="宋体" w:hAnsi="宋体" w:cs="宋体"/>
          <w:b/>
          <w:color w:val="auto"/>
          <w:sz w:val="28"/>
          <w:szCs w:val="28"/>
        </w:rPr>
        <w:t xml:space="preserve"> </w:t>
      </w:r>
      <w:r>
        <w:rPr>
          <w:rFonts w:hint="eastAsia" w:ascii="宋体" w:hAnsi="宋体" w:cs="宋体"/>
          <w:b/>
          <w:color w:val="auto"/>
          <w:sz w:val="28"/>
          <w:szCs w:val="28"/>
        </w:rPr>
        <w:t>书</w:t>
      </w:r>
    </w:p>
    <w:p>
      <w:pPr>
        <w:snapToGrid w:val="0"/>
        <w:spacing w:beforeLines="50" w:line="400" w:lineRule="exact"/>
        <w:jc w:val="center"/>
        <w:rPr>
          <w:rFonts w:ascii="宋体" w:cs="宋体"/>
          <w:b/>
          <w:color w:val="auto"/>
          <w:sz w:val="28"/>
          <w:szCs w:val="28"/>
        </w:rPr>
      </w:pPr>
    </w:p>
    <w:p>
      <w:pPr>
        <w:snapToGrid w:val="0"/>
        <w:spacing w:beforeLines="50" w:line="38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line="380" w:lineRule="exact"/>
        <w:ind w:firstLine="630" w:firstLineChars="300"/>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（投标人名称）系中华人民共和国合法企业，经营地址</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645"/>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（投标人名称）的法定代表人，我方愿意参加贵方组织的</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）的投标，为便于贵方公正、择优地确定中标人及其投标产品和服务，我方就本次投标有关事项郑重声明如下：</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我方向贵方提交的所有投标文件、资料都是准确的和真实的。</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我方不是采购人的附属机构；在获知本项目采购信息后，与采购人聘请的为此项目提供咨询服务的公司及其附属机构没有任何联系。</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我方此次向贵方提供的产品名称为：</w:t>
      </w:r>
      <w:r>
        <w:rPr>
          <w:rFonts w:ascii="宋体" w:hAnsi="宋体" w:cs="宋体"/>
          <w:color w:val="auto"/>
          <w:szCs w:val="21"/>
          <w:u w:val="single"/>
        </w:rPr>
        <w:t xml:space="preserve">              </w:t>
      </w:r>
      <w:r>
        <w:rPr>
          <w:rFonts w:hint="eastAsia" w:ascii="宋体" w:hAnsi="宋体" w:cs="宋体"/>
          <w:color w:val="auto"/>
          <w:szCs w:val="21"/>
        </w:rPr>
        <w:t>，产品原产地及厂家为：</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420" w:firstLineChars="200"/>
        <w:rPr>
          <w:rFonts w:ascii="宋体" w:cs="宋体"/>
          <w:color w:val="auto"/>
          <w:szCs w:val="21"/>
          <w:u w:val="single"/>
        </w:rPr>
      </w:pPr>
      <w:r>
        <w:rPr>
          <w:rFonts w:ascii="宋体" w:hAnsi="宋体" w:cs="宋体"/>
          <w:color w:val="auto"/>
          <w:szCs w:val="21"/>
        </w:rPr>
        <w:t xml:space="preserve">4. </w:t>
      </w:r>
      <w:r>
        <w:rPr>
          <w:rFonts w:hint="eastAsia" w:ascii="宋体" w:hAnsi="宋体" w:cs="宋体"/>
          <w:color w:val="auto"/>
          <w:szCs w:val="21"/>
        </w:rPr>
        <w:t>我方诚意提请贵方关注：近期有关的重大决策和事项有：</w:t>
      </w:r>
      <w:r>
        <w:rPr>
          <w:rFonts w:hint="eastAsia" w:ascii="宋体" w:hAnsi="宋体" w:cs="宋体"/>
          <w:color w:val="auto"/>
          <w:szCs w:val="21"/>
          <w:u w:val="single"/>
        </w:rPr>
        <w:t>　　　　　　　　　　。</w:t>
      </w:r>
    </w:p>
    <w:p>
      <w:pPr>
        <w:pStyle w:val="4"/>
        <w:snapToGrid w:val="0"/>
        <w:spacing w:line="380" w:lineRule="exact"/>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5. </w:t>
      </w:r>
      <w:r>
        <w:rPr>
          <w:rFonts w:hint="eastAsia" w:ascii="宋体" w:hAnsi="宋体" w:eastAsia="宋体" w:cs="宋体"/>
          <w:color w:val="auto"/>
          <w:sz w:val="21"/>
          <w:szCs w:val="21"/>
        </w:rPr>
        <w:t>我方及由本人担任法定代表人的其他机构最近三年内被通报或者被处罚的违法行为有：</w:t>
      </w:r>
    </w:p>
    <w:p>
      <w:pPr>
        <w:snapToGrid w:val="0"/>
        <w:spacing w:beforeLines="50" w:line="380" w:lineRule="exact"/>
        <w:ind w:firstLine="420" w:firstLineChars="200"/>
        <w:rPr>
          <w:rFonts w:ascii="宋体" w:cs="宋体"/>
          <w:color w:val="auto"/>
          <w:szCs w:val="21"/>
          <w:u w:val="single"/>
        </w:rPr>
      </w:pPr>
      <w:r>
        <w:rPr>
          <w:rFonts w:hint="eastAsia" w:ascii="宋体" w:hAnsi="宋体" w:cs="宋体"/>
          <w:color w:val="auto"/>
          <w:szCs w:val="21"/>
          <w:u w:val="single"/>
        </w:rPr>
        <w:t>　　　　　　　　　　　　　　　　　　　　　　　　　　　</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以上事项如有虚假或隐瞒，我方愿意承担一切后果，并不再寻求任何旨在减轻或免除法律责任的辩解。</w:t>
      </w:r>
    </w:p>
    <w:p>
      <w:pPr>
        <w:snapToGrid w:val="0"/>
        <w:spacing w:beforeLines="50" w:line="380" w:lineRule="exact"/>
        <w:ind w:firstLine="5250" w:firstLineChars="2500"/>
        <w:rPr>
          <w:rFonts w:ascii="宋体" w:cs="宋体"/>
          <w:color w:val="auto"/>
          <w:szCs w:val="21"/>
          <w:u w:val="single"/>
        </w:rPr>
      </w:pPr>
      <w:r>
        <w:rPr>
          <w:rFonts w:hint="eastAsia" w:ascii="宋体" w:hAnsi="宋体" w:cs="宋体"/>
          <w:color w:val="auto"/>
          <w:szCs w:val="21"/>
        </w:rPr>
        <w:t>法定代表人签字：</w:t>
      </w:r>
      <w:r>
        <w:rPr>
          <w:rFonts w:ascii="宋体" w:hAnsi="宋体" w:cs="宋体"/>
          <w:color w:val="auto"/>
          <w:szCs w:val="21"/>
          <w:u w:val="single"/>
        </w:rPr>
        <w:t xml:space="preserve">             </w:t>
      </w:r>
    </w:p>
    <w:p>
      <w:pPr>
        <w:snapToGrid w:val="0"/>
        <w:spacing w:beforeLines="50" w:line="380" w:lineRule="exact"/>
        <w:jc w:val="right"/>
        <w:rPr>
          <w:rFonts w:ascii="宋体" w:cs="宋体"/>
          <w:color w:val="auto"/>
          <w:szCs w:val="21"/>
        </w:rPr>
      </w:pPr>
      <w:r>
        <w:rPr>
          <w:rFonts w:hint="eastAsia" w:ascii="宋体" w:hAnsi="宋体" w:cs="宋体"/>
          <w:color w:val="auto"/>
          <w:szCs w:val="21"/>
        </w:rPr>
        <w:t>投标人公章：</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3.2.2 </w:t>
      </w:r>
      <w:r>
        <w:rPr>
          <w:rFonts w:hint="eastAsia" w:ascii="宋体" w:hAnsi="宋体" w:cs="宋体"/>
          <w:b/>
          <w:color w:val="auto"/>
          <w:szCs w:val="21"/>
        </w:rPr>
        <w:t>投标人情况介绍（格式自拟）</w:t>
      </w:r>
    </w:p>
    <w:p>
      <w:pPr>
        <w:pStyle w:val="84"/>
        <w:rPr>
          <w:color w:val="auto"/>
        </w:rPr>
      </w:pPr>
    </w:p>
    <w:p>
      <w:pPr>
        <w:pStyle w:val="84"/>
        <w:rPr>
          <w:color w:val="auto"/>
        </w:rPr>
      </w:pPr>
    </w:p>
    <w:p>
      <w:pPr>
        <w:pStyle w:val="84"/>
        <w:rPr>
          <w:color w:val="auto"/>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3.2.3 </w:t>
      </w:r>
      <w:r>
        <w:rPr>
          <w:rFonts w:hint="eastAsia" w:ascii="宋体" w:hAnsi="宋体" w:cs="宋体"/>
          <w:b/>
          <w:color w:val="auto"/>
          <w:szCs w:val="21"/>
        </w:rPr>
        <w:t>属于投标人的资质及信誉等方面的证书或材料</w:t>
      </w:r>
    </w:p>
    <w:p>
      <w:pPr>
        <w:snapToGrid w:val="0"/>
        <w:spacing w:before="50"/>
        <w:ind w:firstLine="413" w:firstLineChars="196"/>
        <w:jc w:val="left"/>
        <w:rPr>
          <w:rFonts w:ascii="宋体" w:cs="宋体"/>
          <w:b/>
          <w:color w:val="auto"/>
          <w:szCs w:val="21"/>
        </w:rPr>
      </w:pPr>
    </w:p>
    <w:p>
      <w:pPr>
        <w:pStyle w:val="84"/>
        <w:rPr>
          <w:color w:val="auto"/>
        </w:rPr>
      </w:pPr>
    </w:p>
    <w:p>
      <w:pPr>
        <w:snapToGrid w:val="0"/>
        <w:spacing w:before="50"/>
        <w:jc w:val="left"/>
        <w:rPr>
          <w:rFonts w:ascii="宋体" w:cs="宋体"/>
          <w:b/>
          <w:color w:val="auto"/>
          <w:szCs w:val="21"/>
        </w:rPr>
      </w:pPr>
    </w:p>
    <w:p>
      <w:pPr>
        <w:snapToGrid w:val="0"/>
        <w:spacing w:before="50"/>
        <w:ind w:firstLine="413" w:firstLineChars="196"/>
        <w:jc w:val="left"/>
        <w:rPr>
          <w:rFonts w:ascii="宋体" w:cs="宋体"/>
          <w:b/>
          <w:color w:val="auto"/>
          <w:szCs w:val="21"/>
        </w:rPr>
      </w:pPr>
      <w:r>
        <w:rPr>
          <w:rFonts w:ascii="宋体" w:hAnsi="宋体" w:cs="宋体"/>
          <w:b/>
          <w:color w:val="auto"/>
          <w:szCs w:val="21"/>
        </w:rPr>
        <w:t xml:space="preserve">3.2.4 </w:t>
      </w:r>
      <w:r>
        <w:rPr>
          <w:rFonts w:hint="eastAsia" w:ascii="宋体" w:hAnsi="宋体" w:cs="宋体"/>
          <w:b/>
          <w:color w:val="auto"/>
          <w:szCs w:val="21"/>
        </w:rPr>
        <w:t>商务响应表格式：</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项目名称：</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项目编号：</w:t>
      </w:r>
    </w:p>
    <w:tbl>
      <w:tblPr>
        <w:tblStyle w:val="40"/>
        <w:tblW w:w="0" w:type="auto"/>
        <w:tblInd w:w="4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3062"/>
        <w:gridCol w:w="2675"/>
        <w:gridCol w:w="2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项号</w:t>
            </w:r>
          </w:p>
        </w:tc>
        <w:tc>
          <w:tcPr>
            <w:tcW w:w="3062"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招标文件的商务条款</w:t>
            </w:r>
          </w:p>
        </w:tc>
        <w:tc>
          <w:tcPr>
            <w:tcW w:w="2675"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投标文件承诺的商务条款</w:t>
            </w:r>
          </w:p>
        </w:tc>
        <w:tc>
          <w:tcPr>
            <w:tcW w:w="2435" w:type="dxa"/>
            <w:tcBorders>
              <w:top w:val="single" w:color="auto" w:sz="4" w:space="0"/>
              <w:left w:val="single" w:color="auto" w:sz="4" w:space="0"/>
              <w:bottom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ind w:left="43"/>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w:t>
            </w: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bl>
    <w:p>
      <w:pPr>
        <w:snapToGrid w:val="0"/>
        <w:spacing w:afterLines="50" w:line="330" w:lineRule="exact"/>
        <w:ind w:left="540"/>
        <w:jc w:val="left"/>
        <w:rPr>
          <w:rFonts w:ascii="宋体" w:cs="宋体"/>
          <w:color w:val="auto"/>
          <w:szCs w:val="21"/>
        </w:rPr>
      </w:pPr>
      <w:r>
        <w:rPr>
          <w:rFonts w:hint="eastAsia" w:ascii="宋体" w:hAnsi="宋体"/>
          <w:color w:val="auto"/>
        </w:rPr>
        <w:t>注：投标人应对照招标文件中商务部分要求的内容逐条响应，并在“偏离情况”栏注明“正偏离”、“负偏离”或“无偏离”</w:t>
      </w:r>
    </w:p>
    <w:p>
      <w:pPr>
        <w:snapToGrid w:val="0"/>
        <w:spacing w:before="50" w:after="50"/>
        <w:rPr>
          <w:rFonts w:ascii="宋体" w:cs="宋体"/>
          <w:color w:val="auto"/>
          <w:spacing w:val="20"/>
          <w:szCs w:val="21"/>
        </w:rPr>
      </w:pPr>
    </w:p>
    <w:p>
      <w:pPr>
        <w:snapToGrid w:val="0"/>
        <w:spacing w:before="50" w:after="50"/>
        <w:ind w:firstLine="500" w:firstLineChars="200"/>
        <w:rPr>
          <w:rFonts w:ascii="宋体" w:cs="宋体"/>
          <w:color w:val="auto"/>
          <w:spacing w:val="20"/>
          <w:szCs w:val="21"/>
        </w:rPr>
      </w:pPr>
      <w:r>
        <w:rPr>
          <w:rFonts w:hint="eastAsia" w:ascii="宋体" w:hAnsi="宋体" w:cs="宋体"/>
          <w:color w:val="auto"/>
          <w:spacing w:val="20"/>
          <w:szCs w:val="21"/>
        </w:rPr>
        <w:t>授权代表签名：</w:t>
      </w:r>
      <w:r>
        <w:rPr>
          <w:rFonts w:ascii="宋体" w:hAnsi="宋体" w:cs="宋体"/>
          <w:color w:val="auto"/>
          <w:spacing w:val="20"/>
          <w:szCs w:val="21"/>
        </w:rPr>
        <w:t xml:space="preserve">          </w:t>
      </w:r>
    </w:p>
    <w:p>
      <w:pPr>
        <w:snapToGrid w:val="0"/>
        <w:spacing w:line="420" w:lineRule="exact"/>
        <w:ind w:firstLine="500" w:firstLineChars="200"/>
        <w:jc w:val="left"/>
        <w:rPr>
          <w:rFonts w:ascii="宋体" w:cs="宋体"/>
          <w:b/>
          <w:color w:val="auto"/>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3.2.5 </w:t>
      </w:r>
      <w:r>
        <w:rPr>
          <w:rFonts w:hint="eastAsia" w:ascii="宋体" w:hAnsi="宋体" w:cs="宋体"/>
          <w:b/>
          <w:color w:val="auto"/>
          <w:szCs w:val="21"/>
        </w:rPr>
        <w:t>投标人需要说明的其他文件和说明；</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line="420" w:lineRule="exact"/>
        <w:ind w:firstLine="422" w:firstLineChars="200"/>
        <w:jc w:val="left"/>
        <w:rPr>
          <w:rFonts w:ascii="宋体"/>
          <w:color w:val="auto"/>
          <w:spacing w:val="20"/>
          <w:sz w:val="22"/>
          <w:szCs w:val="22"/>
          <w:u w:val="single"/>
        </w:rPr>
      </w:pPr>
      <w:r>
        <w:rPr>
          <w:rFonts w:ascii="宋体" w:hAnsi="宋体" w:cs="宋体"/>
          <w:b/>
          <w:color w:val="auto"/>
          <w:szCs w:val="21"/>
        </w:rPr>
        <w:t xml:space="preserve">3.2.6 </w:t>
      </w:r>
      <w:r>
        <w:rPr>
          <w:rFonts w:hint="eastAsia" w:ascii="宋体" w:hAnsi="宋体" w:cs="宋体"/>
          <w:b/>
          <w:color w:val="auto"/>
          <w:szCs w:val="21"/>
        </w:rPr>
        <w:t>投标人的类似成功案例的业绩证明文件（格式自拟，投标人需附中标通知书、合同、验收单复印件）</w:t>
      </w:r>
    </w:p>
    <w:p>
      <w:pPr>
        <w:rPr>
          <w:color w:val="auto"/>
        </w:rPr>
      </w:pPr>
    </w:p>
    <w:p>
      <w:pPr>
        <w:pStyle w:val="17"/>
        <w:snapToGrid w:val="0"/>
        <w:rPr>
          <w:rFonts w:ascii="宋体" w:hAnsi="宋体" w:eastAsia="宋体" w:cs="宋体"/>
          <w:color w:val="auto"/>
          <w:sz w:val="21"/>
          <w:szCs w:val="21"/>
          <w:u w:val="single"/>
        </w:rPr>
      </w:pPr>
      <w:r>
        <w:rPr>
          <w:rFonts w:hint="eastAsia" w:ascii="宋体" w:hAnsi="宋体" w:eastAsia="宋体" w:cs="宋体"/>
          <w:color w:val="auto"/>
          <w:sz w:val="21"/>
          <w:szCs w:val="21"/>
        </w:rPr>
        <w:t>法定代表人签字：</w:t>
      </w:r>
      <w:r>
        <w:rPr>
          <w:rFonts w:hint="eastAsia" w:ascii="宋体" w:hAnsi="宋体" w:eastAsia="宋体" w:cs="宋体"/>
          <w:color w:val="auto"/>
          <w:sz w:val="21"/>
          <w:szCs w:val="21"/>
          <w:u w:val="single"/>
        </w:rPr>
        <w:t>　　　　</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u w:val="single"/>
        </w:rPr>
        <w:t>　</w:t>
      </w:r>
    </w:p>
    <w:p>
      <w:pPr>
        <w:rPr>
          <w:color w:val="auto"/>
        </w:rPr>
      </w:pPr>
    </w:p>
    <w:p>
      <w:pPr>
        <w:snapToGrid w:val="0"/>
        <w:spacing w:before="50"/>
        <w:jc w:val="left"/>
        <w:rPr>
          <w:rFonts w:ascii="宋体" w:cs="宋体"/>
          <w:color w:val="auto"/>
          <w:szCs w:val="21"/>
        </w:rPr>
      </w:pPr>
      <w:r>
        <w:rPr>
          <w:rFonts w:hint="eastAsia" w:ascii="宋体" w:hAnsi="宋体" w:cs="宋体"/>
          <w:color w:val="auto"/>
          <w:szCs w:val="21"/>
        </w:rPr>
        <w:t>投标人公章：</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50"/>
        <w:jc w:val="left"/>
        <w:rPr>
          <w:color w:val="auto"/>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588" w:lineRule="exact"/>
        <w:jc w:val="left"/>
        <w:rPr>
          <w:rFonts w:hint="eastAsia" w:ascii="宋体" w:hAnsi="宋体" w:cs="宋体"/>
          <w:b/>
          <w:color w:val="auto"/>
          <w:szCs w:val="21"/>
        </w:rPr>
      </w:pPr>
      <w:r>
        <w:rPr>
          <w:rFonts w:ascii="宋体" w:hAnsi="宋体" w:cs="宋体"/>
          <w:b/>
          <w:color w:val="auto"/>
          <w:szCs w:val="21"/>
        </w:rPr>
        <w:t xml:space="preserve">3.2.7 </w:t>
      </w:r>
      <w:r>
        <w:rPr>
          <w:rFonts w:hint="eastAsia" w:ascii="宋体" w:hAnsi="宋体" w:cs="宋体"/>
          <w:b/>
          <w:color w:val="auto"/>
          <w:szCs w:val="21"/>
        </w:rPr>
        <w:t>投标人符合中小企业划型标准的，按《政府采购促进中小企业发展暂行办法》（财库〔</w:t>
      </w:r>
      <w:r>
        <w:rPr>
          <w:rFonts w:ascii="宋体" w:hAnsi="宋体" w:cs="宋体"/>
          <w:b/>
          <w:color w:val="auto"/>
          <w:szCs w:val="21"/>
        </w:rPr>
        <w:t>2011</w:t>
      </w:r>
      <w:r>
        <w:rPr>
          <w:rFonts w:hint="eastAsia" w:ascii="宋体" w:hAnsi="宋体" w:cs="宋体"/>
          <w:b/>
          <w:color w:val="auto"/>
          <w:szCs w:val="21"/>
        </w:rPr>
        <w:t>〕</w:t>
      </w:r>
      <w:r>
        <w:rPr>
          <w:rFonts w:ascii="宋体" w:hAnsi="宋体" w:cs="宋体"/>
          <w:b/>
          <w:color w:val="auto"/>
          <w:szCs w:val="21"/>
        </w:rPr>
        <w:t>181</w:t>
      </w:r>
      <w:r>
        <w:rPr>
          <w:rFonts w:hint="eastAsia" w:ascii="宋体" w:hAnsi="宋体" w:cs="宋体"/>
          <w:b/>
          <w:color w:val="auto"/>
          <w:szCs w:val="21"/>
        </w:rPr>
        <w:t>号）要求，提供中小企业声明函。监狱企业参加政府采购活动时，应当提供由省级以上监狱管理局、戒毒管理局（含新疆生产建设兵团）出具的属于监狱企业的证明文件。</w:t>
      </w:r>
    </w:p>
    <w:p>
      <w:pPr>
        <w:spacing w:line="588" w:lineRule="exact"/>
        <w:jc w:val="center"/>
        <w:rPr>
          <w:rFonts w:ascii="宋体" w:cs="宋体"/>
          <w:b/>
          <w:color w:val="auto"/>
          <w:spacing w:val="6"/>
          <w:sz w:val="28"/>
          <w:szCs w:val="28"/>
        </w:rPr>
      </w:pPr>
      <w:r>
        <w:rPr>
          <w:rFonts w:hint="eastAsia" w:ascii="宋体" w:hAnsi="宋体" w:cs="宋体"/>
          <w:b/>
          <w:color w:val="auto"/>
          <w:spacing w:val="6"/>
          <w:sz w:val="28"/>
          <w:szCs w:val="28"/>
        </w:rPr>
        <w:t>中小企业声明函</w:t>
      </w:r>
    </w:p>
    <w:p>
      <w:pPr>
        <w:spacing w:line="588" w:lineRule="exact"/>
        <w:rPr>
          <w:rFonts w:ascii="宋体" w:cs="宋体"/>
          <w:b/>
          <w:color w:val="auto"/>
          <w:spacing w:val="6"/>
          <w:sz w:val="30"/>
          <w:szCs w:val="30"/>
        </w:rPr>
      </w:pP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本公司郑重声明，根据《政府采购促进中小企业发展暂行办法》（财库</w:t>
      </w:r>
      <w:r>
        <w:rPr>
          <w:rFonts w:ascii="宋体" w:hAnsi="宋体" w:cs="宋体"/>
          <w:color w:val="auto"/>
          <w:spacing w:val="6"/>
          <w:szCs w:val="21"/>
        </w:rPr>
        <w:t>[2011]181</w:t>
      </w:r>
      <w:r>
        <w:rPr>
          <w:rFonts w:hint="eastAsia" w:ascii="宋体" w:hAnsi="宋体" w:cs="宋体"/>
          <w:color w:val="auto"/>
          <w:spacing w:val="6"/>
          <w:szCs w:val="21"/>
        </w:rPr>
        <w:t>号）的规定，本公司为</w:t>
      </w:r>
      <w:bookmarkStart w:id="383" w:name="OLE_LINK5"/>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383"/>
      <w:r>
        <w:rPr>
          <w:rFonts w:hint="eastAsia" w:ascii="宋体" w:hAnsi="宋体" w:cs="宋体"/>
          <w:color w:val="auto"/>
          <w:spacing w:val="6"/>
          <w:szCs w:val="21"/>
        </w:rPr>
        <w:t>。即，本公司同时满足以下条件：</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1.</w:t>
      </w:r>
      <w:r>
        <w:rPr>
          <w:rFonts w:hint="eastAsia" w:ascii="宋体" w:hAnsi="宋体" w:cs="宋体"/>
          <w:color w:val="auto"/>
          <w:spacing w:val="6"/>
          <w:szCs w:val="21"/>
        </w:rPr>
        <w:t>根据《工业和信息化部、国家统计局、国家发展和改革委员会、财政部关于印发中小企业划型标准规定的通知》（工信部联企业</w:t>
      </w:r>
      <w:r>
        <w:rPr>
          <w:rFonts w:ascii="宋体" w:hAnsi="宋体" w:cs="宋体"/>
          <w:color w:val="auto"/>
          <w:spacing w:val="6"/>
          <w:szCs w:val="21"/>
        </w:rPr>
        <w:t>[2011]300</w:t>
      </w:r>
      <w:r>
        <w:rPr>
          <w:rFonts w:hint="eastAsia" w:ascii="宋体" w:hAnsi="宋体" w:cs="宋体"/>
          <w:color w:val="auto"/>
          <w:spacing w:val="6"/>
          <w:szCs w:val="21"/>
        </w:rPr>
        <w:t>号）规定的划分标准，本公司为</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2.</w:t>
      </w:r>
      <w:r>
        <w:rPr>
          <w:rFonts w:hint="eastAsia" w:ascii="宋体" w:hAnsi="宋体" w:cs="宋体"/>
          <w:color w:val="auto"/>
          <w:spacing w:val="6"/>
          <w:szCs w:val="21"/>
        </w:rPr>
        <w:t>本公司参加</w:t>
      </w:r>
      <w:r>
        <w:rPr>
          <w:rFonts w:ascii="宋体" w:hAnsi="宋体" w:cs="宋体"/>
          <w:color w:val="auto"/>
          <w:spacing w:val="6"/>
          <w:szCs w:val="21"/>
          <w:u w:val="single"/>
        </w:rPr>
        <w:t xml:space="preserve">           </w:t>
      </w:r>
      <w:r>
        <w:rPr>
          <w:rFonts w:hint="eastAsia" w:ascii="宋体" w:hAnsi="宋体" w:cs="宋体"/>
          <w:color w:val="auto"/>
          <w:spacing w:val="6"/>
          <w:szCs w:val="21"/>
        </w:rPr>
        <w:t>单位的</w:t>
      </w:r>
      <w:r>
        <w:rPr>
          <w:rFonts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本公司对上述声明的真实性负责。如有虚假，将依法承担相应责任。</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企业名称（盖章）：</w:t>
      </w:r>
      <w:r>
        <w:rPr>
          <w:rFonts w:ascii="宋体" w:hAnsi="宋体" w:cs="宋体"/>
          <w:color w:val="auto"/>
          <w:spacing w:val="6"/>
          <w:szCs w:val="21"/>
        </w:rPr>
        <w:t xml:space="preserve"> </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日</w:t>
      </w:r>
      <w:r>
        <w:rPr>
          <w:rFonts w:ascii="宋体" w:hAnsi="宋体" w:cs="宋体"/>
          <w:color w:val="auto"/>
          <w:spacing w:val="6"/>
          <w:szCs w:val="21"/>
        </w:rPr>
        <w:t xml:space="preserve">  </w:t>
      </w:r>
      <w:r>
        <w:rPr>
          <w:rFonts w:hint="eastAsia" w:ascii="宋体" w:hAnsi="宋体" w:cs="宋体"/>
          <w:color w:val="auto"/>
          <w:spacing w:val="6"/>
          <w:szCs w:val="21"/>
        </w:rPr>
        <w:t>期：</w:t>
      </w:r>
      <w:r>
        <w:rPr>
          <w:rFonts w:ascii="宋体" w:hAnsi="宋体" w:cs="宋体"/>
          <w:color w:val="auto"/>
          <w:spacing w:val="6"/>
          <w:szCs w:val="21"/>
        </w:rPr>
        <w:t xml:space="preserve">               </w:t>
      </w:r>
    </w:p>
    <w:p>
      <w:pPr>
        <w:tabs>
          <w:tab w:val="left" w:pos="4860"/>
        </w:tabs>
        <w:spacing w:line="588" w:lineRule="exact"/>
        <w:ind w:right="1560"/>
        <w:rPr>
          <w:rFonts w:ascii="宋体" w:cs="宋体"/>
          <w:color w:val="auto"/>
          <w:spacing w:val="6"/>
          <w:szCs w:val="21"/>
        </w:rPr>
      </w:pPr>
      <w:r>
        <w:rPr>
          <w:rFonts w:ascii="宋体" w:hAnsi="宋体" w:cs="宋体"/>
          <w:color w:val="auto"/>
          <w:spacing w:val="6"/>
          <w:szCs w:val="21"/>
        </w:rPr>
        <w:t xml:space="preserve"> </w:t>
      </w:r>
    </w:p>
    <w:p>
      <w:pPr>
        <w:rPr>
          <w:rFonts w:ascii="宋体" w:cs="宋体"/>
          <w:color w:val="auto"/>
          <w:spacing w:val="6"/>
          <w:szCs w:val="21"/>
        </w:rPr>
      </w:pPr>
    </w:p>
    <w:p>
      <w:pPr>
        <w:spacing w:line="360" w:lineRule="auto"/>
        <w:ind w:firstLine="420" w:firstLineChars="200"/>
        <w:rPr>
          <w:rFonts w:ascii="宋体" w:cs="宋体"/>
          <w:bCs/>
          <w:color w:val="auto"/>
        </w:rPr>
      </w:pPr>
    </w:p>
    <w:p>
      <w:pPr>
        <w:rPr>
          <w:rFonts w:ascii="宋体" w:cs="宋体"/>
          <w:color w:val="auto"/>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color w:val="auto"/>
        </w:rPr>
      </w:pPr>
      <w:r>
        <w:rPr>
          <w:rFonts w:ascii="宋体" w:hAnsi="宋体" w:cs="宋体"/>
          <w:b/>
          <w:color w:val="auto"/>
          <w:szCs w:val="21"/>
        </w:rPr>
        <w:t xml:space="preserve">3.2.8  </w:t>
      </w:r>
      <w:r>
        <w:rPr>
          <w:rFonts w:hint="eastAsia" w:ascii="宋体" w:hAnsi="宋体" w:cs="宋体"/>
          <w:b/>
          <w:color w:val="auto"/>
          <w:szCs w:val="21"/>
        </w:rPr>
        <w:t>投标产品符合《招标采购促进广西工业产品产销对接实施细则的通知》（桂政办发【</w:t>
      </w:r>
      <w:r>
        <w:rPr>
          <w:rFonts w:ascii="宋体" w:hAnsi="宋体" w:cs="宋体"/>
          <w:b/>
          <w:color w:val="auto"/>
          <w:szCs w:val="21"/>
        </w:rPr>
        <w:t>2015</w:t>
      </w:r>
      <w:r>
        <w:rPr>
          <w:rFonts w:hint="eastAsia" w:ascii="宋体" w:hAnsi="宋体" w:cs="宋体"/>
          <w:b/>
          <w:color w:val="auto"/>
          <w:szCs w:val="21"/>
        </w:rPr>
        <w:t>】</w:t>
      </w:r>
      <w:r>
        <w:rPr>
          <w:rFonts w:ascii="宋体" w:hAnsi="宋体" w:cs="宋体"/>
          <w:b/>
          <w:color w:val="auto"/>
          <w:szCs w:val="21"/>
        </w:rPr>
        <w:t>78</w:t>
      </w:r>
      <w:r>
        <w:rPr>
          <w:rFonts w:hint="eastAsia" w:ascii="宋体" w:hAnsi="宋体" w:cs="宋体"/>
          <w:b/>
          <w:color w:val="auto"/>
          <w:szCs w:val="21"/>
        </w:rPr>
        <w:t>号）要求的，提供广西工业产品声明函</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广西工业产品声明函</w:t>
      </w:r>
    </w:p>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 w:val="24"/>
        </w:rPr>
        <w:t>　　</w:t>
      </w:r>
      <w:r>
        <w:rPr>
          <w:rFonts w:hint="eastAsia" w:ascii="宋体" w:hAnsi="宋体" w:cs="宋体"/>
          <w:color w:val="auto"/>
          <w:kern w:val="0"/>
          <w:szCs w:val="21"/>
        </w:rPr>
        <w:t>本公司郑重声明</w:t>
      </w:r>
      <w:r>
        <w:rPr>
          <w:rFonts w:ascii="宋体" w:cs="宋体"/>
          <w:color w:val="auto"/>
          <w:kern w:val="0"/>
          <w:szCs w:val="21"/>
        </w:rPr>
        <w:t>,</w:t>
      </w:r>
      <w:r>
        <w:rPr>
          <w:rFonts w:hint="eastAsia" w:ascii="宋体" w:hAnsi="宋体" w:cs="宋体"/>
          <w:color w:val="auto"/>
          <w:kern w:val="0"/>
          <w:szCs w:val="21"/>
        </w:rPr>
        <w:t>根据《招标采购促进广西工业产品产销对接实施细则》的规定</w:t>
      </w:r>
      <w:r>
        <w:rPr>
          <w:rFonts w:ascii="宋体" w:cs="宋体"/>
          <w:color w:val="auto"/>
          <w:kern w:val="0"/>
          <w:szCs w:val="21"/>
        </w:rPr>
        <w:t>,</w:t>
      </w:r>
      <w:r>
        <w:rPr>
          <w:rFonts w:hint="eastAsia" w:ascii="宋体" w:hAnsi="宋体" w:cs="宋体"/>
          <w:color w:val="auto"/>
          <w:kern w:val="0"/>
          <w:szCs w:val="21"/>
        </w:rPr>
        <w:t>本公司在本次投标</w:t>
      </w:r>
      <w:r>
        <w:rPr>
          <w:rFonts w:ascii="宋体" w:hAnsi="宋体" w:cs="宋体"/>
          <w:color w:val="auto"/>
          <w:kern w:val="0"/>
          <w:szCs w:val="21"/>
        </w:rPr>
        <w:t>/</w:t>
      </w:r>
      <w:r>
        <w:rPr>
          <w:rFonts w:hint="eastAsia" w:ascii="宋体" w:hAnsi="宋体" w:cs="宋体"/>
          <w:color w:val="auto"/>
          <w:kern w:val="0"/>
          <w:szCs w:val="21"/>
        </w:rPr>
        <w:t>投标中或者工程项目中提供的下述产品为广西工业产品</w:t>
      </w:r>
      <w:r>
        <w:rPr>
          <w:rFonts w:ascii="宋体" w:cs="宋体"/>
          <w:color w:val="auto"/>
          <w:kern w:val="0"/>
          <w:szCs w:val="21"/>
        </w:rPr>
        <w:t>,</w:t>
      </w:r>
      <w:r>
        <w:rPr>
          <w:rFonts w:hint="eastAsia" w:ascii="宋体" w:hAnsi="宋体" w:cs="宋体"/>
          <w:color w:val="auto"/>
          <w:kern w:val="0"/>
          <w:szCs w:val="21"/>
        </w:rPr>
        <w:t>详情如下</w:t>
      </w:r>
      <w:r>
        <w:rPr>
          <w:rFonts w:ascii="宋体" w:hAnsi="宋体" w:cs="宋体"/>
          <w:color w:val="auto"/>
          <w:kern w:val="0"/>
          <w:szCs w:val="21"/>
        </w:rPr>
        <w:t>:</w:t>
      </w:r>
    </w:p>
    <w:tbl>
      <w:tblPr>
        <w:tblStyle w:val="40"/>
        <w:tblW w:w="0" w:type="auto"/>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广西工业产品</w:t>
            </w:r>
          </w:p>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bl>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Cs w:val="21"/>
        </w:rPr>
        <w:t>　　本公司对上述声明的真实性负责。如有虚假</w:t>
      </w:r>
      <w:r>
        <w:rPr>
          <w:rFonts w:ascii="宋体" w:cs="宋体"/>
          <w:color w:val="auto"/>
          <w:kern w:val="0"/>
          <w:szCs w:val="21"/>
        </w:rPr>
        <w:t>,</w:t>
      </w:r>
      <w:r>
        <w:rPr>
          <w:rFonts w:hint="eastAsia" w:ascii="宋体" w:hAnsi="宋体" w:cs="宋体"/>
          <w:color w:val="auto"/>
          <w:kern w:val="0"/>
          <w:szCs w:val="21"/>
        </w:rPr>
        <w:t>将依法承担相应责任。</w:t>
      </w:r>
    </w:p>
    <w:p>
      <w:pPr>
        <w:widowControl/>
        <w:spacing w:before="100" w:beforeAutospacing="1" w:after="100" w:afterAutospacing="1" w:line="425" w:lineRule="atLeast"/>
        <w:jc w:val="left"/>
        <w:rPr>
          <w:rFonts w:ascii="宋体" w:cs="宋体"/>
          <w:color w:val="auto"/>
          <w:kern w:val="0"/>
          <w:sz w:val="24"/>
        </w:rPr>
      </w:pPr>
      <w:r>
        <w:rPr>
          <w:rFonts w:ascii="宋体" w:cs="宋体"/>
          <w:color w:val="auto"/>
          <w:kern w:val="0"/>
          <w:sz w:val="24"/>
        </w:rPr>
        <w:t>                                                    </w:t>
      </w:r>
      <w:r>
        <w:rPr>
          <w:rFonts w:ascii="宋体" w:hAnsi="宋体" w:cs="宋体"/>
          <w:color w:val="auto"/>
          <w:kern w:val="0"/>
          <w:sz w:val="24"/>
        </w:rPr>
        <w:t xml:space="preserve">                    </w:t>
      </w:r>
    </w:p>
    <w:p>
      <w:pPr>
        <w:widowControl/>
        <w:spacing w:before="100" w:beforeAutospacing="1" w:after="100" w:afterAutospacing="1" w:line="425" w:lineRule="atLeast"/>
        <w:ind w:firstLine="5280" w:firstLineChars="2200"/>
        <w:jc w:val="left"/>
        <w:rPr>
          <w:rFonts w:ascii="宋体" w:cs="宋体"/>
          <w:color w:val="auto"/>
          <w:kern w:val="0"/>
          <w:sz w:val="24"/>
        </w:rPr>
      </w:pPr>
      <w:r>
        <w:rPr>
          <w:rFonts w:ascii="宋体" w:hAnsi="宋体" w:cs="宋体"/>
          <w:color w:val="auto"/>
          <w:kern w:val="0"/>
          <w:sz w:val="24"/>
        </w:rPr>
        <w:t xml:space="preserve">  </w:t>
      </w:r>
      <w:r>
        <w:rPr>
          <w:rFonts w:hint="eastAsia" w:ascii="宋体" w:hAnsi="宋体" w:cs="宋体"/>
          <w:color w:val="auto"/>
          <w:kern w:val="0"/>
          <w:sz w:val="24"/>
        </w:rPr>
        <w:t>企业名称</w:t>
      </w:r>
      <w:r>
        <w:rPr>
          <w:rFonts w:ascii="宋体" w:hAnsi="宋体" w:cs="宋体"/>
          <w:color w:val="auto"/>
          <w:kern w:val="0"/>
          <w:sz w:val="24"/>
        </w:rPr>
        <w:t>(</w:t>
      </w:r>
      <w:r>
        <w:rPr>
          <w:rFonts w:hint="eastAsia" w:ascii="宋体" w:hAnsi="宋体" w:cs="宋体"/>
          <w:color w:val="auto"/>
          <w:kern w:val="0"/>
          <w:sz w:val="24"/>
        </w:rPr>
        <w:t>盖章</w:t>
      </w:r>
      <w:r>
        <w:rPr>
          <w:rFonts w:ascii="宋体" w:hAnsi="宋体" w:cs="宋体"/>
          <w:color w:val="auto"/>
          <w:kern w:val="0"/>
          <w:sz w:val="24"/>
        </w:rPr>
        <w:t>):</w:t>
      </w:r>
    </w:p>
    <w:p>
      <w:pPr>
        <w:rPr>
          <w:rFonts w:ascii="宋体" w:cs="宋体"/>
          <w:color w:val="auto"/>
        </w:rPr>
      </w:pP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日</w:t>
      </w:r>
      <w:r>
        <w:rPr>
          <w:rFonts w:ascii="宋体" w:hAnsi="宋体" w:cs="宋体"/>
          <w:color w:val="auto"/>
          <w:kern w:val="0"/>
          <w:sz w:val="24"/>
        </w:rPr>
        <w:t xml:space="preserve"> </w:t>
      </w:r>
      <w:r>
        <w:rPr>
          <w:rFonts w:hint="eastAsia" w:ascii="宋体" w:hAnsi="宋体" w:cs="宋体"/>
          <w:color w:val="auto"/>
          <w:kern w:val="0"/>
          <w:sz w:val="24"/>
        </w:rPr>
        <w:t>期</w:t>
      </w:r>
      <w:r>
        <w:rPr>
          <w:rFonts w:ascii="宋体" w:hAnsi="宋体" w:cs="宋体"/>
          <w:color w:val="auto"/>
          <w:kern w:val="0"/>
          <w:sz w:val="24"/>
        </w:rPr>
        <w:t>:</w:t>
      </w:r>
    </w:p>
    <w:p>
      <w:pPr>
        <w:rPr>
          <w:rFonts w:ascii="宋体" w:cs="宋体"/>
          <w:color w:val="auto"/>
        </w:rPr>
      </w:pPr>
    </w:p>
    <w:p>
      <w:pPr>
        <w:rPr>
          <w:rFonts w:ascii="宋体" w:cs="宋体"/>
          <w:color w:val="auto"/>
        </w:rPr>
      </w:pPr>
    </w:p>
    <w:p>
      <w:pPr>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rPr>
          <w:rFonts w:ascii="宋体" w:cs="宋体"/>
          <w:color w:val="auto"/>
        </w:rPr>
      </w:pPr>
    </w:p>
    <w:p>
      <w:pPr>
        <w:rPr>
          <w:rFonts w:ascii="宋体" w:cs="宋体"/>
          <w:b/>
          <w:color w:val="auto"/>
          <w:szCs w:val="21"/>
        </w:rPr>
      </w:pPr>
      <w:r>
        <w:rPr>
          <w:rFonts w:ascii="宋体" w:hAnsi="宋体" w:cs="宋体"/>
          <w:b/>
          <w:color w:val="auto"/>
          <w:szCs w:val="21"/>
        </w:rPr>
        <w:t xml:space="preserve">3.2.9  </w:t>
      </w:r>
      <w:r>
        <w:rPr>
          <w:rFonts w:hint="eastAsia" w:ascii="宋体" w:hAnsi="宋体" w:cs="宋体"/>
          <w:b/>
          <w:color w:val="auto"/>
          <w:szCs w:val="21"/>
        </w:rPr>
        <w:t>投标产品提供单位按《关于促进残疾人就业政府采购政策的通知》</w:t>
      </w:r>
      <w:r>
        <w:rPr>
          <w:rFonts w:ascii="宋体" w:hAnsi="宋体" w:cs="宋体"/>
          <w:b/>
          <w:color w:val="auto"/>
          <w:szCs w:val="21"/>
        </w:rPr>
        <w:t>(</w:t>
      </w:r>
      <w:r>
        <w:rPr>
          <w:rFonts w:hint="eastAsia" w:ascii="宋体" w:hAnsi="宋体" w:cs="宋体"/>
          <w:b/>
          <w:color w:val="auto"/>
          <w:szCs w:val="21"/>
        </w:rPr>
        <w:t>财库〔</w:t>
      </w:r>
      <w:r>
        <w:rPr>
          <w:rFonts w:ascii="宋体" w:hAnsi="宋体" w:cs="宋体"/>
          <w:b/>
          <w:color w:val="auto"/>
          <w:szCs w:val="21"/>
        </w:rPr>
        <w:t>2017</w:t>
      </w:r>
      <w:r>
        <w:rPr>
          <w:rFonts w:hint="eastAsia" w:ascii="宋体" w:hAnsi="宋体" w:cs="宋体"/>
          <w:b/>
          <w:color w:val="auto"/>
          <w:szCs w:val="21"/>
        </w:rPr>
        <w:t>〕</w:t>
      </w:r>
      <w:r>
        <w:rPr>
          <w:rFonts w:ascii="宋体" w:hAnsi="宋体" w:cs="宋体"/>
          <w:b/>
          <w:color w:val="auto"/>
          <w:szCs w:val="21"/>
        </w:rPr>
        <w:t>141</w:t>
      </w:r>
      <w:r>
        <w:rPr>
          <w:rFonts w:hint="eastAsia" w:ascii="宋体" w:hAnsi="宋体" w:cs="宋体"/>
          <w:b/>
          <w:color w:val="auto"/>
          <w:szCs w:val="21"/>
        </w:rPr>
        <w:t>号</w:t>
      </w:r>
      <w:r>
        <w:rPr>
          <w:rFonts w:ascii="宋体" w:hAnsi="宋体" w:cs="宋体"/>
          <w:b/>
          <w:color w:val="auto"/>
          <w:szCs w:val="21"/>
        </w:rPr>
        <w:t>)</w:t>
      </w:r>
      <w:r>
        <w:rPr>
          <w:rFonts w:hint="eastAsia" w:ascii="宋体" w:hAnsi="宋体" w:cs="宋体"/>
          <w:b/>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b/>
          <w:color w:val="auto"/>
          <w:szCs w:val="21"/>
        </w:rPr>
        <w:t>(</w:t>
      </w:r>
      <w:r>
        <w:rPr>
          <w:rFonts w:hint="eastAsia" w:ascii="宋体" w:hAnsi="宋体" w:cs="宋体"/>
          <w:b/>
          <w:color w:val="auto"/>
          <w:szCs w:val="21"/>
        </w:rPr>
        <w:t>格式见第六章</w:t>
      </w:r>
      <w:r>
        <w:rPr>
          <w:rFonts w:ascii="宋体" w:hAnsi="宋体" w:cs="宋体"/>
          <w:b/>
          <w:color w:val="auto"/>
          <w:szCs w:val="21"/>
        </w:rPr>
        <w:t>)</w:t>
      </w:r>
    </w:p>
    <w:p>
      <w:pPr>
        <w:rPr>
          <w:rFonts w:ascii="宋体" w:cs="宋体"/>
          <w:color w:val="auto"/>
        </w:rPr>
      </w:pPr>
      <w:r>
        <w:rPr>
          <w:rFonts w:hint="eastAsia" w:ascii="宋体" w:hAnsi="宋体" w:cs="宋体"/>
          <w:b/>
          <w:color w:val="auto"/>
          <w:szCs w:val="21"/>
        </w:rPr>
        <w:t>广西工业产品声明函格式：</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残疾人福利性单位声明函</w:t>
      </w:r>
    </w:p>
    <w:p>
      <w:pPr>
        <w:widowControl/>
        <w:spacing w:before="100" w:beforeAutospacing="1" w:after="100" w:afterAutospacing="1" w:line="425" w:lineRule="atLeast"/>
        <w:jc w:val="left"/>
        <w:rPr>
          <w:rFonts w:ascii="宋体" w:cs="宋体"/>
          <w:color w:val="auto"/>
          <w:kern w:val="0"/>
          <w:sz w:val="24"/>
        </w:rPr>
      </w:pP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本单位郑重声明，根据《财政部</w:t>
      </w:r>
      <w:r>
        <w:rPr>
          <w:rFonts w:ascii="宋体" w:hAnsi="宋体" w:cs="宋体"/>
          <w:color w:val="auto"/>
          <w:kern w:val="0"/>
          <w:szCs w:val="21"/>
        </w:rPr>
        <w:t xml:space="preserve"> </w:t>
      </w:r>
      <w:r>
        <w:rPr>
          <w:rFonts w:hint="eastAsia" w:ascii="宋体" w:hAnsi="宋体" w:cs="宋体"/>
          <w:color w:val="auto"/>
          <w:kern w:val="0"/>
          <w:szCs w:val="21"/>
        </w:rPr>
        <w:t>民政部</w:t>
      </w:r>
      <w:r>
        <w:rPr>
          <w:rFonts w:ascii="宋体" w:hAnsi="宋体" w:cs="宋体"/>
          <w:color w:val="auto"/>
          <w:kern w:val="0"/>
          <w:szCs w:val="21"/>
        </w:rPr>
        <w:t xml:space="preserve"> </w:t>
      </w:r>
      <w:r>
        <w:rPr>
          <w:rFonts w:hint="eastAsia" w:ascii="宋体" w:hAnsi="宋体" w:cs="宋体"/>
          <w:color w:val="auto"/>
          <w:kern w:val="0"/>
          <w:szCs w:val="21"/>
        </w:rPr>
        <w:t>中国残疾人联合会关于促进残疾人就业政府采购政策的通知》（财库〔</w:t>
      </w:r>
      <w:r>
        <w:rPr>
          <w:rFonts w:ascii="宋体" w:hAnsi="宋体" w:cs="宋体"/>
          <w:color w:val="auto"/>
          <w:kern w:val="0"/>
          <w:szCs w:val="21"/>
        </w:rPr>
        <w:t>2017</w:t>
      </w:r>
      <w:r>
        <w:rPr>
          <w:rFonts w:hint="eastAsia" w:ascii="宋体" w:hAnsi="宋体" w:cs="宋体"/>
          <w:color w:val="auto"/>
          <w:kern w:val="0"/>
          <w:szCs w:val="21"/>
        </w:rPr>
        <w:t>〕</w:t>
      </w:r>
      <w:r>
        <w:rPr>
          <w:rFonts w:ascii="宋体" w:hAnsi="宋体" w:cs="宋体"/>
          <w:color w:val="auto"/>
          <w:kern w:val="0"/>
          <w:szCs w:val="21"/>
        </w:rPr>
        <w:t>141</w:t>
      </w:r>
      <w:r>
        <w:rPr>
          <w:rFonts w:hint="eastAsia" w:ascii="宋体" w:hAnsi="宋体" w:cs="宋体"/>
          <w:color w:val="auto"/>
          <w:kern w:val="0"/>
          <w:szCs w:val="21"/>
        </w:rPr>
        <w:t>号）的规定，本单位为符合条件的残疾人福利性单位，且本单位参加</w:t>
      </w:r>
      <w:r>
        <w:rPr>
          <w:rFonts w:ascii="宋体" w:hAnsi="宋体" w:cs="宋体"/>
          <w:color w:val="auto"/>
          <w:kern w:val="0"/>
          <w:szCs w:val="21"/>
          <w:u w:val="single"/>
        </w:rPr>
        <w:t xml:space="preserve">             </w:t>
      </w:r>
      <w:r>
        <w:rPr>
          <w:rFonts w:hint="eastAsia" w:ascii="宋体" w:hAnsi="宋体" w:cs="宋体"/>
          <w:color w:val="auto"/>
          <w:kern w:val="0"/>
          <w:szCs w:val="21"/>
        </w:rPr>
        <w:t>单位的</w:t>
      </w:r>
      <w:r>
        <w:rPr>
          <w:rFonts w:ascii="宋体" w:hAnsi="宋体" w:cs="宋体"/>
          <w:color w:val="auto"/>
          <w:kern w:val="0"/>
          <w:szCs w:val="21"/>
          <w:u w:val="single"/>
        </w:rPr>
        <w:t xml:space="preserve">                  </w:t>
      </w:r>
      <w:r>
        <w:rPr>
          <w:rFonts w:hint="eastAsia" w:ascii="宋体" w:hAnsi="宋体" w:cs="宋体"/>
          <w:color w:val="auto"/>
          <w:kern w:val="0"/>
          <w:szCs w:val="21"/>
        </w:rPr>
        <w:t>项目采购活动提供本单位制造的货物（由本单位承担工程</w:t>
      </w:r>
      <w:r>
        <w:rPr>
          <w:rFonts w:ascii="宋体" w:hAnsi="宋体" w:cs="宋体"/>
          <w:color w:val="auto"/>
          <w:kern w:val="0"/>
          <w:szCs w:val="21"/>
        </w:rPr>
        <w:t>/</w:t>
      </w:r>
      <w:r>
        <w:rPr>
          <w:rFonts w:hint="eastAsia" w:ascii="宋体" w:hAnsi="宋体" w:cs="宋体"/>
          <w:color w:val="auto"/>
          <w:kern w:val="0"/>
          <w:szCs w:val="21"/>
        </w:rPr>
        <w:t>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单位名称（盖章）：</w:t>
      </w: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日</w:t>
      </w:r>
      <w:r>
        <w:rPr>
          <w:rFonts w:ascii="宋体" w:hAnsi="宋体" w:cs="宋体"/>
          <w:color w:val="auto"/>
          <w:kern w:val="0"/>
          <w:szCs w:val="21"/>
        </w:rPr>
        <w:t xml:space="preserve">  </w:t>
      </w:r>
      <w:r>
        <w:rPr>
          <w:rFonts w:hint="eastAsia" w:ascii="宋体" w:hAnsi="宋体" w:cs="宋体"/>
          <w:color w:val="auto"/>
          <w:kern w:val="0"/>
          <w:szCs w:val="21"/>
        </w:rPr>
        <w:t>期</w:t>
      </w:r>
    </w:p>
    <w:p>
      <w:pPr>
        <w:widowControl/>
        <w:spacing w:before="100" w:beforeAutospacing="1" w:after="100" w:afterAutospacing="1" w:line="400" w:lineRule="exact"/>
        <w:jc w:val="left"/>
        <w:rPr>
          <w:rFonts w:ascii="宋体" w:cs="宋体"/>
          <w:color w:val="auto"/>
          <w:kern w:val="0"/>
          <w:sz w:val="24"/>
        </w:rPr>
      </w:pPr>
    </w:p>
    <w:p>
      <w:pPr>
        <w:widowControl/>
        <w:spacing w:before="100" w:beforeAutospacing="1" w:after="100" w:afterAutospacing="1" w:line="400" w:lineRule="exact"/>
        <w:jc w:val="left"/>
        <w:rPr>
          <w:rFonts w:ascii="宋体" w:cs="宋体"/>
          <w:b/>
          <w:color w:val="auto"/>
          <w:szCs w:val="21"/>
        </w:rPr>
      </w:pPr>
      <w:r>
        <w:rPr>
          <w:rFonts w:hint="eastAsia" w:ascii="宋体" w:hAnsi="宋体" w:cs="宋体"/>
          <w:color w:val="auto"/>
          <w:kern w:val="0"/>
          <w:szCs w:val="21"/>
        </w:rPr>
        <w:t>注：投标人如为残疾人福利性单位并提供本《残疾人福利性单位声明函》的，必须对声明的真实性负责。</w:t>
      </w: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pStyle w:val="84"/>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w:t>
      </w:r>
    </w:p>
    <w:p>
      <w:pPr>
        <w:snapToGrid w:val="0"/>
        <w:spacing w:before="50" w:afterLines="50"/>
        <w:jc w:val="left"/>
        <w:rPr>
          <w:rFonts w:ascii="宋体" w:cs="宋体"/>
          <w:b/>
          <w:bCs/>
          <w:color w:val="auto"/>
          <w:szCs w:val="21"/>
        </w:rPr>
      </w:pPr>
      <w:r>
        <w:rPr>
          <w:rFonts w:ascii="宋体" w:hAnsi="宋体" w:cs="宋体"/>
          <w:b/>
          <w:bCs/>
          <w:color w:val="auto"/>
          <w:szCs w:val="21"/>
        </w:rPr>
        <w:t xml:space="preserve">3.3.1 </w:t>
      </w:r>
      <w:r>
        <w:rPr>
          <w:rFonts w:hint="eastAsia" w:ascii="宋体" w:hAnsi="宋体" w:cs="宋体"/>
          <w:b/>
          <w:color w:val="auto"/>
          <w:szCs w:val="21"/>
        </w:rPr>
        <w:t>投标产品配置清单格式：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color w:val="auto"/>
          <w:szCs w:val="21"/>
        </w:rPr>
      </w:pPr>
      <w:r>
        <w:rPr>
          <w:rFonts w:hint="eastAsia" w:ascii="宋体" w:hAnsi="宋体" w:cs="宋体"/>
          <w:color w:val="auto"/>
          <w:szCs w:val="21"/>
        </w:rPr>
        <w:t>项目编号：</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7"/>
        <w:gridCol w:w="1696"/>
        <w:gridCol w:w="1478"/>
        <w:gridCol w:w="3935"/>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67"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序号</w:t>
            </w:r>
          </w:p>
        </w:tc>
        <w:tc>
          <w:tcPr>
            <w:tcW w:w="1696"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采购内容</w:t>
            </w:r>
          </w:p>
        </w:tc>
        <w:tc>
          <w:tcPr>
            <w:tcW w:w="1478" w:type="dxa"/>
            <w:tcBorders>
              <w:top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产地、厂家</w:t>
            </w:r>
          </w:p>
        </w:tc>
        <w:tc>
          <w:tcPr>
            <w:tcW w:w="3935" w:type="dxa"/>
            <w:tcBorders>
              <w:top w:val="single" w:color="auto" w:sz="4" w:space="0"/>
              <w:lef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详细项目内容或技术参数</w:t>
            </w:r>
          </w:p>
        </w:tc>
        <w:tc>
          <w:tcPr>
            <w:tcW w:w="1310"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数</w:t>
            </w:r>
            <w:r>
              <w:rPr>
                <w:rFonts w:ascii="宋体" w:hAnsi="宋体" w:cs="宋体"/>
                <w:color w:val="auto"/>
                <w:szCs w:val="21"/>
              </w:rPr>
              <w:t xml:space="preserve">  </w:t>
            </w:r>
            <w:r>
              <w:rPr>
                <w:rFonts w:hint="eastAsia" w:ascii="宋体" w:hAnsi="宋体" w:cs="宋体"/>
                <w:color w:val="auto"/>
                <w:szCs w:val="21"/>
              </w:rPr>
              <w:t>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1</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2</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867" w:type="dxa"/>
            <w:tcBorders>
              <w:bottom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w:t>
            </w:r>
          </w:p>
        </w:tc>
        <w:tc>
          <w:tcPr>
            <w:tcW w:w="1696"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c>
          <w:tcPr>
            <w:tcW w:w="1478" w:type="dxa"/>
            <w:tcBorders>
              <w:bottom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bottom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r>
    </w:tbl>
    <w:p>
      <w:pPr>
        <w:snapToGrid w:val="0"/>
        <w:spacing w:before="50" w:afterLines="50"/>
        <w:ind w:firstLine="315" w:firstLineChars="150"/>
        <w:jc w:val="left"/>
        <w:rPr>
          <w:rFonts w:ascii="宋体" w:cs="宋体"/>
          <w:color w:val="auto"/>
          <w:szCs w:val="21"/>
          <w:u w:val="single"/>
        </w:rPr>
      </w:pPr>
    </w:p>
    <w:p>
      <w:pPr>
        <w:snapToGrid w:val="0"/>
        <w:spacing w:before="50" w:after="50"/>
        <w:rPr>
          <w:rFonts w:ascii="宋体" w:cs="宋体"/>
          <w:color w:val="auto"/>
          <w:spacing w:val="20"/>
          <w:szCs w:val="21"/>
        </w:rPr>
      </w:pPr>
    </w:p>
    <w:p>
      <w:pPr>
        <w:snapToGrid w:val="0"/>
        <w:spacing w:before="50" w:after="50"/>
        <w:ind w:firstLine="4000" w:firstLineChars="16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ind w:firstLine="4000" w:firstLineChars="1600"/>
        <w:rPr>
          <w:rFonts w:ascii="宋体" w:hAnsi="宋体" w:cs="宋体"/>
          <w:color w:val="auto"/>
          <w:spacing w:val="20"/>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p>
    <w:p>
      <w:pPr>
        <w:snapToGrid w:val="0"/>
        <w:spacing w:before="50" w:after="50"/>
        <w:ind w:firstLine="4000" w:firstLineChars="1600"/>
        <w:rPr>
          <w:rFonts w:ascii="宋体" w:cs="宋体"/>
          <w:b/>
          <w:color w:val="auto"/>
          <w:szCs w:val="21"/>
        </w:rPr>
      </w:pP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84"/>
        <w:rPr>
          <w:rFonts w:ascii="宋体" w:cs="宋体"/>
          <w:b/>
          <w:color w:val="auto"/>
          <w:szCs w:val="21"/>
        </w:rPr>
      </w:pPr>
    </w:p>
    <w:p>
      <w:pPr>
        <w:snapToGrid w:val="0"/>
        <w:spacing w:before="50" w:afterLines="50" w:line="260" w:lineRule="exact"/>
        <w:jc w:val="left"/>
        <w:rPr>
          <w:rFonts w:ascii="宋体" w:cs="宋体"/>
          <w:b/>
          <w:color w:val="auto"/>
          <w:szCs w:val="21"/>
        </w:rPr>
      </w:pPr>
    </w:p>
    <w:p>
      <w:pPr>
        <w:snapToGrid w:val="0"/>
        <w:spacing w:before="50" w:afterLines="50" w:line="260" w:lineRule="exact"/>
        <w:jc w:val="left"/>
        <w:rPr>
          <w:rFonts w:ascii="宋体" w:cs="宋体"/>
          <w:b/>
          <w:color w:val="auto"/>
          <w:szCs w:val="21"/>
        </w:rPr>
      </w:pPr>
      <w:r>
        <w:rPr>
          <w:rFonts w:ascii="宋体" w:hAnsi="宋体" w:cs="宋体"/>
          <w:b/>
          <w:color w:val="auto"/>
          <w:szCs w:val="21"/>
        </w:rPr>
        <w:t xml:space="preserve">3.3.2  </w:t>
      </w:r>
      <w:r>
        <w:rPr>
          <w:rFonts w:hint="eastAsia" w:ascii="宋体" w:hAnsi="宋体" w:cs="宋体"/>
          <w:b/>
          <w:color w:val="auto"/>
          <w:szCs w:val="21"/>
        </w:rPr>
        <w:t>产品技术响应表格式：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b/>
          <w:color w:val="auto"/>
          <w:szCs w:val="21"/>
        </w:rPr>
      </w:pPr>
      <w:r>
        <w:rPr>
          <w:rFonts w:hint="eastAsia" w:ascii="宋体" w:hAnsi="宋体" w:cs="宋体"/>
          <w:color w:val="auto"/>
          <w:szCs w:val="21"/>
        </w:rPr>
        <w:t>项目编号：</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1268"/>
        <w:gridCol w:w="2594"/>
        <w:gridCol w:w="651"/>
        <w:gridCol w:w="1587"/>
        <w:gridCol w:w="1919"/>
        <w:gridCol w:w="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exact"/>
          <w:jc w:val="center"/>
        </w:trPr>
        <w:tc>
          <w:tcPr>
            <w:tcW w:w="4513" w:type="dxa"/>
            <w:gridSpan w:val="3"/>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384" w:name="_Toc254970558"/>
            <w:bookmarkStart w:id="385" w:name="_Toc254970699"/>
            <w:r>
              <w:rPr>
                <w:rFonts w:hint="eastAsia" w:ascii="宋体" w:hAnsi="宋体" w:cs="宋体"/>
                <w:color w:val="auto"/>
                <w:spacing w:val="20"/>
                <w:szCs w:val="21"/>
              </w:rPr>
              <w:t>招标文件要求</w:t>
            </w:r>
            <w:bookmarkEnd w:id="384"/>
            <w:bookmarkEnd w:id="385"/>
          </w:p>
        </w:tc>
        <w:tc>
          <w:tcPr>
            <w:tcW w:w="4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386" w:name="_Toc254970559"/>
            <w:bookmarkStart w:id="387" w:name="_Toc254970700"/>
            <w:r>
              <w:rPr>
                <w:rFonts w:hint="eastAsia" w:ascii="宋体" w:hAnsi="宋体" w:cs="宋体"/>
                <w:color w:val="auto"/>
                <w:spacing w:val="20"/>
                <w:szCs w:val="21"/>
              </w:rPr>
              <w:t>投标文件响应</w:t>
            </w:r>
            <w:bookmarkEnd w:id="386"/>
            <w:bookmarkEnd w:id="387"/>
          </w:p>
        </w:tc>
        <w:tc>
          <w:tcPr>
            <w:tcW w:w="917" w:type="dxa"/>
            <w:vMerge w:val="restart"/>
            <w:tcBorders>
              <w:top w:val="single" w:color="auto" w:sz="4" w:space="0"/>
              <w:left w:val="single" w:color="auto" w:sz="4" w:space="0"/>
              <w:bottom w:val="single" w:color="auto" w:sz="4" w:space="0"/>
            </w:tcBorders>
            <w:vAlign w:val="center"/>
          </w:tcPr>
          <w:p>
            <w:pPr>
              <w:pStyle w:val="23"/>
              <w:snapToGrid w:val="0"/>
              <w:spacing w:before="295" w:after="295"/>
              <w:jc w:val="center"/>
              <w:outlineLvl w:val="0"/>
              <w:rPr>
                <w:rFonts w:hAnsi="宋体" w:cs="宋体"/>
                <w:color w:val="auto"/>
                <w:spacing w:val="20"/>
                <w:kern w:val="2"/>
                <w:sz w:val="21"/>
              </w:rPr>
            </w:pPr>
            <w:bookmarkStart w:id="388" w:name="_Toc308018692"/>
            <w:bookmarkStart w:id="389" w:name="_Toc448421155"/>
            <w:bookmarkStart w:id="390" w:name="_Toc18765"/>
            <w:bookmarkStart w:id="391" w:name="_Toc482864564"/>
            <w:bookmarkStart w:id="392" w:name="_Toc400465728"/>
            <w:bookmarkStart w:id="393" w:name="_Toc293863334"/>
            <w:bookmarkStart w:id="394" w:name="_Toc254970701"/>
            <w:bookmarkStart w:id="395" w:name="_Toc254970560"/>
            <w:bookmarkStart w:id="396" w:name="_Toc293863064"/>
            <w:bookmarkStart w:id="397" w:name="_Toc445223695"/>
            <w:bookmarkStart w:id="398" w:name="_Toc483327824"/>
            <w:bookmarkStart w:id="399" w:name="_Toc482865165"/>
            <w:bookmarkStart w:id="400" w:name="_Toc482865335"/>
            <w:r>
              <w:rPr>
                <w:rFonts w:hint="eastAsia" w:hAnsi="宋体" w:cs="宋体"/>
                <w:color w:val="auto"/>
                <w:spacing w:val="20"/>
                <w:kern w:val="2"/>
                <w:sz w:val="21"/>
              </w:rPr>
              <w:t>偏离情况</w:t>
            </w:r>
            <w:bookmarkEnd w:id="388"/>
            <w:bookmarkEnd w:id="389"/>
            <w:bookmarkEnd w:id="390"/>
            <w:bookmarkEnd w:id="391"/>
            <w:bookmarkEnd w:id="392"/>
            <w:bookmarkEnd w:id="393"/>
            <w:bookmarkEnd w:id="394"/>
            <w:bookmarkEnd w:id="395"/>
            <w:bookmarkEnd w:id="396"/>
            <w:bookmarkEnd w:id="397"/>
            <w:bookmarkEnd w:id="398"/>
            <w:bookmarkEnd w:id="399"/>
            <w:bookmarkEnd w:id="40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401" w:name="_Toc254970703"/>
            <w:bookmarkStart w:id="402" w:name="_Toc254970562"/>
            <w:r>
              <w:rPr>
                <w:rFonts w:hint="eastAsia" w:ascii="宋体" w:hAnsi="宋体" w:cs="宋体"/>
                <w:color w:val="auto"/>
                <w:spacing w:val="20"/>
                <w:szCs w:val="21"/>
              </w:rPr>
              <w:t>要求</w:t>
            </w:r>
            <w:bookmarkEnd w:id="401"/>
            <w:bookmarkEnd w:id="402"/>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403" w:name="_Toc254970564"/>
            <w:bookmarkStart w:id="404" w:name="_Toc254970705"/>
            <w:r>
              <w:rPr>
                <w:rFonts w:hint="eastAsia" w:ascii="宋体" w:hAnsi="宋体" w:cs="宋体"/>
                <w:color w:val="auto"/>
                <w:spacing w:val="20"/>
                <w:szCs w:val="21"/>
              </w:rPr>
              <w:t>性能及指标</w:t>
            </w:r>
            <w:bookmarkEnd w:id="403"/>
            <w:bookmarkEnd w:id="404"/>
          </w:p>
        </w:tc>
        <w:tc>
          <w:tcPr>
            <w:tcW w:w="917" w:type="dxa"/>
            <w:vMerge w:val="continue"/>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bl>
    <w:p>
      <w:pPr>
        <w:pStyle w:val="20"/>
        <w:spacing w:line="380" w:lineRule="exact"/>
        <w:rPr>
          <w:rFonts w:ascii="宋体" w:cs="宋体"/>
          <w:color w:val="auto"/>
          <w:sz w:val="21"/>
          <w:szCs w:val="21"/>
        </w:rPr>
      </w:pPr>
      <w:r>
        <w:rPr>
          <w:rFonts w:hint="eastAsia" w:ascii="宋体" w:hAnsi="宋体" w:cs="宋体"/>
          <w:b w:val="0"/>
          <w:bCs w:val="0"/>
          <w:color w:val="auto"/>
          <w:sz w:val="21"/>
          <w:szCs w:val="21"/>
        </w:rPr>
        <w:t>注：投标人应根据投标货物的性能指标、对照招标文件采购需求在“偏离情况”栏注明“正偏离”、“负偏离”或“无偏离”。</w:t>
      </w:r>
    </w:p>
    <w:p>
      <w:pPr>
        <w:pStyle w:val="20"/>
        <w:spacing w:line="380" w:lineRule="exact"/>
        <w:rPr>
          <w:rFonts w:ascii="宋体" w:cs="宋体"/>
          <w:color w:val="auto"/>
          <w:spacing w:val="20"/>
          <w:sz w:val="21"/>
          <w:szCs w:val="21"/>
        </w:rPr>
      </w:pPr>
    </w:p>
    <w:p>
      <w:pPr>
        <w:snapToGrid w:val="0"/>
        <w:spacing w:before="50" w:after="5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rPr>
          <w:color w:val="auto"/>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84"/>
        <w:rPr>
          <w:color w:val="auto"/>
        </w:rPr>
      </w:pPr>
    </w:p>
    <w:p>
      <w:pPr>
        <w:pStyle w:val="84"/>
        <w:rPr>
          <w:color w:val="auto"/>
        </w:rPr>
      </w:pPr>
    </w:p>
    <w:p>
      <w:pPr>
        <w:snapToGrid w:val="0"/>
        <w:spacing w:line="404" w:lineRule="exact"/>
        <w:jc w:val="left"/>
        <w:rPr>
          <w:rFonts w:ascii="宋体" w:cs="宋体"/>
          <w:color w:val="auto"/>
        </w:rPr>
      </w:pPr>
      <w:r>
        <w:rPr>
          <w:rFonts w:ascii="宋体" w:hAnsi="宋体" w:cs="宋体"/>
          <w:b/>
          <w:color w:val="auto"/>
        </w:rPr>
        <w:t xml:space="preserve">3.3.3  </w:t>
      </w:r>
      <w:r>
        <w:rPr>
          <w:rFonts w:hint="eastAsia" w:ascii="宋体" w:hAnsi="宋体" w:cs="宋体"/>
          <w:b/>
          <w:color w:val="auto"/>
        </w:rPr>
        <w:t>售后服务方案</w:t>
      </w:r>
      <w:r>
        <w:rPr>
          <w:rFonts w:hint="eastAsia" w:ascii="宋体" w:hAnsi="宋体" w:cs="宋体"/>
          <w:b/>
          <w:color w:val="auto"/>
          <w:szCs w:val="21"/>
        </w:rPr>
        <w:t>（格式自拟）</w:t>
      </w:r>
    </w:p>
    <w:p>
      <w:pPr>
        <w:snapToGrid w:val="0"/>
        <w:spacing w:before="50" w:afterLines="50"/>
        <w:jc w:val="left"/>
        <w:rPr>
          <w:rFonts w:ascii="宋体" w:cs="宋体"/>
          <w:b/>
          <w:color w:val="auto"/>
          <w:szCs w:val="21"/>
        </w:rPr>
      </w:pPr>
    </w:p>
    <w:p>
      <w:pPr>
        <w:pStyle w:val="84"/>
        <w:rPr>
          <w:color w:val="auto"/>
        </w:rPr>
      </w:pPr>
    </w:p>
    <w:p>
      <w:pPr>
        <w:pStyle w:val="84"/>
        <w:rPr>
          <w:color w:val="auto"/>
        </w:rPr>
      </w:pPr>
    </w:p>
    <w:p>
      <w:pPr>
        <w:pStyle w:val="84"/>
        <w:rPr>
          <w:color w:val="auto"/>
        </w:rPr>
      </w:pPr>
    </w:p>
    <w:p>
      <w:pPr>
        <w:snapToGrid w:val="0"/>
        <w:spacing w:line="404" w:lineRule="exact"/>
        <w:jc w:val="left"/>
        <w:rPr>
          <w:rFonts w:ascii="宋体" w:cs="宋体"/>
          <w:b/>
          <w:color w:val="auto"/>
        </w:rPr>
      </w:pPr>
      <w:r>
        <w:rPr>
          <w:rFonts w:ascii="宋体" w:hAnsi="宋体" w:cs="宋体"/>
          <w:b/>
          <w:color w:val="auto"/>
        </w:rPr>
        <w:t>3.3.4</w:t>
      </w:r>
      <w:r>
        <w:rPr>
          <w:rFonts w:hint="eastAsia" w:ascii="宋体" w:hAnsi="宋体" w:cs="宋体"/>
          <w:b/>
          <w:color w:val="auto"/>
        </w:rPr>
        <w:t>项目实施人员一览表</w:t>
      </w:r>
      <w:r>
        <w:rPr>
          <w:rFonts w:hint="eastAsia" w:ascii="宋体" w:hAnsi="宋体" w:cs="宋体"/>
          <w:b/>
          <w:color w:val="auto"/>
          <w:szCs w:val="21"/>
        </w:rPr>
        <w:t>（格式自拟）</w:t>
      </w:r>
    </w:p>
    <w:p>
      <w:pPr>
        <w:pStyle w:val="84"/>
        <w:rPr>
          <w:rFonts w:ascii="宋体" w:cs="宋体"/>
          <w:b/>
          <w:bCs w:val="0"/>
          <w:color w:val="auto"/>
          <w:spacing w:val="0"/>
          <w:kern w:val="2"/>
          <w:sz w:val="21"/>
        </w:rPr>
      </w:pPr>
    </w:p>
    <w:p>
      <w:pPr>
        <w:pStyle w:val="84"/>
        <w:rPr>
          <w:rFonts w:ascii="宋体" w:cs="宋体"/>
          <w:b/>
          <w:bCs w:val="0"/>
          <w:color w:val="auto"/>
        </w:rPr>
      </w:pPr>
    </w:p>
    <w:p>
      <w:pPr>
        <w:pStyle w:val="84"/>
        <w:rPr>
          <w:rFonts w:ascii="宋体" w:cs="宋体"/>
          <w:b/>
          <w:bCs w:val="0"/>
          <w:color w:val="auto"/>
        </w:rPr>
      </w:pPr>
    </w:p>
    <w:p>
      <w:pPr>
        <w:pStyle w:val="84"/>
        <w:rPr>
          <w:rFonts w:ascii="宋体" w:cs="宋体"/>
          <w:b/>
          <w:bCs w:val="0"/>
          <w:color w:val="auto"/>
        </w:rPr>
      </w:pPr>
    </w:p>
    <w:p>
      <w:pPr>
        <w:snapToGrid w:val="0"/>
        <w:spacing w:line="404" w:lineRule="exact"/>
        <w:jc w:val="left"/>
        <w:rPr>
          <w:rFonts w:ascii="宋体" w:cs="宋体"/>
          <w:b/>
          <w:color w:val="auto"/>
        </w:rPr>
      </w:pPr>
      <w:r>
        <w:rPr>
          <w:rFonts w:ascii="宋体" w:hAnsi="宋体" w:cs="宋体"/>
          <w:b/>
          <w:color w:val="auto"/>
          <w:szCs w:val="21"/>
        </w:rPr>
        <w:t xml:space="preserve">3.3.5  </w:t>
      </w:r>
      <w:r>
        <w:rPr>
          <w:rFonts w:hint="eastAsia" w:ascii="宋体" w:hAnsi="宋体" w:cs="宋体"/>
          <w:b/>
          <w:color w:val="auto"/>
        </w:rPr>
        <w:t>产品出厂标准、质量检测报告；</w:t>
      </w:r>
    </w:p>
    <w:p>
      <w:pPr>
        <w:snapToGrid w:val="0"/>
        <w:spacing w:line="404" w:lineRule="exact"/>
        <w:ind w:firstLine="422" w:firstLineChars="200"/>
        <w:jc w:val="left"/>
        <w:rPr>
          <w:rFonts w:ascii="宋体" w:cs="宋体"/>
          <w:b/>
          <w:color w:val="auto"/>
        </w:rPr>
      </w:pPr>
    </w:p>
    <w:p>
      <w:pPr>
        <w:snapToGrid w:val="0"/>
        <w:spacing w:line="404" w:lineRule="exact"/>
        <w:jc w:val="left"/>
        <w:rPr>
          <w:rFonts w:ascii="宋体" w:cs="宋体"/>
          <w:b/>
          <w:color w:val="auto"/>
        </w:rPr>
      </w:pPr>
    </w:p>
    <w:p>
      <w:pPr>
        <w:pStyle w:val="84"/>
        <w:rPr>
          <w:color w:val="auto"/>
        </w:rPr>
      </w:pPr>
    </w:p>
    <w:p>
      <w:pPr>
        <w:snapToGrid w:val="0"/>
        <w:spacing w:line="404" w:lineRule="exact"/>
        <w:jc w:val="left"/>
        <w:rPr>
          <w:rFonts w:ascii="宋体" w:cs="宋体"/>
          <w:b/>
          <w:color w:val="auto"/>
        </w:rPr>
      </w:pPr>
      <w:r>
        <w:rPr>
          <w:rFonts w:ascii="宋体" w:hAnsi="宋体" w:cs="宋体"/>
          <w:b/>
          <w:color w:val="auto"/>
          <w:szCs w:val="21"/>
        </w:rPr>
        <w:t xml:space="preserve">3.3.6  </w:t>
      </w:r>
      <w:r>
        <w:rPr>
          <w:rFonts w:hint="eastAsia" w:ascii="宋体" w:hAnsi="宋体" w:cs="宋体"/>
          <w:b/>
          <w:color w:val="auto"/>
          <w:szCs w:val="21"/>
        </w:rPr>
        <w:t>培训计划方案</w:t>
      </w:r>
    </w:p>
    <w:p>
      <w:pPr>
        <w:snapToGrid w:val="0"/>
        <w:spacing w:line="404" w:lineRule="exact"/>
        <w:jc w:val="left"/>
        <w:rPr>
          <w:rFonts w:ascii="宋体" w:cs="宋体"/>
          <w:b/>
          <w:color w:val="auto"/>
        </w:rPr>
      </w:pPr>
    </w:p>
    <w:p>
      <w:pPr>
        <w:pStyle w:val="84"/>
        <w:rPr>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r>
        <w:rPr>
          <w:rFonts w:ascii="宋体" w:hAnsi="宋体" w:cs="宋体"/>
          <w:b/>
          <w:color w:val="auto"/>
        </w:rPr>
        <w:t xml:space="preserve">3.3.7  </w:t>
      </w:r>
      <w:r>
        <w:rPr>
          <w:rFonts w:hint="eastAsia" w:ascii="宋体" w:hAnsi="宋体" w:cs="宋体"/>
          <w:b/>
          <w:color w:val="auto"/>
        </w:rPr>
        <w:t>投标人需要说明的其他文件和说明。</w:t>
      </w:r>
    </w:p>
    <w:p>
      <w:pPr>
        <w:snapToGrid w:val="0"/>
        <w:spacing w:line="404" w:lineRule="exact"/>
        <w:ind w:firstLine="422" w:firstLineChars="200"/>
        <w:jc w:val="left"/>
        <w:rPr>
          <w:rFonts w:ascii="宋体" w:cs="宋体"/>
          <w:b/>
          <w:color w:val="auto"/>
        </w:rPr>
      </w:pPr>
    </w:p>
    <w:p>
      <w:pPr>
        <w:snapToGrid w:val="0"/>
        <w:spacing w:before="50" w:afterLines="50"/>
        <w:jc w:val="left"/>
        <w:rPr>
          <w:rFonts w:ascii="宋体" w:cs="宋体"/>
          <w:b/>
          <w:bCs/>
          <w:color w:val="auto"/>
          <w:szCs w:val="21"/>
        </w:rPr>
      </w:pPr>
    </w:p>
    <w:p>
      <w:pPr>
        <w:snapToGrid w:val="0"/>
        <w:spacing w:before="50" w:afterLines="50"/>
        <w:jc w:val="left"/>
        <w:rPr>
          <w:rFonts w:ascii="宋体" w:cs="宋体"/>
          <w:b/>
          <w:bCs/>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snapToGrid w:val="0"/>
        <w:spacing w:before="50" w:afterLines="50"/>
        <w:jc w:val="left"/>
        <w:rPr>
          <w:rFonts w:ascii="宋体" w:cs="宋体"/>
          <w:b/>
          <w:bCs/>
          <w:color w:val="auto"/>
          <w:szCs w:val="21"/>
        </w:rPr>
      </w:pPr>
    </w:p>
    <w:p>
      <w:pPr>
        <w:pStyle w:val="10"/>
        <w:rPr>
          <w:color w:val="auto"/>
        </w:rPr>
      </w:pPr>
    </w:p>
    <w:p>
      <w:pPr>
        <w:snapToGrid w:val="0"/>
        <w:spacing w:before="50" w:afterLines="50"/>
        <w:jc w:val="left"/>
        <w:rPr>
          <w:rFonts w:ascii="宋体" w:cs="宋体"/>
          <w:b/>
          <w:color w:val="auto"/>
          <w:sz w:val="28"/>
          <w:szCs w:val="28"/>
        </w:rPr>
      </w:pPr>
      <w:r>
        <w:rPr>
          <w:rFonts w:hint="eastAsia" w:ascii="宋体" w:hAnsi="宋体" w:cs="宋体"/>
          <w:b/>
          <w:bCs/>
          <w:color w:val="auto"/>
          <w:szCs w:val="21"/>
        </w:rPr>
        <w:t>四、报价部分格式</w:t>
      </w:r>
    </w:p>
    <w:p>
      <w:pPr>
        <w:widowControl/>
        <w:jc w:val="left"/>
        <w:rPr>
          <w:rFonts w:ascii="宋体" w:cs="宋体"/>
          <w:b/>
          <w:color w:val="auto"/>
          <w:szCs w:val="21"/>
        </w:rPr>
      </w:pPr>
      <w:r>
        <w:rPr>
          <w:rFonts w:ascii="宋体" w:hAnsi="宋体" w:cs="宋体"/>
          <w:b/>
          <w:color w:val="auto"/>
          <w:szCs w:val="21"/>
        </w:rPr>
        <w:t xml:space="preserve">4.1 </w:t>
      </w:r>
      <w:r>
        <w:rPr>
          <w:rFonts w:hint="eastAsia" w:ascii="宋体" w:hAnsi="宋体" w:cs="宋体"/>
          <w:b/>
          <w:color w:val="auto"/>
          <w:szCs w:val="21"/>
        </w:rPr>
        <w:t>报价部分内封面格式：</w:t>
      </w:r>
    </w:p>
    <w:p>
      <w:pPr>
        <w:widowControl/>
        <w:jc w:val="left"/>
        <w:rPr>
          <w:rFonts w:ascii="宋体" w:cs="宋体"/>
          <w:b/>
          <w:bCs/>
          <w:color w:val="auto"/>
          <w:sz w:val="52"/>
          <w:szCs w:val="52"/>
        </w:rPr>
      </w:pPr>
      <w:r>
        <w:rPr>
          <w:rFonts w:ascii="宋体" w:hAnsi="宋体" w:cs="宋体"/>
          <w:b/>
          <w:color w:val="auto"/>
          <w:szCs w:val="21"/>
        </w:rPr>
        <w:t xml:space="preserve"> </w:t>
      </w:r>
      <w:r>
        <w:rPr>
          <w:rFonts w:ascii="宋体" w:hAnsi="宋体" w:cs="宋体"/>
          <w:color w:val="auto"/>
          <w:szCs w:val="21"/>
        </w:rPr>
        <w:t xml:space="preserve">               </w:t>
      </w:r>
    </w:p>
    <w:p>
      <w:pPr>
        <w:snapToGrid w:val="0"/>
        <w:spacing w:beforeLines="50" w:after="50" w:line="400" w:lineRule="exact"/>
        <w:jc w:val="center"/>
        <w:rPr>
          <w:rFonts w:ascii="宋体" w:cs="宋体"/>
          <w:bCs/>
          <w:color w:val="auto"/>
          <w:szCs w:val="21"/>
        </w:rPr>
      </w:pPr>
      <w:r>
        <w:rPr>
          <w:rFonts w:hint="eastAsia" w:ascii="宋体" w:hAnsi="宋体" w:cs="宋体"/>
          <w:b/>
          <w:bCs/>
          <w:color w:val="auto"/>
          <w:sz w:val="48"/>
          <w:szCs w:val="48"/>
        </w:rPr>
        <w:t>报</w:t>
      </w:r>
      <w:r>
        <w:rPr>
          <w:rFonts w:ascii="宋体" w:hAnsi="宋体" w:cs="宋体"/>
          <w:b/>
          <w:bCs/>
          <w:color w:val="auto"/>
          <w:sz w:val="48"/>
          <w:szCs w:val="48"/>
        </w:rPr>
        <w:t xml:space="preserve"> </w:t>
      </w:r>
      <w:r>
        <w:rPr>
          <w:rFonts w:hint="eastAsia" w:ascii="宋体" w:hAnsi="宋体" w:cs="宋体"/>
          <w:b/>
          <w:bCs/>
          <w:color w:val="auto"/>
          <w:sz w:val="48"/>
          <w:szCs w:val="48"/>
        </w:rPr>
        <w:t>价</w:t>
      </w:r>
      <w:r>
        <w:rPr>
          <w:rFonts w:ascii="宋体" w:hAnsi="宋体" w:cs="宋体"/>
          <w:b/>
          <w:bCs/>
          <w:color w:val="auto"/>
          <w:sz w:val="48"/>
          <w:szCs w:val="48"/>
        </w:rPr>
        <w:t xml:space="preserve"> </w:t>
      </w:r>
      <w:r>
        <w:rPr>
          <w:rFonts w:hint="eastAsia" w:ascii="宋体" w:hAnsi="宋体" w:cs="宋体"/>
          <w:b/>
          <w:bCs/>
          <w:color w:val="auto"/>
          <w:sz w:val="48"/>
          <w:szCs w:val="48"/>
        </w:rPr>
        <w:t>部</w:t>
      </w:r>
      <w:r>
        <w:rPr>
          <w:rFonts w:ascii="宋体" w:hAnsi="宋体" w:cs="宋体"/>
          <w:b/>
          <w:bCs/>
          <w:color w:val="auto"/>
          <w:sz w:val="48"/>
          <w:szCs w:val="48"/>
        </w:rPr>
        <w:t xml:space="preserve"> </w:t>
      </w:r>
      <w:r>
        <w:rPr>
          <w:rFonts w:hint="eastAsia" w:ascii="宋体" w:hAnsi="宋体" w:cs="宋体"/>
          <w:b/>
          <w:bCs/>
          <w:color w:val="auto"/>
          <w:sz w:val="48"/>
          <w:szCs w:val="48"/>
        </w:rPr>
        <w:t>分</w:t>
      </w:r>
    </w:p>
    <w:p>
      <w:pPr>
        <w:snapToGrid w:val="0"/>
        <w:spacing w:beforeLines="50" w:after="50"/>
        <w:ind w:firstLine="934" w:firstLineChars="445"/>
        <w:rPr>
          <w:rFonts w:ascii="宋体" w:cs="宋体"/>
          <w:bCs/>
          <w:color w:val="auto"/>
          <w:szCs w:val="21"/>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pStyle w:val="10"/>
        <w:snapToGrid w:val="0"/>
        <w:spacing w:before="50" w:after="50" w:line="360" w:lineRule="auto"/>
        <w:ind w:firstLine="1200" w:firstLineChars="500"/>
        <w:rPr>
          <w:rFonts w:ascii="宋体" w:cs="宋体"/>
          <w:bCs/>
          <w:color w:val="auto"/>
          <w:sz w:val="24"/>
          <w:szCs w:val="24"/>
        </w:rPr>
      </w:pP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line="360" w:lineRule="exact"/>
        <w:ind w:firstLine="420" w:firstLineChars="200"/>
        <w:rPr>
          <w:rFonts w:ascii="宋体" w:cs="宋体"/>
          <w:bCs/>
          <w:color w:val="auto"/>
          <w:szCs w:val="21"/>
        </w:rPr>
      </w:pPr>
    </w:p>
    <w:p>
      <w:pPr>
        <w:snapToGrid w:val="0"/>
        <w:spacing w:beforeLines="50" w:after="50" w:line="360" w:lineRule="exact"/>
        <w:ind w:firstLine="420" w:firstLineChars="200"/>
        <w:rPr>
          <w:rFonts w:ascii="宋体" w:cs="宋体"/>
          <w:bCs/>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4.2 </w:t>
      </w:r>
      <w:r>
        <w:rPr>
          <w:rFonts w:hint="eastAsia" w:ascii="宋体" w:hAnsi="宋体" w:cs="宋体"/>
          <w:b/>
          <w:bCs/>
          <w:color w:val="auto"/>
          <w:szCs w:val="21"/>
        </w:rPr>
        <w:t>报价部分目录</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w:t>
      </w:r>
      <w:r>
        <w:rPr>
          <w:rFonts w:ascii="宋体" w:hAnsi="宋体" w:cs="宋体"/>
          <w:color w:val="auto"/>
          <w:szCs w:val="21"/>
        </w:rPr>
        <w:t xml:space="preserve"> </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w:t>
      </w:r>
    </w:p>
    <w:p>
      <w:pPr>
        <w:tabs>
          <w:tab w:val="left" w:pos="3870"/>
          <w:tab w:val="left" w:pos="4085"/>
        </w:tabs>
        <w:snapToGrid w:val="0"/>
        <w:spacing w:line="404"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）投标人针对报价需要说明的其他文件和材料（格式自拟）；</w:t>
      </w:r>
    </w:p>
    <w:p>
      <w:pPr>
        <w:tabs>
          <w:tab w:val="left" w:pos="3870"/>
          <w:tab w:val="left" w:pos="4085"/>
        </w:tabs>
        <w:snapToGrid w:val="0"/>
        <w:spacing w:line="404" w:lineRule="exact"/>
        <w:ind w:firstLine="420" w:firstLineChars="200"/>
        <w:jc w:val="left"/>
        <w:rPr>
          <w:rFonts w:ascii="宋体" w:cs="宋体"/>
          <w:bCs/>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）开标一览表（与投标函一起单独用小信封密封，格式见第六章）</w:t>
      </w:r>
    </w:p>
    <w:p>
      <w:pPr>
        <w:snapToGrid w:val="0"/>
        <w:spacing w:beforeLines="50" w:after="50" w:line="360" w:lineRule="exact"/>
        <w:ind w:firstLine="420" w:firstLineChars="200"/>
        <w:rPr>
          <w:rFonts w:ascii="宋体" w:cs="宋体"/>
          <w:bCs/>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snapToGrid w:val="0"/>
        <w:spacing w:line="180" w:lineRule="exact"/>
        <w:ind w:firstLine="420" w:firstLineChars="200"/>
        <w:rPr>
          <w:rFonts w:ascii="宋体" w:cs="宋体"/>
          <w:bCs/>
          <w:color w:val="auto"/>
          <w:szCs w:val="21"/>
        </w:rPr>
      </w:pPr>
    </w:p>
    <w:p>
      <w:pPr>
        <w:pStyle w:val="84"/>
        <w:rPr>
          <w:color w:val="auto"/>
        </w:rPr>
      </w:pPr>
    </w:p>
    <w:p>
      <w:pPr>
        <w:pStyle w:val="84"/>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4.2.1 </w:t>
      </w:r>
      <w:r>
        <w:rPr>
          <w:rFonts w:hint="eastAsia" w:ascii="宋体" w:hAnsi="宋体" w:cs="宋体"/>
          <w:b/>
          <w:color w:val="auto"/>
          <w:szCs w:val="21"/>
        </w:rPr>
        <w:t>投标函格式：</w:t>
      </w:r>
    </w:p>
    <w:p>
      <w:pPr>
        <w:snapToGrid w:val="0"/>
        <w:spacing w:beforeLines="50" w:after="50" w:line="360" w:lineRule="auto"/>
        <w:jc w:val="center"/>
        <w:rPr>
          <w:rFonts w:ascii="宋体" w:cs="宋体"/>
          <w:b/>
          <w:color w:val="auto"/>
          <w:sz w:val="28"/>
          <w:szCs w:val="28"/>
        </w:rPr>
      </w:pPr>
    </w:p>
    <w:p>
      <w:pPr>
        <w:snapToGrid w:val="0"/>
        <w:spacing w:beforeLines="50" w:after="50" w:line="360" w:lineRule="auto"/>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函</w:t>
      </w:r>
    </w:p>
    <w:p>
      <w:pPr>
        <w:snapToGrid w:val="0"/>
        <w:spacing w:line="37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line="370" w:lineRule="exact"/>
        <w:ind w:firstLine="480"/>
        <w:rPr>
          <w:rFonts w:ascii="宋体" w:cs="宋体"/>
          <w:color w:val="auto"/>
          <w:szCs w:val="21"/>
          <w:u w:val="single"/>
        </w:rPr>
      </w:pPr>
      <w:r>
        <w:rPr>
          <w:rFonts w:hint="eastAsia" w:ascii="宋体" w:hAnsi="宋体" w:cs="宋体"/>
          <w:color w:val="auto"/>
          <w:szCs w:val="21"/>
        </w:rPr>
        <w:t>根据贵方为</w:t>
      </w:r>
      <w:r>
        <w:rPr>
          <w:rFonts w:ascii="宋体" w:hAnsi="宋体" w:cs="宋体"/>
          <w:color w:val="auto"/>
          <w:szCs w:val="21"/>
          <w:u w:val="single"/>
        </w:rPr>
        <w:t xml:space="preserve">                         </w:t>
      </w:r>
      <w:r>
        <w:rPr>
          <w:rFonts w:hint="eastAsia" w:ascii="宋体" w:hAnsi="宋体" w:cs="宋体"/>
          <w:color w:val="auto"/>
          <w:szCs w:val="21"/>
        </w:rPr>
        <w:t>项目的招标公告（项目编号：</w:t>
      </w:r>
      <w:r>
        <w:rPr>
          <w:rFonts w:ascii="宋体" w:hAnsi="宋体" w:cs="宋体"/>
          <w:color w:val="auto"/>
          <w:szCs w:val="21"/>
          <w:u w:val="single"/>
        </w:rPr>
        <w:t xml:space="preserve">               </w:t>
      </w:r>
      <w:r>
        <w:rPr>
          <w:rFonts w:hint="eastAsia" w:ascii="宋体" w:hAnsi="宋体" w:cs="宋体"/>
          <w:color w:val="auto"/>
          <w:szCs w:val="21"/>
        </w:rPr>
        <w:t>），签字代表</w:t>
      </w:r>
    </w:p>
    <w:p>
      <w:pPr>
        <w:snapToGrid w:val="0"/>
        <w:spacing w:line="370" w:lineRule="exact"/>
        <w:ind w:right="-19" w:rightChars="-9"/>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u w:val="single"/>
        </w:rPr>
        <w:t>（全名）</w:t>
      </w:r>
      <w:r>
        <w:rPr>
          <w:rFonts w:ascii="宋体" w:hAnsi="宋体" w:cs="宋体"/>
          <w:color w:val="auto"/>
          <w:szCs w:val="21"/>
          <w:u w:val="single"/>
        </w:rPr>
        <w:t xml:space="preserve">     </w:t>
      </w:r>
      <w:r>
        <w:rPr>
          <w:rFonts w:hint="eastAsia" w:ascii="宋体" w:hAnsi="宋体" w:cs="宋体"/>
          <w:color w:val="auto"/>
          <w:szCs w:val="21"/>
        </w:rPr>
        <w:t>经正式授权并代表投标人</w:t>
      </w:r>
      <w:r>
        <w:rPr>
          <w:rFonts w:ascii="宋体" w:hAnsi="宋体" w:cs="宋体"/>
          <w:color w:val="auto"/>
          <w:szCs w:val="21"/>
          <w:u w:val="single"/>
        </w:rPr>
        <w:t xml:space="preserve">                    </w:t>
      </w:r>
      <w:r>
        <w:rPr>
          <w:rFonts w:hint="eastAsia" w:ascii="宋体" w:hAnsi="宋体" w:cs="宋体"/>
          <w:color w:val="auto"/>
          <w:szCs w:val="21"/>
        </w:rPr>
        <w:t>（投标人名称）提交包含资格部分、商务及技术部分、报价部分的正本一份、副本</w:t>
      </w:r>
      <w:r>
        <w:rPr>
          <w:rFonts w:ascii="宋体" w:hAnsi="宋体" w:cs="宋体"/>
          <w:color w:val="auto"/>
          <w:szCs w:val="21"/>
          <w:u w:val="single"/>
        </w:rPr>
        <w:t xml:space="preserve">      </w:t>
      </w:r>
      <w:r>
        <w:rPr>
          <w:rFonts w:hint="eastAsia" w:ascii="宋体" w:hAnsi="宋体" w:cs="宋体"/>
          <w:color w:val="auto"/>
          <w:szCs w:val="21"/>
        </w:rPr>
        <w:t>份。</w:t>
      </w:r>
    </w:p>
    <w:p>
      <w:pPr>
        <w:snapToGrid w:val="0"/>
        <w:spacing w:line="370" w:lineRule="exact"/>
        <w:ind w:firstLine="420" w:firstLineChars="200"/>
        <w:rPr>
          <w:rFonts w:ascii="宋体" w:cs="宋体"/>
          <w:color w:val="auto"/>
          <w:szCs w:val="21"/>
        </w:rPr>
      </w:pPr>
      <w:r>
        <w:rPr>
          <w:rFonts w:hint="eastAsia" w:ascii="宋体" w:hAnsi="宋体" w:cs="宋体"/>
          <w:color w:val="auto"/>
          <w:szCs w:val="21"/>
        </w:rPr>
        <w:t>据此函，签字代表宣布同意如下：</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投标人在投标之前已经与贵方进行了充分的沟通，完全理解并接受招标文件的各项规定和要求，对招标文件的合理性、合法性不再有异议。</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本投标有效期自开标之日起</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如中标，本投标文件至本项目合同履行完毕止均保持有效，本投标人将按“招标文件”及政府采购法律、法规的规定履行合同责任和义务。</w:t>
      </w:r>
    </w:p>
    <w:p>
      <w:pPr>
        <w:snapToGrid w:val="0"/>
        <w:spacing w:line="370" w:lineRule="exact"/>
        <w:ind w:firstLine="422" w:firstLineChars="200"/>
        <w:rPr>
          <w:rFonts w:ascii="宋体" w:cs="宋体"/>
          <w:b/>
          <w:color w:val="auto"/>
          <w:szCs w:val="21"/>
        </w:rPr>
      </w:pPr>
      <w:r>
        <w:rPr>
          <w:rFonts w:ascii="宋体" w:hAnsi="宋体" w:cs="宋体"/>
          <w:b/>
          <w:color w:val="auto"/>
          <w:szCs w:val="21"/>
        </w:rPr>
        <w:t xml:space="preserve">5. </w:t>
      </w:r>
      <w:r>
        <w:rPr>
          <w:rFonts w:hint="eastAsia" w:ascii="宋体" w:hAnsi="宋体" w:cs="宋体"/>
          <w:b/>
          <w:color w:val="auto"/>
          <w:szCs w:val="21"/>
        </w:rPr>
        <w:t>投标人同意本投标文件中“投标报价明细表”和中标后签订的采购合同可用于公示，其中所有内容不涉及投标人商业秘密，并承诺可向招标采购单位提供相关电子文档。</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投标人同意按照贵方要求提供与投标有关的一切数据或资料。</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7. </w:t>
      </w:r>
      <w:r>
        <w:rPr>
          <w:rFonts w:hint="eastAsia" w:ascii="宋体" w:hAnsi="宋体" w:cs="宋体"/>
          <w:color w:val="auto"/>
          <w:szCs w:val="21"/>
        </w:rPr>
        <w:t>投标函一式二份，一份随报价部分装订，一份随开标一览表装订。</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8. </w:t>
      </w:r>
      <w:r>
        <w:rPr>
          <w:rFonts w:hint="eastAsia" w:ascii="宋体" w:hAnsi="宋体" w:cs="宋体"/>
          <w:color w:val="auto"/>
          <w:szCs w:val="21"/>
        </w:rPr>
        <w:t>与本投标有关的一切正式往来信函请寄：</w:t>
      </w:r>
    </w:p>
    <w:p>
      <w:pPr>
        <w:snapToGrid w:val="0"/>
        <w:spacing w:line="370" w:lineRule="exact"/>
        <w:rPr>
          <w:rFonts w:ascii="宋体" w:cs="宋体"/>
          <w:color w:val="auto"/>
          <w:szCs w:val="21"/>
          <w:u w:val="single"/>
        </w:rPr>
      </w:pPr>
      <w:r>
        <w:rPr>
          <w:rFonts w:hint="eastAsia" w:ascii="宋体" w:hAnsi="宋体" w:cs="宋体"/>
          <w:color w:val="auto"/>
          <w:szCs w:val="21"/>
        </w:rPr>
        <w:t>地址：</w:t>
      </w:r>
      <w:r>
        <w:rPr>
          <w:rFonts w:ascii="宋体" w:hAnsi="宋体" w:cs="宋体"/>
          <w:color w:val="auto"/>
          <w:szCs w:val="21"/>
          <w:u w:val="single"/>
        </w:rPr>
        <w:t xml:space="preserve">                       </w:t>
      </w:r>
      <w:r>
        <w:rPr>
          <w:rFonts w:hint="eastAsia" w:ascii="宋体" w:hAnsi="宋体" w:cs="宋体"/>
          <w:color w:val="auto"/>
          <w:szCs w:val="21"/>
        </w:rPr>
        <w:t>邮编：</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电话：</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传真：</w:t>
      </w:r>
      <w:r>
        <w:rPr>
          <w:rFonts w:ascii="宋体" w:hAnsi="宋体" w:cs="宋体"/>
          <w:color w:val="auto"/>
          <w:szCs w:val="21"/>
          <w:u w:val="single"/>
        </w:rPr>
        <w:t xml:space="preserve">                       </w:t>
      </w:r>
      <w:r>
        <w:rPr>
          <w:rFonts w:hint="eastAsia" w:ascii="宋体" w:hAnsi="宋体" w:cs="宋体"/>
          <w:color w:val="auto"/>
          <w:szCs w:val="21"/>
        </w:rPr>
        <w:t>投标人代表姓名：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职务：</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投标人名称（公章）：</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投标人企业工商营业执照号码：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法定代表人姓名：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法定代表人身份证号码：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授权委托代理人姓名：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授权委托代理人身份证号码：</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开户银行：</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银行帐号：</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line="370" w:lineRule="exact"/>
        <w:rPr>
          <w:rFonts w:ascii="宋体" w:cs="宋体"/>
          <w:color w:val="auto"/>
          <w:szCs w:val="21"/>
        </w:rPr>
      </w:pPr>
      <w:r>
        <w:rPr>
          <w:rFonts w:hint="eastAsia" w:ascii="宋体" w:hAnsi="宋体" w:cs="宋体"/>
          <w:color w:val="auto"/>
          <w:szCs w:val="21"/>
        </w:rPr>
        <w:t>授权代表签字：</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（公章）</w:t>
      </w:r>
    </w:p>
    <w:p>
      <w:pPr>
        <w:snapToGrid w:val="0"/>
        <w:spacing w:line="370" w:lineRule="exact"/>
        <w:rPr>
          <w:rFonts w:ascii="宋体" w:cs="宋体"/>
          <w:b/>
          <w:color w:val="auto"/>
          <w:szCs w:val="21"/>
        </w:rPr>
      </w:pP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 xml:space="preserve">4.2.2 </w:t>
      </w:r>
      <w:r>
        <w:rPr>
          <w:rFonts w:hint="eastAsia" w:ascii="宋体" w:hAnsi="宋体" w:cs="宋体"/>
          <w:b/>
          <w:color w:val="auto"/>
          <w:szCs w:val="21"/>
        </w:rPr>
        <w:t>投标报价明细表格式：</w:t>
      </w:r>
    </w:p>
    <w:p>
      <w:pPr>
        <w:pStyle w:val="84"/>
        <w:rPr>
          <w:rFonts w:ascii="宋体" w:cs="宋体"/>
          <w:b/>
          <w:color w:val="auto"/>
          <w:szCs w:val="21"/>
        </w:rPr>
      </w:pP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项目名称：</w:t>
      </w: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项目编号</w:t>
      </w:r>
      <w:r>
        <w:rPr>
          <w:rFonts w:hAnsi="宋体" w:cs="宋体"/>
          <w:color w:val="auto"/>
          <w:sz w:val="21"/>
        </w:rPr>
        <w:t xml:space="preserve">:                                                 </w:t>
      </w:r>
      <w:r>
        <w:rPr>
          <w:rFonts w:hint="eastAsia" w:hAnsi="宋体" w:cs="宋体"/>
          <w:color w:val="auto"/>
          <w:sz w:val="21"/>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1520"/>
        <w:gridCol w:w="1652"/>
        <w:gridCol w:w="1883"/>
        <w:gridCol w:w="1413"/>
        <w:gridCol w:w="1034"/>
        <w:gridCol w:w="1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采购内容</w:t>
            </w: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产地、厂家</w:t>
            </w: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详细项目内容</w:t>
            </w: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单位及数量</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单价</w:t>
            </w:r>
          </w:p>
        </w:tc>
        <w:tc>
          <w:tcPr>
            <w:tcW w:w="1592" w:type="dxa"/>
            <w:tcBorders>
              <w:top w:val="single" w:color="auto" w:sz="4" w:space="0"/>
              <w:left w:val="single" w:color="auto" w:sz="4" w:space="0"/>
              <w:bottom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370" w:type="dxa"/>
            <w:gridSpan w:val="6"/>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总</w:t>
            </w:r>
            <w:r>
              <w:rPr>
                <w:rFonts w:ascii="宋体" w:hAnsi="宋体" w:cs="宋体"/>
                <w:color w:val="auto"/>
                <w:szCs w:val="21"/>
              </w:rPr>
              <w:t xml:space="preserve"> </w:t>
            </w:r>
            <w:r>
              <w:rPr>
                <w:rFonts w:hint="eastAsia" w:ascii="宋体" w:hAnsi="宋体" w:cs="宋体"/>
                <w:color w:val="auto"/>
                <w:szCs w:val="21"/>
              </w:rPr>
              <w:t>价：大写：</w:t>
            </w:r>
            <w:r>
              <w:rPr>
                <w:rFonts w:ascii="宋体" w:hAnsi="宋体" w:cs="宋体"/>
                <w:color w:val="auto"/>
                <w:szCs w:val="21"/>
              </w:rPr>
              <w:t xml:space="preserve"> </w:t>
            </w:r>
            <w:r>
              <w:rPr>
                <w:rFonts w:hint="eastAsia" w:ascii="宋体" w:hAnsi="宋体" w:cs="宋体"/>
                <w:color w:val="auto"/>
                <w:szCs w:val="21"/>
              </w:rPr>
              <w:t>人民币</w:t>
            </w:r>
            <w:r>
              <w:rPr>
                <w:rFonts w:ascii="宋体" w:hAnsi="宋体" w:cs="宋体"/>
                <w:color w:val="auto"/>
                <w:szCs w:val="21"/>
              </w:rPr>
              <w:t xml:space="preserve">                              </w:t>
            </w: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962" w:type="dxa"/>
            <w:gridSpan w:val="7"/>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xml:space="preserve">: </w:t>
      </w:r>
      <w:r>
        <w:rPr>
          <w:rFonts w:hint="eastAsia" w:ascii="宋体" w:hAnsi="宋体" w:cs="宋体"/>
          <w:color w:val="auto"/>
          <w:szCs w:val="21"/>
        </w:rPr>
        <w:t>以上报价包含所有报价在内，</w:t>
      </w:r>
      <w:r>
        <w:rPr>
          <w:rFonts w:hint="eastAsia" w:ascii="宋体" w:hAnsi="宋体" w:cs="宋体"/>
          <w:color w:val="auto"/>
          <w:spacing w:val="20"/>
          <w:szCs w:val="21"/>
        </w:rPr>
        <w:t>投标费用及利润等项目内容可自拟</w:t>
      </w:r>
      <w:r>
        <w:rPr>
          <w:rFonts w:hint="eastAsia" w:ascii="宋体" w:hAnsi="宋体" w:cs="宋体"/>
          <w:color w:val="auto"/>
          <w:szCs w:val="21"/>
        </w:rPr>
        <w:t>。</w:t>
      </w:r>
    </w:p>
    <w:p>
      <w:pPr>
        <w:tabs>
          <w:tab w:val="left" w:pos="1418"/>
        </w:tabs>
        <w:snapToGrid w:val="0"/>
        <w:spacing w:before="50" w:after="50"/>
        <w:ind w:left="1418" w:hanging="567"/>
        <w:jc w:val="center"/>
        <w:rPr>
          <w:rFonts w:ascii="宋体" w:cs="宋体"/>
          <w:color w:val="auto"/>
          <w:spacing w:val="20"/>
          <w:szCs w:val="21"/>
          <w:u w:val="single"/>
        </w:rPr>
      </w:pPr>
    </w:p>
    <w:p>
      <w:pPr>
        <w:snapToGrid w:val="0"/>
        <w:spacing w:before="50" w:after="50" w:line="300" w:lineRule="exact"/>
        <w:rPr>
          <w:rFonts w:ascii="宋体" w:cs="宋体"/>
          <w:color w:val="auto"/>
          <w:spacing w:val="20"/>
          <w:szCs w:val="21"/>
        </w:rPr>
      </w:pPr>
    </w:p>
    <w:p>
      <w:pPr>
        <w:snapToGrid w:val="0"/>
        <w:spacing w:before="50" w:after="50" w:line="300" w:lineRule="exact"/>
        <w:ind w:firstLine="1000" w:firstLineChars="4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line="300" w:lineRule="exact"/>
        <w:rPr>
          <w:rFonts w:ascii="宋体" w:cs="宋体"/>
          <w:color w:val="auto"/>
          <w:szCs w:val="21"/>
        </w:rPr>
      </w:pPr>
    </w:p>
    <w:p>
      <w:pPr>
        <w:snapToGrid w:val="0"/>
        <w:spacing w:before="50" w:after="50" w:line="300" w:lineRule="exact"/>
        <w:ind w:firstLine="1050" w:firstLineChars="500"/>
        <w:rPr>
          <w:rFonts w:ascii="宋体" w:cs="宋体"/>
          <w:color w:val="auto"/>
          <w:szCs w:val="21"/>
        </w:rPr>
      </w:pPr>
      <w:r>
        <w:rPr>
          <w:rFonts w:hint="eastAsia" w:ascii="宋体" w:hAnsi="宋体" w:cs="宋体"/>
          <w:color w:val="auto"/>
          <w:szCs w:val="21"/>
        </w:rPr>
        <w:t>投标人盖章：</w:t>
      </w:r>
      <w:r>
        <w:rPr>
          <w:rFonts w:ascii="宋体" w:hAnsi="宋体" w:cs="宋体"/>
          <w:color w:val="auto"/>
          <w:szCs w:val="21"/>
        </w:rPr>
        <w:t xml:space="preserve">                          </w:t>
      </w:r>
    </w:p>
    <w:p>
      <w:pPr>
        <w:snapToGrid w:val="0"/>
        <w:spacing w:before="50" w:after="50" w:line="300" w:lineRule="exact"/>
        <w:rPr>
          <w:rFonts w:ascii="宋体" w:cs="宋体"/>
          <w:color w:val="auto"/>
          <w:szCs w:val="21"/>
        </w:rPr>
      </w:pPr>
    </w:p>
    <w:p>
      <w:pPr>
        <w:snapToGrid w:val="0"/>
        <w:spacing w:beforeLines="50" w:after="50"/>
        <w:ind w:firstLine="1260" w:firstLineChars="600"/>
        <w:rPr>
          <w:rFonts w:asci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p>
    <w:p>
      <w:pPr>
        <w:snapToGrid w:val="0"/>
        <w:spacing w:beforeLines="50" w:after="50"/>
        <w:rPr>
          <w:rFonts w:ascii="宋体" w:cs="宋体"/>
          <w:color w:val="auto"/>
          <w:szCs w:val="21"/>
        </w:rPr>
      </w:pPr>
    </w:p>
    <w:p>
      <w:pPr>
        <w:snapToGrid w:val="0"/>
        <w:spacing w:beforeLines="50" w:after="50"/>
        <w:rPr>
          <w:rFonts w:ascii="宋体" w:cs="宋体"/>
          <w:color w:val="auto"/>
          <w:szCs w:val="21"/>
        </w:rPr>
      </w:pPr>
    </w:p>
    <w:p>
      <w:pPr>
        <w:pStyle w:val="84"/>
        <w:rPr>
          <w:color w:val="auto"/>
        </w:rPr>
      </w:pPr>
    </w:p>
    <w:p>
      <w:pPr>
        <w:pStyle w:val="84"/>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4.2.3 </w:t>
      </w:r>
      <w:r>
        <w:rPr>
          <w:rFonts w:hint="eastAsia" w:ascii="宋体" w:hAnsi="宋体" w:cs="宋体"/>
          <w:b/>
          <w:color w:val="auto"/>
          <w:szCs w:val="21"/>
        </w:rPr>
        <w:t>投标人针对报价需要说明的其他文件和说明（格式自拟）</w:t>
      </w:r>
    </w:p>
    <w:p>
      <w:pPr>
        <w:snapToGrid w:val="0"/>
        <w:spacing w:beforeLines="50" w:after="50"/>
        <w:rPr>
          <w:rFonts w:ascii="宋体" w:cs="宋体"/>
          <w:b/>
          <w:color w:val="auto"/>
          <w:szCs w:val="21"/>
        </w:rPr>
      </w:pPr>
    </w:p>
    <w:p>
      <w:pPr>
        <w:pStyle w:val="84"/>
        <w:rPr>
          <w:color w:val="auto"/>
        </w:rPr>
      </w:pPr>
    </w:p>
    <w:p>
      <w:pPr>
        <w:snapToGrid w:val="0"/>
        <w:spacing w:beforeLines="50" w:after="50"/>
        <w:rPr>
          <w:color w:val="auto"/>
        </w:rPr>
      </w:pPr>
      <w:r>
        <w:rPr>
          <w:rFonts w:ascii="宋体" w:hAnsi="宋体" w:cs="宋体"/>
          <w:b/>
          <w:color w:val="auto"/>
          <w:szCs w:val="21"/>
        </w:rPr>
        <w:t xml:space="preserve">4.2.4 </w:t>
      </w:r>
      <w:r>
        <w:rPr>
          <w:rFonts w:hint="eastAsia" w:ascii="宋体" w:hAnsi="宋体" w:cs="宋体"/>
          <w:b/>
          <w:color w:val="auto"/>
          <w:szCs w:val="21"/>
        </w:rPr>
        <w:t>小信封</w:t>
      </w:r>
      <w:r>
        <w:rPr>
          <w:rFonts w:hint="eastAsia" w:ascii="宋体" w:hAnsi="宋体" w:cs="宋体"/>
          <w:bCs/>
          <w:color w:val="auto"/>
          <w:szCs w:val="21"/>
        </w:rPr>
        <w:t>（内装开标一览表、投标函）</w:t>
      </w:r>
      <w:r>
        <w:rPr>
          <w:rFonts w:hint="eastAsia" w:ascii="宋体" w:hAnsi="宋体" w:cs="宋体"/>
          <w:b/>
          <w:color w:val="auto"/>
          <w:szCs w:val="21"/>
        </w:rPr>
        <w:t>封面格式（可以手写，密封）：</w:t>
      </w:r>
    </w:p>
    <w:p>
      <w:pPr>
        <w:pStyle w:val="23"/>
        <w:snapToGrid w:val="0"/>
        <w:spacing w:before="295" w:after="295"/>
        <w:rPr>
          <w:rFonts w:hAnsi="宋体" w:cs="宋体"/>
          <w:b/>
          <w:color w:val="auto"/>
          <w:sz w:val="28"/>
          <w:szCs w:val="28"/>
        </w:rPr>
      </w:pPr>
      <w:r>
        <w:rPr>
          <w:rFonts w:hint="eastAsia" w:hAnsi="宋体" w:cs="宋体"/>
          <w:b/>
          <w:bCs/>
          <w:color w:val="auto"/>
        </w:rPr>
        <w:t>注明投标人名称、投标人地址、投标项目名称、项目编号及“开标时启封”字样，并加盖投标人公章。</w:t>
      </w:r>
    </w:p>
    <w:p>
      <w:pPr>
        <w:pStyle w:val="8"/>
        <w:rPr>
          <w:color w:val="auto"/>
        </w:rPr>
      </w:pPr>
    </w:p>
    <w:p/>
    <w:p>
      <w:pPr>
        <w:rPr>
          <w:color w:val="auto"/>
        </w:rPr>
      </w:pPr>
    </w:p>
    <w:p>
      <w:pPr>
        <w:snapToGrid w:val="0"/>
        <w:spacing w:before="50" w:after="50"/>
        <w:rPr>
          <w:rFonts w:ascii="宋体" w:cs="宋体"/>
          <w:b/>
          <w:color w:val="auto"/>
          <w:szCs w:val="21"/>
        </w:rPr>
      </w:pPr>
      <w:r>
        <w:rPr>
          <w:rFonts w:ascii="宋体" w:hAnsi="宋体" w:cs="宋体"/>
          <w:b/>
          <w:color w:val="auto"/>
          <w:szCs w:val="21"/>
        </w:rPr>
        <w:t xml:space="preserve">4.2.4 </w:t>
      </w:r>
      <w:r>
        <w:rPr>
          <w:rFonts w:hint="eastAsia" w:ascii="宋体" w:hAnsi="宋体" w:cs="宋体"/>
          <w:b/>
          <w:color w:val="auto"/>
          <w:szCs w:val="21"/>
        </w:rPr>
        <w:t>开标一览表、投标函</w:t>
      </w:r>
    </w:p>
    <w:p>
      <w:pPr>
        <w:pStyle w:val="84"/>
        <w:rPr>
          <w:rFonts w:ascii="宋体" w:cs="宋体"/>
          <w:b/>
          <w:color w:val="auto"/>
          <w:szCs w:val="21"/>
        </w:rPr>
      </w:pPr>
    </w:p>
    <w:p>
      <w:pPr>
        <w:pStyle w:val="84"/>
        <w:rPr>
          <w:rFonts w:ascii="宋体" w:cs="宋体"/>
          <w:b/>
          <w:color w:val="auto"/>
          <w:szCs w:val="21"/>
        </w:rPr>
      </w:pPr>
    </w:p>
    <w:p>
      <w:pPr>
        <w:snapToGrid w:val="0"/>
        <w:spacing w:before="50" w:after="50"/>
        <w:rPr>
          <w:rFonts w:ascii="宋体" w:cs="宋体"/>
          <w:b/>
          <w:color w:val="auto"/>
          <w:szCs w:val="21"/>
        </w:rPr>
      </w:pPr>
      <w:r>
        <w:rPr>
          <w:rFonts w:ascii="宋体" w:hAnsi="宋体" w:cs="宋体"/>
          <w:b/>
          <w:color w:val="auto"/>
          <w:szCs w:val="21"/>
        </w:rPr>
        <w:t>4.2.4-1</w:t>
      </w:r>
      <w:r>
        <w:rPr>
          <w:rFonts w:hint="eastAsia" w:ascii="宋体" w:hAnsi="宋体" w:cs="宋体"/>
          <w:b/>
          <w:color w:val="auto"/>
          <w:szCs w:val="21"/>
        </w:rPr>
        <w:t>开标一览表格式</w:t>
      </w:r>
    </w:p>
    <w:p>
      <w:pPr>
        <w:snapToGrid w:val="0"/>
        <w:spacing w:before="50" w:after="50"/>
        <w:jc w:val="center"/>
        <w:rPr>
          <w:rFonts w:ascii="宋体" w:cs="宋体"/>
          <w:b/>
          <w:color w:val="auto"/>
          <w:sz w:val="28"/>
          <w:szCs w:val="28"/>
        </w:rPr>
      </w:pPr>
    </w:p>
    <w:p>
      <w:pPr>
        <w:snapToGrid w:val="0"/>
        <w:spacing w:before="50" w:after="50"/>
        <w:jc w:val="center"/>
        <w:rPr>
          <w:rFonts w:ascii="宋体" w:cs="宋体"/>
          <w:b/>
          <w:color w:val="auto"/>
          <w:sz w:val="28"/>
          <w:szCs w:val="28"/>
        </w:rPr>
      </w:pPr>
      <w:r>
        <w:rPr>
          <w:rFonts w:hint="eastAsia" w:ascii="宋体" w:hAnsi="宋体" w:cs="宋体"/>
          <w:b/>
          <w:color w:val="auto"/>
          <w:sz w:val="28"/>
          <w:szCs w:val="28"/>
        </w:rPr>
        <w:t>开标一览表</w:t>
      </w:r>
    </w:p>
    <w:p>
      <w:pPr>
        <w:snapToGrid w:val="0"/>
        <w:spacing w:before="50" w:after="50"/>
        <w:jc w:val="center"/>
        <w:rPr>
          <w:rFonts w:ascii="宋体" w:cs="宋体"/>
          <w:b/>
          <w:color w:val="auto"/>
          <w:sz w:val="28"/>
          <w:szCs w:val="28"/>
        </w:rPr>
      </w:pPr>
    </w:p>
    <w:p>
      <w:pPr>
        <w:snapToGrid w:val="0"/>
        <w:spacing w:before="50" w:after="50" w:line="300" w:lineRule="exact"/>
        <w:rPr>
          <w:rFonts w:ascii="宋体" w:cs="宋体"/>
          <w:color w:val="auto"/>
          <w:szCs w:val="21"/>
          <w:u w:val="single"/>
        </w:rPr>
      </w:pPr>
      <w:r>
        <w:rPr>
          <w:rFonts w:hint="eastAsia" w:ascii="宋体" w:hAnsi="宋体" w:cs="宋体"/>
          <w:color w:val="auto"/>
          <w:szCs w:val="21"/>
        </w:rPr>
        <w:t>项目名称：</w:t>
      </w:r>
      <w:r>
        <w:rPr>
          <w:rFonts w:ascii="宋体" w:hAnsi="宋体" w:cs="宋体"/>
          <w:color w:val="auto"/>
          <w:szCs w:val="21"/>
        </w:rPr>
        <w:t xml:space="preserve">                         </w:t>
      </w:r>
      <w:r>
        <w:rPr>
          <w:rFonts w:hint="eastAsia" w:ascii="宋体" w:hAnsi="宋体" w:cs="宋体"/>
          <w:color w:val="auto"/>
          <w:szCs w:val="21"/>
        </w:rPr>
        <w:t>项目编号：</w:t>
      </w:r>
    </w:p>
    <w:p>
      <w:pPr>
        <w:snapToGrid w:val="0"/>
        <w:spacing w:before="50" w:after="50" w:line="300" w:lineRule="exact"/>
        <w:rPr>
          <w:rFonts w:ascii="宋体" w:cs="宋体"/>
          <w:color w:val="auto"/>
          <w:szCs w:val="21"/>
        </w:rPr>
      </w:pPr>
      <w:r>
        <w:rPr>
          <w:rFonts w:hint="eastAsia" w:ascii="宋体" w:hAnsi="宋体" w:cs="宋体"/>
          <w:color w:val="auto"/>
          <w:szCs w:val="21"/>
        </w:rPr>
        <w:t>投标人名称：</w:t>
      </w:r>
      <w:r>
        <w:rPr>
          <w:rFonts w:ascii="宋体" w:hAnsi="宋体" w:cs="宋体"/>
          <w:color w:val="auto"/>
          <w:szCs w:val="21"/>
        </w:rPr>
        <w:t xml:space="preserve">                                         </w:t>
      </w:r>
    </w:p>
    <w:p>
      <w:pPr>
        <w:snapToGrid w:val="0"/>
        <w:spacing w:before="50" w:after="50"/>
        <w:rPr>
          <w:rFonts w:ascii="宋体" w:cs="宋体"/>
          <w:color w:val="auto"/>
          <w:szCs w:val="21"/>
        </w:rPr>
      </w:pP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790" w:type="dxa"/>
            <w:tcBorders>
              <w:top w:val="single" w:color="auto" w:sz="4" w:space="0"/>
              <w:bottom w:val="single" w:color="auto" w:sz="4" w:space="0"/>
            </w:tcBorders>
            <w:vAlign w:val="center"/>
          </w:tcPr>
          <w:p>
            <w:pPr>
              <w:snapToGrid w:val="0"/>
              <w:spacing w:before="50" w:after="50"/>
              <w:jc w:val="center"/>
              <w:rPr>
                <w:rFonts w:ascii="宋体" w:cs="宋体"/>
                <w:b/>
                <w:color w:val="auto"/>
                <w:szCs w:val="21"/>
              </w:rPr>
            </w:pPr>
            <w:r>
              <w:rPr>
                <w:rFonts w:hint="eastAsia" w:ascii="宋体" w:hAnsi="宋体" w:cs="宋体"/>
                <w:b/>
                <w:color w:val="auto"/>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4" w:hRule="atLeast"/>
          <w:jc w:val="center"/>
        </w:trPr>
        <w:tc>
          <w:tcPr>
            <w:tcW w:w="8790" w:type="dxa"/>
            <w:tcBorders>
              <w:top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大写：人民币</w:t>
            </w:r>
            <w:r>
              <w:rPr>
                <w:rFonts w:ascii="宋体" w:hAnsi="宋体" w:cs="宋体"/>
                <w:color w:val="auto"/>
                <w:szCs w:val="21"/>
              </w:rPr>
              <w:t xml:space="preserve">                                </w:t>
            </w:r>
            <w:r>
              <w:rPr>
                <w:rFonts w:hint="eastAsia" w:ascii="宋体" w:hAnsi="宋体" w:cs="宋体"/>
                <w:color w:val="auto"/>
                <w:szCs w:val="21"/>
              </w:rPr>
              <w:t>小写：</w:t>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8790" w:type="dxa"/>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1</w:t>
      </w:r>
      <w:r>
        <w:rPr>
          <w:rFonts w:hint="eastAsia" w:ascii="宋体" w:hAnsi="宋体" w:cs="宋体"/>
          <w:color w:val="auto"/>
          <w:szCs w:val="21"/>
        </w:rPr>
        <w:t>、报价一经涂改，应在涂改处加盖单位公章或者由法定代表人或授权委托人签字或盖章，否则其投标作无效标处理。</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、投标费用包括项目实施所需的人工费、服务费、验收调试费、购买及制作标书费、税费及其他一切费用。</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、以上报价应与“投标报价明细表”中的“投标总价”相一致。</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、此表必须与“投标函”一起单独用一个小信封密封及</w:t>
      </w:r>
      <w:r>
        <w:rPr>
          <w:rFonts w:hint="eastAsia" w:ascii="宋体" w:hAnsi="宋体" w:cs="宋体"/>
          <w:b/>
          <w:color w:val="auto"/>
          <w:szCs w:val="21"/>
          <w:lang w:val="en-US" w:eastAsia="zh-CN"/>
        </w:rPr>
        <w:t>单独</w:t>
      </w:r>
      <w:r>
        <w:rPr>
          <w:rFonts w:hint="eastAsia" w:ascii="宋体" w:hAnsi="宋体" w:cs="宋体"/>
          <w:b/>
          <w:color w:val="auto"/>
          <w:szCs w:val="21"/>
        </w:rPr>
        <w:t>递交。</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、信封封面请注明项目名称、项目编号、投标人名称及“开标一览表、投标函”字样。</w:t>
      </w:r>
    </w:p>
    <w:p>
      <w:pPr>
        <w:snapToGrid w:val="0"/>
        <w:spacing w:before="50" w:after="50" w:line="300" w:lineRule="exact"/>
        <w:ind w:right="-817" w:rightChars="-389"/>
        <w:rPr>
          <w:rFonts w:ascii="宋体" w:cs="宋体"/>
          <w:color w:val="auto"/>
          <w:szCs w:val="21"/>
        </w:rPr>
      </w:pPr>
    </w:p>
    <w:p>
      <w:pPr>
        <w:snapToGrid w:val="0"/>
        <w:spacing w:before="50" w:after="50" w:line="300" w:lineRule="exact"/>
        <w:ind w:left="-2" w:leftChars="-1" w:right="-817" w:rightChars="-389"/>
        <w:rPr>
          <w:rFonts w:ascii="宋体" w:cs="宋体"/>
          <w:color w:val="auto"/>
          <w:szCs w:val="21"/>
        </w:rPr>
      </w:pPr>
      <w:r>
        <w:rPr>
          <w:rFonts w:hint="eastAsia" w:ascii="宋体" w:hAnsi="宋体" w:cs="宋体"/>
          <w:color w:val="auto"/>
          <w:szCs w:val="21"/>
        </w:rPr>
        <w:t>法定代表人或授权代表（签字）：</w:t>
      </w:r>
    </w:p>
    <w:p>
      <w:pPr>
        <w:snapToGrid w:val="0"/>
        <w:spacing w:before="50" w:after="50" w:line="300" w:lineRule="exact"/>
        <w:ind w:left="-2" w:leftChars="-1" w:right="-817" w:rightChars="-389"/>
        <w:rPr>
          <w:rFonts w:ascii="宋体" w:cs="宋体"/>
          <w:color w:val="auto"/>
          <w:szCs w:val="21"/>
        </w:rPr>
      </w:pP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r>
        <w:rPr>
          <w:rFonts w:hint="eastAsia" w:ascii="宋体" w:hAnsi="宋体" w:cs="宋体"/>
          <w:color w:val="auto"/>
          <w:szCs w:val="21"/>
        </w:rPr>
        <w:t>投标人名称（盖章）：</w:t>
      </w: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p>
    <w:p>
      <w:pPr>
        <w:snapToGrid w:val="0"/>
        <w:spacing w:before="50" w:after="50" w:line="300" w:lineRule="exact"/>
        <w:ind w:right="-817" w:rightChars="-389"/>
        <w:rPr>
          <w:rFonts w:ascii="宋体" w:cs="宋体"/>
          <w:b/>
          <w:color w:val="auto"/>
          <w:sz w:val="28"/>
          <w:szCs w:val="28"/>
        </w:rPr>
      </w:pP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napToGrid w:val="0"/>
        <w:spacing w:before="50" w:after="50"/>
        <w:rPr>
          <w:rFonts w:ascii="宋体" w:cs="宋体"/>
          <w:b/>
          <w:color w:val="auto"/>
          <w:szCs w:val="21"/>
        </w:rPr>
      </w:pPr>
      <w:r>
        <w:rPr>
          <w:rFonts w:ascii="宋体" w:hAnsi="宋体" w:cs="宋体"/>
          <w:b/>
          <w:color w:val="auto"/>
          <w:szCs w:val="21"/>
        </w:rPr>
        <w:t xml:space="preserve">4.2.4-2 </w:t>
      </w:r>
      <w:r>
        <w:rPr>
          <w:rFonts w:hint="eastAsia" w:ascii="宋体" w:hAnsi="宋体" w:cs="宋体"/>
          <w:b/>
          <w:color w:val="auto"/>
          <w:szCs w:val="21"/>
        </w:rPr>
        <w:t>投标函（格式略，格式与第</w:t>
      </w:r>
      <w:r>
        <w:rPr>
          <w:rFonts w:ascii="宋体" w:hAnsi="宋体" w:cs="宋体"/>
          <w:b/>
          <w:color w:val="auto"/>
          <w:szCs w:val="21"/>
        </w:rPr>
        <w:t>4.2</w:t>
      </w:r>
      <w:r>
        <w:rPr>
          <w:rFonts w:hint="eastAsia" w:ascii="宋体" w:hAnsi="宋体" w:cs="宋体"/>
          <w:b/>
          <w:color w:val="auto"/>
          <w:szCs w:val="21"/>
        </w:rPr>
        <w:t>条相同）</w:t>
      </w:r>
    </w:p>
    <w:p>
      <w:pPr>
        <w:snapToGrid w:val="0"/>
        <w:spacing w:before="50"/>
        <w:jc w:val="left"/>
        <w:rPr>
          <w:rFonts w:ascii="宋体" w:cs="宋体"/>
          <w:color w:val="auto"/>
          <w:szCs w:val="21"/>
        </w:rPr>
      </w:pPr>
    </w:p>
    <w:p>
      <w:pPr>
        <w:pStyle w:val="84"/>
        <w:rPr>
          <w:color w:val="auto"/>
        </w:rPr>
      </w:pPr>
    </w:p>
    <w:p>
      <w:pPr>
        <w:autoSpaceDE w:val="0"/>
        <w:autoSpaceDN w:val="0"/>
        <w:adjustRightInd w:val="0"/>
        <w:spacing w:line="600" w:lineRule="exact"/>
        <w:rPr>
          <w:rFonts w:hAnsi="宋体"/>
          <w:color w:val="auto"/>
        </w:rPr>
      </w:pPr>
    </w:p>
    <w:sectPr>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Microsoft YaHei UI Light">
    <w:altName w:val="宋体"/>
    <w:panose1 w:val="020B0502040204020203"/>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p>
  <w:p>
    <w:pPr>
      <w:pStyle w:val="27"/>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rPr>
        <w:rStyle w:val="44"/>
      </w:rPr>
      <w:fldChar w:fldCharType="begin"/>
    </w:r>
    <w:r>
      <w:rPr>
        <w:rStyle w:val="44"/>
      </w:rPr>
      <w:instrText xml:space="preserve">PAGE  </w:instrText>
    </w:r>
    <w:r>
      <w:rPr>
        <w:rStyle w:val="44"/>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4"/>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p>
    <w:pPr>
      <w:pStyle w:val="27"/>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rPr>
        <w:rFonts w:hint="eastAsia" w:eastAsia="宋体"/>
        <w:lang w:eastAsia="zh-CN"/>
      </w:rPr>
    </w:pPr>
    <w:r>
      <w:rPr>
        <w:rFonts w:hint="eastAsia"/>
        <w:lang w:eastAsia="zh-CN"/>
      </w:rPr>
      <w:t>防城港市妇幼保健院核酸检测实验室建设和设备购置项目</w:t>
    </w:r>
    <w:r>
      <w:rPr>
        <w:rFonts w:hint="eastAsia"/>
        <w:lang w:val="en-US" w:eastAsia="zh-CN"/>
      </w:rPr>
      <w:t xml:space="preserve">                 </w:t>
    </w:r>
    <w:r>
      <w:rPr>
        <w:rFonts w:hint="eastAsia"/>
        <w:lang w:eastAsia="zh-CN"/>
      </w:rPr>
      <w:t>FCZC2020-G1-10010-XGZX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BB244"/>
    <w:multiLevelType w:val="singleLevel"/>
    <w:tmpl w:val="8B7BB244"/>
    <w:lvl w:ilvl="0" w:tentative="0">
      <w:start w:val="2"/>
      <w:numFmt w:val="decimal"/>
      <w:lvlText w:val="%1."/>
      <w:lvlJc w:val="left"/>
      <w:pPr>
        <w:tabs>
          <w:tab w:val="left" w:pos="312"/>
        </w:tabs>
      </w:pPr>
    </w:lvl>
  </w:abstractNum>
  <w:abstractNum w:abstractNumId="1">
    <w:nsid w:val="9F3801D2"/>
    <w:multiLevelType w:val="singleLevel"/>
    <w:tmpl w:val="9F3801D2"/>
    <w:lvl w:ilvl="0" w:tentative="0">
      <w:start w:val="6"/>
      <w:numFmt w:val="decimal"/>
      <w:lvlText w:val="%1."/>
      <w:lvlJc w:val="left"/>
      <w:pPr>
        <w:tabs>
          <w:tab w:val="left" w:pos="312"/>
        </w:tabs>
      </w:pPr>
      <w:rPr>
        <w:rFonts w:cs="Times New Roman"/>
      </w:rPr>
    </w:lvl>
  </w:abstractNum>
  <w:abstractNum w:abstractNumId="2">
    <w:nsid w:val="B0A36B1F"/>
    <w:multiLevelType w:val="singleLevel"/>
    <w:tmpl w:val="B0A36B1F"/>
    <w:lvl w:ilvl="0" w:tentative="0">
      <w:start w:val="1"/>
      <w:numFmt w:val="decimal"/>
      <w:suff w:val="nothing"/>
      <w:lvlText w:val="%1）"/>
      <w:lvlJc w:val="left"/>
      <w:rPr>
        <w:rFonts w:cs="Times New Roman"/>
      </w:rPr>
    </w:lvl>
  </w:abstractNum>
  <w:abstractNum w:abstractNumId="3">
    <w:nsid w:val="BC9B02A2"/>
    <w:multiLevelType w:val="singleLevel"/>
    <w:tmpl w:val="BC9B02A2"/>
    <w:lvl w:ilvl="0" w:tentative="0">
      <w:start w:val="6"/>
      <w:numFmt w:val="chineseCounting"/>
      <w:suff w:val="nothing"/>
      <w:lvlText w:val="（%1）"/>
      <w:lvlJc w:val="left"/>
      <w:rPr>
        <w:rFonts w:hint="eastAsia" w:cs="Times New Roman"/>
      </w:rPr>
    </w:lvl>
  </w:abstractNum>
  <w:abstractNum w:abstractNumId="4">
    <w:nsid w:val="FFFFFF7E"/>
    <w:multiLevelType w:val="singleLevel"/>
    <w:tmpl w:val="FFFFFF7E"/>
    <w:lvl w:ilvl="0" w:tentative="0">
      <w:start w:val="1"/>
      <w:numFmt w:val="decimal"/>
      <w:pStyle w:val="21"/>
      <w:lvlText w:val="%1."/>
      <w:lvlJc w:val="left"/>
      <w:pPr>
        <w:tabs>
          <w:tab w:val="left" w:pos="1200"/>
        </w:tabs>
        <w:ind w:left="1200" w:hanging="360"/>
      </w:pPr>
      <w:rPr>
        <w:rFonts w:cs="Times New Roman"/>
      </w:rPr>
    </w:lvl>
  </w:abstractNum>
  <w:abstractNum w:abstractNumId="5">
    <w:nsid w:val="0F901888"/>
    <w:multiLevelType w:val="singleLevel"/>
    <w:tmpl w:val="0F901888"/>
    <w:lvl w:ilvl="0" w:tentative="0">
      <w:start w:val="23"/>
      <w:numFmt w:val="decimal"/>
      <w:lvlText w:val="%1."/>
      <w:lvlJc w:val="left"/>
      <w:pPr>
        <w:tabs>
          <w:tab w:val="left" w:pos="312"/>
        </w:tabs>
      </w:pPr>
    </w:lvl>
  </w:abstractNum>
  <w:abstractNum w:abstractNumId="6">
    <w:nsid w:val="32714F5E"/>
    <w:multiLevelType w:val="multilevel"/>
    <w:tmpl w:val="32714F5E"/>
    <w:lvl w:ilvl="0" w:tentative="0">
      <w:start w:val="1"/>
      <w:numFmt w:val="chineseCountingThousand"/>
      <w:suff w:val="nothing"/>
      <w:lvlText w:val="第%1章"/>
      <w:lvlJc w:val="left"/>
      <w:rPr>
        <w:rFonts w:hint="eastAsia" w:ascii="仿宋_GB2312" w:eastAsia="仿宋_GB2312" w:cs="Times New Roman"/>
        <w:sz w:val="44"/>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pStyle w:val="9"/>
      <w:suff w:val="nothing"/>
      <w:lvlText w:val=""/>
      <w:lvlJc w:val="left"/>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7">
    <w:nsid w:val="59B9F8AE"/>
    <w:multiLevelType w:val="singleLevel"/>
    <w:tmpl w:val="59B9F8AE"/>
    <w:lvl w:ilvl="0" w:tentative="0">
      <w:start w:val="1"/>
      <w:numFmt w:val="decimal"/>
      <w:suff w:val="space"/>
      <w:lvlText w:val="%1."/>
      <w:lvlJc w:val="left"/>
      <w:rPr>
        <w:rFonts w:cs="Times New Roman"/>
      </w:rPr>
    </w:lvl>
  </w:abstractNum>
  <w:abstractNum w:abstractNumId="8">
    <w:nsid w:val="59EEA420"/>
    <w:multiLevelType w:val="singleLevel"/>
    <w:tmpl w:val="59EEA420"/>
    <w:lvl w:ilvl="0" w:tentative="0">
      <w:start w:val="2"/>
      <w:numFmt w:val="chineseCounting"/>
      <w:suff w:val="space"/>
      <w:lvlText w:val="第%1章"/>
      <w:lvlJc w:val="left"/>
      <w:rPr>
        <w:rFonts w:cs="Times New Roman"/>
      </w:rPr>
    </w:lvl>
  </w:abstractNum>
  <w:abstractNum w:abstractNumId="9">
    <w:nsid w:val="5A40E2F0"/>
    <w:multiLevelType w:val="singleLevel"/>
    <w:tmpl w:val="5A40E2F0"/>
    <w:lvl w:ilvl="0" w:tentative="0">
      <w:start w:val="1"/>
      <w:numFmt w:val="chineseCounting"/>
      <w:suff w:val="nothing"/>
      <w:lvlText w:val="（%1）"/>
      <w:lvlJc w:val="left"/>
      <w:rPr>
        <w:rFonts w:cs="Times New Roman"/>
      </w:rPr>
    </w:lvl>
  </w:abstractNum>
  <w:abstractNum w:abstractNumId="10">
    <w:nsid w:val="5A437900"/>
    <w:multiLevelType w:val="singleLevel"/>
    <w:tmpl w:val="5A437900"/>
    <w:lvl w:ilvl="0" w:tentative="0">
      <w:start w:val="9"/>
      <w:numFmt w:val="chineseCounting"/>
      <w:suff w:val="nothing"/>
      <w:lvlText w:val="%1、"/>
      <w:lvlJc w:val="left"/>
      <w:rPr>
        <w:rFonts w:cs="Times New Roman"/>
      </w:rPr>
    </w:lvl>
  </w:abstractNum>
  <w:num w:numId="1">
    <w:abstractNumId w:val="6"/>
  </w:num>
  <w:num w:numId="2">
    <w:abstractNumId w:val="4"/>
  </w:num>
  <w:num w:numId="3">
    <w:abstractNumId w:val="8"/>
  </w:num>
  <w:num w:numId="4">
    <w:abstractNumId w:val="5"/>
  </w:num>
  <w:num w:numId="5">
    <w:abstractNumId w:val="0"/>
  </w:num>
  <w:num w:numId="6">
    <w:abstractNumId w:val="2"/>
  </w:num>
  <w:num w:numId="7">
    <w:abstractNumId w:val="3"/>
  </w:num>
  <w:num w:numId="8">
    <w:abstractNumId w:val="1"/>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08B"/>
    <w:rsid w:val="000012CB"/>
    <w:rsid w:val="000014E3"/>
    <w:rsid w:val="00001690"/>
    <w:rsid w:val="000016BC"/>
    <w:rsid w:val="00001C03"/>
    <w:rsid w:val="00001C5B"/>
    <w:rsid w:val="00001D95"/>
    <w:rsid w:val="00001DBD"/>
    <w:rsid w:val="000032A4"/>
    <w:rsid w:val="00003F1E"/>
    <w:rsid w:val="00004F28"/>
    <w:rsid w:val="00005309"/>
    <w:rsid w:val="00005712"/>
    <w:rsid w:val="00005E3D"/>
    <w:rsid w:val="0000717D"/>
    <w:rsid w:val="000073A9"/>
    <w:rsid w:val="00011853"/>
    <w:rsid w:val="000118A2"/>
    <w:rsid w:val="000118A7"/>
    <w:rsid w:val="00012099"/>
    <w:rsid w:val="000127C6"/>
    <w:rsid w:val="000130ED"/>
    <w:rsid w:val="000136D6"/>
    <w:rsid w:val="0001452D"/>
    <w:rsid w:val="0001713E"/>
    <w:rsid w:val="00020857"/>
    <w:rsid w:val="00020C39"/>
    <w:rsid w:val="00020E8E"/>
    <w:rsid w:val="00021747"/>
    <w:rsid w:val="000219E4"/>
    <w:rsid w:val="00022432"/>
    <w:rsid w:val="00022EA2"/>
    <w:rsid w:val="00023A35"/>
    <w:rsid w:val="00024305"/>
    <w:rsid w:val="00024429"/>
    <w:rsid w:val="000244A9"/>
    <w:rsid w:val="000244CA"/>
    <w:rsid w:val="000258DD"/>
    <w:rsid w:val="00030DF2"/>
    <w:rsid w:val="00030E51"/>
    <w:rsid w:val="00031DDA"/>
    <w:rsid w:val="00032021"/>
    <w:rsid w:val="0003353B"/>
    <w:rsid w:val="000336CE"/>
    <w:rsid w:val="00034680"/>
    <w:rsid w:val="00034FC6"/>
    <w:rsid w:val="00036C29"/>
    <w:rsid w:val="00036D92"/>
    <w:rsid w:val="000379A5"/>
    <w:rsid w:val="00037B89"/>
    <w:rsid w:val="0004078B"/>
    <w:rsid w:val="0004115A"/>
    <w:rsid w:val="000418A2"/>
    <w:rsid w:val="00041D24"/>
    <w:rsid w:val="00041ECF"/>
    <w:rsid w:val="00042CB5"/>
    <w:rsid w:val="00043126"/>
    <w:rsid w:val="00043C79"/>
    <w:rsid w:val="00043E47"/>
    <w:rsid w:val="000445FE"/>
    <w:rsid w:val="00045001"/>
    <w:rsid w:val="0004510F"/>
    <w:rsid w:val="00050DF5"/>
    <w:rsid w:val="0005139D"/>
    <w:rsid w:val="000517FA"/>
    <w:rsid w:val="000520E0"/>
    <w:rsid w:val="00052580"/>
    <w:rsid w:val="0005278D"/>
    <w:rsid w:val="00052C1C"/>
    <w:rsid w:val="00052C9D"/>
    <w:rsid w:val="000535E4"/>
    <w:rsid w:val="000538C9"/>
    <w:rsid w:val="000541DA"/>
    <w:rsid w:val="0005430A"/>
    <w:rsid w:val="00054593"/>
    <w:rsid w:val="000555A6"/>
    <w:rsid w:val="0005691A"/>
    <w:rsid w:val="00056DE6"/>
    <w:rsid w:val="0005719C"/>
    <w:rsid w:val="000579EF"/>
    <w:rsid w:val="00057B3C"/>
    <w:rsid w:val="0006089A"/>
    <w:rsid w:val="000632D0"/>
    <w:rsid w:val="000634C5"/>
    <w:rsid w:val="00064306"/>
    <w:rsid w:val="0006480C"/>
    <w:rsid w:val="00064A79"/>
    <w:rsid w:val="00065048"/>
    <w:rsid w:val="000650B1"/>
    <w:rsid w:val="00065824"/>
    <w:rsid w:val="00065BA2"/>
    <w:rsid w:val="00065C98"/>
    <w:rsid w:val="00066DBB"/>
    <w:rsid w:val="0006794B"/>
    <w:rsid w:val="00070D94"/>
    <w:rsid w:val="0007129F"/>
    <w:rsid w:val="000714B4"/>
    <w:rsid w:val="00071CA0"/>
    <w:rsid w:val="0007290C"/>
    <w:rsid w:val="00072E43"/>
    <w:rsid w:val="00073772"/>
    <w:rsid w:val="00073CA3"/>
    <w:rsid w:val="00074DD0"/>
    <w:rsid w:val="0007551C"/>
    <w:rsid w:val="00076BA6"/>
    <w:rsid w:val="000774F3"/>
    <w:rsid w:val="00080161"/>
    <w:rsid w:val="00080470"/>
    <w:rsid w:val="0008057F"/>
    <w:rsid w:val="00080B1D"/>
    <w:rsid w:val="00080CA7"/>
    <w:rsid w:val="00081141"/>
    <w:rsid w:val="00081503"/>
    <w:rsid w:val="00081C28"/>
    <w:rsid w:val="00081F92"/>
    <w:rsid w:val="00082765"/>
    <w:rsid w:val="00082D34"/>
    <w:rsid w:val="00083316"/>
    <w:rsid w:val="00084EB0"/>
    <w:rsid w:val="0008566C"/>
    <w:rsid w:val="00085D93"/>
    <w:rsid w:val="00085E85"/>
    <w:rsid w:val="00087013"/>
    <w:rsid w:val="00087028"/>
    <w:rsid w:val="00087C0E"/>
    <w:rsid w:val="0009066F"/>
    <w:rsid w:val="00090DFE"/>
    <w:rsid w:val="00092165"/>
    <w:rsid w:val="000939A0"/>
    <w:rsid w:val="00093BB7"/>
    <w:rsid w:val="00094674"/>
    <w:rsid w:val="000951B1"/>
    <w:rsid w:val="00095239"/>
    <w:rsid w:val="00096F39"/>
    <w:rsid w:val="00097BFD"/>
    <w:rsid w:val="000A0E1D"/>
    <w:rsid w:val="000A1C7B"/>
    <w:rsid w:val="000A1D78"/>
    <w:rsid w:val="000A1F92"/>
    <w:rsid w:val="000A22B0"/>
    <w:rsid w:val="000A2AEF"/>
    <w:rsid w:val="000A2FEA"/>
    <w:rsid w:val="000A3775"/>
    <w:rsid w:val="000A37CF"/>
    <w:rsid w:val="000A5DCF"/>
    <w:rsid w:val="000A60C3"/>
    <w:rsid w:val="000A61CE"/>
    <w:rsid w:val="000A61FC"/>
    <w:rsid w:val="000A7469"/>
    <w:rsid w:val="000A764B"/>
    <w:rsid w:val="000A7ADA"/>
    <w:rsid w:val="000A7E0A"/>
    <w:rsid w:val="000A7EC8"/>
    <w:rsid w:val="000B0148"/>
    <w:rsid w:val="000B0232"/>
    <w:rsid w:val="000B0404"/>
    <w:rsid w:val="000B040B"/>
    <w:rsid w:val="000B0AA2"/>
    <w:rsid w:val="000B0E24"/>
    <w:rsid w:val="000B1630"/>
    <w:rsid w:val="000B1A15"/>
    <w:rsid w:val="000B1D62"/>
    <w:rsid w:val="000B2A59"/>
    <w:rsid w:val="000B378B"/>
    <w:rsid w:val="000B3D3C"/>
    <w:rsid w:val="000B43B8"/>
    <w:rsid w:val="000B530E"/>
    <w:rsid w:val="000B58FC"/>
    <w:rsid w:val="000B63C8"/>
    <w:rsid w:val="000B7CB1"/>
    <w:rsid w:val="000C0048"/>
    <w:rsid w:val="000C0757"/>
    <w:rsid w:val="000C0CE6"/>
    <w:rsid w:val="000C1AF6"/>
    <w:rsid w:val="000C1B16"/>
    <w:rsid w:val="000C2B1B"/>
    <w:rsid w:val="000C2ED8"/>
    <w:rsid w:val="000C302B"/>
    <w:rsid w:val="000C45A6"/>
    <w:rsid w:val="000C475B"/>
    <w:rsid w:val="000C4D7B"/>
    <w:rsid w:val="000C5179"/>
    <w:rsid w:val="000C5ACD"/>
    <w:rsid w:val="000C6B09"/>
    <w:rsid w:val="000C7713"/>
    <w:rsid w:val="000D039A"/>
    <w:rsid w:val="000D2206"/>
    <w:rsid w:val="000D25BC"/>
    <w:rsid w:val="000D279A"/>
    <w:rsid w:val="000D2B47"/>
    <w:rsid w:val="000D3B01"/>
    <w:rsid w:val="000D3F44"/>
    <w:rsid w:val="000D4C12"/>
    <w:rsid w:val="000D66AB"/>
    <w:rsid w:val="000D6AFB"/>
    <w:rsid w:val="000D7083"/>
    <w:rsid w:val="000E03D7"/>
    <w:rsid w:val="000E0D85"/>
    <w:rsid w:val="000E21CB"/>
    <w:rsid w:val="000E3D3E"/>
    <w:rsid w:val="000E5A55"/>
    <w:rsid w:val="000F00DA"/>
    <w:rsid w:val="000F0155"/>
    <w:rsid w:val="000F01F9"/>
    <w:rsid w:val="000F0C43"/>
    <w:rsid w:val="000F1470"/>
    <w:rsid w:val="000F166A"/>
    <w:rsid w:val="000F1A43"/>
    <w:rsid w:val="000F1C2C"/>
    <w:rsid w:val="000F316E"/>
    <w:rsid w:val="000F34C4"/>
    <w:rsid w:val="000F3707"/>
    <w:rsid w:val="000F499A"/>
    <w:rsid w:val="000F4C00"/>
    <w:rsid w:val="000F5193"/>
    <w:rsid w:val="000F5D99"/>
    <w:rsid w:val="000F7489"/>
    <w:rsid w:val="0010007E"/>
    <w:rsid w:val="001008E2"/>
    <w:rsid w:val="00100B1F"/>
    <w:rsid w:val="00101048"/>
    <w:rsid w:val="0010104C"/>
    <w:rsid w:val="00101B38"/>
    <w:rsid w:val="00103CE8"/>
    <w:rsid w:val="00103D32"/>
    <w:rsid w:val="00105E3A"/>
    <w:rsid w:val="00105E41"/>
    <w:rsid w:val="00105F01"/>
    <w:rsid w:val="00106244"/>
    <w:rsid w:val="001065E6"/>
    <w:rsid w:val="00106905"/>
    <w:rsid w:val="00107B35"/>
    <w:rsid w:val="00111BD2"/>
    <w:rsid w:val="0011209D"/>
    <w:rsid w:val="001128BE"/>
    <w:rsid w:val="00113707"/>
    <w:rsid w:val="00115905"/>
    <w:rsid w:val="00115A73"/>
    <w:rsid w:val="001162AE"/>
    <w:rsid w:val="001162DC"/>
    <w:rsid w:val="00116F89"/>
    <w:rsid w:val="001170DC"/>
    <w:rsid w:val="001209EE"/>
    <w:rsid w:val="00120AAF"/>
    <w:rsid w:val="00122500"/>
    <w:rsid w:val="001228B7"/>
    <w:rsid w:val="00122A75"/>
    <w:rsid w:val="0012375C"/>
    <w:rsid w:val="00123A80"/>
    <w:rsid w:val="00123E79"/>
    <w:rsid w:val="00125454"/>
    <w:rsid w:val="0012668C"/>
    <w:rsid w:val="00126980"/>
    <w:rsid w:val="00127DE0"/>
    <w:rsid w:val="001307A9"/>
    <w:rsid w:val="001308DD"/>
    <w:rsid w:val="00131FE9"/>
    <w:rsid w:val="00132BD5"/>
    <w:rsid w:val="001337CF"/>
    <w:rsid w:val="00135EFB"/>
    <w:rsid w:val="00136224"/>
    <w:rsid w:val="00136D0F"/>
    <w:rsid w:val="00140177"/>
    <w:rsid w:val="001408D9"/>
    <w:rsid w:val="00140D07"/>
    <w:rsid w:val="00141F2B"/>
    <w:rsid w:val="0014377D"/>
    <w:rsid w:val="00143F38"/>
    <w:rsid w:val="00144573"/>
    <w:rsid w:val="00145007"/>
    <w:rsid w:val="00145AB6"/>
    <w:rsid w:val="001468FC"/>
    <w:rsid w:val="00147182"/>
    <w:rsid w:val="0014727F"/>
    <w:rsid w:val="001506AB"/>
    <w:rsid w:val="00152315"/>
    <w:rsid w:val="00152A7F"/>
    <w:rsid w:val="001531C5"/>
    <w:rsid w:val="001534CE"/>
    <w:rsid w:val="001546F6"/>
    <w:rsid w:val="00154891"/>
    <w:rsid w:val="001557D2"/>
    <w:rsid w:val="0015593E"/>
    <w:rsid w:val="00155D4D"/>
    <w:rsid w:val="00155DB2"/>
    <w:rsid w:val="00157877"/>
    <w:rsid w:val="00157C3F"/>
    <w:rsid w:val="00157C97"/>
    <w:rsid w:val="00160244"/>
    <w:rsid w:val="001602ED"/>
    <w:rsid w:val="001604A8"/>
    <w:rsid w:val="001606CE"/>
    <w:rsid w:val="00161062"/>
    <w:rsid w:val="0016278C"/>
    <w:rsid w:val="00162A29"/>
    <w:rsid w:val="00162DEE"/>
    <w:rsid w:val="00162EFE"/>
    <w:rsid w:val="00163D0C"/>
    <w:rsid w:val="00163D11"/>
    <w:rsid w:val="00164549"/>
    <w:rsid w:val="0016498B"/>
    <w:rsid w:val="00164A2F"/>
    <w:rsid w:val="00164CE6"/>
    <w:rsid w:val="00165389"/>
    <w:rsid w:val="00165FCA"/>
    <w:rsid w:val="001667E8"/>
    <w:rsid w:val="0016744D"/>
    <w:rsid w:val="0016796B"/>
    <w:rsid w:val="00167F15"/>
    <w:rsid w:val="00167FD0"/>
    <w:rsid w:val="0017008A"/>
    <w:rsid w:val="00170AC9"/>
    <w:rsid w:val="00170BB5"/>
    <w:rsid w:val="00171122"/>
    <w:rsid w:val="00171691"/>
    <w:rsid w:val="001717A3"/>
    <w:rsid w:val="001718DE"/>
    <w:rsid w:val="00171E0B"/>
    <w:rsid w:val="0017200C"/>
    <w:rsid w:val="0017544D"/>
    <w:rsid w:val="00175A12"/>
    <w:rsid w:val="00176956"/>
    <w:rsid w:val="001809E3"/>
    <w:rsid w:val="00180A63"/>
    <w:rsid w:val="00181E43"/>
    <w:rsid w:val="001823F1"/>
    <w:rsid w:val="00182DA6"/>
    <w:rsid w:val="00182E88"/>
    <w:rsid w:val="00182F96"/>
    <w:rsid w:val="001831F3"/>
    <w:rsid w:val="001833DD"/>
    <w:rsid w:val="00183F58"/>
    <w:rsid w:val="00186170"/>
    <w:rsid w:val="00186E9F"/>
    <w:rsid w:val="00186FDD"/>
    <w:rsid w:val="0019053A"/>
    <w:rsid w:val="00190987"/>
    <w:rsid w:val="00190FF3"/>
    <w:rsid w:val="00191414"/>
    <w:rsid w:val="001915AE"/>
    <w:rsid w:val="00192170"/>
    <w:rsid w:val="00192CCC"/>
    <w:rsid w:val="00194C36"/>
    <w:rsid w:val="001950F8"/>
    <w:rsid w:val="0019517E"/>
    <w:rsid w:val="00195441"/>
    <w:rsid w:val="00195525"/>
    <w:rsid w:val="00195FA6"/>
    <w:rsid w:val="001962FD"/>
    <w:rsid w:val="00196367"/>
    <w:rsid w:val="00196FE7"/>
    <w:rsid w:val="0019795F"/>
    <w:rsid w:val="001A0257"/>
    <w:rsid w:val="001A0AC5"/>
    <w:rsid w:val="001A1789"/>
    <w:rsid w:val="001A22F0"/>
    <w:rsid w:val="001A2764"/>
    <w:rsid w:val="001A28AA"/>
    <w:rsid w:val="001A294C"/>
    <w:rsid w:val="001A2D0C"/>
    <w:rsid w:val="001A30D5"/>
    <w:rsid w:val="001A31E8"/>
    <w:rsid w:val="001A38B7"/>
    <w:rsid w:val="001A3D83"/>
    <w:rsid w:val="001A48CB"/>
    <w:rsid w:val="001A597B"/>
    <w:rsid w:val="001A5988"/>
    <w:rsid w:val="001A6438"/>
    <w:rsid w:val="001A7629"/>
    <w:rsid w:val="001A76BE"/>
    <w:rsid w:val="001A7A55"/>
    <w:rsid w:val="001B101F"/>
    <w:rsid w:val="001B1A2F"/>
    <w:rsid w:val="001B1EAB"/>
    <w:rsid w:val="001B228D"/>
    <w:rsid w:val="001B2B69"/>
    <w:rsid w:val="001B5325"/>
    <w:rsid w:val="001B600F"/>
    <w:rsid w:val="001B66B3"/>
    <w:rsid w:val="001B7577"/>
    <w:rsid w:val="001B77CB"/>
    <w:rsid w:val="001B7B91"/>
    <w:rsid w:val="001C018C"/>
    <w:rsid w:val="001C076B"/>
    <w:rsid w:val="001C107E"/>
    <w:rsid w:val="001C1420"/>
    <w:rsid w:val="001C194B"/>
    <w:rsid w:val="001C2544"/>
    <w:rsid w:val="001C270E"/>
    <w:rsid w:val="001C28BC"/>
    <w:rsid w:val="001C54E8"/>
    <w:rsid w:val="001C6120"/>
    <w:rsid w:val="001C7023"/>
    <w:rsid w:val="001C7AE2"/>
    <w:rsid w:val="001D0A60"/>
    <w:rsid w:val="001D1525"/>
    <w:rsid w:val="001D26F4"/>
    <w:rsid w:val="001D2CB2"/>
    <w:rsid w:val="001D34F4"/>
    <w:rsid w:val="001D350C"/>
    <w:rsid w:val="001D3F43"/>
    <w:rsid w:val="001D45DA"/>
    <w:rsid w:val="001D4DCE"/>
    <w:rsid w:val="001D4F3C"/>
    <w:rsid w:val="001D5BDA"/>
    <w:rsid w:val="001D63DF"/>
    <w:rsid w:val="001D64E2"/>
    <w:rsid w:val="001D769F"/>
    <w:rsid w:val="001E035D"/>
    <w:rsid w:val="001E0D0F"/>
    <w:rsid w:val="001E0EA2"/>
    <w:rsid w:val="001E12EF"/>
    <w:rsid w:val="001E15A2"/>
    <w:rsid w:val="001E2040"/>
    <w:rsid w:val="001E37E1"/>
    <w:rsid w:val="001E3C50"/>
    <w:rsid w:val="001E4AC8"/>
    <w:rsid w:val="001E64E8"/>
    <w:rsid w:val="001E67FF"/>
    <w:rsid w:val="001F0865"/>
    <w:rsid w:val="001F08C7"/>
    <w:rsid w:val="001F0918"/>
    <w:rsid w:val="001F0FDF"/>
    <w:rsid w:val="001F351B"/>
    <w:rsid w:val="001F36ED"/>
    <w:rsid w:val="001F4BA7"/>
    <w:rsid w:val="001F4C84"/>
    <w:rsid w:val="001F5F97"/>
    <w:rsid w:val="001F6A81"/>
    <w:rsid w:val="001F718B"/>
    <w:rsid w:val="001F739D"/>
    <w:rsid w:val="0020059C"/>
    <w:rsid w:val="0020065F"/>
    <w:rsid w:val="002024D0"/>
    <w:rsid w:val="00202F25"/>
    <w:rsid w:val="0020316C"/>
    <w:rsid w:val="00203723"/>
    <w:rsid w:val="00204F06"/>
    <w:rsid w:val="002051D6"/>
    <w:rsid w:val="002054B6"/>
    <w:rsid w:val="00207530"/>
    <w:rsid w:val="002078EE"/>
    <w:rsid w:val="00207DED"/>
    <w:rsid w:val="00207E90"/>
    <w:rsid w:val="0021079C"/>
    <w:rsid w:val="00210B14"/>
    <w:rsid w:val="00210C32"/>
    <w:rsid w:val="00210F29"/>
    <w:rsid w:val="002111DF"/>
    <w:rsid w:val="00211253"/>
    <w:rsid w:val="00213784"/>
    <w:rsid w:val="00214824"/>
    <w:rsid w:val="00215CC9"/>
    <w:rsid w:val="00216248"/>
    <w:rsid w:val="002162FB"/>
    <w:rsid w:val="00216416"/>
    <w:rsid w:val="00216FC7"/>
    <w:rsid w:val="0022030F"/>
    <w:rsid w:val="00221269"/>
    <w:rsid w:val="002214A4"/>
    <w:rsid w:val="00221811"/>
    <w:rsid w:val="00225DE5"/>
    <w:rsid w:val="00226983"/>
    <w:rsid w:val="00226D09"/>
    <w:rsid w:val="00226E46"/>
    <w:rsid w:val="0022761C"/>
    <w:rsid w:val="00227937"/>
    <w:rsid w:val="00227C98"/>
    <w:rsid w:val="00231001"/>
    <w:rsid w:val="00232157"/>
    <w:rsid w:val="00232A0C"/>
    <w:rsid w:val="00232D1D"/>
    <w:rsid w:val="002330BE"/>
    <w:rsid w:val="00233423"/>
    <w:rsid w:val="00234174"/>
    <w:rsid w:val="00234A59"/>
    <w:rsid w:val="00234C32"/>
    <w:rsid w:val="00234F5E"/>
    <w:rsid w:val="002354B9"/>
    <w:rsid w:val="00236AFE"/>
    <w:rsid w:val="002376EF"/>
    <w:rsid w:val="0023778F"/>
    <w:rsid w:val="00237BE0"/>
    <w:rsid w:val="00240617"/>
    <w:rsid w:val="00240886"/>
    <w:rsid w:val="002418F2"/>
    <w:rsid w:val="00242264"/>
    <w:rsid w:val="00242A01"/>
    <w:rsid w:val="00243CD0"/>
    <w:rsid w:val="00244A8E"/>
    <w:rsid w:val="00244E51"/>
    <w:rsid w:val="00245EEB"/>
    <w:rsid w:val="002460E4"/>
    <w:rsid w:val="00246909"/>
    <w:rsid w:val="00246992"/>
    <w:rsid w:val="00246AA7"/>
    <w:rsid w:val="00246BF7"/>
    <w:rsid w:val="00247303"/>
    <w:rsid w:val="00247CDE"/>
    <w:rsid w:val="00247E93"/>
    <w:rsid w:val="00250406"/>
    <w:rsid w:val="00250884"/>
    <w:rsid w:val="002513BA"/>
    <w:rsid w:val="00252CBB"/>
    <w:rsid w:val="002530F7"/>
    <w:rsid w:val="00253CD4"/>
    <w:rsid w:val="0025475C"/>
    <w:rsid w:val="0025538B"/>
    <w:rsid w:val="002558F5"/>
    <w:rsid w:val="00255E14"/>
    <w:rsid w:val="00256630"/>
    <w:rsid w:val="002567A8"/>
    <w:rsid w:val="00256ED7"/>
    <w:rsid w:val="00260CB2"/>
    <w:rsid w:val="00261AD0"/>
    <w:rsid w:val="00261B75"/>
    <w:rsid w:val="002631D1"/>
    <w:rsid w:val="0026346D"/>
    <w:rsid w:val="00263CA8"/>
    <w:rsid w:val="00263DE5"/>
    <w:rsid w:val="00264CE5"/>
    <w:rsid w:val="00264D26"/>
    <w:rsid w:val="00266C02"/>
    <w:rsid w:val="0026786B"/>
    <w:rsid w:val="00270960"/>
    <w:rsid w:val="00271053"/>
    <w:rsid w:val="0027211A"/>
    <w:rsid w:val="00272428"/>
    <w:rsid w:val="002729DA"/>
    <w:rsid w:val="00272D0F"/>
    <w:rsid w:val="00272DD4"/>
    <w:rsid w:val="00273167"/>
    <w:rsid w:val="00273BA1"/>
    <w:rsid w:val="00274166"/>
    <w:rsid w:val="002744AA"/>
    <w:rsid w:val="00275197"/>
    <w:rsid w:val="0027527A"/>
    <w:rsid w:val="00275CE1"/>
    <w:rsid w:val="0027643F"/>
    <w:rsid w:val="002776AC"/>
    <w:rsid w:val="00280AD9"/>
    <w:rsid w:val="00280CEE"/>
    <w:rsid w:val="00281689"/>
    <w:rsid w:val="002816EF"/>
    <w:rsid w:val="00282815"/>
    <w:rsid w:val="00283AA3"/>
    <w:rsid w:val="00283D3B"/>
    <w:rsid w:val="00283EE6"/>
    <w:rsid w:val="002842EC"/>
    <w:rsid w:val="00284ACA"/>
    <w:rsid w:val="0028545D"/>
    <w:rsid w:val="00285661"/>
    <w:rsid w:val="002858D6"/>
    <w:rsid w:val="00285BAD"/>
    <w:rsid w:val="00285F92"/>
    <w:rsid w:val="00286079"/>
    <w:rsid w:val="00286346"/>
    <w:rsid w:val="00286C80"/>
    <w:rsid w:val="00287170"/>
    <w:rsid w:val="00287677"/>
    <w:rsid w:val="0029037F"/>
    <w:rsid w:val="002906E2"/>
    <w:rsid w:val="00290C71"/>
    <w:rsid w:val="00291297"/>
    <w:rsid w:val="00291643"/>
    <w:rsid w:val="00291D60"/>
    <w:rsid w:val="00292016"/>
    <w:rsid w:val="002926E0"/>
    <w:rsid w:val="002930D7"/>
    <w:rsid w:val="0029331B"/>
    <w:rsid w:val="00293405"/>
    <w:rsid w:val="00293C21"/>
    <w:rsid w:val="00294D16"/>
    <w:rsid w:val="0029535E"/>
    <w:rsid w:val="002959B5"/>
    <w:rsid w:val="00295AA4"/>
    <w:rsid w:val="00295F0C"/>
    <w:rsid w:val="0029631A"/>
    <w:rsid w:val="00296376"/>
    <w:rsid w:val="00296D83"/>
    <w:rsid w:val="00297272"/>
    <w:rsid w:val="002A0487"/>
    <w:rsid w:val="002A076A"/>
    <w:rsid w:val="002A21F7"/>
    <w:rsid w:val="002A45E3"/>
    <w:rsid w:val="002A4D41"/>
    <w:rsid w:val="002A4D54"/>
    <w:rsid w:val="002A5789"/>
    <w:rsid w:val="002A5D38"/>
    <w:rsid w:val="002A6127"/>
    <w:rsid w:val="002A6B85"/>
    <w:rsid w:val="002A6BB8"/>
    <w:rsid w:val="002A7594"/>
    <w:rsid w:val="002B03C6"/>
    <w:rsid w:val="002B0DD5"/>
    <w:rsid w:val="002B0F30"/>
    <w:rsid w:val="002B23D9"/>
    <w:rsid w:val="002B3D8C"/>
    <w:rsid w:val="002B42BC"/>
    <w:rsid w:val="002B441B"/>
    <w:rsid w:val="002B56E5"/>
    <w:rsid w:val="002B597A"/>
    <w:rsid w:val="002B79D4"/>
    <w:rsid w:val="002B7A7F"/>
    <w:rsid w:val="002B7B02"/>
    <w:rsid w:val="002C0A9C"/>
    <w:rsid w:val="002C0C87"/>
    <w:rsid w:val="002C0D30"/>
    <w:rsid w:val="002C15CD"/>
    <w:rsid w:val="002C1EAD"/>
    <w:rsid w:val="002C223D"/>
    <w:rsid w:val="002C4207"/>
    <w:rsid w:val="002C471B"/>
    <w:rsid w:val="002C5458"/>
    <w:rsid w:val="002C63F4"/>
    <w:rsid w:val="002C661C"/>
    <w:rsid w:val="002C67BB"/>
    <w:rsid w:val="002C6EFB"/>
    <w:rsid w:val="002C6F2F"/>
    <w:rsid w:val="002C7FA2"/>
    <w:rsid w:val="002D01F3"/>
    <w:rsid w:val="002D04FB"/>
    <w:rsid w:val="002D0731"/>
    <w:rsid w:val="002D0E42"/>
    <w:rsid w:val="002D0FA7"/>
    <w:rsid w:val="002D1433"/>
    <w:rsid w:val="002D1DDA"/>
    <w:rsid w:val="002D1DF7"/>
    <w:rsid w:val="002D24BE"/>
    <w:rsid w:val="002D257D"/>
    <w:rsid w:val="002D30C7"/>
    <w:rsid w:val="002D3E39"/>
    <w:rsid w:val="002D4DE3"/>
    <w:rsid w:val="002D57B3"/>
    <w:rsid w:val="002D67ED"/>
    <w:rsid w:val="002D6887"/>
    <w:rsid w:val="002D6A9C"/>
    <w:rsid w:val="002D6E4E"/>
    <w:rsid w:val="002D7DA0"/>
    <w:rsid w:val="002E0330"/>
    <w:rsid w:val="002E06D4"/>
    <w:rsid w:val="002E19D1"/>
    <w:rsid w:val="002E2616"/>
    <w:rsid w:val="002E2BCE"/>
    <w:rsid w:val="002E2C1D"/>
    <w:rsid w:val="002E32B0"/>
    <w:rsid w:val="002E36D5"/>
    <w:rsid w:val="002E39F4"/>
    <w:rsid w:val="002E3C31"/>
    <w:rsid w:val="002E4A9A"/>
    <w:rsid w:val="002E6349"/>
    <w:rsid w:val="002E6608"/>
    <w:rsid w:val="002E693D"/>
    <w:rsid w:val="002E73A7"/>
    <w:rsid w:val="002E7CDA"/>
    <w:rsid w:val="002F068B"/>
    <w:rsid w:val="002F10E5"/>
    <w:rsid w:val="002F26F9"/>
    <w:rsid w:val="002F289B"/>
    <w:rsid w:val="002F2DEE"/>
    <w:rsid w:val="002F2E5A"/>
    <w:rsid w:val="002F3830"/>
    <w:rsid w:val="002F394E"/>
    <w:rsid w:val="002F5034"/>
    <w:rsid w:val="002F50A0"/>
    <w:rsid w:val="002F580A"/>
    <w:rsid w:val="002F58C2"/>
    <w:rsid w:val="00300753"/>
    <w:rsid w:val="00300B20"/>
    <w:rsid w:val="00301606"/>
    <w:rsid w:val="003026F6"/>
    <w:rsid w:val="003032BC"/>
    <w:rsid w:val="00303F30"/>
    <w:rsid w:val="003052FE"/>
    <w:rsid w:val="0030581D"/>
    <w:rsid w:val="00307B3B"/>
    <w:rsid w:val="003101A7"/>
    <w:rsid w:val="003104D9"/>
    <w:rsid w:val="003109C3"/>
    <w:rsid w:val="00310A6A"/>
    <w:rsid w:val="00310CBE"/>
    <w:rsid w:val="00310D9A"/>
    <w:rsid w:val="003122C5"/>
    <w:rsid w:val="00312916"/>
    <w:rsid w:val="00313319"/>
    <w:rsid w:val="00313CF5"/>
    <w:rsid w:val="00314469"/>
    <w:rsid w:val="0031472F"/>
    <w:rsid w:val="00314FE6"/>
    <w:rsid w:val="003159A8"/>
    <w:rsid w:val="00315F5F"/>
    <w:rsid w:val="00316964"/>
    <w:rsid w:val="00316A8F"/>
    <w:rsid w:val="00316EED"/>
    <w:rsid w:val="0031701E"/>
    <w:rsid w:val="00317882"/>
    <w:rsid w:val="00320A1B"/>
    <w:rsid w:val="00320E9F"/>
    <w:rsid w:val="003211D4"/>
    <w:rsid w:val="00321396"/>
    <w:rsid w:val="003221BF"/>
    <w:rsid w:val="00322E54"/>
    <w:rsid w:val="00324017"/>
    <w:rsid w:val="003245C1"/>
    <w:rsid w:val="00324854"/>
    <w:rsid w:val="00326B6C"/>
    <w:rsid w:val="003275A3"/>
    <w:rsid w:val="00330330"/>
    <w:rsid w:val="0033049C"/>
    <w:rsid w:val="00331967"/>
    <w:rsid w:val="0033273A"/>
    <w:rsid w:val="00333794"/>
    <w:rsid w:val="00334080"/>
    <w:rsid w:val="0033539B"/>
    <w:rsid w:val="00335604"/>
    <w:rsid w:val="0033593F"/>
    <w:rsid w:val="0033711A"/>
    <w:rsid w:val="00337E19"/>
    <w:rsid w:val="00337F8A"/>
    <w:rsid w:val="00340083"/>
    <w:rsid w:val="00340A50"/>
    <w:rsid w:val="003410A4"/>
    <w:rsid w:val="003420CD"/>
    <w:rsid w:val="00342878"/>
    <w:rsid w:val="00342BFE"/>
    <w:rsid w:val="00346D7F"/>
    <w:rsid w:val="00347C29"/>
    <w:rsid w:val="003503D8"/>
    <w:rsid w:val="003504F8"/>
    <w:rsid w:val="00350645"/>
    <w:rsid w:val="00350C18"/>
    <w:rsid w:val="00350F50"/>
    <w:rsid w:val="0035186A"/>
    <w:rsid w:val="003524EB"/>
    <w:rsid w:val="00352F9F"/>
    <w:rsid w:val="00353916"/>
    <w:rsid w:val="0035531E"/>
    <w:rsid w:val="00355968"/>
    <w:rsid w:val="00356AE9"/>
    <w:rsid w:val="00357510"/>
    <w:rsid w:val="003609E1"/>
    <w:rsid w:val="00360EE6"/>
    <w:rsid w:val="00361585"/>
    <w:rsid w:val="00361A01"/>
    <w:rsid w:val="00362676"/>
    <w:rsid w:val="00363144"/>
    <w:rsid w:val="003635A3"/>
    <w:rsid w:val="003637F1"/>
    <w:rsid w:val="00363ABA"/>
    <w:rsid w:val="003640A9"/>
    <w:rsid w:val="00364375"/>
    <w:rsid w:val="00366E3A"/>
    <w:rsid w:val="003679C6"/>
    <w:rsid w:val="0037442C"/>
    <w:rsid w:val="003745C8"/>
    <w:rsid w:val="003750AD"/>
    <w:rsid w:val="00375A9A"/>
    <w:rsid w:val="00375F23"/>
    <w:rsid w:val="003768C0"/>
    <w:rsid w:val="00376F40"/>
    <w:rsid w:val="00377610"/>
    <w:rsid w:val="00377ACE"/>
    <w:rsid w:val="003807FB"/>
    <w:rsid w:val="00381A84"/>
    <w:rsid w:val="00381D29"/>
    <w:rsid w:val="00381E23"/>
    <w:rsid w:val="00382E64"/>
    <w:rsid w:val="0038343F"/>
    <w:rsid w:val="00383736"/>
    <w:rsid w:val="00384167"/>
    <w:rsid w:val="00384F8B"/>
    <w:rsid w:val="00385302"/>
    <w:rsid w:val="0038606E"/>
    <w:rsid w:val="003862F9"/>
    <w:rsid w:val="003866FC"/>
    <w:rsid w:val="00386B8C"/>
    <w:rsid w:val="003874ED"/>
    <w:rsid w:val="0038789E"/>
    <w:rsid w:val="00387BD5"/>
    <w:rsid w:val="003915C3"/>
    <w:rsid w:val="00391994"/>
    <w:rsid w:val="00391D6E"/>
    <w:rsid w:val="00392229"/>
    <w:rsid w:val="00392623"/>
    <w:rsid w:val="00392FD0"/>
    <w:rsid w:val="00393771"/>
    <w:rsid w:val="00393A2C"/>
    <w:rsid w:val="00394C7A"/>
    <w:rsid w:val="00396266"/>
    <w:rsid w:val="003970F6"/>
    <w:rsid w:val="00397BA4"/>
    <w:rsid w:val="003A03C0"/>
    <w:rsid w:val="003A041B"/>
    <w:rsid w:val="003A089B"/>
    <w:rsid w:val="003A1140"/>
    <w:rsid w:val="003A1CE3"/>
    <w:rsid w:val="003A2F7D"/>
    <w:rsid w:val="003A2F8B"/>
    <w:rsid w:val="003A39D6"/>
    <w:rsid w:val="003A44C5"/>
    <w:rsid w:val="003A4508"/>
    <w:rsid w:val="003A4F2E"/>
    <w:rsid w:val="003A5599"/>
    <w:rsid w:val="003A628F"/>
    <w:rsid w:val="003A73EE"/>
    <w:rsid w:val="003A7D1D"/>
    <w:rsid w:val="003B0813"/>
    <w:rsid w:val="003B0D85"/>
    <w:rsid w:val="003B14E0"/>
    <w:rsid w:val="003B1A89"/>
    <w:rsid w:val="003B2930"/>
    <w:rsid w:val="003B2C0E"/>
    <w:rsid w:val="003B2F3D"/>
    <w:rsid w:val="003B2F63"/>
    <w:rsid w:val="003B37C5"/>
    <w:rsid w:val="003B3A70"/>
    <w:rsid w:val="003B3CC4"/>
    <w:rsid w:val="003B42B4"/>
    <w:rsid w:val="003B4BDA"/>
    <w:rsid w:val="003B56BE"/>
    <w:rsid w:val="003B58B9"/>
    <w:rsid w:val="003B58EC"/>
    <w:rsid w:val="003B73EF"/>
    <w:rsid w:val="003B74EE"/>
    <w:rsid w:val="003B7697"/>
    <w:rsid w:val="003B7B32"/>
    <w:rsid w:val="003B7EE5"/>
    <w:rsid w:val="003C007B"/>
    <w:rsid w:val="003C0222"/>
    <w:rsid w:val="003C0648"/>
    <w:rsid w:val="003C0B56"/>
    <w:rsid w:val="003C1F09"/>
    <w:rsid w:val="003C2E69"/>
    <w:rsid w:val="003C3143"/>
    <w:rsid w:val="003C3C28"/>
    <w:rsid w:val="003C4B77"/>
    <w:rsid w:val="003C5666"/>
    <w:rsid w:val="003C5FCF"/>
    <w:rsid w:val="003C644C"/>
    <w:rsid w:val="003C704D"/>
    <w:rsid w:val="003C73D1"/>
    <w:rsid w:val="003C7B3F"/>
    <w:rsid w:val="003D0690"/>
    <w:rsid w:val="003D07CD"/>
    <w:rsid w:val="003D122E"/>
    <w:rsid w:val="003D1C06"/>
    <w:rsid w:val="003D323E"/>
    <w:rsid w:val="003D3A46"/>
    <w:rsid w:val="003D3ABA"/>
    <w:rsid w:val="003D3B3A"/>
    <w:rsid w:val="003D4E7D"/>
    <w:rsid w:val="003D5115"/>
    <w:rsid w:val="003D537A"/>
    <w:rsid w:val="003D5EFD"/>
    <w:rsid w:val="003D787B"/>
    <w:rsid w:val="003E01D4"/>
    <w:rsid w:val="003E02A9"/>
    <w:rsid w:val="003E04F8"/>
    <w:rsid w:val="003E079F"/>
    <w:rsid w:val="003E087B"/>
    <w:rsid w:val="003E0AEC"/>
    <w:rsid w:val="003E2193"/>
    <w:rsid w:val="003E2A00"/>
    <w:rsid w:val="003E2C02"/>
    <w:rsid w:val="003E30D0"/>
    <w:rsid w:val="003E376C"/>
    <w:rsid w:val="003E3A56"/>
    <w:rsid w:val="003E4823"/>
    <w:rsid w:val="003E5452"/>
    <w:rsid w:val="003E6188"/>
    <w:rsid w:val="003E6FC2"/>
    <w:rsid w:val="003E7BF6"/>
    <w:rsid w:val="003E7DF5"/>
    <w:rsid w:val="003F04B4"/>
    <w:rsid w:val="003F0592"/>
    <w:rsid w:val="003F1405"/>
    <w:rsid w:val="003F144A"/>
    <w:rsid w:val="003F1BEC"/>
    <w:rsid w:val="003F2709"/>
    <w:rsid w:val="003F2E65"/>
    <w:rsid w:val="003F2EF4"/>
    <w:rsid w:val="003F3D63"/>
    <w:rsid w:val="003F4ACA"/>
    <w:rsid w:val="003F4B57"/>
    <w:rsid w:val="003F5507"/>
    <w:rsid w:val="003F554A"/>
    <w:rsid w:val="003F56E1"/>
    <w:rsid w:val="003F5B2B"/>
    <w:rsid w:val="003F5E17"/>
    <w:rsid w:val="003F6139"/>
    <w:rsid w:val="003F7C10"/>
    <w:rsid w:val="004004E5"/>
    <w:rsid w:val="00400C0D"/>
    <w:rsid w:val="0040158B"/>
    <w:rsid w:val="00401639"/>
    <w:rsid w:val="00403145"/>
    <w:rsid w:val="00403510"/>
    <w:rsid w:val="0040378A"/>
    <w:rsid w:val="00404176"/>
    <w:rsid w:val="00404784"/>
    <w:rsid w:val="00404970"/>
    <w:rsid w:val="00405078"/>
    <w:rsid w:val="00405F27"/>
    <w:rsid w:val="0040628D"/>
    <w:rsid w:val="004067EF"/>
    <w:rsid w:val="00406E46"/>
    <w:rsid w:val="00407B9A"/>
    <w:rsid w:val="0041143A"/>
    <w:rsid w:val="00411F8E"/>
    <w:rsid w:val="004136B0"/>
    <w:rsid w:val="00413B95"/>
    <w:rsid w:val="00414BF2"/>
    <w:rsid w:val="004154FA"/>
    <w:rsid w:val="004161E4"/>
    <w:rsid w:val="00416DA1"/>
    <w:rsid w:val="00416F6F"/>
    <w:rsid w:val="00417065"/>
    <w:rsid w:val="00417862"/>
    <w:rsid w:val="004206A4"/>
    <w:rsid w:val="00420E42"/>
    <w:rsid w:val="0042127E"/>
    <w:rsid w:val="00421A2C"/>
    <w:rsid w:val="00422597"/>
    <w:rsid w:val="0042272E"/>
    <w:rsid w:val="00422973"/>
    <w:rsid w:val="00422F51"/>
    <w:rsid w:val="004241EC"/>
    <w:rsid w:val="004243A1"/>
    <w:rsid w:val="00424B6A"/>
    <w:rsid w:val="00424C49"/>
    <w:rsid w:val="004252B5"/>
    <w:rsid w:val="00425732"/>
    <w:rsid w:val="00425E32"/>
    <w:rsid w:val="004261D5"/>
    <w:rsid w:val="00431A99"/>
    <w:rsid w:val="00431C59"/>
    <w:rsid w:val="00431E0F"/>
    <w:rsid w:val="0043227C"/>
    <w:rsid w:val="00432528"/>
    <w:rsid w:val="00432B43"/>
    <w:rsid w:val="00432D57"/>
    <w:rsid w:val="00434362"/>
    <w:rsid w:val="0043449D"/>
    <w:rsid w:val="00434596"/>
    <w:rsid w:val="004346C7"/>
    <w:rsid w:val="00434855"/>
    <w:rsid w:val="00435BFB"/>
    <w:rsid w:val="00435C92"/>
    <w:rsid w:val="00435D8A"/>
    <w:rsid w:val="00436AD9"/>
    <w:rsid w:val="004379FC"/>
    <w:rsid w:val="00437EB1"/>
    <w:rsid w:val="00437FD2"/>
    <w:rsid w:val="00440783"/>
    <w:rsid w:val="004416CE"/>
    <w:rsid w:val="00441954"/>
    <w:rsid w:val="004421E0"/>
    <w:rsid w:val="00444559"/>
    <w:rsid w:val="004450B4"/>
    <w:rsid w:val="0044517C"/>
    <w:rsid w:val="00445181"/>
    <w:rsid w:val="00445A99"/>
    <w:rsid w:val="004478D5"/>
    <w:rsid w:val="00451BA3"/>
    <w:rsid w:val="00451BAD"/>
    <w:rsid w:val="00451E3F"/>
    <w:rsid w:val="00451E4D"/>
    <w:rsid w:val="00452386"/>
    <w:rsid w:val="00453D40"/>
    <w:rsid w:val="004541C5"/>
    <w:rsid w:val="00454A85"/>
    <w:rsid w:val="00454BB9"/>
    <w:rsid w:val="00455735"/>
    <w:rsid w:val="004558E3"/>
    <w:rsid w:val="00455E05"/>
    <w:rsid w:val="00455E75"/>
    <w:rsid w:val="00456987"/>
    <w:rsid w:val="004609B5"/>
    <w:rsid w:val="0046154A"/>
    <w:rsid w:val="00461A1E"/>
    <w:rsid w:val="004622CB"/>
    <w:rsid w:val="00462516"/>
    <w:rsid w:val="00462795"/>
    <w:rsid w:val="004631FA"/>
    <w:rsid w:val="00463748"/>
    <w:rsid w:val="00463B39"/>
    <w:rsid w:val="00463EEA"/>
    <w:rsid w:val="00464688"/>
    <w:rsid w:val="00465153"/>
    <w:rsid w:val="0046595F"/>
    <w:rsid w:val="00466780"/>
    <w:rsid w:val="004669A4"/>
    <w:rsid w:val="0046763E"/>
    <w:rsid w:val="004679DD"/>
    <w:rsid w:val="00470446"/>
    <w:rsid w:val="00470496"/>
    <w:rsid w:val="00470FF3"/>
    <w:rsid w:val="00471B9F"/>
    <w:rsid w:val="0047263C"/>
    <w:rsid w:val="0047316A"/>
    <w:rsid w:val="00475387"/>
    <w:rsid w:val="0047573F"/>
    <w:rsid w:val="00480CB5"/>
    <w:rsid w:val="00481AB6"/>
    <w:rsid w:val="00482430"/>
    <w:rsid w:val="00483B8C"/>
    <w:rsid w:val="004845A6"/>
    <w:rsid w:val="0048507B"/>
    <w:rsid w:val="0048590B"/>
    <w:rsid w:val="00485D17"/>
    <w:rsid w:val="00486A6B"/>
    <w:rsid w:val="0048726E"/>
    <w:rsid w:val="0048788E"/>
    <w:rsid w:val="00487C1E"/>
    <w:rsid w:val="00490388"/>
    <w:rsid w:val="00490579"/>
    <w:rsid w:val="004917B9"/>
    <w:rsid w:val="00491BA2"/>
    <w:rsid w:val="00492FCB"/>
    <w:rsid w:val="00493099"/>
    <w:rsid w:val="00493782"/>
    <w:rsid w:val="0049510A"/>
    <w:rsid w:val="004967B6"/>
    <w:rsid w:val="004974CF"/>
    <w:rsid w:val="00497B8A"/>
    <w:rsid w:val="00497BE3"/>
    <w:rsid w:val="004A19D9"/>
    <w:rsid w:val="004A1E0B"/>
    <w:rsid w:val="004A2144"/>
    <w:rsid w:val="004A21EF"/>
    <w:rsid w:val="004A2616"/>
    <w:rsid w:val="004A2EC2"/>
    <w:rsid w:val="004A2EF0"/>
    <w:rsid w:val="004A4E0E"/>
    <w:rsid w:val="004A5773"/>
    <w:rsid w:val="004A6EB4"/>
    <w:rsid w:val="004A7301"/>
    <w:rsid w:val="004A74E4"/>
    <w:rsid w:val="004B12C9"/>
    <w:rsid w:val="004B246F"/>
    <w:rsid w:val="004B33E1"/>
    <w:rsid w:val="004B4BC2"/>
    <w:rsid w:val="004B5882"/>
    <w:rsid w:val="004B5C13"/>
    <w:rsid w:val="004B6E7E"/>
    <w:rsid w:val="004B7FF5"/>
    <w:rsid w:val="004C0100"/>
    <w:rsid w:val="004C0B5F"/>
    <w:rsid w:val="004C0D63"/>
    <w:rsid w:val="004C0E63"/>
    <w:rsid w:val="004C1A3F"/>
    <w:rsid w:val="004C1C25"/>
    <w:rsid w:val="004C1CF1"/>
    <w:rsid w:val="004C2302"/>
    <w:rsid w:val="004C23E1"/>
    <w:rsid w:val="004C30ED"/>
    <w:rsid w:val="004C3A5B"/>
    <w:rsid w:val="004C4A5A"/>
    <w:rsid w:val="004C674F"/>
    <w:rsid w:val="004C752F"/>
    <w:rsid w:val="004C7B00"/>
    <w:rsid w:val="004D0377"/>
    <w:rsid w:val="004D0440"/>
    <w:rsid w:val="004D07AF"/>
    <w:rsid w:val="004D1F0D"/>
    <w:rsid w:val="004D2E36"/>
    <w:rsid w:val="004D3E16"/>
    <w:rsid w:val="004D3F2E"/>
    <w:rsid w:val="004D4542"/>
    <w:rsid w:val="004D59E2"/>
    <w:rsid w:val="004D6281"/>
    <w:rsid w:val="004D7042"/>
    <w:rsid w:val="004D734C"/>
    <w:rsid w:val="004D7411"/>
    <w:rsid w:val="004D7C7E"/>
    <w:rsid w:val="004E014E"/>
    <w:rsid w:val="004E05EF"/>
    <w:rsid w:val="004E1460"/>
    <w:rsid w:val="004E1715"/>
    <w:rsid w:val="004E174C"/>
    <w:rsid w:val="004E21D5"/>
    <w:rsid w:val="004E28B1"/>
    <w:rsid w:val="004E3F7B"/>
    <w:rsid w:val="004E405E"/>
    <w:rsid w:val="004E4321"/>
    <w:rsid w:val="004E55A6"/>
    <w:rsid w:val="004E5978"/>
    <w:rsid w:val="004E6185"/>
    <w:rsid w:val="004E6394"/>
    <w:rsid w:val="004E6E48"/>
    <w:rsid w:val="004E754E"/>
    <w:rsid w:val="004E75D6"/>
    <w:rsid w:val="004E76CC"/>
    <w:rsid w:val="004E792C"/>
    <w:rsid w:val="004E7F64"/>
    <w:rsid w:val="004F0245"/>
    <w:rsid w:val="004F0DC4"/>
    <w:rsid w:val="004F0FC6"/>
    <w:rsid w:val="004F1887"/>
    <w:rsid w:val="004F1B60"/>
    <w:rsid w:val="004F2653"/>
    <w:rsid w:val="004F370F"/>
    <w:rsid w:val="004F3DF9"/>
    <w:rsid w:val="004F4399"/>
    <w:rsid w:val="004F545B"/>
    <w:rsid w:val="004F55F8"/>
    <w:rsid w:val="004F6EE4"/>
    <w:rsid w:val="004F78AB"/>
    <w:rsid w:val="005006F2"/>
    <w:rsid w:val="00501DEF"/>
    <w:rsid w:val="0050229A"/>
    <w:rsid w:val="00502379"/>
    <w:rsid w:val="00502E73"/>
    <w:rsid w:val="00504057"/>
    <w:rsid w:val="00504241"/>
    <w:rsid w:val="005042B9"/>
    <w:rsid w:val="005042E2"/>
    <w:rsid w:val="00504FCE"/>
    <w:rsid w:val="00505436"/>
    <w:rsid w:val="0050543C"/>
    <w:rsid w:val="00506266"/>
    <w:rsid w:val="005068FD"/>
    <w:rsid w:val="0051028A"/>
    <w:rsid w:val="00510480"/>
    <w:rsid w:val="005122DE"/>
    <w:rsid w:val="0051233B"/>
    <w:rsid w:val="00512B1A"/>
    <w:rsid w:val="00514854"/>
    <w:rsid w:val="00515EAC"/>
    <w:rsid w:val="00516C5A"/>
    <w:rsid w:val="00516D9E"/>
    <w:rsid w:val="00520027"/>
    <w:rsid w:val="00520C59"/>
    <w:rsid w:val="00520FA0"/>
    <w:rsid w:val="005220E0"/>
    <w:rsid w:val="00522762"/>
    <w:rsid w:val="005236A0"/>
    <w:rsid w:val="005237B4"/>
    <w:rsid w:val="00523FD1"/>
    <w:rsid w:val="00524848"/>
    <w:rsid w:val="00524C7B"/>
    <w:rsid w:val="00524E19"/>
    <w:rsid w:val="00525200"/>
    <w:rsid w:val="005257E8"/>
    <w:rsid w:val="00526861"/>
    <w:rsid w:val="00526FD4"/>
    <w:rsid w:val="00527193"/>
    <w:rsid w:val="0052736A"/>
    <w:rsid w:val="005273E4"/>
    <w:rsid w:val="00530354"/>
    <w:rsid w:val="00530721"/>
    <w:rsid w:val="0053114E"/>
    <w:rsid w:val="00531F98"/>
    <w:rsid w:val="00532477"/>
    <w:rsid w:val="005324AB"/>
    <w:rsid w:val="0053340D"/>
    <w:rsid w:val="005336D3"/>
    <w:rsid w:val="00534866"/>
    <w:rsid w:val="00534F90"/>
    <w:rsid w:val="0053568D"/>
    <w:rsid w:val="00535DD1"/>
    <w:rsid w:val="00537AAC"/>
    <w:rsid w:val="005416A2"/>
    <w:rsid w:val="00542384"/>
    <w:rsid w:val="00543CDC"/>
    <w:rsid w:val="0054420B"/>
    <w:rsid w:val="0054466A"/>
    <w:rsid w:val="005449A1"/>
    <w:rsid w:val="005454C9"/>
    <w:rsid w:val="0054626A"/>
    <w:rsid w:val="00546B68"/>
    <w:rsid w:val="00547691"/>
    <w:rsid w:val="005508AF"/>
    <w:rsid w:val="00550CEC"/>
    <w:rsid w:val="00550E12"/>
    <w:rsid w:val="005521FE"/>
    <w:rsid w:val="00552C5F"/>
    <w:rsid w:val="0055349C"/>
    <w:rsid w:val="005535C0"/>
    <w:rsid w:val="00554236"/>
    <w:rsid w:val="0055424D"/>
    <w:rsid w:val="005550EE"/>
    <w:rsid w:val="00555540"/>
    <w:rsid w:val="00555676"/>
    <w:rsid w:val="00555B55"/>
    <w:rsid w:val="00555C3F"/>
    <w:rsid w:val="005576C1"/>
    <w:rsid w:val="00557D4E"/>
    <w:rsid w:val="00557E48"/>
    <w:rsid w:val="005600CF"/>
    <w:rsid w:val="005617C5"/>
    <w:rsid w:val="00561A89"/>
    <w:rsid w:val="00562CF0"/>
    <w:rsid w:val="00563950"/>
    <w:rsid w:val="005641ED"/>
    <w:rsid w:val="005645C1"/>
    <w:rsid w:val="00565137"/>
    <w:rsid w:val="00565759"/>
    <w:rsid w:val="005674B5"/>
    <w:rsid w:val="00567D01"/>
    <w:rsid w:val="00567E6C"/>
    <w:rsid w:val="00571488"/>
    <w:rsid w:val="0057186A"/>
    <w:rsid w:val="00571F34"/>
    <w:rsid w:val="005723D0"/>
    <w:rsid w:val="00574854"/>
    <w:rsid w:val="00574B8C"/>
    <w:rsid w:val="005761C5"/>
    <w:rsid w:val="00576554"/>
    <w:rsid w:val="00580BC8"/>
    <w:rsid w:val="00581703"/>
    <w:rsid w:val="005827A2"/>
    <w:rsid w:val="00584E87"/>
    <w:rsid w:val="005875C2"/>
    <w:rsid w:val="00587F72"/>
    <w:rsid w:val="0059105A"/>
    <w:rsid w:val="00591276"/>
    <w:rsid w:val="00591278"/>
    <w:rsid w:val="0059140C"/>
    <w:rsid w:val="0059205C"/>
    <w:rsid w:val="005927FF"/>
    <w:rsid w:val="00594505"/>
    <w:rsid w:val="00594B8A"/>
    <w:rsid w:val="00594E91"/>
    <w:rsid w:val="005952B6"/>
    <w:rsid w:val="00596AB0"/>
    <w:rsid w:val="00597031"/>
    <w:rsid w:val="005971F6"/>
    <w:rsid w:val="005979E7"/>
    <w:rsid w:val="00597A05"/>
    <w:rsid w:val="00597ACC"/>
    <w:rsid w:val="005A13D1"/>
    <w:rsid w:val="005A5D9F"/>
    <w:rsid w:val="005A6153"/>
    <w:rsid w:val="005A6604"/>
    <w:rsid w:val="005A6B9A"/>
    <w:rsid w:val="005A7543"/>
    <w:rsid w:val="005A7E3B"/>
    <w:rsid w:val="005B0463"/>
    <w:rsid w:val="005B057E"/>
    <w:rsid w:val="005B0CC7"/>
    <w:rsid w:val="005B0D69"/>
    <w:rsid w:val="005B1EEA"/>
    <w:rsid w:val="005B24AD"/>
    <w:rsid w:val="005B2CA3"/>
    <w:rsid w:val="005B3B90"/>
    <w:rsid w:val="005B4CBD"/>
    <w:rsid w:val="005B4E4A"/>
    <w:rsid w:val="005B5317"/>
    <w:rsid w:val="005B5BD8"/>
    <w:rsid w:val="005B5EE4"/>
    <w:rsid w:val="005B610C"/>
    <w:rsid w:val="005B6638"/>
    <w:rsid w:val="005B7E63"/>
    <w:rsid w:val="005C006B"/>
    <w:rsid w:val="005C09DA"/>
    <w:rsid w:val="005C2BAA"/>
    <w:rsid w:val="005C3C20"/>
    <w:rsid w:val="005C44DE"/>
    <w:rsid w:val="005C498C"/>
    <w:rsid w:val="005C64A9"/>
    <w:rsid w:val="005C7270"/>
    <w:rsid w:val="005C7E06"/>
    <w:rsid w:val="005D10E1"/>
    <w:rsid w:val="005D13C7"/>
    <w:rsid w:val="005D1576"/>
    <w:rsid w:val="005D1BD3"/>
    <w:rsid w:val="005D337D"/>
    <w:rsid w:val="005D35CF"/>
    <w:rsid w:val="005D3899"/>
    <w:rsid w:val="005D3BF9"/>
    <w:rsid w:val="005D3EF8"/>
    <w:rsid w:val="005D4741"/>
    <w:rsid w:val="005D48FF"/>
    <w:rsid w:val="005D4A1D"/>
    <w:rsid w:val="005D59B0"/>
    <w:rsid w:val="005D6479"/>
    <w:rsid w:val="005D6A0A"/>
    <w:rsid w:val="005D6BBD"/>
    <w:rsid w:val="005E162A"/>
    <w:rsid w:val="005E1CEB"/>
    <w:rsid w:val="005E2081"/>
    <w:rsid w:val="005E3002"/>
    <w:rsid w:val="005E455F"/>
    <w:rsid w:val="005E4A1D"/>
    <w:rsid w:val="005E6302"/>
    <w:rsid w:val="005E6CA5"/>
    <w:rsid w:val="005E73D9"/>
    <w:rsid w:val="005E78DB"/>
    <w:rsid w:val="005F0980"/>
    <w:rsid w:val="005F1070"/>
    <w:rsid w:val="005F10A3"/>
    <w:rsid w:val="005F10F7"/>
    <w:rsid w:val="005F1404"/>
    <w:rsid w:val="005F1D97"/>
    <w:rsid w:val="005F25D0"/>
    <w:rsid w:val="005F2837"/>
    <w:rsid w:val="005F28C9"/>
    <w:rsid w:val="005F2DE7"/>
    <w:rsid w:val="005F338F"/>
    <w:rsid w:val="005F3C37"/>
    <w:rsid w:val="005F41B7"/>
    <w:rsid w:val="005F422F"/>
    <w:rsid w:val="005F43B3"/>
    <w:rsid w:val="005F4675"/>
    <w:rsid w:val="005F52AE"/>
    <w:rsid w:val="005F5EC2"/>
    <w:rsid w:val="005F62BF"/>
    <w:rsid w:val="005F6C37"/>
    <w:rsid w:val="005F6F09"/>
    <w:rsid w:val="005F7542"/>
    <w:rsid w:val="0060039A"/>
    <w:rsid w:val="00600436"/>
    <w:rsid w:val="00600CE9"/>
    <w:rsid w:val="00601726"/>
    <w:rsid w:val="00601A43"/>
    <w:rsid w:val="00601A61"/>
    <w:rsid w:val="00602F05"/>
    <w:rsid w:val="0060315C"/>
    <w:rsid w:val="00604169"/>
    <w:rsid w:val="00604C4D"/>
    <w:rsid w:val="006055F9"/>
    <w:rsid w:val="00605D41"/>
    <w:rsid w:val="00606BAE"/>
    <w:rsid w:val="006074EF"/>
    <w:rsid w:val="006074FE"/>
    <w:rsid w:val="006075C9"/>
    <w:rsid w:val="006075F4"/>
    <w:rsid w:val="006076FD"/>
    <w:rsid w:val="00607B9B"/>
    <w:rsid w:val="00610327"/>
    <w:rsid w:val="00610DB2"/>
    <w:rsid w:val="0061132E"/>
    <w:rsid w:val="00611405"/>
    <w:rsid w:val="006124B8"/>
    <w:rsid w:val="00613746"/>
    <w:rsid w:val="0061383C"/>
    <w:rsid w:val="0061401C"/>
    <w:rsid w:val="006142F4"/>
    <w:rsid w:val="00616CA7"/>
    <w:rsid w:val="00616D5B"/>
    <w:rsid w:val="0062033B"/>
    <w:rsid w:val="006207B9"/>
    <w:rsid w:val="00620B35"/>
    <w:rsid w:val="00620EB5"/>
    <w:rsid w:val="0062119C"/>
    <w:rsid w:val="00621458"/>
    <w:rsid w:val="006223DB"/>
    <w:rsid w:val="00622866"/>
    <w:rsid w:val="00622D59"/>
    <w:rsid w:val="00624CD0"/>
    <w:rsid w:val="006253F0"/>
    <w:rsid w:val="00625678"/>
    <w:rsid w:val="006256FE"/>
    <w:rsid w:val="00625FB8"/>
    <w:rsid w:val="00626D22"/>
    <w:rsid w:val="00626E4E"/>
    <w:rsid w:val="00627C6A"/>
    <w:rsid w:val="00630A36"/>
    <w:rsid w:val="00630CEF"/>
    <w:rsid w:val="00631999"/>
    <w:rsid w:val="00631D5E"/>
    <w:rsid w:val="00633189"/>
    <w:rsid w:val="00634082"/>
    <w:rsid w:val="00634337"/>
    <w:rsid w:val="0063582E"/>
    <w:rsid w:val="006364E6"/>
    <w:rsid w:val="00636726"/>
    <w:rsid w:val="00637252"/>
    <w:rsid w:val="006379B5"/>
    <w:rsid w:val="00640375"/>
    <w:rsid w:val="00641BD4"/>
    <w:rsid w:val="00641D42"/>
    <w:rsid w:val="0064253D"/>
    <w:rsid w:val="006425AF"/>
    <w:rsid w:val="00643301"/>
    <w:rsid w:val="00643AC1"/>
    <w:rsid w:val="00643EDD"/>
    <w:rsid w:val="006449E1"/>
    <w:rsid w:val="00645191"/>
    <w:rsid w:val="006453B4"/>
    <w:rsid w:val="006472FE"/>
    <w:rsid w:val="0064763F"/>
    <w:rsid w:val="00650960"/>
    <w:rsid w:val="00651B35"/>
    <w:rsid w:val="0065291D"/>
    <w:rsid w:val="00652BA0"/>
    <w:rsid w:val="00653241"/>
    <w:rsid w:val="00653354"/>
    <w:rsid w:val="006537C6"/>
    <w:rsid w:val="0065406C"/>
    <w:rsid w:val="00654AD7"/>
    <w:rsid w:val="0065512A"/>
    <w:rsid w:val="006554EF"/>
    <w:rsid w:val="00655690"/>
    <w:rsid w:val="00655D93"/>
    <w:rsid w:val="00656513"/>
    <w:rsid w:val="00656E60"/>
    <w:rsid w:val="0065751D"/>
    <w:rsid w:val="0065760D"/>
    <w:rsid w:val="006600FE"/>
    <w:rsid w:val="00660162"/>
    <w:rsid w:val="006609FC"/>
    <w:rsid w:val="00660A9C"/>
    <w:rsid w:val="0066100E"/>
    <w:rsid w:val="006612C3"/>
    <w:rsid w:val="00661E11"/>
    <w:rsid w:val="006624C8"/>
    <w:rsid w:val="0066277D"/>
    <w:rsid w:val="00662DCB"/>
    <w:rsid w:val="006630B4"/>
    <w:rsid w:val="0066448B"/>
    <w:rsid w:val="00664EE1"/>
    <w:rsid w:val="00665775"/>
    <w:rsid w:val="00665A45"/>
    <w:rsid w:val="00665E5B"/>
    <w:rsid w:val="00666B07"/>
    <w:rsid w:val="006676DA"/>
    <w:rsid w:val="00667CBF"/>
    <w:rsid w:val="00667FBE"/>
    <w:rsid w:val="006710D0"/>
    <w:rsid w:val="006714E3"/>
    <w:rsid w:val="00671E71"/>
    <w:rsid w:val="00673ABC"/>
    <w:rsid w:val="006743E1"/>
    <w:rsid w:val="006747A7"/>
    <w:rsid w:val="00676288"/>
    <w:rsid w:val="00677019"/>
    <w:rsid w:val="006776E3"/>
    <w:rsid w:val="00677BF6"/>
    <w:rsid w:val="00680A95"/>
    <w:rsid w:val="006815A2"/>
    <w:rsid w:val="00683D98"/>
    <w:rsid w:val="0068552F"/>
    <w:rsid w:val="00685C38"/>
    <w:rsid w:val="00685F93"/>
    <w:rsid w:val="0068671C"/>
    <w:rsid w:val="00686751"/>
    <w:rsid w:val="00686773"/>
    <w:rsid w:val="0068689C"/>
    <w:rsid w:val="00686B23"/>
    <w:rsid w:val="00686BDB"/>
    <w:rsid w:val="00687794"/>
    <w:rsid w:val="00687B32"/>
    <w:rsid w:val="00687F0A"/>
    <w:rsid w:val="00687F51"/>
    <w:rsid w:val="00690AB1"/>
    <w:rsid w:val="00691A2A"/>
    <w:rsid w:val="0069429D"/>
    <w:rsid w:val="00694B73"/>
    <w:rsid w:val="00694BE3"/>
    <w:rsid w:val="00694DD8"/>
    <w:rsid w:val="00695605"/>
    <w:rsid w:val="00695BE7"/>
    <w:rsid w:val="00695C34"/>
    <w:rsid w:val="00696B26"/>
    <w:rsid w:val="00697116"/>
    <w:rsid w:val="0069749B"/>
    <w:rsid w:val="00697E10"/>
    <w:rsid w:val="00697EF7"/>
    <w:rsid w:val="006A1329"/>
    <w:rsid w:val="006A1EAD"/>
    <w:rsid w:val="006A25A6"/>
    <w:rsid w:val="006A2AF4"/>
    <w:rsid w:val="006A3593"/>
    <w:rsid w:val="006A376E"/>
    <w:rsid w:val="006A41B1"/>
    <w:rsid w:val="006A44C3"/>
    <w:rsid w:val="006A4D8D"/>
    <w:rsid w:val="006A4E9A"/>
    <w:rsid w:val="006A555D"/>
    <w:rsid w:val="006A680D"/>
    <w:rsid w:val="006A6F4A"/>
    <w:rsid w:val="006A744C"/>
    <w:rsid w:val="006A787C"/>
    <w:rsid w:val="006A7A37"/>
    <w:rsid w:val="006A7D1B"/>
    <w:rsid w:val="006B0D15"/>
    <w:rsid w:val="006B237F"/>
    <w:rsid w:val="006B23FD"/>
    <w:rsid w:val="006B2A4E"/>
    <w:rsid w:val="006B2BBD"/>
    <w:rsid w:val="006B32A9"/>
    <w:rsid w:val="006B37E5"/>
    <w:rsid w:val="006B4DC2"/>
    <w:rsid w:val="006B4DCC"/>
    <w:rsid w:val="006B60BF"/>
    <w:rsid w:val="006B60DD"/>
    <w:rsid w:val="006B6B3F"/>
    <w:rsid w:val="006B6DCD"/>
    <w:rsid w:val="006B754F"/>
    <w:rsid w:val="006B761F"/>
    <w:rsid w:val="006B7E0A"/>
    <w:rsid w:val="006C2619"/>
    <w:rsid w:val="006C2E79"/>
    <w:rsid w:val="006C3096"/>
    <w:rsid w:val="006C35A9"/>
    <w:rsid w:val="006C3C04"/>
    <w:rsid w:val="006C4630"/>
    <w:rsid w:val="006C517B"/>
    <w:rsid w:val="006C58EA"/>
    <w:rsid w:val="006C60B9"/>
    <w:rsid w:val="006C64B4"/>
    <w:rsid w:val="006C745A"/>
    <w:rsid w:val="006D075C"/>
    <w:rsid w:val="006D0A11"/>
    <w:rsid w:val="006D0D54"/>
    <w:rsid w:val="006D0F7F"/>
    <w:rsid w:val="006D1B3F"/>
    <w:rsid w:val="006D3143"/>
    <w:rsid w:val="006D32EB"/>
    <w:rsid w:val="006D3608"/>
    <w:rsid w:val="006D3737"/>
    <w:rsid w:val="006D3C81"/>
    <w:rsid w:val="006D3E19"/>
    <w:rsid w:val="006D499F"/>
    <w:rsid w:val="006D4FC1"/>
    <w:rsid w:val="006D50F7"/>
    <w:rsid w:val="006D55AC"/>
    <w:rsid w:val="006D5CD8"/>
    <w:rsid w:val="006D6070"/>
    <w:rsid w:val="006D61BF"/>
    <w:rsid w:val="006D6AC3"/>
    <w:rsid w:val="006D728F"/>
    <w:rsid w:val="006D7B2E"/>
    <w:rsid w:val="006D7D44"/>
    <w:rsid w:val="006E0E5B"/>
    <w:rsid w:val="006E0F78"/>
    <w:rsid w:val="006E19AD"/>
    <w:rsid w:val="006E1D97"/>
    <w:rsid w:val="006E2F25"/>
    <w:rsid w:val="006E3A84"/>
    <w:rsid w:val="006E3E22"/>
    <w:rsid w:val="006E4D8A"/>
    <w:rsid w:val="006E5FDE"/>
    <w:rsid w:val="006E6E1F"/>
    <w:rsid w:val="006E743F"/>
    <w:rsid w:val="006F01E8"/>
    <w:rsid w:val="006F08ED"/>
    <w:rsid w:val="006F12D6"/>
    <w:rsid w:val="006F1494"/>
    <w:rsid w:val="006F22FC"/>
    <w:rsid w:val="006F274E"/>
    <w:rsid w:val="006F2B98"/>
    <w:rsid w:val="006F2CA8"/>
    <w:rsid w:val="006F32CB"/>
    <w:rsid w:val="006F33AB"/>
    <w:rsid w:val="006F3A6D"/>
    <w:rsid w:val="006F5090"/>
    <w:rsid w:val="006F52BB"/>
    <w:rsid w:val="006F589E"/>
    <w:rsid w:val="006F5910"/>
    <w:rsid w:val="006F6748"/>
    <w:rsid w:val="006F6842"/>
    <w:rsid w:val="0070068E"/>
    <w:rsid w:val="007008B3"/>
    <w:rsid w:val="00700EEC"/>
    <w:rsid w:val="00701B2A"/>
    <w:rsid w:val="00701C01"/>
    <w:rsid w:val="00701C83"/>
    <w:rsid w:val="007031B0"/>
    <w:rsid w:val="00705C17"/>
    <w:rsid w:val="0070666E"/>
    <w:rsid w:val="00706BB5"/>
    <w:rsid w:val="007072D8"/>
    <w:rsid w:val="00710A9F"/>
    <w:rsid w:val="00710BEE"/>
    <w:rsid w:val="007115E3"/>
    <w:rsid w:val="0071254E"/>
    <w:rsid w:val="00712942"/>
    <w:rsid w:val="0071323E"/>
    <w:rsid w:val="007132C5"/>
    <w:rsid w:val="00713D6E"/>
    <w:rsid w:val="0071417B"/>
    <w:rsid w:val="00714765"/>
    <w:rsid w:val="0071522F"/>
    <w:rsid w:val="0071538A"/>
    <w:rsid w:val="00715492"/>
    <w:rsid w:val="007169D1"/>
    <w:rsid w:val="00717C06"/>
    <w:rsid w:val="0072064A"/>
    <w:rsid w:val="0072096B"/>
    <w:rsid w:val="00720B7C"/>
    <w:rsid w:val="0072184B"/>
    <w:rsid w:val="00721D12"/>
    <w:rsid w:val="0072217D"/>
    <w:rsid w:val="007236C2"/>
    <w:rsid w:val="00724322"/>
    <w:rsid w:val="007244C4"/>
    <w:rsid w:val="0072484B"/>
    <w:rsid w:val="007252DB"/>
    <w:rsid w:val="0072610C"/>
    <w:rsid w:val="0072616A"/>
    <w:rsid w:val="00726D2B"/>
    <w:rsid w:val="00727362"/>
    <w:rsid w:val="00727DA6"/>
    <w:rsid w:val="00730334"/>
    <w:rsid w:val="00730355"/>
    <w:rsid w:val="00731D3A"/>
    <w:rsid w:val="00731E2F"/>
    <w:rsid w:val="00732FF7"/>
    <w:rsid w:val="00734278"/>
    <w:rsid w:val="00734446"/>
    <w:rsid w:val="00735436"/>
    <w:rsid w:val="0073570B"/>
    <w:rsid w:val="00737106"/>
    <w:rsid w:val="00737A2A"/>
    <w:rsid w:val="007401D8"/>
    <w:rsid w:val="007411CC"/>
    <w:rsid w:val="00741419"/>
    <w:rsid w:val="00741627"/>
    <w:rsid w:val="00743A59"/>
    <w:rsid w:val="00743D5D"/>
    <w:rsid w:val="0074417C"/>
    <w:rsid w:val="00744F61"/>
    <w:rsid w:val="0074513C"/>
    <w:rsid w:val="00745E66"/>
    <w:rsid w:val="0074675F"/>
    <w:rsid w:val="00746A58"/>
    <w:rsid w:val="00746FD6"/>
    <w:rsid w:val="00747850"/>
    <w:rsid w:val="00750262"/>
    <w:rsid w:val="00751C64"/>
    <w:rsid w:val="0075207F"/>
    <w:rsid w:val="007523BF"/>
    <w:rsid w:val="00752537"/>
    <w:rsid w:val="00753D29"/>
    <w:rsid w:val="00753DD6"/>
    <w:rsid w:val="00754903"/>
    <w:rsid w:val="007551DD"/>
    <w:rsid w:val="0075589A"/>
    <w:rsid w:val="00755C06"/>
    <w:rsid w:val="00756C91"/>
    <w:rsid w:val="00756EE8"/>
    <w:rsid w:val="00757C09"/>
    <w:rsid w:val="00757E87"/>
    <w:rsid w:val="007600E5"/>
    <w:rsid w:val="007600EC"/>
    <w:rsid w:val="00761EE6"/>
    <w:rsid w:val="007621BD"/>
    <w:rsid w:val="0076276D"/>
    <w:rsid w:val="00762D81"/>
    <w:rsid w:val="00763ACB"/>
    <w:rsid w:val="00763C46"/>
    <w:rsid w:val="00764584"/>
    <w:rsid w:val="007654D7"/>
    <w:rsid w:val="00765634"/>
    <w:rsid w:val="00765816"/>
    <w:rsid w:val="00766392"/>
    <w:rsid w:val="00766457"/>
    <w:rsid w:val="00766803"/>
    <w:rsid w:val="0076748C"/>
    <w:rsid w:val="00767B5F"/>
    <w:rsid w:val="007701B7"/>
    <w:rsid w:val="00770618"/>
    <w:rsid w:val="00770AA5"/>
    <w:rsid w:val="00770EE0"/>
    <w:rsid w:val="00771318"/>
    <w:rsid w:val="007716B8"/>
    <w:rsid w:val="00771D3D"/>
    <w:rsid w:val="00771DA4"/>
    <w:rsid w:val="00772153"/>
    <w:rsid w:val="0077346E"/>
    <w:rsid w:val="00773FBB"/>
    <w:rsid w:val="007742AD"/>
    <w:rsid w:val="00775AD3"/>
    <w:rsid w:val="007766B9"/>
    <w:rsid w:val="007772B0"/>
    <w:rsid w:val="007775DD"/>
    <w:rsid w:val="007776D3"/>
    <w:rsid w:val="007776F8"/>
    <w:rsid w:val="00777D03"/>
    <w:rsid w:val="00780602"/>
    <w:rsid w:val="0078065C"/>
    <w:rsid w:val="00781265"/>
    <w:rsid w:val="0078134A"/>
    <w:rsid w:val="00782EC4"/>
    <w:rsid w:val="0078317F"/>
    <w:rsid w:val="00783223"/>
    <w:rsid w:val="007842C5"/>
    <w:rsid w:val="007847C4"/>
    <w:rsid w:val="00784908"/>
    <w:rsid w:val="00790AB8"/>
    <w:rsid w:val="00790C9D"/>
    <w:rsid w:val="00790E2A"/>
    <w:rsid w:val="00792036"/>
    <w:rsid w:val="00792705"/>
    <w:rsid w:val="00793728"/>
    <w:rsid w:val="00793D04"/>
    <w:rsid w:val="00795440"/>
    <w:rsid w:val="00795E84"/>
    <w:rsid w:val="007963F0"/>
    <w:rsid w:val="0079795E"/>
    <w:rsid w:val="007A01A6"/>
    <w:rsid w:val="007A078B"/>
    <w:rsid w:val="007A1051"/>
    <w:rsid w:val="007A11EF"/>
    <w:rsid w:val="007A1815"/>
    <w:rsid w:val="007A2CC2"/>
    <w:rsid w:val="007A309C"/>
    <w:rsid w:val="007A32ED"/>
    <w:rsid w:val="007A3471"/>
    <w:rsid w:val="007A4DA6"/>
    <w:rsid w:val="007A5022"/>
    <w:rsid w:val="007A6DCA"/>
    <w:rsid w:val="007A7C7F"/>
    <w:rsid w:val="007B0D40"/>
    <w:rsid w:val="007B1DBB"/>
    <w:rsid w:val="007B2063"/>
    <w:rsid w:val="007B2364"/>
    <w:rsid w:val="007B2B55"/>
    <w:rsid w:val="007B2B8F"/>
    <w:rsid w:val="007B2BA6"/>
    <w:rsid w:val="007B2FBF"/>
    <w:rsid w:val="007B3898"/>
    <w:rsid w:val="007B3B18"/>
    <w:rsid w:val="007B6526"/>
    <w:rsid w:val="007B6862"/>
    <w:rsid w:val="007B6B60"/>
    <w:rsid w:val="007B6E30"/>
    <w:rsid w:val="007B7168"/>
    <w:rsid w:val="007B792B"/>
    <w:rsid w:val="007B7C84"/>
    <w:rsid w:val="007C0877"/>
    <w:rsid w:val="007C1963"/>
    <w:rsid w:val="007C2D34"/>
    <w:rsid w:val="007C3FC0"/>
    <w:rsid w:val="007C41A8"/>
    <w:rsid w:val="007C41EC"/>
    <w:rsid w:val="007C4872"/>
    <w:rsid w:val="007C4891"/>
    <w:rsid w:val="007C519E"/>
    <w:rsid w:val="007C57B9"/>
    <w:rsid w:val="007C5ADF"/>
    <w:rsid w:val="007C681E"/>
    <w:rsid w:val="007C7170"/>
    <w:rsid w:val="007C7357"/>
    <w:rsid w:val="007C7AE4"/>
    <w:rsid w:val="007C7C14"/>
    <w:rsid w:val="007D0090"/>
    <w:rsid w:val="007D0DB9"/>
    <w:rsid w:val="007D0F34"/>
    <w:rsid w:val="007D2D0C"/>
    <w:rsid w:val="007D46A1"/>
    <w:rsid w:val="007D4D70"/>
    <w:rsid w:val="007D4DFA"/>
    <w:rsid w:val="007D664B"/>
    <w:rsid w:val="007D66D9"/>
    <w:rsid w:val="007D6937"/>
    <w:rsid w:val="007D6DBB"/>
    <w:rsid w:val="007D76D4"/>
    <w:rsid w:val="007E025F"/>
    <w:rsid w:val="007E1294"/>
    <w:rsid w:val="007E1BBE"/>
    <w:rsid w:val="007E1DB9"/>
    <w:rsid w:val="007E21DB"/>
    <w:rsid w:val="007E21F1"/>
    <w:rsid w:val="007E2B0B"/>
    <w:rsid w:val="007E2C14"/>
    <w:rsid w:val="007E39A4"/>
    <w:rsid w:val="007E45A2"/>
    <w:rsid w:val="007E47E7"/>
    <w:rsid w:val="007E4C9C"/>
    <w:rsid w:val="007E5BE8"/>
    <w:rsid w:val="007E6A77"/>
    <w:rsid w:val="007E6AC9"/>
    <w:rsid w:val="007F0AD5"/>
    <w:rsid w:val="007F2688"/>
    <w:rsid w:val="007F32BF"/>
    <w:rsid w:val="007F3686"/>
    <w:rsid w:val="007F3BB4"/>
    <w:rsid w:val="007F3F02"/>
    <w:rsid w:val="007F568A"/>
    <w:rsid w:val="007F654C"/>
    <w:rsid w:val="007F6B11"/>
    <w:rsid w:val="007F741F"/>
    <w:rsid w:val="007F79BA"/>
    <w:rsid w:val="00800DFB"/>
    <w:rsid w:val="008012F1"/>
    <w:rsid w:val="00801A66"/>
    <w:rsid w:val="00803559"/>
    <w:rsid w:val="00803762"/>
    <w:rsid w:val="00805302"/>
    <w:rsid w:val="00805412"/>
    <w:rsid w:val="008063CE"/>
    <w:rsid w:val="00806453"/>
    <w:rsid w:val="00807421"/>
    <w:rsid w:val="008078AB"/>
    <w:rsid w:val="00807BBC"/>
    <w:rsid w:val="0081041D"/>
    <w:rsid w:val="00810839"/>
    <w:rsid w:val="0081250F"/>
    <w:rsid w:val="00812788"/>
    <w:rsid w:val="0081398C"/>
    <w:rsid w:val="00814000"/>
    <w:rsid w:val="00814C4D"/>
    <w:rsid w:val="00816DBD"/>
    <w:rsid w:val="0081785D"/>
    <w:rsid w:val="00817A2D"/>
    <w:rsid w:val="0082099F"/>
    <w:rsid w:val="00820A8D"/>
    <w:rsid w:val="00821091"/>
    <w:rsid w:val="00821287"/>
    <w:rsid w:val="00821BA1"/>
    <w:rsid w:val="00821CFD"/>
    <w:rsid w:val="008220DC"/>
    <w:rsid w:val="00822A70"/>
    <w:rsid w:val="00822F37"/>
    <w:rsid w:val="00827AF0"/>
    <w:rsid w:val="00831841"/>
    <w:rsid w:val="00831D98"/>
    <w:rsid w:val="008321FE"/>
    <w:rsid w:val="008322EC"/>
    <w:rsid w:val="00832318"/>
    <w:rsid w:val="00832325"/>
    <w:rsid w:val="00832F41"/>
    <w:rsid w:val="00835D41"/>
    <w:rsid w:val="00836860"/>
    <w:rsid w:val="00840882"/>
    <w:rsid w:val="00840CC9"/>
    <w:rsid w:val="00841E65"/>
    <w:rsid w:val="00842702"/>
    <w:rsid w:val="008427DB"/>
    <w:rsid w:val="0084356D"/>
    <w:rsid w:val="00843619"/>
    <w:rsid w:val="0084365E"/>
    <w:rsid w:val="00843AC7"/>
    <w:rsid w:val="00843DF5"/>
    <w:rsid w:val="008440C0"/>
    <w:rsid w:val="00844732"/>
    <w:rsid w:val="008452A4"/>
    <w:rsid w:val="00846CA8"/>
    <w:rsid w:val="0084792B"/>
    <w:rsid w:val="00847E1F"/>
    <w:rsid w:val="008504A0"/>
    <w:rsid w:val="008504F5"/>
    <w:rsid w:val="00850CBB"/>
    <w:rsid w:val="008511BB"/>
    <w:rsid w:val="008539C9"/>
    <w:rsid w:val="00853D72"/>
    <w:rsid w:val="00854043"/>
    <w:rsid w:val="008545DD"/>
    <w:rsid w:val="00854C7D"/>
    <w:rsid w:val="00854FF5"/>
    <w:rsid w:val="008560FF"/>
    <w:rsid w:val="00860507"/>
    <w:rsid w:val="00860E84"/>
    <w:rsid w:val="0086108E"/>
    <w:rsid w:val="0086136E"/>
    <w:rsid w:val="00861F2E"/>
    <w:rsid w:val="008629E4"/>
    <w:rsid w:val="00863417"/>
    <w:rsid w:val="00863B04"/>
    <w:rsid w:val="008651E1"/>
    <w:rsid w:val="008660C3"/>
    <w:rsid w:val="0086652B"/>
    <w:rsid w:val="00867147"/>
    <w:rsid w:val="00867E72"/>
    <w:rsid w:val="00870231"/>
    <w:rsid w:val="00871026"/>
    <w:rsid w:val="008711F5"/>
    <w:rsid w:val="00871EC6"/>
    <w:rsid w:val="00872453"/>
    <w:rsid w:val="00872F25"/>
    <w:rsid w:val="00873205"/>
    <w:rsid w:val="0087361E"/>
    <w:rsid w:val="00873B8F"/>
    <w:rsid w:val="00873BC5"/>
    <w:rsid w:val="008741A2"/>
    <w:rsid w:val="00875612"/>
    <w:rsid w:val="00875F2D"/>
    <w:rsid w:val="00875F7D"/>
    <w:rsid w:val="0087667A"/>
    <w:rsid w:val="00876680"/>
    <w:rsid w:val="00876FB5"/>
    <w:rsid w:val="00876FFF"/>
    <w:rsid w:val="0088025B"/>
    <w:rsid w:val="00881E66"/>
    <w:rsid w:val="008820A6"/>
    <w:rsid w:val="00882277"/>
    <w:rsid w:val="0088273A"/>
    <w:rsid w:val="00882A7E"/>
    <w:rsid w:val="0088353B"/>
    <w:rsid w:val="00883674"/>
    <w:rsid w:val="00883FF3"/>
    <w:rsid w:val="00884284"/>
    <w:rsid w:val="00884358"/>
    <w:rsid w:val="00884D07"/>
    <w:rsid w:val="008854DC"/>
    <w:rsid w:val="00885A16"/>
    <w:rsid w:val="00886221"/>
    <w:rsid w:val="00886645"/>
    <w:rsid w:val="008877DE"/>
    <w:rsid w:val="00887BA4"/>
    <w:rsid w:val="00887BE2"/>
    <w:rsid w:val="00890061"/>
    <w:rsid w:val="00891570"/>
    <w:rsid w:val="008917A6"/>
    <w:rsid w:val="0089343C"/>
    <w:rsid w:val="00893C67"/>
    <w:rsid w:val="00894571"/>
    <w:rsid w:val="00894FD2"/>
    <w:rsid w:val="00895297"/>
    <w:rsid w:val="00895DEE"/>
    <w:rsid w:val="008966D7"/>
    <w:rsid w:val="008967CF"/>
    <w:rsid w:val="0089728E"/>
    <w:rsid w:val="00897B2B"/>
    <w:rsid w:val="008A0006"/>
    <w:rsid w:val="008A0315"/>
    <w:rsid w:val="008A0386"/>
    <w:rsid w:val="008A0975"/>
    <w:rsid w:val="008A3175"/>
    <w:rsid w:val="008A31C5"/>
    <w:rsid w:val="008A3ABE"/>
    <w:rsid w:val="008A490A"/>
    <w:rsid w:val="008A498A"/>
    <w:rsid w:val="008A4B7C"/>
    <w:rsid w:val="008A5148"/>
    <w:rsid w:val="008A582D"/>
    <w:rsid w:val="008A59ED"/>
    <w:rsid w:val="008A5C5B"/>
    <w:rsid w:val="008A601D"/>
    <w:rsid w:val="008A74E0"/>
    <w:rsid w:val="008B00F0"/>
    <w:rsid w:val="008B04C0"/>
    <w:rsid w:val="008B09F8"/>
    <w:rsid w:val="008B0F9F"/>
    <w:rsid w:val="008B1561"/>
    <w:rsid w:val="008B1B50"/>
    <w:rsid w:val="008B224A"/>
    <w:rsid w:val="008B230E"/>
    <w:rsid w:val="008B2A3D"/>
    <w:rsid w:val="008B2DA3"/>
    <w:rsid w:val="008B2FB3"/>
    <w:rsid w:val="008B3A9D"/>
    <w:rsid w:val="008B3E9A"/>
    <w:rsid w:val="008B5DF1"/>
    <w:rsid w:val="008B7675"/>
    <w:rsid w:val="008B7E60"/>
    <w:rsid w:val="008B7EAC"/>
    <w:rsid w:val="008C074A"/>
    <w:rsid w:val="008C0993"/>
    <w:rsid w:val="008C0C4B"/>
    <w:rsid w:val="008C0CD4"/>
    <w:rsid w:val="008C0F49"/>
    <w:rsid w:val="008C1A61"/>
    <w:rsid w:val="008C1D36"/>
    <w:rsid w:val="008C24F8"/>
    <w:rsid w:val="008C25B7"/>
    <w:rsid w:val="008C2AE9"/>
    <w:rsid w:val="008C34EB"/>
    <w:rsid w:val="008C363F"/>
    <w:rsid w:val="008C3666"/>
    <w:rsid w:val="008C3D95"/>
    <w:rsid w:val="008C3F78"/>
    <w:rsid w:val="008C4AD5"/>
    <w:rsid w:val="008C4C12"/>
    <w:rsid w:val="008C6610"/>
    <w:rsid w:val="008C6BFE"/>
    <w:rsid w:val="008C707A"/>
    <w:rsid w:val="008C72A2"/>
    <w:rsid w:val="008C742A"/>
    <w:rsid w:val="008C7FD1"/>
    <w:rsid w:val="008D0B90"/>
    <w:rsid w:val="008D0C08"/>
    <w:rsid w:val="008D1B7B"/>
    <w:rsid w:val="008D1F80"/>
    <w:rsid w:val="008D23CE"/>
    <w:rsid w:val="008D2585"/>
    <w:rsid w:val="008D2D11"/>
    <w:rsid w:val="008D379A"/>
    <w:rsid w:val="008D3997"/>
    <w:rsid w:val="008D3B3C"/>
    <w:rsid w:val="008D3F6E"/>
    <w:rsid w:val="008D4167"/>
    <w:rsid w:val="008D43B1"/>
    <w:rsid w:val="008D4DA5"/>
    <w:rsid w:val="008D53E3"/>
    <w:rsid w:val="008D5BBD"/>
    <w:rsid w:val="008D6128"/>
    <w:rsid w:val="008D626C"/>
    <w:rsid w:val="008D7470"/>
    <w:rsid w:val="008D7E15"/>
    <w:rsid w:val="008E0A6E"/>
    <w:rsid w:val="008E10CF"/>
    <w:rsid w:val="008E1950"/>
    <w:rsid w:val="008E35F1"/>
    <w:rsid w:val="008E3C97"/>
    <w:rsid w:val="008E41CD"/>
    <w:rsid w:val="008E61D3"/>
    <w:rsid w:val="008E6C6B"/>
    <w:rsid w:val="008E74C1"/>
    <w:rsid w:val="008E7839"/>
    <w:rsid w:val="008E7A33"/>
    <w:rsid w:val="008E7C2E"/>
    <w:rsid w:val="008F067C"/>
    <w:rsid w:val="008F0DC8"/>
    <w:rsid w:val="008F108D"/>
    <w:rsid w:val="008F11D8"/>
    <w:rsid w:val="008F1A37"/>
    <w:rsid w:val="008F40CA"/>
    <w:rsid w:val="008F4F9A"/>
    <w:rsid w:val="008F50D2"/>
    <w:rsid w:val="008F53B5"/>
    <w:rsid w:val="008F5971"/>
    <w:rsid w:val="008F5AE5"/>
    <w:rsid w:val="008F5FD4"/>
    <w:rsid w:val="008F646A"/>
    <w:rsid w:val="008F66EB"/>
    <w:rsid w:val="008F7EE4"/>
    <w:rsid w:val="00900150"/>
    <w:rsid w:val="00900207"/>
    <w:rsid w:val="00900373"/>
    <w:rsid w:val="00900A8D"/>
    <w:rsid w:val="00900CE5"/>
    <w:rsid w:val="00901147"/>
    <w:rsid w:val="0090140E"/>
    <w:rsid w:val="00901474"/>
    <w:rsid w:val="009022E9"/>
    <w:rsid w:val="009039DC"/>
    <w:rsid w:val="00904107"/>
    <w:rsid w:val="009056E3"/>
    <w:rsid w:val="00906BD6"/>
    <w:rsid w:val="009071C6"/>
    <w:rsid w:val="009074D2"/>
    <w:rsid w:val="009078BA"/>
    <w:rsid w:val="00910410"/>
    <w:rsid w:val="009110AE"/>
    <w:rsid w:val="00911BC0"/>
    <w:rsid w:val="0091296E"/>
    <w:rsid w:val="00913C4C"/>
    <w:rsid w:val="0091428A"/>
    <w:rsid w:val="0091451D"/>
    <w:rsid w:val="0091475C"/>
    <w:rsid w:val="00916387"/>
    <w:rsid w:val="00916B99"/>
    <w:rsid w:val="00916D6A"/>
    <w:rsid w:val="00920C1D"/>
    <w:rsid w:val="00920C87"/>
    <w:rsid w:val="00921E36"/>
    <w:rsid w:val="0092272F"/>
    <w:rsid w:val="00922F44"/>
    <w:rsid w:val="00923BE1"/>
    <w:rsid w:val="00924456"/>
    <w:rsid w:val="00924F28"/>
    <w:rsid w:val="00925C5A"/>
    <w:rsid w:val="00927DC0"/>
    <w:rsid w:val="00930136"/>
    <w:rsid w:val="00930472"/>
    <w:rsid w:val="00930884"/>
    <w:rsid w:val="0093335C"/>
    <w:rsid w:val="0093376E"/>
    <w:rsid w:val="00933EDD"/>
    <w:rsid w:val="0093430E"/>
    <w:rsid w:val="0093713D"/>
    <w:rsid w:val="00937FB9"/>
    <w:rsid w:val="00940F98"/>
    <w:rsid w:val="009414E8"/>
    <w:rsid w:val="00942556"/>
    <w:rsid w:val="00943B4F"/>
    <w:rsid w:val="00944F90"/>
    <w:rsid w:val="00944F93"/>
    <w:rsid w:val="0094541B"/>
    <w:rsid w:val="00945CD8"/>
    <w:rsid w:val="009466B5"/>
    <w:rsid w:val="00947E04"/>
    <w:rsid w:val="00950662"/>
    <w:rsid w:val="00950A1C"/>
    <w:rsid w:val="00951D64"/>
    <w:rsid w:val="00952296"/>
    <w:rsid w:val="00952FFC"/>
    <w:rsid w:val="00955FBD"/>
    <w:rsid w:val="00956874"/>
    <w:rsid w:val="00957885"/>
    <w:rsid w:val="009609DB"/>
    <w:rsid w:val="00960AB5"/>
    <w:rsid w:val="00961219"/>
    <w:rsid w:val="00961BBF"/>
    <w:rsid w:val="009620D6"/>
    <w:rsid w:val="009625FD"/>
    <w:rsid w:val="00962735"/>
    <w:rsid w:val="0096280F"/>
    <w:rsid w:val="009628D7"/>
    <w:rsid w:val="00963398"/>
    <w:rsid w:val="009636DA"/>
    <w:rsid w:val="00963728"/>
    <w:rsid w:val="00964BC2"/>
    <w:rsid w:val="009652E8"/>
    <w:rsid w:val="009656B4"/>
    <w:rsid w:val="00965DCC"/>
    <w:rsid w:val="00965F5C"/>
    <w:rsid w:val="009672B2"/>
    <w:rsid w:val="0096733F"/>
    <w:rsid w:val="00970196"/>
    <w:rsid w:val="00970714"/>
    <w:rsid w:val="00971260"/>
    <w:rsid w:val="0097144E"/>
    <w:rsid w:val="00971DDF"/>
    <w:rsid w:val="00972577"/>
    <w:rsid w:val="00972D16"/>
    <w:rsid w:val="00973A06"/>
    <w:rsid w:val="00977894"/>
    <w:rsid w:val="00980B05"/>
    <w:rsid w:val="00981BBF"/>
    <w:rsid w:val="00981FDF"/>
    <w:rsid w:val="00982513"/>
    <w:rsid w:val="00982688"/>
    <w:rsid w:val="009829FE"/>
    <w:rsid w:val="00982B8E"/>
    <w:rsid w:val="00984234"/>
    <w:rsid w:val="0098434D"/>
    <w:rsid w:val="00984E0B"/>
    <w:rsid w:val="00985E97"/>
    <w:rsid w:val="00986413"/>
    <w:rsid w:val="009864F7"/>
    <w:rsid w:val="00986599"/>
    <w:rsid w:val="00986708"/>
    <w:rsid w:val="009868B2"/>
    <w:rsid w:val="00986BF0"/>
    <w:rsid w:val="00987427"/>
    <w:rsid w:val="009877D2"/>
    <w:rsid w:val="00992529"/>
    <w:rsid w:val="00992638"/>
    <w:rsid w:val="00992D01"/>
    <w:rsid w:val="00992F4A"/>
    <w:rsid w:val="00995D1C"/>
    <w:rsid w:val="009969FC"/>
    <w:rsid w:val="00996BFF"/>
    <w:rsid w:val="0099708F"/>
    <w:rsid w:val="00997552"/>
    <w:rsid w:val="0099788C"/>
    <w:rsid w:val="009A05AD"/>
    <w:rsid w:val="009A072E"/>
    <w:rsid w:val="009A1012"/>
    <w:rsid w:val="009A150D"/>
    <w:rsid w:val="009A1B64"/>
    <w:rsid w:val="009A30ED"/>
    <w:rsid w:val="009A34EF"/>
    <w:rsid w:val="009A3995"/>
    <w:rsid w:val="009A4084"/>
    <w:rsid w:val="009A45B0"/>
    <w:rsid w:val="009A479E"/>
    <w:rsid w:val="009A77CE"/>
    <w:rsid w:val="009B057D"/>
    <w:rsid w:val="009B0E21"/>
    <w:rsid w:val="009B172F"/>
    <w:rsid w:val="009B199E"/>
    <w:rsid w:val="009B200A"/>
    <w:rsid w:val="009B2326"/>
    <w:rsid w:val="009B2BC3"/>
    <w:rsid w:val="009B2DF9"/>
    <w:rsid w:val="009B39F9"/>
    <w:rsid w:val="009B3F70"/>
    <w:rsid w:val="009B45D0"/>
    <w:rsid w:val="009B4BA5"/>
    <w:rsid w:val="009B5315"/>
    <w:rsid w:val="009B6A81"/>
    <w:rsid w:val="009B70CE"/>
    <w:rsid w:val="009B7D30"/>
    <w:rsid w:val="009B7E02"/>
    <w:rsid w:val="009B7F30"/>
    <w:rsid w:val="009C0D7C"/>
    <w:rsid w:val="009C1030"/>
    <w:rsid w:val="009C222B"/>
    <w:rsid w:val="009C3EA0"/>
    <w:rsid w:val="009C4A2A"/>
    <w:rsid w:val="009C5238"/>
    <w:rsid w:val="009C59BF"/>
    <w:rsid w:val="009C634E"/>
    <w:rsid w:val="009C7016"/>
    <w:rsid w:val="009C78B1"/>
    <w:rsid w:val="009C7F53"/>
    <w:rsid w:val="009D0208"/>
    <w:rsid w:val="009D074F"/>
    <w:rsid w:val="009D1395"/>
    <w:rsid w:val="009D1BD9"/>
    <w:rsid w:val="009D1C8E"/>
    <w:rsid w:val="009D1CAF"/>
    <w:rsid w:val="009D1F6B"/>
    <w:rsid w:val="009D2323"/>
    <w:rsid w:val="009D3DD6"/>
    <w:rsid w:val="009D40FB"/>
    <w:rsid w:val="009D43AE"/>
    <w:rsid w:val="009D47A0"/>
    <w:rsid w:val="009D4E99"/>
    <w:rsid w:val="009D61CE"/>
    <w:rsid w:val="009D71AD"/>
    <w:rsid w:val="009D74E6"/>
    <w:rsid w:val="009E03F7"/>
    <w:rsid w:val="009E04E0"/>
    <w:rsid w:val="009E0EC6"/>
    <w:rsid w:val="009E1084"/>
    <w:rsid w:val="009E243A"/>
    <w:rsid w:val="009E3075"/>
    <w:rsid w:val="009E3D23"/>
    <w:rsid w:val="009E3D8B"/>
    <w:rsid w:val="009E4727"/>
    <w:rsid w:val="009E4EB7"/>
    <w:rsid w:val="009E4EC4"/>
    <w:rsid w:val="009E5245"/>
    <w:rsid w:val="009E5546"/>
    <w:rsid w:val="009E573A"/>
    <w:rsid w:val="009E581B"/>
    <w:rsid w:val="009E5CDE"/>
    <w:rsid w:val="009E60E4"/>
    <w:rsid w:val="009E6B2B"/>
    <w:rsid w:val="009E6BAB"/>
    <w:rsid w:val="009E6E8C"/>
    <w:rsid w:val="009E714E"/>
    <w:rsid w:val="009E7610"/>
    <w:rsid w:val="009E76FF"/>
    <w:rsid w:val="009E7A78"/>
    <w:rsid w:val="009F013F"/>
    <w:rsid w:val="009F08FF"/>
    <w:rsid w:val="009F0BE4"/>
    <w:rsid w:val="009F1585"/>
    <w:rsid w:val="009F36BE"/>
    <w:rsid w:val="009F39EB"/>
    <w:rsid w:val="009F472D"/>
    <w:rsid w:val="009F52F2"/>
    <w:rsid w:val="009F547E"/>
    <w:rsid w:val="009F67A2"/>
    <w:rsid w:val="009F7390"/>
    <w:rsid w:val="009F7BB8"/>
    <w:rsid w:val="00A0161B"/>
    <w:rsid w:val="00A01679"/>
    <w:rsid w:val="00A01B2B"/>
    <w:rsid w:val="00A023BD"/>
    <w:rsid w:val="00A0261E"/>
    <w:rsid w:val="00A02DB1"/>
    <w:rsid w:val="00A03763"/>
    <w:rsid w:val="00A03B1D"/>
    <w:rsid w:val="00A0424B"/>
    <w:rsid w:val="00A04F34"/>
    <w:rsid w:val="00A05A17"/>
    <w:rsid w:val="00A05B70"/>
    <w:rsid w:val="00A06312"/>
    <w:rsid w:val="00A06BE7"/>
    <w:rsid w:val="00A06DD8"/>
    <w:rsid w:val="00A07289"/>
    <w:rsid w:val="00A07CAA"/>
    <w:rsid w:val="00A07E2E"/>
    <w:rsid w:val="00A07E33"/>
    <w:rsid w:val="00A10EF5"/>
    <w:rsid w:val="00A1116C"/>
    <w:rsid w:val="00A113C4"/>
    <w:rsid w:val="00A11953"/>
    <w:rsid w:val="00A1289C"/>
    <w:rsid w:val="00A12EA7"/>
    <w:rsid w:val="00A13445"/>
    <w:rsid w:val="00A145FD"/>
    <w:rsid w:val="00A1498A"/>
    <w:rsid w:val="00A15DB4"/>
    <w:rsid w:val="00A16100"/>
    <w:rsid w:val="00A16747"/>
    <w:rsid w:val="00A210DC"/>
    <w:rsid w:val="00A214E8"/>
    <w:rsid w:val="00A2162F"/>
    <w:rsid w:val="00A21884"/>
    <w:rsid w:val="00A2304B"/>
    <w:rsid w:val="00A23DD6"/>
    <w:rsid w:val="00A2414C"/>
    <w:rsid w:val="00A2454E"/>
    <w:rsid w:val="00A24789"/>
    <w:rsid w:val="00A259C2"/>
    <w:rsid w:val="00A259EF"/>
    <w:rsid w:val="00A25AE1"/>
    <w:rsid w:val="00A26E8F"/>
    <w:rsid w:val="00A2724E"/>
    <w:rsid w:val="00A317E1"/>
    <w:rsid w:val="00A32FA3"/>
    <w:rsid w:val="00A33BD0"/>
    <w:rsid w:val="00A35357"/>
    <w:rsid w:val="00A35448"/>
    <w:rsid w:val="00A355A7"/>
    <w:rsid w:val="00A3624A"/>
    <w:rsid w:val="00A36C9F"/>
    <w:rsid w:val="00A36FBB"/>
    <w:rsid w:val="00A374E4"/>
    <w:rsid w:val="00A3794A"/>
    <w:rsid w:val="00A37DBF"/>
    <w:rsid w:val="00A404D7"/>
    <w:rsid w:val="00A414DF"/>
    <w:rsid w:val="00A415B7"/>
    <w:rsid w:val="00A4181F"/>
    <w:rsid w:val="00A418FC"/>
    <w:rsid w:val="00A41B29"/>
    <w:rsid w:val="00A41E30"/>
    <w:rsid w:val="00A42BFA"/>
    <w:rsid w:val="00A43604"/>
    <w:rsid w:val="00A43796"/>
    <w:rsid w:val="00A45830"/>
    <w:rsid w:val="00A46790"/>
    <w:rsid w:val="00A468C5"/>
    <w:rsid w:val="00A47730"/>
    <w:rsid w:val="00A51FF7"/>
    <w:rsid w:val="00A52B3E"/>
    <w:rsid w:val="00A52C12"/>
    <w:rsid w:val="00A55503"/>
    <w:rsid w:val="00A56706"/>
    <w:rsid w:val="00A577C6"/>
    <w:rsid w:val="00A60612"/>
    <w:rsid w:val="00A62104"/>
    <w:rsid w:val="00A63BBF"/>
    <w:rsid w:val="00A64582"/>
    <w:rsid w:val="00A64E51"/>
    <w:rsid w:val="00A65A4D"/>
    <w:rsid w:val="00A65D18"/>
    <w:rsid w:val="00A66055"/>
    <w:rsid w:val="00A6673B"/>
    <w:rsid w:val="00A66789"/>
    <w:rsid w:val="00A66BE4"/>
    <w:rsid w:val="00A6731E"/>
    <w:rsid w:val="00A67D93"/>
    <w:rsid w:val="00A67DA6"/>
    <w:rsid w:val="00A711FA"/>
    <w:rsid w:val="00A71561"/>
    <w:rsid w:val="00A71F08"/>
    <w:rsid w:val="00A7255E"/>
    <w:rsid w:val="00A725BC"/>
    <w:rsid w:val="00A7265B"/>
    <w:rsid w:val="00A728F3"/>
    <w:rsid w:val="00A72DC3"/>
    <w:rsid w:val="00A73F02"/>
    <w:rsid w:val="00A74DA2"/>
    <w:rsid w:val="00A7517F"/>
    <w:rsid w:val="00A75C2C"/>
    <w:rsid w:val="00A76CC4"/>
    <w:rsid w:val="00A8049D"/>
    <w:rsid w:val="00A805C3"/>
    <w:rsid w:val="00A81300"/>
    <w:rsid w:val="00A82427"/>
    <w:rsid w:val="00A82443"/>
    <w:rsid w:val="00A82890"/>
    <w:rsid w:val="00A82D82"/>
    <w:rsid w:val="00A8317A"/>
    <w:rsid w:val="00A83EDB"/>
    <w:rsid w:val="00A84674"/>
    <w:rsid w:val="00A85751"/>
    <w:rsid w:val="00A861CF"/>
    <w:rsid w:val="00A87175"/>
    <w:rsid w:val="00A87C8A"/>
    <w:rsid w:val="00A9231B"/>
    <w:rsid w:val="00A923CC"/>
    <w:rsid w:val="00A926CF"/>
    <w:rsid w:val="00A926DC"/>
    <w:rsid w:val="00A93247"/>
    <w:rsid w:val="00A936E1"/>
    <w:rsid w:val="00A93C08"/>
    <w:rsid w:val="00A93F12"/>
    <w:rsid w:val="00A94653"/>
    <w:rsid w:val="00A9467A"/>
    <w:rsid w:val="00A94933"/>
    <w:rsid w:val="00A94DF6"/>
    <w:rsid w:val="00A9515E"/>
    <w:rsid w:val="00A952F9"/>
    <w:rsid w:val="00A958C2"/>
    <w:rsid w:val="00A9595F"/>
    <w:rsid w:val="00A960CB"/>
    <w:rsid w:val="00A96937"/>
    <w:rsid w:val="00A969D4"/>
    <w:rsid w:val="00AA0F10"/>
    <w:rsid w:val="00AA277B"/>
    <w:rsid w:val="00AA3554"/>
    <w:rsid w:val="00AA3623"/>
    <w:rsid w:val="00AA3DB6"/>
    <w:rsid w:val="00AA4964"/>
    <w:rsid w:val="00AA49DD"/>
    <w:rsid w:val="00AA521A"/>
    <w:rsid w:val="00AA5EC3"/>
    <w:rsid w:val="00AA6B45"/>
    <w:rsid w:val="00AA7179"/>
    <w:rsid w:val="00AA7362"/>
    <w:rsid w:val="00AA7D3F"/>
    <w:rsid w:val="00AB023A"/>
    <w:rsid w:val="00AB180A"/>
    <w:rsid w:val="00AB1C46"/>
    <w:rsid w:val="00AB1D0C"/>
    <w:rsid w:val="00AB207F"/>
    <w:rsid w:val="00AB299E"/>
    <w:rsid w:val="00AB2C01"/>
    <w:rsid w:val="00AB323B"/>
    <w:rsid w:val="00AB3575"/>
    <w:rsid w:val="00AB3670"/>
    <w:rsid w:val="00AB36FA"/>
    <w:rsid w:val="00AB4CCB"/>
    <w:rsid w:val="00AB55B8"/>
    <w:rsid w:val="00AB61A4"/>
    <w:rsid w:val="00AB732B"/>
    <w:rsid w:val="00AB7E76"/>
    <w:rsid w:val="00AC04C5"/>
    <w:rsid w:val="00AC0EE3"/>
    <w:rsid w:val="00AC102B"/>
    <w:rsid w:val="00AC2647"/>
    <w:rsid w:val="00AC3748"/>
    <w:rsid w:val="00AC37AC"/>
    <w:rsid w:val="00AC3EE4"/>
    <w:rsid w:val="00AC476E"/>
    <w:rsid w:val="00AC5F2D"/>
    <w:rsid w:val="00AC7C57"/>
    <w:rsid w:val="00AD0D8C"/>
    <w:rsid w:val="00AD15F2"/>
    <w:rsid w:val="00AD1D54"/>
    <w:rsid w:val="00AD1FB3"/>
    <w:rsid w:val="00AD26CA"/>
    <w:rsid w:val="00AD26E1"/>
    <w:rsid w:val="00AD2A5D"/>
    <w:rsid w:val="00AD2A5E"/>
    <w:rsid w:val="00AD30CA"/>
    <w:rsid w:val="00AD3934"/>
    <w:rsid w:val="00AD3B1A"/>
    <w:rsid w:val="00AD3F87"/>
    <w:rsid w:val="00AD4390"/>
    <w:rsid w:val="00AD45CA"/>
    <w:rsid w:val="00AD4836"/>
    <w:rsid w:val="00AD5004"/>
    <w:rsid w:val="00AD505C"/>
    <w:rsid w:val="00AD5B59"/>
    <w:rsid w:val="00AD5CC6"/>
    <w:rsid w:val="00AD79AB"/>
    <w:rsid w:val="00AE062F"/>
    <w:rsid w:val="00AE0B53"/>
    <w:rsid w:val="00AE1C1B"/>
    <w:rsid w:val="00AE2909"/>
    <w:rsid w:val="00AE3181"/>
    <w:rsid w:val="00AE4430"/>
    <w:rsid w:val="00AE5235"/>
    <w:rsid w:val="00AE581A"/>
    <w:rsid w:val="00AE5C3C"/>
    <w:rsid w:val="00AE64F2"/>
    <w:rsid w:val="00AE7284"/>
    <w:rsid w:val="00AE7A9C"/>
    <w:rsid w:val="00AE7CEC"/>
    <w:rsid w:val="00AE7D0F"/>
    <w:rsid w:val="00AE7F73"/>
    <w:rsid w:val="00AF25B0"/>
    <w:rsid w:val="00AF2736"/>
    <w:rsid w:val="00AF2BDA"/>
    <w:rsid w:val="00AF2D4C"/>
    <w:rsid w:val="00AF2EFC"/>
    <w:rsid w:val="00AF2FB9"/>
    <w:rsid w:val="00AF39DC"/>
    <w:rsid w:val="00AF5655"/>
    <w:rsid w:val="00AF642C"/>
    <w:rsid w:val="00AF6A4C"/>
    <w:rsid w:val="00AF7252"/>
    <w:rsid w:val="00AF7EC8"/>
    <w:rsid w:val="00AF7FE0"/>
    <w:rsid w:val="00B00FAC"/>
    <w:rsid w:val="00B01125"/>
    <w:rsid w:val="00B02193"/>
    <w:rsid w:val="00B023A4"/>
    <w:rsid w:val="00B02526"/>
    <w:rsid w:val="00B02E4D"/>
    <w:rsid w:val="00B03A48"/>
    <w:rsid w:val="00B03DDA"/>
    <w:rsid w:val="00B05421"/>
    <w:rsid w:val="00B06CE5"/>
    <w:rsid w:val="00B071A0"/>
    <w:rsid w:val="00B07575"/>
    <w:rsid w:val="00B07C9C"/>
    <w:rsid w:val="00B07F4E"/>
    <w:rsid w:val="00B10D53"/>
    <w:rsid w:val="00B1138A"/>
    <w:rsid w:val="00B116CE"/>
    <w:rsid w:val="00B11B7F"/>
    <w:rsid w:val="00B11C99"/>
    <w:rsid w:val="00B1216E"/>
    <w:rsid w:val="00B132AD"/>
    <w:rsid w:val="00B1449D"/>
    <w:rsid w:val="00B145E0"/>
    <w:rsid w:val="00B1590D"/>
    <w:rsid w:val="00B16525"/>
    <w:rsid w:val="00B166C2"/>
    <w:rsid w:val="00B1681D"/>
    <w:rsid w:val="00B17012"/>
    <w:rsid w:val="00B175DE"/>
    <w:rsid w:val="00B206A4"/>
    <w:rsid w:val="00B20D68"/>
    <w:rsid w:val="00B218A7"/>
    <w:rsid w:val="00B21C63"/>
    <w:rsid w:val="00B22FC0"/>
    <w:rsid w:val="00B23216"/>
    <w:rsid w:val="00B234AF"/>
    <w:rsid w:val="00B237CE"/>
    <w:rsid w:val="00B23D65"/>
    <w:rsid w:val="00B243EF"/>
    <w:rsid w:val="00B248A8"/>
    <w:rsid w:val="00B24E04"/>
    <w:rsid w:val="00B24E1D"/>
    <w:rsid w:val="00B24F6E"/>
    <w:rsid w:val="00B25D6E"/>
    <w:rsid w:val="00B26AD5"/>
    <w:rsid w:val="00B26E56"/>
    <w:rsid w:val="00B272CC"/>
    <w:rsid w:val="00B274A8"/>
    <w:rsid w:val="00B2759E"/>
    <w:rsid w:val="00B31F7C"/>
    <w:rsid w:val="00B3207E"/>
    <w:rsid w:val="00B32117"/>
    <w:rsid w:val="00B33460"/>
    <w:rsid w:val="00B33C04"/>
    <w:rsid w:val="00B33D43"/>
    <w:rsid w:val="00B34340"/>
    <w:rsid w:val="00B34408"/>
    <w:rsid w:val="00B34B02"/>
    <w:rsid w:val="00B34BE4"/>
    <w:rsid w:val="00B34D4D"/>
    <w:rsid w:val="00B3589A"/>
    <w:rsid w:val="00B35C9C"/>
    <w:rsid w:val="00B366C2"/>
    <w:rsid w:val="00B37BB6"/>
    <w:rsid w:val="00B37E18"/>
    <w:rsid w:val="00B402F8"/>
    <w:rsid w:val="00B40498"/>
    <w:rsid w:val="00B41398"/>
    <w:rsid w:val="00B42003"/>
    <w:rsid w:val="00B4212B"/>
    <w:rsid w:val="00B42C17"/>
    <w:rsid w:val="00B4477A"/>
    <w:rsid w:val="00B4483B"/>
    <w:rsid w:val="00B44C07"/>
    <w:rsid w:val="00B455FA"/>
    <w:rsid w:val="00B4610D"/>
    <w:rsid w:val="00B479D4"/>
    <w:rsid w:val="00B47E96"/>
    <w:rsid w:val="00B50012"/>
    <w:rsid w:val="00B50B51"/>
    <w:rsid w:val="00B50E97"/>
    <w:rsid w:val="00B52054"/>
    <w:rsid w:val="00B52BAF"/>
    <w:rsid w:val="00B535A0"/>
    <w:rsid w:val="00B53D20"/>
    <w:rsid w:val="00B5485E"/>
    <w:rsid w:val="00B54AF6"/>
    <w:rsid w:val="00B54D03"/>
    <w:rsid w:val="00B54EE7"/>
    <w:rsid w:val="00B556B7"/>
    <w:rsid w:val="00B55CBA"/>
    <w:rsid w:val="00B56D4A"/>
    <w:rsid w:val="00B5787D"/>
    <w:rsid w:val="00B601C7"/>
    <w:rsid w:val="00B6053C"/>
    <w:rsid w:val="00B60E1A"/>
    <w:rsid w:val="00B61000"/>
    <w:rsid w:val="00B616BC"/>
    <w:rsid w:val="00B620CF"/>
    <w:rsid w:val="00B629B3"/>
    <w:rsid w:val="00B62D36"/>
    <w:rsid w:val="00B62FEB"/>
    <w:rsid w:val="00B64358"/>
    <w:rsid w:val="00B64446"/>
    <w:rsid w:val="00B65184"/>
    <w:rsid w:val="00B6601E"/>
    <w:rsid w:val="00B6673A"/>
    <w:rsid w:val="00B67014"/>
    <w:rsid w:val="00B678BE"/>
    <w:rsid w:val="00B679D1"/>
    <w:rsid w:val="00B67DE8"/>
    <w:rsid w:val="00B67FDA"/>
    <w:rsid w:val="00B70087"/>
    <w:rsid w:val="00B705E7"/>
    <w:rsid w:val="00B706E3"/>
    <w:rsid w:val="00B708FA"/>
    <w:rsid w:val="00B70ACB"/>
    <w:rsid w:val="00B70B32"/>
    <w:rsid w:val="00B7168E"/>
    <w:rsid w:val="00B717B3"/>
    <w:rsid w:val="00B71819"/>
    <w:rsid w:val="00B72A8E"/>
    <w:rsid w:val="00B72B5E"/>
    <w:rsid w:val="00B736F5"/>
    <w:rsid w:val="00B74EA1"/>
    <w:rsid w:val="00B75346"/>
    <w:rsid w:val="00B75561"/>
    <w:rsid w:val="00B7566F"/>
    <w:rsid w:val="00B76668"/>
    <w:rsid w:val="00B76FEA"/>
    <w:rsid w:val="00B8088E"/>
    <w:rsid w:val="00B80B7D"/>
    <w:rsid w:val="00B80C43"/>
    <w:rsid w:val="00B81BFC"/>
    <w:rsid w:val="00B81CF4"/>
    <w:rsid w:val="00B822C9"/>
    <w:rsid w:val="00B8386A"/>
    <w:rsid w:val="00B83C39"/>
    <w:rsid w:val="00B83E21"/>
    <w:rsid w:val="00B83FF8"/>
    <w:rsid w:val="00B8431E"/>
    <w:rsid w:val="00B84536"/>
    <w:rsid w:val="00B8475D"/>
    <w:rsid w:val="00B84FC6"/>
    <w:rsid w:val="00B85C26"/>
    <w:rsid w:val="00B870B3"/>
    <w:rsid w:val="00B870E1"/>
    <w:rsid w:val="00B87A5D"/>
    <w:rsid w:val="00B906FB"/>
    <w:rsid w:val="00B90DEF"/>
    <w:rsid w:val="00B90E68"/>
    <w:rsid w:val="00B90FA2"/>
    <w:rsid w:val="00B90FB2"/>
    <w:rsid w:val="00B9105A"/>
    <w:rsid w:val="00B91214"/>
    <w:rsid w:val="00B92283"/>
    <w:rsid w:val="00B924D6"/>
    <w:rsid w:val="00B929B5"/>
    <w:rsid w:val="00B92A7D"/>
    <w:rsid w:val="00B93092"/>
    <w:rsid w:val="00B931C3"/>
    <w:rsid w:val="00B932B8"/>
    <w:rsid w:val="00B933F6"/>
    <w:rsid w:val="00B94560"/>
    <w:rsid w:val="00B94B37"/>
    <w:rsid w:val="00B962B9"/>
    <w:rsid w:val="00B96305"/>
    <w:rsid w:val="00B96FF9"/>
    <w:rsid w:val="00B97253"/>
    <w:rsid w:val="00BA026F"/>
    <w:rsid w:val="00BA0A1E"/>
    <w:rsid w:val="00BA0A3C"/>
    <w:rsid w:val="00BA15B0"/>
    <w:rsid w:val="00BA1B02"/>
    <w:rsid w:val="00BA1B9C"/>
    <w:rsid w:val="00BA2950"/>
    <w:rsid w:val="00BA3A0A"/>
    <w:rsid w:val="00BA3AC6"/>
    <w:rsid w:val="00BA43BB"/>
    <w:rsid w:val="00BA4741"/>
    <w:rsid w:val="00BA4DB2"/>
    <w:rsid w:val="00BA5043"/>
    <w:rsid w:val="00BA58B6"/>
    <w:rsid w:val="00BA5AAB"/>
    <w:rsid w:val="00BA5C1A"/>
    <w:rsid w:val="00BA6B46"/>
    <w:rsid w:val="00BA7134"/>
    <w:rsid w:val="00BA7393"/>
    <w:rsid w:val="00BA73A3"/>
    <w:rsid w:val="00BA7772"/>
    <w:rsid w:val="00BA7BE2"/>
    <w:rsid w:val="00BA7D08"/>
    <w:rsid w:val="00BB03DD"/>
    <w:rsid w:val="00BB0794"/>
    <w:rsid w:val="00BB07E3"/>
    <w:rsid w:val="00BB082E"/>
    <w:rsid w:val="00BB1B95"/>
    <w:rsid w:val="00BB24C8"/>
    <w:rsid w:val="00BB2A9C"/>
    <w:rsid w:val="00BB2C1A"/>
    <w:rsid w:val="00BB3613"/>
    <w:rsid w:val="00BB44D6"/>
    <w:rsid w:val="00BB57C1"/>
    <w:rsid w:val="00BB5EFC"/>
    <w:rsid w:val="00BB677E"/>
    <w:rsid w:val="00BB678C"/>
    <w:rsid w:val="00BB70D2"/>
    <w:rsid w:val="00BC0213"/>
    <w:rsid w:val="00BC0273"/>
    <w:rsid w:val="00BC0458"/>
    <w:rsid w:val="00BC1562"/>
    <w:rsid w:val="00BC2508"/>
    <w:rsid w:val="00BC341D"/>
    <w:rsid w:val="00BC37E0"/>
    <w:rsid w:val="00BC448D"/>
    <w:rsid w:val="00BC4804"/>
    <w:rsid w:val="00BC52A0"/>
    <w:rsid w:val="00BC7213"/>
    <w:rsid w:val="00BC7B34"/>
    <w:rsid w:val="00BD049A"/>
    <w:rsid w:val="00BD064E"/>
    <w:rsid w:val="00BD1453"/>
    <w:rsid w:val="00BD1C54"/>
    <w:rsid w:val="00BD1FA2"/>
    <w:rsid w:val="00BD2657"/>
    <w:rsid w:val="00BD2BBC"/>
    <w:rsid w:val="00BD3476"/>
    <w:rsid w:val="00BD3536"/>
    <w:rsid w:val="00BD35C5"/>
    <w:rsid w:val="00BD3A68"/>
    <w:rsid w:val="00BD506A"/>
    <w:rsid w:val="00BD6118"/>
    <w:rsid w:val="00BD73DB"/>
    <w:rsid w:val="00BE0C97"/>
    <w:rsid w:val="00BE14DD"/>
    <w:rsid w:val="00BE1C74"/>
    <w:rsid w:val="00BE33B4"/>
    <w:rsid w:val="00BE3531"/>
    <w:rsid w:val="00BE3EFA"/>
    <w:rsid w:val="00BE4780"/>
    <w:rsid w:val="00BE4A30"/>
    <w:rsid w:val="00BE4D1D"/>
    <w:rsid w:val="00BE5F69"/>
    <w:rsid w:val="00BE6D6A"/>
    <w:rsid w:val="00BE73BC"/>
    <w:rsid w:val="00BE7456"/>
    <w:rsid w:val="00BE7E59"/>
    <w:rsid w:val="00BF0DF2"/>
    <w:rsid w:val="00BF12ED"/>
    <w:rsid w:val="00BF282D"/>
    <w:rsid w:val="00BF32B6"/>
    <w:rsid w:val="00BF345E"/>
    <w:rsid w:val="00BF5171"/>
    <w:rsid w:val="00BF571A"/>
    <w:rsid w:val="00BF5DD3"/>
    <w:rsid w:val="00BF6176"/>
    <w:rsid w:val="00BF6A2C"/>
    <w:rsid w:val="00BF76A8"/>
    <w:rsid w:val="00BF7D7E"/>
    <w:rsid w:val="00C00890"/>
    <w:rsid w:val="00C01986"/>
    <w:rsid w:val="00C020B0"/>
    <w:rsid w:val="00C02A8D"/>
    <w:rsid w:val="00C032D0"/>
    <w:rsid w:val="00C03EFD"/>
    <w:rsid w:val="00C052AE"/>
    <w:rsid w:val="00C06F28"/>
    <w:rsid w:val="00C117E1"/>
    <w:rsid w:val="00C12EBC"/>
    <w:rsid w:val="00C12F0B"/>
    <w:rsid w:val="00C1328E"/>
    <w:rsid w:val="00C13835"/>
    <w:rsid w:val="00C14EF9"/>
    <w:rsid w:val="00C154F1"/>
    <w:rsid w:val="00C15779"/>
    <w:rsid w:val="00C16B8B"/>
    <w:rsid w:val="00C16EB0"/>
    <w:rsid w:val="00C17433"/>
    <w:rsid w:val="00C17956"/>
    <w:rsid w:val="00C2146C"/>
    <w:rsid w:val="00C21ABD"/>
    <w:rsid w:val="00C21FC6"/>
    <w:rsid w:val="00C22893"/>
    <w:rsid w:val="00C232EE"/>
    <w:rsid w:val="00C2338D"/>
    <w:rsid w:val="00C235C2"/>
    <w:rsid w:val="00C23F6A"/>
    <w:rsid w:val="00C243A4"/>
    <w:rsid w:val="00C2542B"/>
    <w:rsid w:val="00C25FDB"/>
    <w:rsid w:val="00C2626D"/>
    <w:rsid w:val="00C26601"/>
    <w:rsid w:val="00C26C20"/>
    <w:rsid w:val="00C26DF0"/>
    <w:rsid w:val="00C271ED"/>
    <w:rsid w:val="00C274B6"/>
    <w:rsid w:val="00C278AF"/>
    <w:rsid w:val="00C27F61"/>
    <w:rsid w:val="00C302AB"/>
    <w:rsid w:val="00C3100C"/>
    <w:rsid w:val="00C3141E"/>
    <w:rsid w:val="00C3152F"/>
    <w:rsid w:val="00C321F0"/>
    <w:rsid w:val="00C328E3"/>
    <w:rsid w:val="00C32BB8"/>
    <w:rsid w:val="00C33625"/>
    <w:rsid w:val="00C369E1"/>
    <w:rsid w:val="00C403BD"/>
    <w:rsid w:val="00C40875"/>
    <w:rsid w:val="00C40E3D"/>
    <w:rsid w:val="00C414A9"/>
    <w:rsid w:val="00C41B35"/>
    <w:rsid w:val="00C41BA4"/>
    <w:rsid w:val="00C4234F"/>
    <w:rsid w:val="00C429A6"/>
    <w:rsid w:val="00C43A23"/>
    <w:rsid w:val="00C43E09"/>
    <w:rsid w:val="00C44620"/>
    <w:rsid w:val="00C44AE2"/>
    <w:rsid w:val="00C44F2D"/>
    <w:rsid w:val="00C4562A"/>
    <w:rsid w:val="00C45F35"/>
    <w:rsid w:val="00C46085"/>
    <w:rsid w:val="00C46172"/>
    <w:rsid w:val="00C4688D"/>
    <w:rsid w:val="00C47570"/>
    <w:rsid w:val="00C476F2"/>
    <w:rsid w:val="00C505C5"/>
    <w:rsid w:val="00C50C80"/>
    <w:rsid w:val="00C50CAD"/>
    <w:rsid w:val="00C510F9"/>
    <w:rsid w:val="00C5179A"/>
    <w:rsid w:val="00C51DC5"/>
    <w:rsid w:val="00C5238E"/>
    <w:rsid w:val="00C5241F"/>
    <w:rsid w:val="00C5277A"/>
    <w:rsid w:val="00C5337D"/>
    <w:rsid w:val="00C53B49"/>
    <w:rsid w:val="00C53C8C"/>
    <w:rsid w:val="00C53DC2"/>
    <w:rsid w:val="00C54CEF"/>
    <w:rsid w:val="00C577DE"/>
    <w:rsid w:val="00C57DD1"/>
    <w:rsid w:val="00C6007A"/>
    <w:rsid w:val="00C60542"/>
    <w:rsid w:val="00C60584"/>
    <w:rsid w:val="00C609F4"/>
    <w:rsid w:val="00C61567"/>
    <w:rsid w:val="00C6211D"/>
    <w:rsid w:val="00C6336D"/>
    <w:rsid w:val="00C63F9D"/>
    <w:rsid w:val="00C64820"/>
    <w:rsid w:val="00C64AD8"/>
    <w:rsid w:val="00C654C5"/>
    <w:rsid w:val="00C65585"/>
    <w:rsid w:val="00C65600"/>
    <w:rsid w:val="00C666FB"/>
    <w:rsid w:val="00C66B3C"/>
    <w:rsid w:val="00C70EC6"/>
    <w:rsid w:val="00C71279"/>
    <w:rsid w:val="00C71396"/>
    <w:rsid w:val="00C713DF"/>
    <w:rsid w:val="00C73036"/>
    <w:rsid w:val="00C7329A"/>
    <w:rsid w:val="00C73386"/>
    <w:rsid w:val="00C73907"/>
    <w:rsid w:val="00C74E7E"/>
    <w:rsid w:val="00C750DB"/>
    <w:rsid w:val="00C752D0"/>
    <w:rsid w:val="00C757C0"/>
    <w:rsid w:val="00C75C1D"/>
    <w:rsid w:val="00C7612E"/>
    <w:rsid w:val="00C76DA2"/>
    <w:rsid w:val="00C77154"/>
    <w:rsid w:val="00C77EAC"/>
    <w:rsid w:val="00C82892"/>
    <w:rsid w:val="00C84340"/>
    <w:rsid w:val="00C845EA"/>
    <w:rsid w:val="00C85BE2"/>
    <w:rsid w:val="00C919F1"/>
    <w:rsid w:val="00C927E8"/>
    <w:rsid w:val="00C9429F"/>
    <w:rsid w:val="00C947CE"/>
    <w:rsid w:val="00C948A4"/>
    <w:rsid w:val="00C94985"/>
    <w:rsid w:val="00C94D58"/>
    <w:rsid w:val="00C94D89"/>
    <w:rsid w:val="00C94DBE"/>
    <w:rsid w:val="00C95341"/>
    <w:rsid w:val="00C960EC"/>
    <w:rsid w:val="00C9614D"/>
    <w:rsid w:val="00C96A52"/>
    <w:rsid w:val="00C96B04"/>
    <w:rsid w:val="00C97077"/>
    <w:rsid w:val="00C971F7"/>
    <w:rsid w:val="00C97446"/>
    <w:rsid w:val="00C9766C"/>
    <w:rsid w:val="00CA025F"/>
    <w:rsid w:val="00CA0874"/>
    <w:rsid w:val="00CA1561"/>
    <w:rsid w:val="00CA1B05"/>
    <w:rsid w:val="00CA1CDA"/>
    <w:rsid w:val="00CA271A"/>
    <w:rsid w:val="00CA2AE7"/>
    <w:rsid w:val="00CA37F2"/>
    <w:rsid w:val="00CA3800"/>
    <w:rsid w:val="00CA4826"/>
    <w:rsid w:val="00CA4FC4"/>
    <w:rsid w:val="00CA506A"/>
    <w:rsid w:val="00CA58C7"/>
    <w:rsid w:val="00CA5D9E"/>
    <w:rsid w:val="00CA672F"/>
    <w:rsid w:val="00CA68DA"/>
    <w:rsid w:val="00CB0EC3"/>
    <w:rsid w:val="00CB1EB3"/>
    <w:rsid w:val="00CB2972"/>
    <w:rsid w:val="00CB369B"/>
    <w:rsid w:val="00CB3E23"/>
    <w:rsid w:val="00CB443F"/>
    <w:rsid w:val="00CB49E2"/>
    <w:rsid w:val="00CB4A93"/>
    <w:rsid w:val="00CB584B"/>
    <w:rsid w:val="00CB6FE1"/>
    <w:rsid w:val="00CC061B"/>
    <w:rsid w:val="00CC0C5F"/>
    <w:rsid w:val="00CC0ECB"/>
    <w:rsid w:val="00CC13B0"/>
    <w:rsid w:val="00CC154B"/>
    <w:rsid w:val="00CC186D"/>
    <w:rsid w:val="00CC200D"/>
    <w:rsid w:val="00CC2A56"/>
    <w:rsid w:val="00CC3E8E"/>
    <w:rsid w:val="00CC4673"/>
    <w:rsid w:val="00CC476B"/>
    <w:rsid w:val="00CC50BD"/>
    <w:rsid w:val="00CC55FD"/>
    <w:rsid w:val="00CC5BE2"/>
    <w:rsid w:val="00CC61EC"/>
    <w:rsid w:val="00CC64C4"/>
    <w:rsid w:val="00CC6923"/>
    <w:rsid w:val="00CC6A16"/>
    <w:rsid w:val="00CC7CE3"/>
    <w:rsid w:val="00CC7DEB"/>
    <w:rsid w:val="00CD1688"/>
    <w:rsid w:val="00CD18CC"/>
    <w:rsid w:val="00CD2B1C"/>
    <w:rsid w:val="00CD3A4B"/>
    <w:rsid w:val="00CD413C"/>
    <w:rsid w:val="00CD4504"/>
    <w:rsid w:val="00CD4D8E"/>
    <w:rsid w:val="00CD4EBF"/>
    <w:rsid w:val="00CD5BF3"/>
    <w:rsid w:val="00CD6508"/>
    <w:rsid w:val="00CD6E09"/>
    <w:rsid w:val="00CD7984"/>
    <w:rsid w:val="00CE002B"/>
    <w:rsid w:val="00CE01DE"/>
    <w:rsid w:val="00CE0B03"/>
    <w:rsid w:val="00CE2C50"/>
    <w:rsid w:val="00CE3286"/>
    <w:rsid w:val="00CE472F"/>
    <w:rsid w:val="00CE486B"/>
    <w:rsid w:val="00CE48F5"/>
    <w:rsid w:val="00CE4F9F"/>
    <w:rsid w:val="00CE636D"/>
    <w:rsid w:val="00CE73B6"/>
    <w:rsid w:val="00CE7524"/>
    <w:rsid w:val="00CE7A32"/>
    <w:rsid w:val="00CF02D5"/>
    <w:rsid w:val="00CF0DE1"/>
    <w:rsid w:val="00CF3DD2"/>
    <w:rsid w:val="00CF4258"/>
    <w:rsid w:val="00CF46CF"/>
    <w:rsid w:val="00CF4A67"/>
    <w:rsid w:val="00CF5C47"/>
    <w:rsid w:val="00CF602A"/>
    <w:rsid w:val="00CF65C6"/>
    <w:rsid w:val="00CF6A42"/>
    <w:rsid w:val="00D00BBC"/>
    <w:rsid w:val="00D00C7D"/>
    <w:rsid w:val="00D0139B"/>
    <w:rsid w:val="00D020EE"/>
    <w:rsid w:val="00D0284A"/>
    <w:rsid w:val="00D04DAD"/>
    <w:rsid w:val="00D04F50"/>
    <w:rsid w:val="00D059DC"/>
    <w:rsid w:val="00D063BC"/>
    <w:rsid w:val="00D068C8"/>
    <w:rsid w:val="00D06B43"/>
    <w:rsid w:val="00D06DCC"/>
    <w:rsid w:val="00D0765F"/>
    <w:rsid w:val="00D078B0"/>
    <w:rsid w:val="00D07CA7"/>
    <w:rsid w:val="00D108BC"/>
    <w:rsid w:val="00D12688"/>
    <w:rsid w:val="00D12FA8"/>
    <w:rsid w:val="00D13A38"/>
    <w:rsid w:val="00D140C7"/>
    <w:rsid w:val="00D15954"/>
    <w:rsid w:val="00D15A48"/>
    <w:rsid w:val="00D15D0D"/>
    <w:rsid w:val="00D15F40"/>
    <w:rsid w:val="00D162AB"/>
    <w:rsid w:val="00D164AD"/>
    <w:rsid w:val="00D17AA2"/>
    <w:rsid w:val="00D20317"/>
    <w:rsid w:val="00D21835"/>
    <w:rsid w:val="00D21B0B"/>
    <w:rsid w:val="00D220BE"/>
    <w:rsid w:val="00D22BEE"/>
    <w:rsid w:val="00D22EE9"/>
    <w:rsid w:val="00D239BB"/>
    <w:rsid w:val="00D244D4"/>
    <w:rsid w:val="00D2455B"/>
    <w:rsid w:val="00D25280"/>
    <w:rsid w:val="00D2624B"/>
    <w:rsid w:val="00D272CE"/>
    <w:rsid w:val="00D30E9D"/>
    <w:rsid w:val="00D318DD"/>
    <w:rsid w:val="00D32098"/>
    <w:rsid w:val="00D32278"/>
    <w:rsid w:val="00D3247F"/>
    <w:rsid w:val="00D32D98"/>
    <w:rsid w:val="00D33080"/>
    <w:rsid w:val="00D34866"/>
    <w:rsid w:val="00D34B7C"/>
    <w:rsid w:val="00D350CC"/>
    <w:rsid w:val="00D3695A"/>
    <w:rsid w:val="00D36AFE"/>
    <w:rsid w:val="00D36E1F"/>
    <w:rsid w:val="00D3749A"/>
    <w:rsid w:val="00D37A96"/>
    <w:rsid w:val="00D40609"/>
    <w:rsid w:val="00D40A3A"/>
    <w:rsid w:val="00D410F4"/>
    <w:rsid w:val="00D4231E"/>
    <w:rsid w:val="00D441F4"/>
    <w:rsid w:val="00D44307"/>
    <w:rsid w:val="00D4458F"/>
    <w:rsid w:val="00D44AC8"/>
    <w:rsid w:val="00D44AC9"/>
    <w:rsid w:val="00D45514"/>
    <w:rsid w:val="00D458C8"/>
    <w:rsid w:val="00D45A4B"/>
    <w:rsid w:val="00D468D3"/>
    <w:rsid w:val="00D46AFB"/>
    <w:rsid w:val="00D5064B"/>
    <w:rsid w:val="00D507E6"/>
    <w:rsid w:val="00D51C2D"/>
    <w:rsid w:val="00D5323F"/>
    <w:rsid w:val="00D54132"/>
    <w:rsid w:val="00D548DF"/>
    <w:rsid w:val="00D54E44"/>
    <w:rsid w:val="00D54EF2"/>
    <w:rsid w:val="00D54F5D"/>
    <w:rsid w:val="00D55E47"/>
    <w:rsid w:val="00D56594"/>
    <w:rsid w:val="00D56C38"/>
    <w:rsid w:val="00D56D5B"/>
    <w:rsid w:val="00D5739B"/>
    <w:rsid w:val="00D57D56"/>
    <w:rsid w:val="00D60F41"/>
    <w:rsid w:val="00D61357"/>
    <w:rsid w:val="00D6167C"/>
    <w:rsid w:val="00D61840"/>
    <w:rsid w:val="00D618AF"/>
    <w:rsid w:val="00D62105"/>
    <w:rsid w:val="00D6221E"/>
    <w:rsid w:val="00D62B71"/>
    <w:rsid w:val="00D63117"/>
    <w:rsid w:val="00D633CB"/>
    <w:rsid w:val="00D6350F"/>
    <w:rsid w:val="00D63A15"/>
    <w:rsid w:val="00D63E60"/>
    <w:rsid w:val="00D64173"/>
    <w:rsid w:val="00D65B8D"/>
    <w:rsid w:val="00D65C62"/>
    <w:rsid w:val="00D66258"/>
    <w:rsid w:val="00D66E7B"/>
    <w:rsid w:val="00D675CF"/>
    <w:rsid w:val="00D71499"/>
    <w:rsid w:val="00D71DE5"/>
    <w:rsid w:val="00D71F81"/>
    <w:rsid w:val="00D7229C"/>
    <w:rsid w:val="00D72D5C"/>
    <w:rsid w:val="00D7308A"/>
    <w:rsid w:val="00D76488"/>
    <w:rsid w:val="00D775F1"/>
    <w:rsid w:val="00D7761B"/>
    <w:rsid w:val="00D8041E"/>
    <w:rsid w:val="00D817BA"/>
    <w:rsid w:val="00D82060"/>
    <w:rsid w:val="00D82166"/>
    <w:rsid w:val="00D826BA"/>
    <w:rsid w:val="00D832A1"/>
    <w:rsid w:val="00D84ACD"/>
    <w:rsid w:val="00D84BDA"/>
    <w:rsid w:val="00D85114"/>
    <w:rsid w:val="00D853AF"/>
    <w:rsid w:val="00D854E4"/>
    <w:rsid w:val="00D85B0B"/>
    <w:rsid w:val="00D85EC6"/>
    <w:rsid w:val="00D86A1F"/>
    <w:rsid w:val="00D876F5"/>
    <w:rsid w:val="00D87D39"/>
    <w:rsid w:val="00D87FBA"/>
    <w:rsid w:val="00D9026C"/>
    <w:rsid w:val="00D90530"/>
    <w:rsid w:val="00D90642"/>
    <w:rsid w:val="00D90D7A"/>
    <w:rsid w:val="00D91A22"/>
    <w:rsid w:val="00D9360B"/>
    <w:rsid w:val="00D93C09"/>
    <w:rsid w:val="00D94061"/>
    <w:rsid w:val="00D94216"/>
    <w:rsid w:val="00D942B2"/>
    <w:rsid w:val="00D94ACF"/>
    <w:rsid w:val="00D9508F"/>
    <w:rsid w:val="00D95519"/>
    <w:rsid w:val="00D955A0"/>
    <w:rsid w:val="00D955D4"/>
    <w:rsid w:val="00D9744F"/>
    <w:rsid w:val="00D974BE"/>
    <w:rsid w:val="00DA07BA"/>
    <w:rsid w:val="00DA0ADF"/>
    <w:rsid w:val="00DA13ED"/>
    <w:rsid w:val="00DA15B6"/>
    <w:rsid w:val="00DA1C78"/>
    <w:rsid w:val="00DA1D93"/>
    <w:rsid w:val="00DA2160"/>
    <w:rsid w:val="00DA29A2"/>
    <w:rsid w:val="00DA3042"/>
    <w:rsid w:val="00DA30CC"/>
    <w:rsid w:val="00DA31B6"/>
    <w:rsid w:val="00DA31CC"/>
    <w:rsid w:val="00DA3CC2"/>
    <w:rsid w:val="00DA40AC"/>
    <w:rsid w:val="00DA4C70"/>
    <w:rsid w:val="00DA56AA"/>
    <w:rsid w:val="00DA5F35"/>
    <w:rsid w:val="00DA61CF"/>
    <w:rsid w:val="00DA64D8"/>
    <w:rsid w:val="00DA6B76"/>
    <w:rsid w:val="00DA6EC0"/>
    <w:rsid w:val="00DA7734"/>
    <w:rsid w:val="00DA7E97"/>
    <w:rsid w:val="00DB04B7"/>
    <w:rsid w:val="00DB1C74"/>
    <w:rsid w:val="00DB255D"/>
    <w:rsid w:val="00DB2D8C"/>
    <w:rsid w:val="00DB2FCB"/>
    <w:rsid w:val="00DB3DC8"/>
    <w:rsid w:val="00DB465F"/>
    <w:rsid w:val="00DB5FDC"/>
    <w:rsid w:val="00DB6847"/>
    <w:rsid w:val="00DC00F1"/>
    <w:rsid w:val="00DC086B"/>
    <w:rsid w:val="00DC12CF"/>
    <w:rsid w:val="00DC1346"/>
    <w:rsid w:val="00DC138B"/>
    <w:rsid w:val="00DC1B6B"/>
    <w:rsid w:val="00DC1DCB"/>
    <w:rsid w:val="00DC212B"/>
    <w:rsid w:val="00DC23DD"/>
    <w:rsid w:val="00DC26D5"/>
    <w:rsid w:val="00DC2DAC"/>
    <w:rsid w:val="00DC399B"/>
    <w:rsid w:val="00DC5DA7"/>
    <w:rsid w:val="00DC607E"/>
    <w:rsid w:val="00DC654C"/>
    <w:rsid w:val="00DC667C"/>
    <w:rsid w:val="00DC729B"/>
    <w:rsid w:val="00DC7630"/>
    <w:rsid w:val="00DC7E9C"/>
    <w:rsid w:val="00DD0326"/>
    <w:rsid w:val="00DD04E8"/>
    <w:rsid w:val="00DD0891"/>
    <w:rsid w:val="00DD0AAA"/>
    <w:rsid w:val="00DD139A"/>
    <w:rsid w:val="00DD2300"/>
    <w:rsid w:val="00DD276E"/>
    <w:rsid w:val="00DD46B0"/>
    <w:rsid w:val="00DD4EF4"/>
    <w:rsid w:val="00DD512D"/>
    <w:rsid w:val="00DD615C"/>
    <w:rsid w:val="00DD7949"/>
    <w:rsid w:val="00DD7AA8"/>
    <w:rsid w:val="00DD7E4B"/>
    <w:rsid w:val="00DE023A"/>
    <w:rsid w:val="00DE1A43"/>
    <w:rsid w:val="00DE1B7D"/>
    <w:rsid w:val="00DE1E75"/>
    <w:rsid w:val="00DE2D7D"/>
    <w:rsid w:val="00DE2FAA"/>
    <w:rsid w:val="00DE3EE3"/>
    <w:rsid w:val="00DE4051"/>
    <w:rsid w:val="00DE5D12"/>
    <w:rsid w:val="00DE60C4"/>
    <w:rsid w:val="00DE68AF"/>
    <w:rsid w:val="00DF038E"/>
    <w:rsid w:val="00DF1B9E"/>
    <w:rsid w:val="00DF2B63"/>
    <w:rsid w:val="00DF49A7"/>
    <w:rsid w:val="00DF51F0"/>
    <w:rsid w:val="00DF555B"/>
    <w:rsid w:val="00DF6E29"/>
    <w:rsid w:val="00DF757A"/>
    <w:rsid w:val="00E0101D"/>
    <w:rsid w:val="00E01199"/>
    <w:rsid w:val="00E01D37"/>
    <w:rsid w:val="00E0260D"/>
    <w:rsid w:val="00E028D4"/>
    <w:rsid w:val="00E03A60"/>
    <w:rsid w:val="00E03A98"/>
    <w:rsid w:val="00E04B33"/>
    <w:rsid w:val="00E06596"/>
    <w:rsid w:val="00E07247"/>
    <w:rsid w:val="00E07376"/>
    <w:rsid w:val="00E07E20"/>
    <w:rsid w:val="00E11080"/>
    <w:rsid w:val="00E11E66"/>
    <w:rsid w:val="00E11FD3"/>
    <w:rsid w:val="00E12535"/>
    <w:rsid w:val="00E12D1D"/>
    <w:rsid w:val="00E1315D"/>
    <w:rsid w:val="00E13D61"/>
    <w:rsid w:val="00E13E4B"/>
    <w:rsid w:val="00E13E97"/>
    <w:rsid w:val="00E14C18"/>
    <w:rsid w:val="00E14EFA"/>
    <w:rsid w:val="00E15E52"/>
    <w:rsid w:val="00E1757A"/>
    <w:rsid w:val="00E17E39"/>
    <w:rsid w:val="00E20448"/>
    <w:rsid w:val="00E20B20"/>
    <w:rsid w:val="00E21051"/>
    <w:rsid w:val="00E21982"/>
    <w:rsid w:val="00E21CC9"/>
    <w:rsid w:val="00E2226B"/>
    <w:rsid w:val="00E2269F"/>
    <w:rsid w:val="00E2379C"/>
    <w:rsid w:val="00E238BF"/>
    <w:rsid w:val="00E23C5D"/>
    <w:rsid w:val="00E242BB"/>
    <w:rsid w:val="00E2494B"/>
    <w:rsid w:val="00E24A39"/>
    <w:rsid w:val="00E25F35"/>
    <w:rsid w:val="00E26141"/>
    <w:rsid w:val="00E26B82"/>
    <w:rsid w:val="00E273C4"/>
    <w:rsid w:val="00E27C29"/>
    <w:rsid w:val="00E27ECA"/>
    <w:rsid w:val="00E30201"/>
    <w:rsid w:val="00E303EE"/>
    <w:rsid w:val="00E30A8A"/>
    <w:rsid w:val="00E31210"/>
    <w:rsid w:val="00E31BBF"/>
    <w:rsid w:val="00E328C6"/>
    <w:rsid w:val="00E32EBD"/>
    <w:rsid w:val="00E33446"/>
    <w:rsid w:val="00E3365D"/>
    <w:rsid w:val="00E337DE"/>
    <w:rsid w:val="00E33BBD"/>
    <w:rsid w:val="00E34140"/>
    <w:rsid w:val="00E3431F"/>
    <w:rsid w:val="00E344C3"/>
    <w:rsid w:val="00E3458C"/>
    <w:rsid w:val="00E34687"/>
    <w:rsid w:val="00E353A4"/>
    <w:rsid w:val="00E35457"/>
    <w:rsid w:val="00E356CD"/>
    <w:rsid w:val="00E36441"/>
    <w:rsid w:val="00E365DC"/>
    <w:rsid w:val="00E36CD8"/>
    <w:rsid w:val="00E3781D"/>
    <w:rsid w:val="00E37968"/>
    <w:rsid w:val="00E4024F"/>
    <w:rsid w:val="00E4034F"/>
    <w:rsid w:val="00E408AD"/>
    <w:rsid w:val="00E40989"/>
    <w:rsid w:val="00E41A89"/>
    <w:rsid w:val="00E422A6"/>
    <w:rsid w:val="00E430BB"/>
    <w:rsid w:val="00E43457"/>
    <w:rsid w:val="00E437EE"/>
    <w:rsid w:val="00E43B5C"/>
    <w:rsid w:val="00E4430A"/>
    <w:rsid w:val="00E4472A"/>
    <w:rsid w:val="00E44888"/>
    <w:rsid w:val="00E44FD4"/>
    <w:rsid w:val="00E458A3"/>
    <w:rsid w:val="00E458C4"/>
    <w:rsid w:val="00E46869"/>
    <w:rsid w:val="00E50573"/>
    <w:rsid w:val="00E522FB"/>
    <w:rsid w:val="00E52AF9"/>
    <w:rsid w:val="00E53893"/>
    <w:rsid w:val="00E538CB"/>
    <w:rsid w:val="00E548CA"/>
    <w:rsid w:val="00E55EFE"/>
    <w:rsid w:val="00E56185"/>
    <w:rsid w:val="00E56C29"/>
    <w:rsid w:val="00E6065A"/>
    <w:rsid w:val="00E61A88"/>
    <w:rsid w:val="00E61D32"/>
    <w:rsid w:val="00E62178"/>
    <w:rsid w:val="00E625B2"/>
    <w:rsid w:val="00E628F8"/>
    <w:rsid w:val="00E629C2"/>
    <w:rsid w:val="00E637F7"/>
    <w:rsid w:val="00E63894"/>
    <w:rsid w:val="00E63A33"/>
    <w:rsid w:val="00E63AD7"/>
    <w:rsid w:val="00E64DCE"/>
    <w:rsid w:val="00E65099"/>
    <w:rsid w:val="00E66AFE"/>
    <w:rsid w:val="00E67516"/>
    <w:rsid w:val="00E7020C"/>
    <w:rsid w:val="00E70840"/>
    <w:rsid w:val="00E7115F"/>
    <w:rsid w:val="00E713D3"/>
    <w:rsid w:val="00E71933"/>
    <w:rsid w:val="00E71EC8"/>
    <w:rsid w:val="00E72DC7"/>
    <w:rsid w:val="00E74181"/>
    <w:rsid w:val="00E74F75"/>
    <w:rsid w:val="00E752F7"/>
    <w:rsid w:val="00E760FB"/>
    <w:rsid w:val="00E76A70"/>
    <w:rsid w:val="00E77A57"/>
    <w:rsid w:val="00E77BDD"/>
    <w:rsid w:val="00E8050A"/>
    <w:rsid w:val="00E81F81"/>
    <w:rsid w:val="00E82BA1"/>
    <w:rsid w:val="00E84A6D"/>
    <w:rsid w:val="00E84A8E"/>
    <w:rsid w:val="00E84BCF"/>
    <w:rsid w:val="00E850D3"/>
    <w:rsid w:val="00E8610B"/>
    <w:rsid w:val="00E87194"/>
    <w:rsid w:val="00E8735B"/>
    <w:rsid w:val="00E87BBD"/>
    <w:rsid w:val="00E87F20"/>
    <w:rsid w:val="00E909CC"/>
    <w:rsid w:val="00E91373"/>
    <w:rsid w:val="00E914E8"/>
    <w:rsid w:val="00E92925"/>
    <w:rsid w:val="00E92D37"/>
    <w:rsid w:val="00E94006"/>
    <w:rsid w:val="00E951D0"/>
    <w:rsid w:val="00E9568B"/>
    <w:rsid w:val="00E956A1"/>
    <w:rsid w:val="00E956A4"/>
    <w:rsid w:val="00E9590B"/>
    <w:rsid w:val="00E96815"/>
    <w:rsid w:val="00E97E33"/>
    <w:rsid w:val="00E97F1E"/>
    <w:rsid w:val="00EA0E9D"/>
    <w:rsid w:val="00EA1EA1"/>
    <w:rsid w:val="00EA1F17"/>
    <w:rsid w:val="00EA3392"/>
    <w:rsid w:val="00EA342B"/>
    <w:rsid w:val="00EA3FED"/>
    <w:rsid w:val="00EA454C"/>
    <w:rsid w:val="00EA5714"/>
    <w:rsid w:val="00EA62C6"/>
    <w:rsid w:val="00EA6B75"/>
    <w:rsid w:val="00EA7121"/>
    <w:rsid w:val="00EA7403"/>
    <w:rsid w:val="00EA772A"/>
    <w:rsid w:val="00EB0603"/>
    <w:rsid w:val="00EB0A0F"/>
    <w:rsid w:val="00EB0AB1"/>
    <w:rsid w:val="00EB18C8"/>
    <w:rsid w:val="00EB2172"/>
    <w:rsid w:val="00EB264C"/>
    <w:rsid w:val="00EB2BDB"/>
    <w:rsid w:val="00EB2FE3"/>
    <w:rsid w:val="00EB3864"/>
    <w:rsid w:val="00EB3BF3"/>
    <w:rsid w:val="00EB40F2"/>
    <w:rsid w:val="00EB4199"/>
    <w:rsid w:val="00EB43AA"/>
    <w:rsid w:val="00EB65D5"/>
    <w:rsid w:val="00EB687A"/>
    <w:rsid w:val="00EB75D4"/>
    <w:rsid w:val="00EB7A62"/>
    <w:rsid w:val="00EC0064"/>
    <w:rsid w:val="00EC126F"/>
    <w:rsid w:val="00EC18D7"/>
    <w:rsid w:val="00EC1DBD"/>
    <w:rsid w:val="00EC23A8"/>
    <w:rsid w:val="00EC36ED"/>
    <w:rsid w:val="00EC48EE"/>
    <w:rsid w:val="00EC4A91"/>
    <w:rsid w:val="00EC4DFB"/>
    <w:rsid w:val="00EC6530"/>
    <w:rsid w:val="00EC6AEF"/>
    <w:rsid w:val="00EC6C3A"/>
    <w:rsid w:val="00EC726F"/>
    <w:rsid w:val="00EC7F59"/>
    <w:rsid w:val="00ED0115"/>
    <w:rsid w:val="00ED0842"/>
    <w:rsid w:val="00ED0B9E"/>
    <w:rsid w:val="00ED1891"/>
    <w:rsid w:val="00ED1D1A"/>
    <w:rsid w:val="00ED1E72"/>
    <w:rsid w:val="00ED32CA"/>
    <w:rsid w:val="00ED3772"/>
    <w:rsid w:val="00ED3C30"/>
    <w:rsid w:val="00ED3E04"/>
    <w:rsid w:val="00ED4494"/>
    <w:rsid w:val="00ED46CB"/>
    <w:rsid w:val="00ED4800"/>
    <w:rsid w:val="00ED63C1"/>
    <w:rsid w:val="00ED655C"/>
    <w:rsid w:val="00ED6E71"/>
    <w:rsid w:val="00ED7DF6"/>
    <w:rsid w:val="00EE0C7D"/>
    <w:rsid w:val="00EE10AA"/>
    <w:rsid w:val="00EE1739"/>
    <w:rsid w:val="00EE1C0C"/>
    <w:rsid w:val="00EE1FD0"/>
    <w:rsid w:val="00EE2369"/>
    <w:rsid w:val="00EE244F"/>
    <w:rsid w:val="00EE2529"/>
    <w:rsid w:val="00EE4D57"/>
    <w:rsid w:val="00EE62D3"/>
    <w:rsid w:val="00EE6587"/>
    <w:rsid w:val="00EE681A"/>
    <w:rsid w:val="00EE686C"/>
    <w:rsid w:val="00EE7D07"/>
    <w:rsid w:val="00EF0611"/>
    <w:rsid w:val="00EF0AD7"/>
    <w:rsid w:val="00EF0B12"/>
    <w:rsid w:val="00EF1FE9"/>
    <w:rsid w:val="00EF2414"/>
    <w:rsid w:val="00EF27BD"/>
    <w:rsid w:val="00EF4173"/>
    <w:rsid w:val="00EF43B8"/>
    <w:rsid w:val="00EF4BF4"/>
    <w:rsid w:val="00EF4F2E"/>
    <w:rsid w:val="00EF519D"/>
    <w:rsid w:val="00EF6A12"/>
    <w:rsid w:val="00EF7F26"/>
    <w:rsid w:val="00F00090"/>
    <w:rsid w:val="00F00555"/>
    <w:rsid w:val="00F00E83"/>
    <w:rsid w:val="00F0118F"/>
    <w:rsid w:val="00F01208"/>
    <w:rsid w:val="00F01D5F"/>
    <w:rsid w:val="00F01EB7"/>
    <w:rsid w:val="00F0203E"/>
    <w:rsid w:val="00F02424"/>
    <w:rsid w:val="00F02C36"/>
    <w:rsid w:val="00F03280"/>
    <w:rsid w:val="00F045BF"/>
    <w:rsid w:val="00F04FD3"/>
    <w:rsid w:val="00F0581E"/>
    <w:rsid w:val="00F0648F"/>
    <w:rsid w:val="00F07CE4"/>
    <w:rsid w:val="00F103A0"/>
    <w:rsid w:val="00F108F9"/>
    <w:rsid w:val="00F119B8"/>
    <w:rsid w:val="00F119C6"/>
    <w:rsid w:val="00F11AAA"/>
    <w:rsid w:val="00F11EFB"/>
    <w:rsid w:val="00F120AA"/>
    <w:rsid w:val="00F12447"/>
    <w:rsid w:val="00F125EF"/>
    <w:rsid w:val="00F126EF"/>
    <w:rsid w:val="00F12AAE"/>
    <w:rsid w:val="00F12D01"/>
    <w:rsid w:val="00F12DBD"/>
    <w:rsid w:val="00F1408A"/>
    <w:rsid w:val="00F14D51"/>
    <w:rsid w:val="00F15655"/>
    <w:rsid w:val="00F15795"/>
    <w:rsid w:val="00F15F46"/>
    <w:rsid w:val="00F168D3"/>
    <w:rsid w:val="00F202E3"/>
    <w:rsid w:val="00F219AD"/>
    <w:rsid w:val="00F21B83"/>
    <w:rsid w:val="00F21E30"/>
    <w:rsid w:val="00F21F03"/>
    <w:rsid w:val="00F22508"/>
    <w:rsid w:val="00F22DD5"/>
    <w:rsid w:val="00F237E9"/>
    <w:rsid w:val="00F24394"/>
    <w:rsid w:val="00F25382"/>
    <w:rsid w:val="00F25620"/>
    <w:rsid w:val="00F25821"/>
    <w:rsid w:val="00F2778A"/>
    <w:rsid w:val="00F27865"/>
    <w:rsid w:val="00F30ADD"/>
    <w:rsid w:val="00F30CC7"/>
    <w:rsid w:val="00F31550"/>
    <w:rsid w:val="00F31926"/>
    <w:rsid w:val="00F31DDA"/>
    <w:rsid w:val="00F325DA"/>
    <w:rsid w:val="00F32DC9"/>
    <w:rsid w:val="00F33752"/>
    <w:rsid w:val="00F33A63"/>
    <w:rsid w:val="00F33A92"/>
    <w:rsid w:val="00F344BA"/>
    <w:rsid w:val="00F34560"/>
    <w:rsid w:val="00F348F8"/>
    <w:rsid w:val="00F34A96"/>
    <w:rsid w:val="00F354F9"/>
    <w:rsid w:val="00F356DC"/>
    <w:rsid w:val="00F37D19"/>
    <w:rsid w:val="00F37DF3"/>
    <w:rsid w:val="00F40042"/>
    <w:rsid w:val="00F40631"/>
    <w:rsid w:val="00F40831"/>
    <w:rsid w:val="00F4092D"/>
    <w:rsid w:val="00F40DBA"/>
    <w:rsid w:val="00F40DCC"/>
    <w:rsid w:val="00F41160"/>
    <w:rsid w:val="00F411E8"/>
    <w:rsid w:val="00F412D5"/>
    <w:rsid w:val="00F41584"/>
    <w:rsid w:val="00F416B2"/>
    <w:rsid w:val="00F43B2F"/>
    <w:rsid w:val="00F43E36"/>
    <w:rsid w:val="00F4415B"/>
    <w:rsid w:val="00F44342"/>
    <w:rsid w:val="00F4497B"/>
    <w:rsid w:val="00F45122"/>
    <w:rsid w:val="00F45D69"/>
    <w:rsid w:val="00F46650"/>
    <w:rsid w:val="00F46D93"/>
    <w:rsid w:val="00F46EB6"/>
    <w:rsid w:val="00F472F9"/>
    <w:rsid w:val="00F47376"/>
    <w:rsid w:val="00F50D74"/>
    <w:rsid w:val="00F528D7"/>
    <w:rsid w:val="00F5343E"/>
    <w:rsid w:val="00F54231"/>
    <w:rsid w:val="00F54E88"/>
    <w:rsid w:val="00F55935"/>
    <w:rsid w:val="00F559F3"/>
    <w:rsid w:val="00F55EF3"/>
    <w:rsid w:val="00F57061"/>
    <w:rsid w:val="00F6030E"/>
    <w:rsid w:val="00F617F0"/>
    <w:rsid w:val="00F62AC0"/>
    <w:rsid w:val="00F646D9"/>
    <w:rsid w:val="00F64C80"/>
    <w:rsid w:val="00F65161"/>
    <w:rsid w:val="00F653CD"/>
    <w:rsid w:val="00F656A4"/>
    <w:rsid w:val="00F65F15"/>
    <w:rsid w:val="00F66794"/>
    <w:rsid w:val="00F66E41"/>
    <w:rsid w:val="00F67D7D"/>
    <w:rsid w:val="00F70CBD"/>
    <w:rsid w:val="00F71056"/>
    <w:rsid w:val="00F71AEC"/>
    <w:rsid w:val="00F71D80"/>
    <w:rsid w:val="00F71E22"/>
    <w:rsid w:val="00F72BB6"/>
    <w:rsid w:val="00F72DE5"/>
    <w:rsid w:val="00F73280"/>
    <w:rsid w:val="00F74557"/>
    <w:rsid w:val="00F75155"/>
    <w:rsid w:val="00F75B86"/>
    <w:rsid w:val="00F75C7A"/>
    <w:rsid w:val="00F75D60"/>
    <w:rsid w:val="00F7633E"/>
    <w:rsid w:val="00F76D06"/>
    <w:rsid w:val="00F81CC9"/>
    <w:rsid w:val="00F82166"/>
    <w:rsid w:val="00F831DB"/>
    <w:rsid w:val="00F83443"/>
    <w:rsid w:val="00F83665"/>
    <w:rsid w:val="00F86162"/>
    <w:rsid w:val="00F86192"/>
    <w:rsid w:val="00F868A7"/>
    <w:rsid w:val="00F86E37"/>
    <w:rsid w:val="00F87836"/>
    <w:rsid w:val="00F9008B"/>
    <w:rsid w:val="00F90227"/>
    <w:rsid w:val="00F91238"/>
    <w:rsid w:val="00F91465"/>
    <w:rsid w:val="00F92B2B"/>
    <w:rsid w:val="00F938A2"/>
    <w:rsid w:val="00F93F01"/>
    <w:rsid w:val="00F943F3"/>
    <w:rsid w:val="00F94F8A"/>
    <w:rsid w:val="00F95427"/>
    <w:rsid w:val="00F957F1"/>
    <w:rsid w:val="00F95FA1"/>
    <w:rsid w:val="00F96027"/>
    <w:rsid w:val="00F96DC8"/>
    <w:rsid w:val="00F96FFE"/>
    <w:rsid w:val="00F97774"/>
    <w:rsid w:val="00F979E8"/>
    <w:rsid w:val="00F97E27"/>
    <w:rsid w:val="00F97EE9"/>
    <w:rsid w:val="00FA000A"/>
    <w:rsid w:val="00FA0336"/>
    <w:rsid w:val="00FA0790"/>
    <w:rsid w:val="00FA210C"/>
    <w:rsid w:val="00FA2E7B"/>
    <w:rsid w:val="00FA4B99"/>
    <w:rsid w:val="00FA5F03"/>
    <w:rsid w:val="00FA7EF2"/>
    <w:rsid w:val="00FB0004"/>
    <w:rsid w:val="00FB07C2"/>
    <w:rsid w:val="00FB1033"/>
    <w:rsid w:val="00FB2E7D"/>
    <w:rsid w:val="00FB34F4"/>
    <w:rsid w:val="00FB3528"/>
    <w:rsid w:val="00FB3E49"/>
    <w:rsid w:val="00FB5170"/>
    <w:rsid w:val="00FB535D"/>
    <w:rsid w:val="00FB61F4"/>
    <w:rsid w:val="00FB6966"/>
    <w:rsid w:val="00FB7E51"/>
    <w:rsid w:val="00FC0D16"/>
    <w:rsid w:val="00FC1366"/>
    <w:rsid w:val="00FC1639"/>
    <w:rsid w:val="00FC279A"/>
    <w:rsid w:val="00FC281F"/>
    <w:rsid w:val="00FC2A3D"/>
    <w:rsid w:val="00FC2AFA"/>
    <w:rsid w:val="00FC3408"/>
    <w:rsid w:val="00FC3F07"/>
    <w:rsid w:val="00FC408D"/>
    <w:rsid w:val="00FC4482"/>
    <w:rsid w:val="00FC4BAF"/>
    <w:rsid w:val="00FC5633"/>
    <w:rsid w:val="00FC61FB"/>
    <w:rsid w:val="00FC6B3A"/>
    <w:rsid w:val="00FD0857"/>
    <w:rsid w:val="00FD1095"/>
    <w:rsid w:val="00FD1245"/>
    <w:rsid w:val="00FD179C"/>
    <w:rsid w:val="00FD1A0F"/>
    <w:rsid w:val="00FD1BDF"/>
    <w:rsid w:val="00FD1CA3"/>
    <w:rsid w:val="00FD29A4"/>
    <w:rsid w:val="00FD2A55"/>
    <w:rsid w:val="00FD3491"/>
    <w:rsid w:val="00FD3ABA"/>
    <w:rsid w:val="00FD3FE5"/>
    <w:rsid w:val="00FD402E"/>
    <w:rsid w:val="00FD4F54"/>
    <w:rsid w:val="00FD597B"/>
    <w:rsid w:val="00FD5A87"/>
    <w:rsid w:val="00FD68D1"/>
    <w:rsid w:val="00FD6A30"/>
    <w:rsid w:val="00FD6CA1"/>
    <w:rsid w:val="00FD6D3D"/>
    <w:rsid w:val="00FD7119"/>
    <w:rsid w:val="00FD7316"/>
    <w:rsid w:val="00FD770E"/>
    <w:rsid w:val="00FE029D"/>
    <w:rsid w:val="00FE09E0"/>
    <w:rsid w:val="00FE0FF2"/>
    <w:rsid w:val="00FE1015"/>
    <w:rsid w:val="00FE10EA"/>
    <w:rsid w:val="00FE126F"/>
    <w:rsid w:val="00FE201F"/>
    <w:rsid w:val="00FE31E9"/>
    <w:rsid w:val="00FE330C"/>
    <w:rsid w:val="00FE38EB"/>
    <w:rsid w:val="00FE3D58"/>
    <w:rsid w:val="00FE3FE4"/>
    <w:rsid w:val="00FE41AF"/>
    <w:rsid w:val="00FE587F"/>
    <w:rsid w:val="00FE632C"/>
    <w:rsid w:val="00FE6346"/>
    <w:rsid w:val="00FE7140"/>
    <w:rsid w:val="00FE73F8"/>
    <w:rsid w:val="00FE7781"/>
    <w:rsid w:val="00FF115C"/>
    <w:rsid w:val="00FF1465"/>
    <w:rsid w:val="00FF14BD"/>
    <w:rsid w:val="00FF1A56"/>
    <w:rsid w:val="00FF2C87"/>
    <w:rsid w:val="00FF4045"/>
    <w:rsid w:val="00FF466C"/>
    <w:rsid w:val="00FF4B6C"/>
    <w:rsid w:val="00FF4CF7"/>
    <w:rsid w:val="00FF4E3F"/>
    <w:rsid w:val="00FF6448"/>
    <w:rsid w:val="00FF6D0C"/>
    <w:rsid w:val="00FF76BC"/>
    <w:rsid w:val="00FF7D22"/>
    <w:rsid w:val="00FF7DDD"/>
    <w:rsid w:val="01160AA5"/>
    <w:rsid w:val="01913F9D"/>
    <w:rsid w:val="01C47B72"/>
    <w:rsid w:val="01C5696E"/>
    <w:rsid w:val="027E29A5"/>
    <w:rsid w:val="02A9617B"/>
    <w:rsid w:val="02CF1E1F"/>
    <w:rsid w:val="02E2003A"/>
    <w:rsid w:val="0327428D"/>
    <w:rsid w:val="03282534"/>
    <w:rsid w:val="0356048A"/>
    <w:rsid w:val="0370433C"/>
    <w:rsid w:val="038208D7"/>
    <w:rsid w:val="03936C6A"/>
    <w:rsid w:val="03AA4690"/>
    <w:rsid w:val="03B55A51"/>
    <w:rsid w:val="03DA2164"/>
    <w:rsid w:val="03FE2AE8"/>
    <w:rsid w:val="041A5F3C"/>
    <w:rsid w:val="042618CA"/>
    <w:rsid w:val="04350A21"/>
    <w:rsid w:val="04A716AB"/>
    <w:rsid w:val="051B326D"/>
    <w:rsid w:val="051B7DDB"/>
    <w:rsid w:val="05427FA4"/>
    <w:rsid w:val="054D20B5"/>
    <w:rsid w:val="054F05BF"/>
    <w:rsid w:val="05561486"/>
    <w:rsid w:val="05CB720D"/>
    <w:rsid w:val="05F44C50"/>
    <w:rsid w:val="06572FF5"/>
    <w:rsid w:val="0668414F"/>
    <w:rsid w:val="066B74E1"/>
    <w:rsid w:val="06897A95"/>
    <w:rsid w:val="06D10E9D"/>
    <w:rsid w:val="06D23427"/>
    <w:rsid w:val="06E71D14"/>
    <w:rsid w:val="07010FB6"/>
    <w:rsid w:val="076D4428"/>
    <w:rsid w:val="076D4537"/>
    <w:rsid w:val="076E4558"/>
    <w:rsid w:val="07CD6D88"/>
    <w:rsid w:val="07DC325C"/>
    <w:rsid w:val="081975CA"/>
    <w:rsid w:val="08246A68"/>
    <w:rsid w:val="08631DD0"/>
    <w:rsid w:val="08865766"/>
    <w:rsid w:val="08AA4A7F"/>
    <w:rsid w:val="08B04C07"/>
    <w:rsid w:val="08F1115E"/>
    <w:rsid w:val="08F311DF"/>
    <w:rsid w:val="093F316B"/>
    <w:rsid w:val="09410EFE"/>
    <w:rsid w:val="096248EE"/>
    <w:rsid w:val="09637B28"/>
    <w:rsid w:val="097A6141"/>
    <w:rsid w:val="0A0D35D0"/>
    <w:rsid w:val="0A264801"/>
    <w:rsid w:val="0A567667"/>
    <w:rsid w:val="0A917CCA"/>
    <w:rsid w:val="0AA64D0E"/>
    <w:rsid w:val="0AB4031E"/>
    <w:rsid w:val="0AB54A7C"/>
    <w:rsid w:val="0B1A2CDA"/>
    <w:rsid w:val="0B2B74E5"/>
    <w:rsid w:val="0B6D5845"/>
    <w:rsid w:val="0C1800C0"/>
    <w:rsid w:val="0C787805"/>
    <w:rsid w:val="0CA10A87"/>
    <w:rsid w:val="0D2E019B"/>
    <w:rsid w:val="0D400C8F"/>
    <w:rsid w:val="0D4D058F"/>
    <w:rsid w:val="0D6C0601"/>
    <w:rsid w:val="0DC0221D"/>
    <w:rsid w:val="0E5C043C"/>
    <w:rsid w:val="0E726840"/>
    <w:rsid w:val="0E8037C7"/>
    <w:rsid w:val="0E8B6BD5"/>
    <w:rsid w:val="0EC93987"/>
    <w:rsid w:val="0EF37F81"/>
    <w:rsid w:val="0F600B6B"/>
    <w:rsid w:val="0F666073"/>
    <w:rsid w:val="0F921478"/>
    <w:rsid w:val="0F9C7333"/>
    <w:rsid w:val="0FC02FE7"/>
    <w:rsid w:val="10144D91"/>
    <w:rsid w:val="101F5C97"/>
    <w:rsid w:val="103662DE"/>
    <w:rsid w:val="10454407"/>
    <w:rsid w:val="108A4111"/>
    <w:rsid w:val="109F7093"/>
    <w:rsid w:val="10A22492"/>
    <w:rsid w:val="10C57012"/>
    <w:rsid w:val="10F4296E"/>
    <w:rsid w:val="11C101AE"/>
    <w:rsid w:val="121B06BF"/>
    <w:rsid w:val="122F227B"/>
    <w:rsid w:val="12751798"/>
    <w:rsid w:val="12757B1F"/>
    <w:rsid w:val="12972672"/>
    <w:rsid w:val="12A606EE"/>
    <w:rsid w:val="12E2666A"/>
    <w:rsid w:val="1329162D"/>
    <w:rsid w:val="13AD35D6"/>
    <w:rsid w:val="13BA5245"/>
    <w:rsid w:val="14317ECA"/>
    <w:rsid w:val="14954B5F"/>
    <w:rsid w:val="14BC4CE8"/>
    <w:rsid w:val="14C43C16"/>
    <w:rsid w:val="1501512D"/>
    <w:rsid w:val="150A3F6D"/>
    <w:rsid w:val="15233E30"/>
    <w:rsid w:val="15504F07"/>
    <w:rsid w:val="15C362FF"/>
    <w:rsid w:val="16106092"/>
    <w:rsid w:val="165D23F6"/>
    <w:rsid w:val="166E03D8"/>
    <w:rsid w:val="167822E1"/>
    <w:rsid w:val="169F0215"/>
    <w:rsid w:val="16A168CF"/>
    <w:rsid w:val="16BE758F"/>
    <w:rsid w:val="173E367E"/>
    <w:rsid w:val="17485042"/>
    <w:rsid w:val="17685577"/>
    <w:rsid w:val="17A553DC"/>
    <w:rsid w:val="180B5ABD"/>
    <w:rsid w:val="185B7012"/>
    <w:rsid w:val="187460F6"/>
    <w:rsid w:val="189317E1"/>
    <w:rsid w:val="18B1550E"/>
    <w:rsid w:val="18DE2B5A"/>
    <w:rsid w:val="18E5370A"/>
    <w:rsid w:val="19041CCF"/>
    <w:rsid w:val="193844ED"/>
    <w:rsid w:val="193C4D03"/>
    <w:rsid w:val="197E67A4"/>
    <w:rsid w:val="19913304"/>
    <w:rsid w:val="199C30F1"/>
    <w:rsid w:val="19AB6D78"/>
    <w:rsid w:val="19B85050"/>
    <w:rsid w:val="19D00EDA"/>
    <w:rsid w:val="1A1B5DE5"/>
    <w:rsid w:val="1A3F0011"/>
    <w:rsid w:val="1A615A87"/>
    <w:rsid w:val="1A7E409D"/>
    <w:rsid w:val="1B1D56FD"/>
    <w:rsid w:val="1B2B739F"/>
    <w:rsid w:val="1B2C12B8"/>
    <w:rsid w:val="1B575EBA"/>
    <w:rsid w:val="1B5D026B"/>
    <w:rsid w:val="1BA2374C"/>
    <w:rsid w:val="1BA558EC"/>
    <w:rsid w:val="1C5B364D"/>
    <w:rsid w:val="1C5E390E"/>
    <w:rsid w:val="1C726F07"/>
    <w:rsid w:val="1C866474"/>
    <w:rsid w:val="1CA13205"/>
    <w:rsid w:val="1CAF1028"/>
    <w:rsid w:val="1CDE4349"/>
    <w:rsid w:val="1CF51D96"/>
    <w:rsid w:val="1D2F6C18"/>
    <w:rsid w:val="1D495F9C"/>
    <w:rsid w:val="1D5D1757"/>
    <w:rsid w:val="1DDB3661"/>
    <w:rsid w:val="1DF81D44"/>
    <w:rsid w:val="1DFA02EF"/>
    <w:rsid w:val="1E0D6052"/>
    <w:rsid w:val="1E430C24"/>
    <w:rsid w:val="1E442A4B"/>
    <w:rsid w:val="1E7859E8"/>
    <w:rsid w:val="1EBB10F3"/>
    <w:rsid w:val="1F0E3740"/>
    <w:rsid w:val="1F3C0E99"/>
    <w:rsid w:val="1F3F2C09"/>
    <w:rsid w:val="1F506D7F"/>
    <w:rsid w:val="1FF07354"/>
    <w:rsid w:val="202A707C"/>
    <w:rsid w:val="2044337B"/>
    <w:rsid w:val="20516009"/>
    <w:rsid w:val="205C5588"/>
    <w:rsid w:val="208B0495"/>
    <w:rsid w:val="209B3FAD"/>
    <w:rsid w:val="20B31600"/>
    <w:rsid w:val="212575B9"/>
    <w:rsid w:val="213048F9"/>
    <w:rsid w:val="215A77CA"/>
    <w:rsid w:val="21637907"/>
    <w:rsid w:val="21D22B6A"/>
    <w:rsid w:val="21F55201"/>
    <w:rsid w:val="21FB130B"/>
    <w:rsid w:val="22084646"/>
    <w:rsid w:val="221C23D6"/>
    <w:rsid w:val="22280099"/>
    <w:rsid w:val="226360FF"/>
    <w:rsid w:val="2298697E"/>
    <w:rsid w:val="22A35D84"/>
    <w:rsid w:val="22A805E7"/>
    <w:rsid w:val="22DB4350"/>
    <w:rsid w:val="22E67A30"/>
    <w:rsid w:val="22EC5858"/>
    <w:rsid w:val="23202507"/>
    <w:rsid w:val="23547806"/>
    <w:rsid w:val="23FC281D"/>
    <w:rsid w:val="240707DB"/>
    <w:rsid w:val="24187A20"/>
    <w:rsid w:val="24565CD4"/>
    <w:rsid w:val="24927B9E"/>
    <w:rsid w:val="25C50294"/>
    <w:rsid w:val="261B3491"/>
    <w:rsid w:val="26255A00"/>
    <w:rsid w:val="26694B4E"/>
    <w:rsid w:val="2686714A"/>
    <w:rsid w:val="26FD3823"/>
    <w:rsid w:val="27127438"/>
    <w:rsid w:val="2759352C"/>
    <w:rsid w:val="27BD19A9"/>
    <w:rsid w:val="27BF6E99"/>
    <w:rsid w:val="27F02A1E"/>
    <w:rsid w:val="27FA7B61"/>
    <w:rsid w:val="28044495"/>
    <w:rsid w:val="281B425C"/>
    <w:rsid w:val="282501F9"/>
    <w:rsid w:val="2852754B"/>
    <w:rsid w:val="288C4607"/>
    <w:rsid w:val="28AF6024"/>
    <w:rsid w:val="29146748"/>
    <w:rsid w:val="294C7E51"/>
    <w:rsid w:val="296A2121"/>
    <w:rsid w:val="299D2F53"/>
    <w:rsid w:val="29AA142C"/>
    <w:rsid w:val="29CA5CB0"/>
    <w:rsid w:val="29D0180F"/>
    <w:rsid w:val="29E25879"/>
    <w:rsid w:val="29E92364"/>
    <w:rsid w:val="2A0506DE"/>
    <w:rsid w:val="2A8D40F5"/>
    <w:rsid w:val="2AA76FCB"/>
    <w:rsid w:val="2B093F1A"/>
    <w:rsid w:val="2B692C0B"/>
    <w:rsid w:val="2B6C5FBE"/>
    <w:rsid w:val="2BAD2EF4"/>
    <w:rsid w:val="2BC25828"/>
    <w:rsid w:val="2BE1588C"/>
    <w:rsid w:val="2BF02D04"/>
    <w:rsid w:val="2C123422"/>
    <w:rsid w:val="2C1314EF"/>
    <w:rsid w:val="2C1D1D0E"/>
    <w:rsid w:val="2C1F0511"/>
    <w:rsid w:val="2C6A44EB"/>
    <w:rsid w:val="2C840918"/>
    <w:rsid w:val="2CB73D61"/>
    <w:rsid w:val="2CFC49E7"/>
    <w:rsid w:val="2CFF282A"/>
    <w:rsid w:val="2D264F4D"/>
    <w:rsid w:val="2D3727C4"/>
    <w:rsid w:val="2D6D1AE0"/>
    <w:rsid w:val="2D726F1C"/>
    <w:rsid w:val="2D800AB9"/>
    <w:rsid w:val="2DB13D61"/>
    <w:rsid w:val="2E401624"/>
    <w:rsid w:val="2E7711B3"/>
    <w:rsid w:val="2E7D64D4"/>
    <w:rsid w:val="2E8B0B05"/>
    <w:rsid w:val="2EB021B5"/>
    <w:rsid w:val="2EE83B1E"/>
    <w:rsid w:val="2F22447C"/>
    <w:rsid w:val="2F5C5B42"/>
    <w:rsid w:val="2F6B1CBB"/>
    <w:rsid w:val="2F6F008E"/>
    <w:rsid w:val="2F9373F1"/>
    <w:rsid w:val="2F9F7323"/>
    <w:rsid w:val="2FE3547C"/>
    <w:rsid w:val="2FF92489"/>
    <w:rsid w:val="302E3B8A"/>
    <w:rsid w:val="30B71F0F"/>
    <w:rsid w:val="30D67DFF"/>
    <w:rsid w:val="30E9289F"/>
    <w:rsid w:val="31455663"/>
    <w:rsid w:val="31B872CE"/>
    <w:rsid w:val="31BF043B"/>
    <w:rsid w:val="31CE47E3"/>
    <w:rsid w:val="323F3ED1"/>
    <w:rsid w:val="32913145"/>
    <w:rsid w:val="32D51D6B"/>
    <w:rsid w:val="32FA4F5E"/>
    <w:rsid w:val="330306F8"/>
    <w:rsid w:val="334E7CA6"/>
    <w:rsid w:val="33850327"/>
    <w:rsid w:val="33953BA3"/>
    <w:rsid w:val="33B17FE2"/>
    <w:rsid w:val="33DC3160"/>
    <w:rsid w:val="33E46C40"/>
    <w:rsid w:val="34010D5F"/>
    <w:rsid w:val="34057765"/>
    <w:rsid w:val="343B7E11"/>
    <w:rsid w:val="345507E9"/>
    <w:rsid w:val="345B6933"/>
    <w:rsid w:val="34797769"/>
    <w:rsid w:val="34860FB8"/>
    <w:rsid w:val="34C9402B"/>
    <w:rsid w:val="34F60CF0"/>
    <w:rsid w:val="353E5675"/>
    <w:rsid w:val="35497AE9"/>
    <w:rsid w:val="355826AF"/>
    <w:rsid w:val="35622F24"/>
    <w:rsid w:val="35707CD9"/>
    <w:rsid w:val="35895DF6"/>
    <w:rsid w:val="35B008C8"/>
    <w:rsid w:val="35D35460"/>
    <w:rsid w:val="35DA7C85"/>
    <w:rsid w:val="366767B0"/>
    <w:rsid w:val="367149F7"/>
    <w:rsid w:val="367D4BE2"/>
    <w:rsid w:val="3691586D"/>
    <w:rsid w:val="36A97254"/>
    <w:rsid w:val="36F61F70"/>
    <w:rsid w:val="370D5E26"/>
    <w:rsid w:val="371A47F4"/>
    <w:rsid w:val="37536FD4"/>
    <w:rsid w:val="377175D3"/>
    <w:rsid w:val="377A7A9B"/>
    <w:rsid w:val="379C4663"/>
    <w:rsid w:val="37BA3526"/>
    <w:rsid w:val="383E603C"/>
    <w:rsid w:val="38566126"/>
    <w:rsid w:val="385A63C5"/>
    <w:rsid w:val="38931953"/>
    <w:rsid w:val="39420851"/>
    <w:rsid w:val="399E6510"/>
    <w:rsid w:val="39C66799"/>
    <w:rsid w:val="39F772D0"/>
    <w:rsid w:val="3A0C6FBA"/>
    <w:rsid w:val="3A1B4EA4"/>
    <w:rsid w:val="3A38007E"/>
    <w:rsid w:val="3A6634F9"/>
    <w:rsid w:val="3A8862A3"/>
    <w:rsid w:val="3A89307A"/>
    <w:rsid w:val="3A8B5C58"/>
    <w:rsid w:val="3A973285"/>
    <w:rsid w:val="3A9C07BC"/>
    <w:rsid w:val="3B2A7106"/>
    <w:rsid w:val="3B496FD3"/>
    <w:rsid w:val="3B6623AF"/>
    <w:rsid w:val="3B7414CA"/>
    <w:rsid w:val="3C130AD2"/>
    <w:rsid w:val="3C3A107B"/>
    <w:rsid w:val="3C3F395D"/>
    <w:rsid w:val="3C5A79BA"/>
    <w:rsid w:val="3C6761EE"/>
    <w:rsid w:val="3C697F3C"/>
    <w:rsid w:val="3C6F22AA"/>
    <w:rsid w:val="3C7568F2"/>
    <w:rsid w:val="3CC7707C"/>
    <w:rsid w:val="3CE820FC"/>
    <w:rsid w:val="3CE84F36"/>
    <w:rsid w:val="3D1C694B"/>
    <w:rsid w:val="3D2F4300"/>
    <w:rsid w:val="3D661EC5"/>
    <w:rsid w:val="3DA475BE"/>
    <w:rsid w:val="3DD0106E"/>
    <w:rsid w:val="3DD067C4"/>
    <w:rsid w:val="3DEA5746"/>
    <w:rsid w:val="3E383A88"/>
    <w:rsid w:val="3E7B4411"/>
    <w:rsid w:val="3EB709F3"/>
    <w:rsid w:val="3ED9559B"/>
    <w:rsid w:val="3EE20AB6"/>
    <w:rsid w:val="3F14246D"/>
    <w:rsid w:val="3F211E15"/>
    <w:rsid w:val="3F410957"/>
    <w:rsid w:val="3F47792E"/>
    <w:rsid w:val="3F4A2F5F"/>
    <w:rsid w:val="3F6135CD"/>
    <w:rsid w:val="3F683062"/>
    <w:rsid w:val="3F736BA7"/>
    <w:rsid w:val="3FAF1F06"/>
    <w:rsid w:val="3FC341E7"/>
    <w:rsid w:val="3FC72516"/>
    <w:rsid w:val="40011004"/>
    <w:rsid w:val="40202CFB"/>
    <w:rsid w:val="40730265"/>
    <w:rsid w:val="40BE58C5"/>
    <w:rsid w:val="40CB6066"/>
    <w:rsid w:val="41361BC7"/>
    <w:rsid w:val="41872067"/>
    <w:rsid w:val="41935C39"/>
    <w:rsid w:val="41AD01E6"/>
    <w:rsid w:val="41AD4CCA"/>
    <w:rsid w:val="41E34160"/>
    <w:rsid w:val="420B2119"/>
    <w:rsid w:val="422D6D8F"/>
    <w:rsid w:val="424C6FC2"/>
    <w:rsid w:val="4332321F"/>
    <w:rsid w:val="43474FCA"/>
    <w:rsid w:val="43C17D11"/>
    <w:rsid w:val="43D257AC"/>
    <w:rsid w:val="43EB4BF9"/>
    <w:rsid w:val="44162144"/>
    <w:rsid w:val="4465510B"/>
    <w:rsid w:val="44745A37"/>
    <w:rsid w:val="4498341F"/>
    <w:rsid w:val="44995CC0"/>
    <w:rsid w:val="44B52F47"/>
    <w:rsid w:val="44D5127D"/>
    <w:rsid w:val="44D6635C"/>
    <w:rsid w:val="44F214AA"/>
    <w:rsid w:val="44F71031"/>
    <w:rsid w:val="452025F6"/>
    <w:rsid w:val="455B3DFD"/>
    <w:rsid w:val="46122434"/>
    <w:rsid w:val="46164EAD"/>
    <w:rsid w:val="46626BD5"/>
    <w:rsid w:val="46B61793"/>
    <w:rsid w:val="46BC5DAC"/>
    <w:rsid w:val="470955DD"/>
    <w:rsid w:val="477335F6"/>
    <w:rsid w:val="477D6A9F"/>
    <w:rsid w:val="47914574"/>
    <w:rsid w:val="47A1784F"/>
    <w:rsid w:val="47DE1E5E"/>
    <w:rsid w:val="483A48CC"/>
    <w:rsid w:val="485B4C31"/>
    <w:rsid w:val="48686258"/>
    <w:rsid w:val="48730C7B"/>
    <w:rsid w:val="48FF011D"/>
    <w:rsid w:val="497F41A4"/>
    <w:rsid w:val="497F63A3"/>
    <w:rsid w:val="49974A29"/>
    <w:rsid w:val="49F07633"/>
    <w:rsid w:val="4A085002"/>
    <w:rsid w:val="4A6C4E5B"/>
    <w:rsid w:val="4A7C5779"/>
    <w:rsid w:val="4A8B447B"/>
    <w:rsid w:val="4B4C0F84"/>
    <w:rsid w:val="4B565287"/>
    <w:rsid w:val="4BC75D67"/>
    <w:rsid w:val="4BD231A3"/>
    <w:rsid w:val="4C2E6909"/>
    <w:rsid w:val="4C3401CD"/>
    <w:rsid w:val="4C536F43"/>
    <w:rsid w:val="4C8F692D"/>
    <w:rsid w:val="4CDC4B4B"/>
    <w:rsid w:val="4CF27919"/>
    <w:rsid w:val="4CFA6541"/>
    <w:rsid w:val="4D7310CD"/>
    <w:rsid w:val="4E487E1A"/>
    <w:rsid w:val="4E9445BC"/>
    <w:rsid w:val="4EBB0E98"/>
    <w:rsid w:val="4EE37B1A"/>
    <w:rsid w:val="4F6A02FA"/>
    <w:rsid w:val="4F7A5189"/>
    <w:rsid w:val="4FFB2C0C"/>
    <w:rsid w:val="50074B08"/>
    <w:rsid w:val="502842CC"/>
    <w:rsid w:val="504A107C"/>
    <w:rsid w:val="508D471F"/>
    <w:rsid w:val="50A823BC"/>
    <w:rsid w:val="50E664BC"/>
    <w:rsid w:val="51051DC2"/>
    <w:rsid w:val="5105657C"/>
    <w:rsid w:val="511708C4"/>
    <w:rsid w:val="51D05D32"/>
    <w:rsid w:val="5250749B"/>
    <w:rsid w:val="52DE1F04"/>
    <w:rsid w:val="52E23187"/>
    <w:rsid w:val="5310744E"/>
    <w:rsid w:val="533E573A"/>
    <w:rsid w:val="537237E4"/>
    <w:rsid w:val="537E6B3A"/>
    <w:rsid w:val="53891BA8"/>
    <w:rsid w:val="53902026"/>
    <w:rsid w:val="53A000C2"/>
    <w:rsid w:val="53B17CBC"/>
    <w:rsid w:val="53C24F80"/>
    <w:rsid w:val="53C72D6C"/>
    <w:rsid w:val="541B3325"/>
    <w:rsid w:val="54440C69"/>
    <w:rsid w:val="54454F70"/>
    <w:rsid w:val="54860746"/>
    <w:rsid w:val="549822B1"/>
    <w:rsid w:val="54D00B4F"/>
    <w:rsid w:val="55330DF9"/>
    <w:rsid w:val="55645B67"/>
    <w:rsid w:val="5566689F"/>
    <w:rsid w:val="558069B2"/>
    <w:rsid w:val="55F92808"/>
    <w:rsid w:val="56313518"/>
    <w:rsid w:val="566E15C5"/>
    <w:rsid w:val="56996895"/>
    <w:rsid w:val="56A146CC"/>
    <w:rsid w:val="56CB6D12"/>
    <w:rsid w:val="57BA678C"/>
    <w:rsid w:val="57C72365"/>
    <w:rsid w:val="57C778F0"/>
    <w:rsid w:val="58092409"/>
    <w:rsid w:val="581E36D3"/>
    <w:rsid w:val="583E67E2"/>
    <w:rsid w:val="5865446D"/>
    <w:rsid w:val="586E0340"/>
    <w:rsid w:val="58826305"/>
    <w:rsid w:val="58A565DF"/>
    <w:rsid w:val="58EE6A99"/>
    <w:rsid w:val="593410A0"/>
    <w:rsid w:val="596533D2"/>
    <w:rsid w:val="597B61A8"/>
    <w:rsid w:val="59A531EA"/>
    <w:rsid w:val="59CF05B4"/>
    <w:rsid w:val="5A967C4C"/>
    <w:rsid w:val="5AA46015"/>
    <w:rsid w:val="5AB36A23"/>
    <w:rsid w:val="5AC20744"/>
    <w:rsid w:val="5ADD3795"/>
    <w:rsid w:val="5AE5628C"/>
    <w:rsid w:val="5B025F4F"/>
    <w:rsid w:val="5B41414C"/>
    <w:rsid w:val="5B510DAB"/>
    <w:rsid w:val="5B5A794B"/>
    <w:rsid w:val="5B5F2E9F"/>
    <w:rsid w:val="5B6910D6"/>
    <w:rsid w:val="5B702C84"/>
    <w:rsid w:val="5BE5362C"/>
    <w:rsid w:val="5BF00067"/>
    <w:rsid w:val="5C0D4F4F"/>
    <w:rsid w:val="5C647B1E"/>
    <w:rsid w:val="5C653D22"/>
    <w:rsid w:val="5C6B2C70"/>
    <w:rsid w:val="5C720E3A"/>
    <w:rsid w:val="5C7E4605"/>
    <w:rsid w:val="5CB404A0"/>
    <w:rsid w:val="5D1C3851"/>
    <w:rsid w:val="5DAB784C"/>
    <w:rsid w:val="5DBD11EF"/>
    <w:rsid w:val="5DE56116"/>
    <w:rsid w:val="5E077542"/>
    <w:rsid w:val="5E43714D"/>
    <w:rsid w:val="5EA871EC"/>
    <w:rsid w:val="5EB57A47"/>
    <w:rsid w:val="5EE74BD9"/>
    <w:rsid w:val="5F2A78FB"/>
    <w:rsid w:val="5F2B4060"/>
    <w:rsid w:val="5F3333BA"/>
    <w:rsid w:val="5F37677D"/>
    <w:rsid w:val="5F3A7F59"/>
    <w:rsid w:val="5FF257E7"/>
    <w:rsid w:val="60343A63"/>
    <w:rsid w:val="606D163F"/>
    <w:rsid w:val="60922B5E"/>
    <w:rsid w:val="60974A42"/>
    <w:rsid w:val="60D966AC"/>
    <w:rsid w:val="61510099"/>
    <w:rsid w:val="616F4D4E"/>
    <w:rsid w:val="617556F4"/>
    <w:rsid w:val="61833D0B"/>
    <w:rsid w:val="61AB2A03"/>
    <w:rsid w:val="61B518FC"/>
    <w:rsid w:val="61D10E4E"/>
    <w:rsid w:val="624A30B4"/>
    <w:rsid w:val="629B0039"/>
    <w:rsid w:val="62B91756"/>
    <w:rsid w:val="62BE180C"/>
    <w:rsid w:val="62CE61AB"/>
    <w:rsid w:val="62EE22F7"/>
    <w:rsid w:val="63046673"/>
    <w:rsid w:val="63264BAC"/>
    <w:rsid w:val="63411149"/>
    <w:rsid w:val="63480DB7"/>
    <w:rsid w:val="63EC5DF4"/>
    <w:rsid w:val="63F501EC"/>
    <w:rsid w:val="64273315"/>
    <w:rsid w:val="643C499F"/>
    <w:rsid w:val="646D37C0"/>
    <w:rsid w:val="649814B4"/>
    <w:rsid w:val="64A54522"/>
    <w:rsid w:val="64B129B4"/>
    <w:rsid w:val="64CA1B02"/>
    <w:rsid w:val="65473197"/>
    <w:rsid w:val="654E454D"/>
    <w:rsid w:val="655666AE"/>
    <w:rsid w:val="656F71A9"/>
    <w:rsid w:val="659D6E1E"/>
    <w:rsid w:val="65AA51C7"/>
    <w:rsid w:val="65B6447F"/>
    <w:rsid w:val="65EE796E"/>
    <w:rsid w:val="660211AE"/>
    <w:rsid w:val="66174109"/>
    <w:rsid w:val="66656706"/>
    <w:rsid w:val="66754A36"/>
    <w:rsid w:val="66834D8A"/>
    <w:rsid w:val="66FE5EE4"/>
    <w:rsid w:val="670A3A9C"/>
    <w:rsid w:val="677B2AD6"/>
    <w:rsid w:val="677B2E58"/>
    <w:rsid w:val="679B1D06"/>
    <w:rsid w:val="67E52FFA"/>
    <w:rsid w:val="681C3FB0"/>
    <w:rsid w:val="68443209"/>
    <w:rsid w:val="684B3EE6"/>
    <w:rsid w:val="688D37B2"/>
    <w:rsid w:val="68901546"/>
    <w:rsid w:val="68942431"/>
    <w:rsid w:val="68D6398B"/>
    <w:rsid w:val="69266C47"/>
    <w:rsid w:val="693B119D"/>
    <w:rsid w:val="69686DFF"/>
    <w:rsid w:val="69A81168"/>
    <w:rsid w:val="69E508D6"/>
    <w:rsid w:val="6A6D0834"/>
    <w:rsid w:val="6B0D48E6"/>
    <w:rsid w:val="6B26161B"/>
    <w:rsid w:val="6B366440"/>
    <w:rsid w:val="6BBC1B4D"/>
    <w:rsid w:val="6BC45718"/>
    <w:rsid w:val="6C071696"/>
    <w:rsid w:val="6C5D3BAE"/>
    <w:rsid w:val="6C833F4D"/>
    <w:rsid w:val="6CCA42E6"/>
    <w:rsid w:val="6D0C45CC"/>
    <w:rsid w:val="6D307CE1"/>
    <w:rsid w:val="6D430C9B"/>
    <w:rsid w:val="6D760823"/>
    <w:rsid w:val="6D9272C7"/>
    <w:rsid w:val="6DA87317"/>
    <w:rsid w:val="6DB37D21"/>
    <w:rsid w:val="6DE43245"/>
    <w:rsid w:val="6DF0222D"/>
    <w:rsid w:val="6EE50B6D"/>
    <w:rsid w:val="6EF5741E"/>
    <w:rsid w:val="6F5357D0"/>
    <w:rsid w:val="6F6D3DBD"/>
    <w:rsid w:val="6F8A6DB6"/>
    <w:rsid w:val="6FE46AAB"/>
    <w:rsid w:val="6FEF42C9"/>
    <w:rsid w:val="6FF5793D"/>
    <w:rsid w:val="7047770F"/>
    <w:rsid w:val="704842A4"/>
    <w:rsid w:val="70B22C4B"/>
    <w:rsid w:val="71032B11"/>
    <w:rsid w:val="710377C6"/>
    <w:rsid w:val="71530FFB"/>
    <w:rsid w:val="71AD316B"/>
    <w:rsid w:val="71BD5507"/>
    <w:rsid w:val="71F0185B"/>
    <w:rsid w:val="72270B56"/>
    <w:rsid w:val="722F4EF2"/>
    <w:rsid w:val="72476860"/>
    <w:rsid w:val="72FE52CA"/>
    <w:rsid w:val="73085C46"/>
    <w:rsid w:val="73114E18"/>
    <w:rsid w:val="731D7D2C"/>
    <w:rsid w:val="73635C75"/>
    <w:rsid w:val="736946CC"/>
    <w:rsid w:val="73934614"/>
    <w:rsid w:val="73DB0932"/>
    <w:rsid w:val="73E055A6"/>
    <w:rsid w:val="73F17390"/>
    <w:rsid w:val="741C7CB9"/>
    <w:rsid w:val="74331742"/>
    <w:rsid w:val="74597479"/>
    <w:rsid w:val="74973D20"/>
    <w:rsid w:val="74A710A2"/>
    <w:rsid w:val="74D82B3C"/>
    <w:rsid w:val="756C0087"/>
    <w:rsid w:val="75CC1AD0"/>
    <w:rsid w:val="75DF53EF"/>
    <w:rsid w:val="760B61B5"/>
    <w:rsid w:val="76124944"/>
    <w:rsid w:val="762D18D6"/>
    <w:rsid w:val="764705B6"/>
    <w:rsid w:val="7647739D"/>
    <w:rsid w:val="76524558"/>
    <w:rsid w:val="76567242"/>
    <w:rsid w:val="76681073"/>
    <w:rsid w:val="76A10D30"/>
    <w:rsid w:val="76DD66EF"/>
    <w:rsid w:val="7704415A"/>
    <w:rsid w:val="774A0C90"/>
    <w:rsid w:val="779B715A"/>
    <w:rsid w:val="77B0146F"/>
    <w:rsid w:val="77C76CBB"/>
    <w:rsid w:val="77E674BB"/>
    <w:rsid w:val="785C0630"/>
    <w:rsid w:val="78680994"/>
    <w:rsid w:val="78D87A53"/>
    <w:rsid w:val="79104666"/>
    <w:rsid w:val="79685B70"/>
    <w:rsid w:val="79880976"/>
    <w:rsid w:val="79905336"/>
    <w:rsid w:val="799D5E7E"/>
    <w:rsid w:val="79BA74BC"/>
    <w:rsid w:val="79F0361A"/>
    <w:rsid w:val="79F16D8C"/>
    <w:rsid w:val="7A1A7293"/>
    <w:rsid w:val="7A7A4F8E"/>
    <w:rsid w:val="7AFD5258"/>
    <w:rsid w:val="7B1139A2"/>
    <w:rsid w:val="7B145DD0"/>
    <w:rsid w:val="7B217E94"/>
    <w:rsid w:val="7B8D56ED"/>
    <w:rsid w:val="7B8F7843"/>
    <w:rsid w:val="7BB03C6F"/>
    <w:rsid w:val="7C1F2A57"/>
    <w:rsid w:val="7C291903"/>
    <w:rsid w:val="7C4113C6"/>
    <w:rsid w:val="7C9E7A01"/>
    <w:rsid w:val="7CC3260B"/>
    <w:rsid w:val="7CFB3369"/>
    <w:rsid w:val="7D097F09"/>
    <w:rsid w:val="7D234FA3"/>
    <w:rsid w:val="7D83583B"/>
    <w:rsid w:val="7E2A1285"/>
    <w:rsid w:val="7E615FD7"/>
    <w:rsid w:val="7EE87E5D"/>
    <w:rsid w:val="7F111B70"/>
    <w:rsid w:val="7F451518"/>
    <w:rsid w:val="7F492E62"/>
    <w:rsid w:val="7F8F324A"/>
    <w:rsid w:val="7FDE44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qFormat="1" w:unhideWhenUsed="0" w:uiPriority="99" w:semiHidden="0" w:name="toc 6"/>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56"/>
    <w:qFormat/>
    <w:uiPriority w:val="99"/>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link w:val="57"/>
    <w:qFormat/>
    <w:uiPriority w:val="99"/>
    <w:pPr>
      <w:keepNext/>
      <w:keepLines/>
      <w:spacing w:before="260" w:after="260" w:line="416" w:lineRule="auto"/>
      <w:outlineLvl w:val="2"/>
    </w:pPr>
    <w:rPr>
      <w:b/>
      <w:bCs/>
      <w:kern w:val="0"/>
      <w:sz w:val="32"/>
      <w:szCs w:val="32"/>
    </w:rPr>
  </w:style>
  <w:style w:type="paragraph" w:styleId="8">
    <w:name w:val="heading 4"/>
    <w:basedOn w:val="1"/>
    <w:next w:val="1"/>
    <w:link w:val="58"/>
    <w:qFormat/>
    <w:uiPriority w:val="99"/>
    <w:pPr>
      <w:keepNext/>
      <w:keepLines/>
      <w:spacing w:before="280" w:after="290" w:line="376" w:lineRule="auto"/>
      <w:outlineLvl w:val="3"/>
    </w:pPr>
    <w:rPr>
      <w:rFonts w:ascii="Arial" w:hAnsi="Arial" w:eastAsia="黑体"/>
      <w:b/>
      <w:bCs/>
      <w:sz w:val="28"/>
      <w:szCs w:val="28"/>
    </w:rPr>
  </w:style>
  <w:style w:type="paragraph" w:styleId="9">
    <w:name w:val="heading 5"/>
    <w:basedOn w:val="1"/>
    <w:next w:val="10"/>
    <w:link w:val="59"/>
    <w:qFormat/>
    <w:uiPriority w:val="99"/>
    <w:pPr>
      <w:keepNext/>
      <w:keepLines/>
      <w:numPr>
        <w:ilvl w:val="4"/>
        <w:numId w:val="1"/>
      </w:numPr>
      <w:spacing w:before="280" w:after="290" w:line="376" w:lineRule="auto"/>
      <w:outlineLvl w:val="4"/>
    </w:pPr>
    <w:rPr>
      <w:b/>
      <w:sz w:val="28"/>
    </w:rPr>
  </w:style>
  <w:style w:type="paragraph" w:styleId="11">
    <w:name w:val="heading 6"/>
    <w:basedOn w:val="1"/>
    <w:next w:val="10"/>
    <w:link w:val="60"/>
    <w:qFormat/>
    <w:uiPriority w:val="99"/>
    <w:pPr>
      <w:keepNext/>
      <w:keepLines/>
      <w:numPr>
        <w:ilvl w:val="5"/>
        <w:numId w:val="1"/>
      </w:numPr>
      <w:spacing w:before="240" w:after="64" w:line="320" w:lineRule="auto"/>
      <w:outlineLvl w:val="5"/>
    </w:pPr>
    <w:rPr>
      <w:rFonts w:ascii="Arial" w:hAnsi="Arial" w:eastAsia="黑体"/>
      <w:b/>
      <w:sz w:val="24"/>
    </w:rPr>
  </w:style>
  <w:style w:type="paragraph" w:styleId="12">
    <w:name w:val="heading 7"/>
    <w:basedOn w:val="1"/>
    <w:next w:val="10"/>
    <w:link w:val="61"/>
    <w:qFormat/>
    <w:uiPriority w:val="99"/>
    <w:pPr>
      <w:keepNext/>
      <w:keepLines/>
      <w:numPr>
        <w:ilvl w:val="6"/>
        <w:numId w:val="1"/>
      </w:numPr>
      <w:spacing w:before="240" w:after="64" w:line="320" w:lineRule="auto"/>
      <w:outlineLvl w:val="6"/>
    </w:pPr>
    <w:rPr>
      <w:b/>
      <w:sz w:val="24"/>
    </w:rPr>
  </w:style>
  <w:style w:type="paragraph" w:styleId="13">
    <w:name w:val="heading 8"/>
    <w:basedOn w:val="1"/>
    <w:next w:val="10"/>
    <w:link w:val="62"/>
    <w:qFormat/>
    <w:uiPriority w:val="99"/>
    <w:pPr>
      <w:keepNext/>
      <w:keepLines/>
      <w:numPr>
        <w:ilvl w:val="7"/>
        <w:numId w:val="1"/>
      </w:numPr>
      <w:spacing w:before="240" w:after="64" w:line="320" w:lineRule="auto"/>
      <w:outlineLvl w:val="7"/>
    </w:pPr>
    <w:rPr>
      <w:rFonts w:ascii="Arial" w:hAnsi="Arial" w:eastAsia="黑体"/>
      <w:sz w:val="24"/>
    </w:rPr>
  </w:style>
  <w:style w:type="paragraph" w:styleId="14">
    <w:name w:val="heading 9"/>
    <w:basedOn w:val="1"/>
    <w:next w:val="10"/>
    <w:link w:val="63"/>
    <w:qFormat/>
    <w:uiPriority w:val="99"/>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semiHidden/>
    <w:qFormat/>
    <w:uiPriority w:val="99"/>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4"/>
    <w:qFormat/>
    <w:uiPriority w:val="99"/>
    <w:pPr>
      <w:spacing w:line="380" w:lineRule="exact"/>
    </w:pPr>
    <w:rPr>
      <w:kern w:val="0"/>
      <w:sz w:val="24"/>
    </w:rPr>
  </w:style>
  <w:style w:type="paragraph" w:styleId="3">
    <w:name w:val="Body Text First Indent 2"/>
    <w:basedOn w:val="4"/>
    <w:link w:val="66"/>
    <w:qFormat/>
    <w:uiPriority w:val="99"/>
    <w:pPr>
      <w:spacing w:after="120"/>
      <w:ind w:left="420" w:leftChars="200" w:firstLine="420" w:firstLineChars="200"/>
    </w:pPr>
    <w:rPr>
      <w:rFonts w:ascii="Calibri" w:hAnsi="Calibri"/>
      <w:sz w:val="21"/>
      <w:szCs w:val="24"/>
    </w:rPr>
  </w:style>
  <w:style w:type="paragraph" w:styleId="4">
    <w:name w:val="Body Text Indent"/>
    <w:basedOn w:val="1"/>
    <w:link w:val="65"/>
    <w:qFormat/>
    <w:uiPriority w:val="99"/>
    <w:pPr>
      <w:ind w:firstLine="830" w:firstLineChars="352"/>
    </w:pPr>
    <w:rPr>
      <w:rFonts w:ascii="仿宋_GB2312" w:eastAsia="仿宋_GB2312"/>
      <w:kern w:val="0"/>
      <w:sz w:val="32"/>
      <w:szCs w:val="20"/>
    </w:rPr>
  </w:style>
  <w:style w:type="paragraph" w:styleId="10">
    <w:name w:val="Normal Indent"/>
    <w:basedOn w:val="1"/>
    <w:link w:val="126"/>
    <w:qFormat/>
    <w:uiPriority w:val="99"/>
    <w:pPr>
      <w:ind w:firstLine="420"/>
    </w:pPr>
    <w:rPr>
      <w:szCs w:val="20"/>
    </w:rPr>
  </w:style>
  <w:style w:type="paragraph" w:styleId="15">
    <w:name w:val="toc 7"/>
    <w:basedOn w:val="1"/>
    <w:next w:val="1"/>
    <w:semiHidden/>
    <w:qFormat/>
    <w:uiPriority w:val="99"/>
    <w:pPr>
      <w:ind w:left="2520" w:leftChars="1200"/>
    </w:pPr>
  </w:style>
  <w:style w:type="paragraph" w:styleId="16">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99"/>
    <w:pPr>
      <w:spacing w:before="152" w:after="160"/>
    </w:pPr>
    <w:rPr>
      <w:rFonts w:ascii="Arial" w:hAnsi="Arial" w:eastAsia="黑体" w:cs="Arial"/>
      <w:sz w:val="20"/>
      <w:szCs w:val="20"/>
    </w:rPr>
  </w:style>
  <w:style w:type="paragraph" w:styleId="18">
    <w:name w:val="Document Map"/>
    <w:basedOn w:val="1"/>
    <w:link w:val="67"/>
    <w:qFormat/>
    <w:uiPriority w:val="99"/>
    <w:rPr>
      <w:rFonts w:ascii="宋体"/>
      <w:sz w:val="18"/>
      <w:szCs w:val="18"/>
    </w:rPr>
  </w:style>
  <w:style w:type="paragraph" w:styleId="19">
    <w:name w:val="annotation text"/>
    <w:basedOn w:val="1"/>
    <w:link w:val="68"/>
    <w:qFormat/>
    <w:uiPriority w:val="99"/>
    <w:pPr>
      <w:jc w:val="left"/>
    </w:pPr>
  </w:style>
  <w:style w:type="paragraph" w:styleId="20">
    <w:name w:val="Body Text 3"/>
    <w:basedOn w:val="1"/>
    <w:link w:val="69"/>
    <w:qFormat/>
    <w:uiPriority w:val="99"/>
    <w:pPr>
      <w:spacing w:line="500" w:lineRule="exact"/>
    </w:pPr>
    <w:rPr>
      <w:b/>
      <w:bCs/>
      <w:kern w:val="0"/>
      <w:sz w:val="24"/>
    </w:rPr>
  </w:style>
  <w:style w:type="paragraph" w:styleId="21">
    <w:name w:val="List Number 3"/>
    <w:basedOn w:val="1"/>
    <w:qFormat/>
    <w:uiPriority w:val="99"/>
    <w:pPr>
      <w:numPr>
        <w:ilvl w:val="0"/>
        <w:numId w:val="2"/>
      </w:numPr>
    </w:pPr>
  </w:style>
  <w:style w:type="paragraph" w:styleId="22">
    <w:name w:val="List 2"/>
    <w:basedOn w:val="1"/>
    <w:qFormat/>
    <w:uiPriority w:val="99"/>
    <w:pPr>
      <w:ind w:left="100" w:leftChars="200" w:hanging="200" w:hangingChars="200"/>
    </w:pPr>
    <w:rPr>
      <w:sz w:val="28"/>
    </w:rPr>
  </w:style>
  <w:style w:type="paragraph" w:styleId="23">
    <w:name w:val="Plain Text"/>
    <w:basedOn w:val="1"/>
    <w:link w:val="70"/>
    <w:qFormat/>
    <w:uiPriority w:val="99"/>
    <w:rPr>
      <w:rFonts w:ascii="宋体" w:hAnsi="Courier New"/>
      <w:kern w:val="0"/>
      <w:sz w:val="20"/>
      <w:szCs w:val="21"/>
    </w:rPr>
  </w:style>
  <w:style w:type="paragraph" w:styleId="24">
    <w:name w:val="Date"/>
    <w:basedOn w:val="1"/>
    <w:next w:val="1"/>
    <w:link w:val="71"/>
    <w:qFormat/>
    <w:uiPriority w:val="99"/>
    <w:pPr>
      <w:ind w:left="100" w:leftChars="2500"/>
    </w:pPr>
    <w:rPr>
      <w:rFonts w:ascii="宋体" w:hAnsi="Courier New"/>
      <w:kern w:val="0"/>
      <w:sz w:val="20"/>
      <w:szCs w:val="21"/>
    </w:rPr>
  </w:style>
  <w:style w:type="paragraph" w:styleId="25">
    <w:name w:val="Body Text Indent 2"/>
    <w:basedOn w:val="1"/>
    <w:link w:val="72"/>
    <w:qFormat/>
    <w:uiPriority w:val="99"/>
    <w:pPr>
      <w:ind w:firstLine="630"/>
    </w:pPr>
    <w:rPr>
      <w:kern w:val="0"/>
      <w:sz w:val="32"/>
      <w:szCs w:val="20"/>
    </w:rPr>
  </w:style>
  <w:style w:type="paragraph" w:styleId="26">
    <w:name w:val="Balloon Text"/>
    <w:basedOn w:val="1"/>
    <w:link w:val="73"/>
    <w:semiHidden/>
    <w:qFormat/>
    <w:uiPriority w:val="99"/>
    <w:rPr>
      <w:kern w:val="0"/>
      <w:sz w:val="18"/>
      <w:szCs w:val="18"/>
    </w:rPr>
  </w:style>
  <w:style w:type="paragraph" w:styleId="27">
    <w:name w:val="footer"/>
    <w:basedOn w:val="1"/>
    <w:link w:val="74"/>
    <w:qFormat/>
    <w:uiPriority w:val="99"/>
    <w:pPr>
      <w:tabs>
        <w:tab w:val="center" w:pos="4153"/>
        <w:tab w:val="right" w:pos="8306"/>
      </w:tabs>
      <w:snapToGrid w:val="0"/>
      <w:jc w:val="left"/>
    </w:pPr>
    <w:rPr>
      <w:kern w:val="0"/>
      <w:sz w:val="18"/>
      <w:szCs w:val="18"/>
    </w:rPr>
  </w:style>
  <w:style w:type="paragraph" w:styleId="28">
    <w:name w:val="header"/>
    <w:basedOn w:val="1"/>
    <w:link w:val="75"/>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semiHidden/>
    <w:qFormat/>
    <w:uiPriority w:val="99"/>
    <w:pPr>
      <w:tabs>
        <w:tab w:val="right" w:leader="dot" w:pos="9360"/>
      </w:tabs>
      <w:spacing w:before="120" w:after="120"/>
      <w:ind w:firstLine="190" w:firstLineChars="79"/>
      <w:jc w:val="left"/>
    </w:pPr>
    <w:rPr>
      <w:rFonts w:ascii="宋体" w:hAnsi="宋体"/>
      <w:bCs/>
      <w:caps/>
      <w:sz w:val="24"/>
    </w:rPr>
  </w:style>
  <w:style w:type="paragraph" w:styleId="30">
    <w:name w:val="List"/>
    <w:basedOn w:val="1"/>
    <w:qFormat/>
    <w:uiPriority w:val="99"/>
    <w:pPr>
      <w:ind w:left="200" w:hanging="200" w:hangingChars="200"/>
    </w:pPr>
    <w:rPr>
      <w:sz w:val="28"/>
    </w:rPr>
  </w:style>
  <w:style w:type="paragraph" w:styleId="31">
    <w:name w:val="toc 6"/>
    <w:basedOn w:val="1"/>
    <w:next w:val="1"/>
    <w:qFormat/>
    <w:uiPriority w:val="99"/>
    <w:pPr>
      <w:ind w:left="2100" w:leftChars="1000"/>
    </w:pPr>
  </w:style>
  <w:style w:type="paragraph" w:styleId="32">
    <w:name w:val="Body Text Indent 3"/>
    <w:basedOn w:val="1"/>
    <w:link w:val="76"/>
    <w:qFormat/>
    <w:uiPriority w:val="99"/>
    <w:pPr>
      <w:spacing w:after="120"/>
      <w:ind w:left="420" w:leftChars="200"/>
    </w:pPr>
    <w:rPr>
      <w:kern w:val="0"/>
      <w:sz w:val="16"/>
      <w:szCs w:val="16"/>
    </w:rPr>
  </w:style>
  <w:style w:type="paragraph" w:styleId="33">
    <w:name w:val="toc 2"/>
    <w:basedOn w:val="1"/>
    <w:next w:val="1"/>
    <w:semiHidden/>
    <w:qFormat/>
    <w:uiPriority w:val="99"/>
    <w:pPr>
      <w:ind w:left="420" w:leftChars="200"/>
    </w:pPr>
  </w:style>
  <w:style w:type="paragraph" w:styleId="34">
    <w:name w:val="Body Text 2"/>
    <w:basedOn w:val="1"/>
    <w:link w:val="77"/>
    <w:qFormat/>
    <w:uiPriority w:val="99"/>
    <w:pPr>
      <w:spacing w:after="120" w:line="480" w:lineRule="auto"/>
    </w:pPr>
    <w:rPr>
      <w:kern w:val="0"/>
      <w:sz w:val="20"/>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index 1"/>
    <w:basedOn w:val="1"/>
    <w:next w:val="1"/>
    <w:semiHidden/>
    <w:qFormat/>
    <w:uiPriority w:val="99"/>
    <w:pPr>
      <w:spacing w:line="400" w:lineRule="exact"/>
      <w:ind w:firstLine="420" w:firstLineChars="200"/>
    </w:pPr>
    <w:rPr>
      <w:rFonts w:ascii="宋体" w:hAnsi="Courier New"/>
      <w:b/>
      <w:szCs w:val="20"/>
    </w:rPr>
  </w:style>
  <w:style w:type="paragraph" w:styleId="37">
    <w:name w:val="Title"/>
    <w:basedOn w:val="23"/>
    <w:link w:val="78"/>
    <w:qFormat/>
    <w:uiPriority w:val="99"/>
    <w:pPr>
      <w:spacing w:before="240" w:after="60"/>
      <w:jc w:val="center"/>
      <w:outlineLvl w:val="0"/>
    </w:pPr>
    <w:rPr>
      <w:rFonts w:ascii="Arial" w:hAnsi="Arial" w:cs="Arial"/>
      <w:b/>
      <w:bCs/>
      <w:sz w:val="32"/>
      <w:szCs w:val="32"/>
    </w:rPr>
  </w:style>
  <w:style w:type="paragraph" w:styleId="38">
    <w:name w:val="annotation subject"/>
    <w:basedOn w:val="19"/>
    <w:next w:val="19"/>
    <w:link w:val="79"/>
    <w:qFormat/>
    <w:uiPriority w:val="99"/>
    <w:rPr>
      <w:b/>
      <w:bCs/>
    </w:rPr>
  </w:style>
  <w:style w:type="paragraph" w:styleId="39">
    <w:name w:val="Body Text First Indent"/>
    <w:basedOn w:val="2"/>
    <w:link w:val="80"/>
    <w:qFormat/>
    <w:uiPriority w:val="99"/>
    <w:pPr>
      <w:spacing w:after="120" w:line="240" w:lineRule="auto"/>
      <w:ind w:firstLine="420" w:firstLineChars="100"/>
    </w:pPr>
    <w:rPr>
      <w:kern w:val="2"/>
      <w:sz w:val="21"/>
    </w:rPr>
  </w:style>
  <w:style w:type="table" w:styleId="41">
    <w:name w:val="Table Grid"/>
    <w:basedOn w:val="4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rFonts w:cs="Times New Roman"/>
      <w:b/>
    </w:rPr>
  </w:style>
  <w:style w:type="character" w:styleId="44">
    <w:name w:val="page number"/>
    <w:basedOn w:val="42"/>
    <w:qFormat/>
    <w:uiPriority w:val="99"/>
    <w:rPr>
      <w:rFonts w:cs="Times New Roman"/>
    </w:rPr>
  </w:style>
  <w:style w:type="character" w:styleId="45">
    <w:name w:val="FollowedHyperlink"/>
    <w:basedOn w:val="42"/>
    <w:qFormat/>
    <w:uiPriority w:val="99"/>
    <w:rPr>
      <w:rFonts w:ascii="微软雅黑" w:hAnsi="微软雅黑" w:eastAsia="微软雅黑" w:cs="微软雅黑"/>
      <w:color w:val="02396F"/>
      <w:u w:val="single"/>
    </w:rPr>
  </w:style>
  <w:style w:type="character" w:styleId="46">
    <w:name w:val="Emphasis"/>
    <w:basedOn w:val="42"/>
    <w:qFormat/>
    <w:uiPriority w:val="99"/>
    <w:rPr>
      <w:rFonts w:cs="Times New Roman"/>
      <w:i/>
    </w:rPr>
  </w:style>
  <w:style w:type="character" w:styleId="47">
    <w:name w:val="line number"/>
    <w:basedOn w:val="42"/>
    <w:qFormat/>
    <w:uiPriority w:val="99"/>
    <w:rPr>
      <w:rFonts w:cs="Times New Roman"/>
    </w:rPr>
  </w:style>
  <w:style w:type="character" w:styleId="48">
    <w:name w:val="HTML Definition"/>
    <w:basedOn w:val="42"/>
    <w:semiHidden/>
    <w:unhideWhenUsed/>
    <w:qFormat/>
    <w:locked/>
    <w:uiPriority w:val="99"/>
  </w:style>
  <w:style w:type="character" w:styleId="49">
    <w:name w:val="HTML Acronym"/>
    <w:basedOn w:val="42"/>
    <w:semiHidden/>
    <w:unhideWhenUsed/>
    <w:qFormat/>
    <w:locked/>
    <w:uiPriority w:val="99"/>
  </w:style>
  <w:style w:type="character" w:styleId="50">
    <w:name w:val="HTML Variable"/>
    <w:basedOn w:val="42"/>
    <w:semiHidden/>
    <w:unhideWhenUsed/>
    <w:qFormat/>
    <w:locked/>
    <w:uiPriority w:val="99"/>
  </w:style>
  <w:style w:type="character" w:styleId="51">
    <w:name w:val="Hyperlink"/>
    <w:basedOn w:val="42"/>
    <w:qFormat/>
    <w:uiPriority w:val="99"/>
    <w:rPr>
      <w:rFonts w:ascii="微软雅黑" w:hAnsi="微软雅黑" w:eastAsia="微软雅黑" w:cs="微软雅黑"/>
      <w:color w:val="02396F"/>
      <w:u w:val="single"/>
    </w:rPr>
  </w:style>
  <w:style w:type="character" w:styleId="52">
    <w:name w:val="HTML Code"/>
    <w:basedOn w:val="42"/>
    <w:semiHidden/>
    <w:unhideWhenUsed/>
    <w:qFormat/>
    <w:locked/>
    <w:uiPriority w:val="99"/>
    <w:rPr>
      <w:rFonts w:ascii="Courier New" w:hAnsi="Courier New"/>
      <w:sz w:val="20"/>
    </w:rPr>
  </w:style>
  <w:style w:type="character" w:styleId="53">
    <w:name w:val="annotation reference"/>
    <w:basedOn w:val="42"/>
    <w:qFormat/>
    <w:uiPriority w:val="99"/>
    <w:rPr>
      <w:rFonts w:cs="Times New Roman"/>
      <w:sz w:val="21"/>
    </w:rPr>
  </w:style>
  <w:style w:type="character" w:styleId="54">
    <w:name w:val="HTML Cite"/>
    <w:basedOn w:val="42"/>
    <w:semiHidden/>
    <w:unhideWhenUsed/>
    <w:qFormat/>
    <w:locked/>
    <w:uiPriority w:val="99"/>
  </w:style>
  <w:style w:type="character" w:customStyle="1" w:styleId="55">
    <w:name w:val="Heading 1 Char"/>
    <w:basedOn w:val="42"/>
    <w:link w:val="5"/>
    <w:qFormat/>
    <w:locked/>
    <w:uiPriority w:val="99"/>
    <w:rPr>
      <w:rFonts w:ascii="Times New Roman" w:hAnsi="Times New Roman" w:eastAsia="宋体"/>
      <w:b/>
      <w:kern w:val="44"/>
      <w:sz w:val="44"/>
    </w:rPr>
  </w:style>
  <w:style w:type="character" w:customStyle="1" w:styleId="56">
    <w:name w:val="Heading 2 Char"/>
    <w:basedOn w:val="42"/>
    <w:link w:val="6"/>
    <w:qFormat/>
    <w:locked/>
    <w:uiPriority w:val="99"/>
    <w:rPr>
      <w:rFonts w:ascii="Arial" w:hAnsi="Arial" w:eastAsia="黑体"/>
      <w:b/>
      <w:sz w:val="32"/>
    </w:rPr>
  </w:style>
  <w:style w:type="character" w:customStyle="1" w:styleId="57">
    <w:name w:val="Heading 3 Char"/>
    <w:basedOn w:val="42"/>
    <w:link w:val="7"/>
    <w:qFormat/>
    <w:locked/>
    <w:uiPriority w:val="99"/>
    <w:rPr>
      <w:rFonts w:ascii="Times New Roman" w:hAnsi="Times New Roman" w:eastAsia="宋体"/>
      <w:b/>
      <w:sz w:val="32"/>
    </w:rPr>
  </w:style>
  <w:style w:type="character" w:customStyle="1" w:styleId="58">
    <w:name w:val="Heading 4 Char"/>
    <w:basedOn w:val="42"/>
    <w:link w:val="8"/>
    <w:semiHidden/>
    <w:qFormat/>
    <w:uiPriority w:val="9"/>
    <w:rPr>
      <w:rFonts w:asciiTheme="majorHAnsi" w:hAnsiTheme="majorHAnsi" w:eastAsiaTheme="majorEastAsia" w:cstheme="majorBidi"/>
      <w:b/>
      <w:bCs/>
      <w:sz w:val="28"/>
      <w:szCs w:val="28"/>
    </w:rPr>
  </w:style>
  <w:style w:type="character" w:customStyle="1" w:styleId="59">
    <w:name w:val="Heading 5 Char"/>
    <w:basedOn w:val="42"/>
    <w:link w:val="9"/>
    <w:qFormat/>
    <w:locked/>
    <w:uiPriority w:val="99"/>
    <w:rPr>
      <w:b/>
      <w:sz w:val="28"/>
      <w:szCs w:val="24"/>
    </w:rPr>
  </w:style>
  <w:style w:type="character" w:customStyle="1" w:styleId="60">
    <w:name w:val="Heading 6 Char"/>
    <w:basedOn w:val="42"/>
    <w:link w:val="11"/>
    <w:qFormat/>
    <w:locked/>
    <w:uiPriority w:val="99"/>
    <w:rPr>
      <w:rFonts w:ascii="Arial" w:hAnsi="Arial" w:eastAsia="黑体"/>
      <w:b/>
      <w:sz w:val="24"/>
      <w:szCs w:val="24"/>
    </w:rPr>
  </w:style>
  <w:style w:type="character" w:customStyle="1" w:styleId="61">
    <w:name w:val="Heading 7 Char"/>
    <w:basedOn w:val="42"/>
    <w:link w:val="12"/>
    <w:qFormat/>
    <w:locked/>
    <w:uiPriority w:val="99"/>
    <w:rPr>
      <w:b/>
      <w:sz w:val="24"/>
      <w:szCs w:val="24"/>
    </w:rPr>
  </w:style>
  <w:style w:type="character" w:customStyle="1" w:styleId="62">
    <w:name w:val="Heading 8 Char"/>
    <w:basedOn w:val="42"/>
    <w:link w:val="13"/>
    <w:qFormat/>
    <w:locked/>
    <w:uiPriority w:val="99"/>
    <w:rPr>
      <w:rFonts w:ascii="Arial" w:hAnsi="Arial" w:eastAsia="黑体"/>
      <w:sz w:val="24"/>
      <w:szCs w:val="24"/>
    </w:rPr>
  </w:style>
  <w:style w:type="character" w:customStyle="1" w:styleId="63">
    <w:name w:val="Heading 9 Char"/>
    <w:basedOn w:val="42"/>
    <w:link w:val="14"/>
    <w:qFormat/>
    <w:locked/>
    <w:uiPriority w:val="99"/>
    <w:rPr>
      <w:rFonts w:ascii="Arial" w:hAnsi="Arial" w:eastAsia="黑体"/>
      <w:szCs w:val="24"/>
    </w:rPr>
  </w:style>
  <w:style w:type="character" w:customStyle="1" w:styleId="64">
    <w:name w:val="Body Text Char"/>
    <w:basedOn w:val="42"/>
    <w:link w:val="2"/>
    <w:qFormat/>
    <w:locked/>
    <w:uiPriority w:val="99"/>
    <w:rPr>
      <w:rFonts w:ascii="Times New Roman" w:hAnsi="Times New Roman" w:eastAsia="宋体"/>
      <w:sz w:val="24"/>
    </w:rPr>
  </w:style>
  <w:style w:type="character" w:customStyle="1" w:styleId="65">
    <w:name w:val="Body Text Indent Char"/>
    <w:basedOn w:val="42"/>
    <w:link w:val="4"/>
    <w:qFormat/>
    <w:locked/>
    <w:uiPriority w:val="99"/>
    <w:rPr>
      <w:rFonts w:ascii="仿宋_GB2312" w:hAnsi="Times New Roman" w:eastAsia="仿宋_GB2312"/>
      <w:sz w:val="20"/>
    </w:rPr>
  </w:style>
  <w:style w:type="character" w:customStyle="1" w:styleId="66">
    <w:name w:val="Body Text First Indent 2 Char"/>
    <w:basedOn w:val="65"/>
    <w:link w:val="3"/>
    <w:semiHidden/>
    <w:qFormat/>
    <w:uiPriority w:val="99"/>
    <w:rPr>
      <w:szCs w:val="24"/>
    </w:rPr>
  </w:style>
  <w:style w:type="character" w:customStyle="1" w:styleId="67">
    <w:name w:val="Document Map Char"/>
    <w:basedOn w:val="42"/>
    <w:link w:val="18"/>
    <w:semiHidden/>
    <w:qFormat/>
    <w:locked/>
    <w:uiPriority w:val="99"/>
    <w:rPr>
      <w:rFonts w:ascii="宋体" w:cs="Times New Roman"/>
      <w:kern w:val="2"/>
      <w:sz w:val="18"/>
      <w:szCs w:val="18"/>
    </w:rPr>
  </w:style>
  <w:style w:type="character" w:customStyle="1" w:styleId="68">
    <w:name w:val="Comment Text Char"/>
    <w:basedOn w:val="42"/>
    <w:link w:val="19"/>
    <w:semiHidden/>
    <w:qFormat/>
    <w:locked/>
    <w:uiPriority w:val="99"/>
    <w:rPr>
      <w:rFonts w:ascii="Times New Roman" w:hAnsi="Times New Roman"/>
      <w:kern w:val="2"/>
      <w:sz w:val="24"/>
    </w:rPr>
  </w:style>
  <w:style w:type="character" w:customStyle="1" w:styleId="69">
    <w:name w:val="Body Text 3 Char"/>
    <w:basedOn w:val="42"/>
    <w:link w:val="20"/>
    <w:qFormat/>
    <w:locked/>
    <w:uiPriority w:val="99"/>
    <w:rPr>
      <w:rFonts w:ascii="Times New Roman" w:hAnsi="Times New Roman" w:eastAsia="宋体"/>
      <w:b/>
      <w:sz w:val="24"/>
    </w:rPr>
  </w:style>
  <w:style w:type="character" w:customStyle="1" w:styleId="70">
    <w:name w:val="Plain Text Char"/>
    <w:basedOn w:val="42"/>
    <w:link w:val="23"/>
    <w:qFormat/>
    <w:locked/>
    <w:uiPriority w:val="99"/>
    <w:rPr>
      <w:rFonts w:ascii="宋体" w:hAnsi="Courier New" w:eastAsia="宋体"/>
      <w:sz w:val="21"/>
    </w:rPr>
  </w:style>
  <w:style w:type="character" w:customStyle="1" w:styleId="71">
    <w:name w:val="Date Char"/>
    <w:basedOn w:val="42"/>
    <w:link w:val="24"/>
    <w:qFormat/>
    <w:locked/>
    <w:uiPriority w:val="99"/>
    <w:rPr>
      <w:rFonts w:ascii="宋体" w:hAnsi="Courier New" w:eastAsia="宋体"/>
      <w:sz w:val="21"/>
    </w:rPr>
  </w:style>
  <w:style w:type="character" w:customStyle="1" w:styleId="72">
    <w:name w:val="Body Text Indent 2 Char"/>
    <w:basedOn w:val="42"/>
    <w:link w:val="25"/>
    <w:qFormat/>
    <w:locked/>
    <w:uiPriority w:val="99"/>
    <w:rPr>
      <w:rFonts w:ascii="Times New Roman" w:hAnsi="Times New Roman" w:eastAsia="宋体"/>
      <w:sz w:val="20"/>
    </w:rPr>
  </w:style>
  <w:style w:type="character" w:customStyle="1" w:styleId="73">
    <w:name w:val="Balloon Text Char"/>
    <w:basedOn w:val="42"/>
    <w:link w:val="26"/>
    <w:semiHidden/>
    <w:qFormat/>
    <w:locked/>
    <w:uiPriority w:val="99"/>
    <w:rPr>
      <w:rFonts w:ascii="Times New Roman" w:hAnsi="Times New Roman" w:eastAsia="宋体"/>
      <w:sz w:val="18"/>
    </w:rPr>
  </w:style>
  <w:style w:type="character" w:customStyle="1" w:styleId="74">
    <w:name w:val="Footer Char"/>
    <w:basedOn w:val="42"/>
    <w:link w:val="27"/>
    <w:qFormat/>
    <w:locked/>
    <w:uiPriority w:val="99"/>
    <w:rPr>
      <w:sz w:val="18"/>
    </w:rPr>
  </w:style>
  <w:style w:type="character" w:customStyle="1" w:styleId="75">
    <w:name w:val="Header Char"/>
    <w:basedOn w:val="42"/>
    <w:link w:val="28"/>
    <w:qFormat/>
    <w:locked/>
    <w:uiPriority w:val="99"/>
    <w:rPr>
      <w:sz w:val="18"/>
    </w:rPr>
  </w:style>
  <w:style w:type="character" w:customStyle="1" w:styleId="76">
    <w:name w:val="Body Text Indent 3 Char"/>
    <w:basedOn w:val="42"/>
    <w:link w:val="32"/>
    <w:qFormat/>
    <w:locked/>
    <w:uiPriority w:val="99"/>
    <w:rPr>
      <w:rFonts w:ascii="Times New Roman" w:hAnsi="Times New Roman" w:eastAsia="宋体"/>
      <w:sz w:val="16"/>
    </w:rPr>
  </w:style>
  <w:style w:type="character" w:customStyle="1" w:styleId="77">
    <w:name w:val="Body Text 2 Char"/>
    <w:basedOn w:val="42"/>
    <w:link w:val="34"/>
    <w:qFormat/>
    <w:locked/>
    <w:uiPriority w:val="99"/>
    <w:rPr>
      <w:rFonts w:ascii="Times New Roman" w:hAnsi="Times New Roman" w:eastAsia="宋体"/>
      <w:sz w:val="24"/>
    </w:rPr>
  </w:style>
  <w:style w:type="character" w:customStyle="1" w:styleId="78">
    <w:name w:val="Title Char"/>
    <w:basedOn w:val="42"/>
    <w:link w:val="37"/>
    <w:qFormat/>
    <w:uiPriority w:val="10"/>
    <w:rPr>
      <w:rFonts w:asciiTheme="majorHAnsi" w:hAnsiTheme="majorHAnsi" w:cstheme="majorBidi"/>
      <w:b/>
      <w:bCs/>
      <w:sz w:val="32"/>
      <w:szCs w:val="32"/>
    </w:rPr>
  </w:style>
  <w:style w:type="character" w:customStyle="1" w:styleId="79">
    <w:name w:val="Comment Subject Char"/>
    <w:basedOn w:val="68"/>
    <w:link w:val="38"/>
    <w:semiHidden/>
    <w:qFormat/>
    <w:locked/>
    <w:uiPriority w:val="99"/>
    <w:rPr>
      <w:b/>
    </w:rPr>
  </w:style>
  <w:style w:type="character" w:customStyle="1" w:styleId="80">
    <w:name w:val="Body Text First Indent Char"/>
    <w:basedOn w:val="64"/>
    <w:link w:val="39"/>
    <w:semiHidden/>
    <w:qFormat/>
    <w:uiPriority w:val="99"/>
    <w:rPr>
      <w:szCs w:val="24"/>
    </w:rPr>
  </w:style>
  <w:style w:type="paragraph" w:customStyle="1" w:styleId="81">
    <w:name w:val="Char1"/>
    <w:basedOn w:val="1"/>
    <w:qFormat/>
    <w:uiPriority w:val="99"/>
    <w:rPr>
      <w:szCs w:val="21"/>
    </w:rPr>
  </w:style>
  <w:style w:type="paragraph" w:customStyle="1" w:styleId="82">
    <w:name w:val="默认段落字体 Para Char Char Char Char Char Char Char Char Char1 Char Char Char Char"/>
    <w:basedOn w:val="1"/>
    <w:qFormat/>
    <w:uiPriority w:val="99"/>
    <w:rPr>
      <w:rFonts w:ascii="Tahoma" w:hAnsi="Tahoma"/>
      <w:sz w:val="24"/>
      <w:szCs w:val="20"/>
    </w:rPr>
  </w:style>
  <w:style w:type="paragraph" w:customStyle="1" w:styleId="83">
    <w:name w:val="Char"/>
    <w:basedOn w:val="1"/>
    <w:qFormat/>
    <w:uiPriority w:val="99"/>
    <w:rPr>
      <w:szCs w:val="21"/>
    </w:rPr>
  </w:style>
  <w:style w:type="paragraph" w:customStyle="1" w:styleId="84">
    <w:name w:val="表格文字"/>
    <w:basedOn w:val="1"/>
    <w:qFormat/>
    <w:uiPriority w:val="99"/>
    <w:pPr>
      <w:spacing w:before="25" w:after="25"/>
      <w:jc w:val="left"/>
    </w:pPr>
    <w:rPr>
      <w:bCs/>
      <w:spacing w:val="10"/>
      <w:kern w:val="0"/>
      <w:sz w:val="24"/>
    </w:rPr>
  </w:style>
  <w:style w:type="paragraph" w:customStyle="1" w:styleId="85">
    <w:name w:val="font5"/>
    <w:basedOn w:val="1"/>
    <w:qFormat/>
    <w:uiPriority w:val="99"/>
    <w:pPr>
      <w:widowControl/>
      <w:spacing w:before="100" w:beforeAutospacing="1" w:after="100" w:afterAutospacing="1"/>
      <w:jc w:val="left"/>
    </w:pPr>
    <w:rPr>
      <w:rFonts w:ascii="宋体" w:hAnsi="宋体"/>
      <w:kern w:val="0"/>
      <w:sz w:val="24"/>
    </w:rPr>
  </w:style>
  <w:style w:type="paragraph" w:customStyle="1" w:styleId="86">
    <w:name w:val="列出段落11"/>
    <w:basedOn w:val="1"/>
    <w:qFormat/>
    <w:uiPriority w:val="99"/>
    <w:pPr>
      <w:ind w:firstLine="420" w:firstLineChars="200"/>
    </w:pPr>
    <w:rPr>
      <w:rFonts w:ascii="Calibri" w:hAnsi="Calibri"/>
      <w:szCs w:val="22"/>
    </w:rPr>
  </w:style>
  <w:style w:type="paragraph" w:customStyle="1" w:styleId="87">
    <w:name w:val="_Style 2"/>
    <w:basedOn w:val="1"/>
    <w:qFormat/>
    <w:uiPriority w:val="99"/>
    <w:pPr>
      <w:ind w:firstLine="420" w:firstLineChars="200"/>
    </w:pPr>
    <w:rPr>
      <w:rFonts w:ascii="Calibri" w:hAnsi="Calibri"/>
      <w:szCs w:val="22"/>
    </w:rPr>
  </w:style>
  <w:style w:type="paragraph" w:customStyle="1" w:styleId="88">
    <w:name w:val="正文首行缩进两字符"/>
    <w:basedOn w:val="1"/>
    <w:qFormat/>
    <w:uiPriority w:val="99"/>
    <w:pPr>
      <w:spacing w:line="360" w:lineRule="auto"/>
      <w:ind w:firstLine="200" w:firstLineChars="200"/>
    </w:pPr>
  </w:style>
  <w:style w:type="paragraph" w:customStyle="1" w:styleId="89">
    <w:name w:val="样式 标题 3 + (中文) 黑体 小四 非加粗 段前: 7.8 磅 段后: 0 磅 行距: 固定值 20 磅"/>
    <w:basedOn w:val="7"/>
    <w:qFormat/>
    <w:uiPriority w:val="99"/>
    <w:pPr>
      <w:spacing w:before="0" w:after="0" w:line="400" w:lineRule="exact"/>
    </w:pPr>
    <w:rPr>
      <w:rFonts w:eastAsia="黑体" w:cs="宋体"/>
      <w:b w:val="0"/>
      <w:bCs w:val="0"/>
      <w:sz w:val="24"/>
      <w:szCs w:val="20"/>
    </w:rPr>
  </w:style>
  <w:style w:type="paragraph" w:customStyle="1" w:styleId="90">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styleId="91">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2">
    <w:name w:val="样式 标题 2 + Times New Roman 四号 非加粗 段前: 5 磅 段后: 0 磅 行距: 固定值 20..."/>
    <w:basedOn w:val="6"/>
    <w:qFormat/>
    <w:uiPriority w:val="99"/>
    <w:pPr>
      <w:spacing w:before="100" w:after="0" w:line="400" w:lineRule="exact"/>
    </w:pPr>
    <w:rPr>
      <w:rFonts w:ascii="Times New Roman" w:hAnsi="Times New Roman" w:cs="宋体"/>
      <w:b w:val="0"/>
      <w:bCs w:val="0"/>
      <w:sz w:val="28"/>
      <w:szCs w:val="20"/>
    </w:rPr>
  </w:style>
  <w:style w:type="paragraph" w:customStyle="1" w:styleId="93">
    <w:name w:val="正文1"/>
    <w:basedOn w:val="1"/>
    <w:qFormat/>
    <w:uiPriority w:val="99"/>
    <w:pPr>
      <w:spacing w:line="360" w:lineRule="auto"/>
      <w:ind w:left="1260" w:leftChars="600" w:firstLine="540" w:firstLineChars="257"/>
    </w:pPr>
    <w:rPr>
      <w:rFonts w:ascii="宋体" w:hAnsi="宋体"/>
    </w:rPr>
  </w:style>
  <w:style w:type="paragraph" w:customStyle="1" w:styleId="94">
    <w:name w:val="Char Char Char Char"/>
    <w:basedOn w:val="1"/>
    <w:qFormat/>
    <w:uiPriority w:val="99"/>
    <w:pPr>
      <w:adjustRightInd w:val="0"/>
      <w:spacing w:line="360" w:lineRule="auto"/>
    </w:pPr>
  </w:style>
  <w:style w:type="paragraph" w:customStyle="1" w:styleId="95">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96">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customStyle="1" w:styleId="97">
    <w:name w:val="正文段"/>
    <w:basedOn w:val="1"/>
    <w:qFormat/>
    <w:uiPriority w:val="99"/>
    <w:pPr>
      <w:widowControl/>
      <w:snapToGrid w:val="0"/>
      <w:spacing w:afterLines="50"/>
      <w:ind w:firstLine="200" w:firstLineChars="200"/>
    </w:pPr>
    <w:rPr>
      <w:kern w:val="0"/>
      <w:sz w:val="24"/>
      <w:szCs w:val="20"/>
    </w:rPr>
  </w:style>
  <w:style w:type="paragraph" w:styleId="98">
    <w:name w:val="List Paragraph"/>
    <w:basedOn w:val="1"/>
    <w:qFormat/>
    <w:uiPriority w:val="99"/>
    <w:pPr>
      <w:ind w:firstLine="420" w:firstLineChars="200"/>
    </w:pPr>
  </w:style>
  <w:style w:type="paragraph" w:customStyle="1" w:styleId="99">
    <w:name w:val="Char Char"/>
    <w:basedOn w:val="1"/>
    <w:qFormat/>
    <w:uiPriority w:val="99"/>
    <w:rPr>
      <w:rFonts w:ascii="仿宋_GB2312" w:eastAsia="仿宋_GB2312"/>
      <w:b/>
      <w:sz w:val="32"/>
      <w:szCs w:val="32"/>
    </w:rPr>
  </w:style>
  <w:style w:type="paragraph" w:customStyle="1" w:styleId="100">
    <w:name w:val="列出段落2"/>
    <w:basedOn w:val="1"/>
    <w:link w:val="122"/>
    <w:qFormat/>
    <w:uiPriority w:val="99"/>
    <w:pPr>
      <w:ind w:firstLine="420" w:firstLineChars="200"/>
    </w:pPr>
  </w:style>
  <w:style w:type="paragraph" w:customStyle="1" w:styleId="101">
    <w:name w:val="bb"/>
    <w:basedOn w:val="1"/>
    <w:qFormat/>
    <w:uiPriority w:val="99"/>
    <w:pPr>
      <w:widowControl/>
      <w:spacing w:beforeAutospacing="1" w:afterAutospacing="1"/>
      <w:jc w:val="left"/>
    </w:pPr>
    <w:rPr>
      <w:rFonts w:ascii="宋体" w:hAnsi="宋体"/>
      <w:sz w:val="24"/>
    </w:rPr>
  </w:style>
  <w:style w:type="paragraph" w:customStyle="1" w:styleId="102">
    <w:name w:val="List Paragraph_1145dc67-f31e-41a7-8a1c-16c8a28c48c6"/>
    <w:basedOn w:val="1"/>
    <w:qFormat/>
    <w:uiPriority w:val="99"/>
    <w:pPr>
      <w:ind w:firstLine="420" w:firstLineChars="200"/>
    </w:pPr>
  </w:style>
  <w:style w:type="paragraph" w:customStyle="1" w:styleId="103">
    <w:name w:val="样式 首行缩进:  2 字符"/>
    <w:basedOn w:val="1"/>
    <w:qFormat/>
    <w:uiPriority w:val="99"/>
    <w:pPr>
      <w:spacing w:line="400" w:lineRule="exact"/>
      <w:ind w:firstLine="200" w:firstLineChars="200"/>
    </w:pPr>
    <w:rPr>
      <w:rFonts w:cs="宋体"/>
      <w:sz w:val="24"/>
    </w:rPr>
  </w:style>
  <w:style w:type="paragraph" w:customStyle="1" w:styleId="104">
    <w:name w:val="列出段落1"/>
    <w:basedOn w:val="1"/>
    <w:qFormat/>
    <w:uiPriority w:val="99"/>
    <w:pPr>
      <w:ind w:firstLine="420" w:firstLineChars="200"/>
    </w:pPr>
  </w:style>
  <w:style w:type="paragraph" w:customStyle="1" w:styleId="105">
    <w:name w:val="表格"/>
    <w:basedOn w:val="1"/>
    <w:qFormat/>
    <w:uiPriority w:val="99"/>
    <w:pPr>
      <w:spacing w:line="400" w:lineRule="exact"/>
    </w:pPr>
    <w:rPr>
      <w:sz w:val="24"/>
    </w:rPr>
  </w:style>
  <w:style w:type="paragraph" w:customStyle="1" w:styleId="106">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7">
    <w:name w:val="_Style 75"/>
    <w:qFormat/>
    <w:uiPriority w:val="99"/>
    <w:rPr>
      <w:rFonts w:ascii="Times New Roman" w:hAnsi="Times New Roman" w:eastAsia="宋体" w:cs="Times New Roman"/>
      <w:kern w:val="2"/>
      <w:sz w:val="21"/>
      <w:szCs w:val="24"/>
      <w:lang w:val="en-US" w:eastAsia="zh-CN" w:bidi="ar-SA"/>
    </w:rPr>
  </w:style>
  <w:style w:type="paragraph" w:customStyle="1" w:styleId="108">
    <w:name w:val="正文 New New New New"/>
    <w:qFormat/>
    <w:uiPriority w:val="99"/>
    <w:pPr>
      <w:widowControl w:val="0"/>
      <w:jc w:val="both"/>
    </w:pPr>
    <w:rPr>
      <w:rFonts w:ascii="Times New Roman" w:hAnsi="Times New Roman" w:eastAsia="宋体" w:cs="Times New Roman"/>
      <w:kern w:val="0"/>
      <w:sz w:val="20"/>
      <w:szCs w:val="24"/>
      <w:lang w:val="en-US" w:eastAsia="zh-CN" w:bidi="ar-SA"/>
    </w:rPr>
  </w:style>
  <w:style w:type="character" w:customStyle="1" w:styleId="109">
    <w:name w:val="Body text (2) + Times New Roman"/>
    <w:qFormat/>
    <w:uiPriority w:val="99"/>
    <w:rPr>
      <w:rFonts w:ascii="Times New Roman" w:hAnsi="Times New Roman"/>
      <w:color w:val="000000"/>
      <w:spacing w:val="0"/>
      <w:w w:val="100"/>
      <w:position w:val="0"/>
      <w:sz w:val="22"/>
      <w:shd w:val="clear" w:color="auto" w:fill="FFFFFF"/>
      <w:lang w:val="en-US" w:eastAsia="en-US"/>
    </w:rPr>
  </w:style>
  <w:style w:type="character" w:customStyle="1" w:styleId="110">
    <w:name w:val="font41"/>
    <w:qFormat/>
    <w:uiPriority w:val="99"/>
    <w:rPr>
      <w:rFonts w:ascii="宋体" w:hAnsi="宋体" w:eastAsia="宋体"/>
      <w:color w:val="000000"/>
      <w:sz w:val="20"/>
      <w:u w:val="none"/>
    </w:rPr>
  </w:style>
  <w:style w:type="character" w:customStyle="1" w:styleId="111">
    <w:name w:val="font61"/>
    <w:qFormat/>
    <w:uiPriority w:val="99"/>
    <w:rPr>
      <w:rFonts w:ascii="微软雅黑" w:hAnsi="微软雅黑" w:eastAsia="微软雅黑"/>
      <w:color w:val="000000"/>
      <w:sz w:val="20"/>
      <w:u w:val="none"/>
    </w:rPr>
  </w:style>
  <w:style w:type="character" w:customStyle="1" w:styleId="112">
    <w:name w:val="qxdate"/>
    <w:basedOn w:val="42"/>
    <w:qFormat/>
    <w:uiPriority w:val="99"/>
    <w:rPr>
      <w:rFonts w:cs="Times New Roman"/>
      <w:color w:val="333333"/>
      <w:sz w:val="18"/>
      <w:szCs w:val="18"/>
    </w:rPr>
  </w:style>
  <w:style w:type="character" w:customStyle="1" w:styleId="113">
    <w:name w:val="font21"/>
    <w:basedOn w:val="42"/>
    <w:qFormat/>
    <w:uiPriority w:val="99"/>
    <w:rPr>
      <w:rFonts w:ascii="宋体" w:hAnsi="宋体" w:eastAsia="宋体" w:cs="宋体"/>
      <w:color w:val="000000"/>
      <w:sz w:val="20"/>
      <w:szCs w:val="20"/>
      <w:u w:val="none"/>
    </w:rPr>
  </w:style>
  <w:style w:type="character" w:customStyle="1" w:styleId="114">
    <w:name w:val="textcontents"/>
    <w:qFormat/>
    <w:uiPriority w:val="99"/>
    <w:rPr>
      <w:rFonts w:ascii="Calibri" w:hAnsi="Calibri" w:eastAsia="宋体"/>
    </w:rPr>
  </w:style>
  <w:style w:type="character" w:customStyle="1" w:styleId="115">
    <w:name w:val="font01"/>
    <w:qFormat/>
    <w:uiPriority w:val="99"/>
    <w:rPr>
      <w:rFonts w:ascii="宋体" w:hAnsi="宋体" w:eastAsia="宋体"/>
      <w:color w:val="000000"/>
      <w:sz w:val="20"/>
      <w:u w:val="none"/>
    </w:rPr>
  </w:style>
  <w:style w:type="character" w:customStyle="1" w:styleId="116">
    <w:name w:val="at_4"/>
    <w:basedOn w:val="42"/>
    <w:qFormat/>
    <w:uiPriority w:val="99"/>
    <w:rPr>
      <w:rFonts w:cs="Times New Roman"/>
    </w:rPr>
  </w:style>
  <w:style w:type="character" w:customStyle="1" w:styleId="117">
    <w:name w:val="gjfg"/>
    <w:basedOn w:val="42"/>
    <w:qFormat/>
    <w:uiPriority w:val="99"/>
    <w:rPr>
      <w:rFonts w:cs="Times New Roman"/>
    </w:rPr>
  </w:style>
  <w:style w:type="character" w:customStyle="1" w:styleId="118">
    <w:name w:val="displayarti"/>
    <w:basedOn w:val="42"/>
    <w:qFormat/>
    <w:uiPriority w:val="99"/>
    <w:rPr>
      <w:rFonts w:cs="Times New Roman"/>
      <w:color w:val="FFFFFF"/>
      <w:shd w:val="clear" w:color="auto" w:fill="A00000"/>
    </w:rPr>
  </w:style>
  <w:style w:type="character" w:customStyle="1" w:styleId="119">
    <w:name w:val="纯文本 字符"/>
    <w:qFormat/>
    <w:uiPriority w:val="99"/>
    <w:rPr>
      <w:rFonts w:ascii="宋体" w:hAnsi="Courier New" w:eastAsia="宋体"/>
      <w:sz w:val="21"/>
    </w:rPr>
  </w:style>
  <w:style w:type="character" w:customStyle="1" w:styleId="120">
    <w:name w:val="普通文字 Char Char2"/>
    <w:qFormat/>
    <w:uiPriority w:val="99"/>
    <w:rPr>
      <w:rFonts w:ascii="宋体" w:hAnsi="Courier New" w:eastAsia="宋体"/>
      <w:sz w:val="21"/>
    </w:rPr>
  </w:style>
  <w:style w:type="character" w:customStyle="1" w:styleId="121">
    <w:name w:val="redfilefwwh"/>
    <w:basedOn w:val="42"/>
    <w:qFormat/>
    <w:uiPriority w:val="99"/>
    <w:rPr>
      <w:rFonts w:cs="Times New Roman"/>
      <w:color w:val="BA2636"/>
      <w:sz w:val="18"/>
      <w:szCs w:val="18"/>
    </w:rPr>
  </w:style>
  <w:style w:type="character" w:customStyle="1" w:styleId="122">
    <w:name w:val="列出段落 Char"/>
    <w:link w:val="100"/>
    <w:qFormat/>
    <w:locked/>
    <w:uiPriority w:val="99"/>
    <w:rPr>
      <w:kern w:val="2"/>
      <w:sz w:val="24"/>
    </w:rPr>
  </w:style>
  <w:style w:type="character" w:customStyle="1" w:styleId="123">
    <w:name w:val="font81"/>
    <w:qFormat/>
    <w:uiPriority w:val="99"/>
    <w:rPr>
      <w:rFonts w:ascii="微软雅黑" w:hAnsi="微软雅黑" w:eastAsia="微软雅黑"/>
      <w:color w:val="000000"/>
      <w:sz w:val="20"/>
      <w:u w:val="none"/>
    </w:rPr>
  </w:style>
  <w:style w:type="character" w:customStyle="1" w:styleId="124">
    <w:name w:val="font31"/>
    <w:qFormat/>
    <w:uiPriority w:val="99"/>
    <w:rPr>
      <w:rFonts w:ascii="微软雅黑" w:hAnsi="微软雅黑" w:eastAsia="微软雅黑"/>
      <w:color w:val="000000"/>
      <w:sz w:val="20"/>
      <w:u w:val="none"/>
    </w:rPr>
  </w:style>
  <w:style w:type="character" w:customStyle="1" w:styleId="125">
    <w:name w:val="font11"/>
    <w:qFormat/>
    <w:uiPriority w:val="99"/>
    <w:rPr>
      <w:rFonts w:ascii="宋体" w:hAnsi="宋体" w:eastAsia="宋体"/>
      <w:color w:val="000000"/>
      <w:sz w:val="20"/>
      <w:u w:val="none"/>
    </w:rPr>
  </w:style>
  <w:style w:type="character" w:customStyle="1" w:styleId="126">
    <w:name w:val="Normal Indent Char"/>
    <w:link w:val="10"/>
    <w:qFormat/>
    <w:locked/>
    <w:uiPriority w:val="99"/>
    <w:rPr>
      <w:kern w:val="2"/>
      <w:sz w:val="21"/>
    </w:rPr>
  </w:style>
  <w:style w:type="character" w:customStyle="1" w:styleId="127">
    <w:name w:val="redfilenumber"/>
    <w:basedOn w:val="42"/>
    <w:qFormat/>
    <w:uiPriority w:val="99"/>
    <w:rPr>
      <w:rFonts w:cs="Times New Roman"/>
      <w:color w:val="BA2636"/>
      <w:sz w:val="18"/>
      <w:szCs w:val="18"/>
    </w:rPr>
  </w:style>
  <w:style w:type="character" w:customStyle="1" w:styleId="128">
    <w:name w:val="case31"/>
    <w:qFormat/>
    <w:uiPriority w:val="99"/>
    <w:rPr>
      <w:rFonts w:ascii="_x000B__x000C_" w:hAnsi="_x000B__x000C_"/>
      <w:sz w:val="21"/>
    </w:rPr>
  </w:style>
  <w:style w:type="character" w:customStyle="1" w:styleId="129">
    <w:name w:val="cfdate"/>
    <w:basedOn w:val="42"/>
    <w:qFormat/>
    <w:uiPriority w:val="99"/>
    <w:rPr>
      <w:rFonts w:cs="Times New Roman"/>
      <w:color w:val="333333"/>
      <w:sz w:val="18"/>
      <w:szCs w:val="18"/>
    </w:rPr>
  </w:style>
  <w:style w:type="paragraph" w:customStyle="1" w:styleId="130">
    <w:name w:val="Heading 11"/>
    <w:basedOn w:val="1"/>
    <w:qFormat/>
    <w:uiPriority w:val="99"/>
    <w:pPr>
      <w:ind w:left="177" w:right="3608"/>
      <w:jc w:val="center"/>
      <w:outlineLvl w:val="1"/>
    </w:pPr>
    <w:rPr>
      <w:rFonts w:ascii="Microsoft JhengHei" w:hAnsi="Microsoft JhengHei" w:eastAsia="Microsoft JhengHei" w:cs="Microsoft JhengHei"/>
      <w:b/>
      <w:bCs/>
      <w:sz w:val="30"/>
      <w:szCs w:val="30"/>
    </w:rPr>
  </w:style>
  <w:style w:type="paragraph" w:customStyle="1" w:styleId="131">
    <w:name w:val="Pa3"/>
    <w:basedOn w:val="1"/>
    <w:next w:val="1"/>
    <w:qFormat/>
    <w:uiPriority w:val="99"/>
    <w:pPr>
      <w:autoSpaceDE w:val="0"/>
      <w:autoSpaceDN w:val="0"/>
      <w:adjustRightInd w:val="0"/>
      <w:spacing w:line="241" w:lineRule="atLeast"/>
      <w:jc w:val="left"/>
    </w:pPr>
    <w:rPr>
      <w:rFonts w:ascii="Microsoft YaHei UI Light" w:eastAsia="Microsoft YaHei UI Light"/>
      <w:kern w:val="0"/>
      <w:sz w:val="24"/>
    </w:rPr>
  </w:style>
  <w:style w:type="character" w:customStyle="1" w:styleId="132">
    <w:name w:val="layui-layer-tabnow"/>
    <w:basedOn w:val="42"/>
    <w:qFormat/>
    <w:uiPriority w:val="0"/>
    <w:rPr>
      <w:bdr w:val="single" w:color="CCCCCC" w:sz="6" w:space="0"/>
      <w:shd w:val="clear" w:fill="FFFFFF"/>
    </w:rPr>
  </w:style>
  <w:style w:type="character" w:customStyle="1" w:styleId="133">
    <w:name w:val="first-child"/>
    <w:basedOn w:val="42"/>
    <w:qFormat/>
    <w:uiPriority w:val="0"/>
  </w:style>
  <w:style w:type="character" w:customStyle="1" w:styleId="134">
    <w:name w:val="first-child1"/>
    <w:basedOn w:val="42"/>
    <w:qFormat/>
    <w:uiPriority w:val="0"/>
  </w:style>
  <w:style w:type="paragraph" w:customStyle="1" w:styleId="135">
    <w:name w:val="List Paragraph1"/>
    <w:basedOn w:val="1"/>
    <w:qFormat/>
    <w:uiPriority w:val="34"/>
    <w:pPr>
      <w:ind w:firstLine="420" w:firstLineChars="200"/>
    </w:pPr>
    <w:rPr>
      <w:rFonts w:ascii="Calibri" w:hAnsi="Calibri" w:eastAsia="宋体" w:cs="Times New Roman"/>
    </w:rPr>
  </w:style>
  <w:style w:type="character" w:customStyle="1" w:styleId="136">
    <w:name w:val="apple-converted-space"/>
    <w:basedOn w:val="4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番茄花园</Company>
  <Pages>59</Pages>
  <Words>6057</Word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2019-06-19T07:56:00Z</dcterms:created>
  <dc:creator>LLP</dc:creator>
  <cp:lastModifiedBy>小猪</cp:lastModifiedBy>
  <cp:lastPrinted>2020-08-05T07:59:00Z</cp:lastPrinted>
  <dcterms:modified xsi:type="dcterms:W3CDTF">2020-09-21T02:52:48Z</dcterms:modified>
  <dc:title>广西科联招标中心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